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506A0F" w14:textId="205BAC95" w:rsidR="001451B4" w:rsidRDefault="00175818" w:rsidP="00175818">
      <w:pPr>
        <w:pStyle w:val="Title"/>
        <w:jc w:val="left"/>
      </w:pPr>
      <w:bookmarkStart w:id="0" w:name="_Toc77099926"/>
      <w:r>
        <w:rPr>
          <w:noProof/>
        </w:rPr>
        <w:drawing>
          <wp:inline distT="0" distB="0" distL="0" distR="0" wp14:anchorId="69937865" wp14:editId="29B6F13C">
            <wp:extent cx="1981200" cy="9906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81200" cy="990600"/>
                    </a:xfrm>
                    <a:prstGeom prst="rect">
                      <a:avLst/>
                    </a:prstGeom>
                  </pic:spPr>
                </pic:pic>
              </a:graphicData>
            </a:graphic>
          </wp:inline>
        </w:drawing>
      </w:r>
    </w:p>
    <w:p w14:paraId="269DC038" w14:textId="0D3E1B84" w:rsidR="00175818" w:rsidRPr="00175818" w:rsidRDefault="00175818" w:rsidP="00175818">
      <w:r>
        <w:t xml:space="preserve">           </w:t>
      </w:r>
    </w:p>
    <w:p w14:paraId="28DDEC05" w14:textId="7D78BFF8" w:rsidR="00175818" w:rsidRPr="00175818" w:rsidRDefault="00175818" w:rsidP="00175818">
      <w:pPr>
        <w:rPr>
          <w:rFonts w:asciiTheme="minorHAnsi" w:hAnsiTheme="minorHAnsi"/>
          <w:sz w:val="28"/>
          <w:szCs w:val="24"/>
        </w:rPr>
      </w:pPr>
    </w:p>
    <w:p w14:paraId="7513A5C3" w14:textId="77777777" w:rsidR="00175818" w:rsidRPr="00175818" w:rsidRDefault="00175818" w:rsidP="00175818"/>
    <w:p w14:paraId="1DFC7031" w14:textId="2ED6F108" w:rsidR="00175818" w:rsidRDefault="00175818" w:rsidP="00175818">
      <w:pPr>
        <w:pStyle w:val="NoSpacing"/>
        <w:ind w:firstLine="720"/>
        <w:rPr>
          <w:rFonts w:asciiTheme="minorHAnsi" w:hAnsiTheme="minorHAnsi"/>
          <w:sz w:val="28"/>
          <w:szCs w:val="28"/>
        </w:rPr>
      </w:pPr>
      <w:r>
        <w:rPr>
          <w:rFonts w:asciiTheme="minorHAnsi" w:hAnsiTheme="minorHAnsi"/>
          <w:sz w:val="28"/>
          <w:szCs w:val="28"/>
        </w:rPr>
        <w:t>MODULE NAME: COMMUNITY ENGAGEMENT</w:t>
      </w:r>
    </w:p>
    <w:p w14:paraId="06E997E0" w14:textId="601A0891" w:rsidR="00175818" w:rsidRDefault="00175818" w:rsidP="00175818">
      <w:pPr>
        <w:pStyle w:val="NoSpacing"/>
        <w:ind w:firstLine="720"/>
        <w:rPr>
          <w:rFonts w:asciiTheme="minorHAnsi" w:hAnsiTheme="minorHAnsi"/>
          <w:sz w:val="28"/>
          <w:szCs w:val="28"/>
        </w:rPr>
      </w:pPr>
      <w:r>
        <w:rPr>
          <w:rFonts w:asciiTheme="minorHAnsi" w:hAnsiTheme="minorHAnsi"/>
          <w:sz w:val="28"/>
          <w:szCs w:val="28"/>
        </w:rPr>
        <w:t>MODULE CODE: LCBB4002</w:t>
      </w:r>
    </w:p>
    <w:p w14:paraId="61C792D7" w14:textId="7E7D2C15" w:rsidR="00175818" w:rsidRDefault="00175818" w:rsidP="00175818">
      <w:pPr>
        <w:pStyle w:val="NoSpacing"/>
        <w:ind w:firstLine="720"/>
        <w:rPr>
          <w:rFonts w:asciiTheme="minorHAnsi" w:hAnsiTheme="minorHAnsi"/>
          <w:sz w:val="28"/>
          <w:szCs w:val="28"/>
        </w:rPr>
      </w:pPr>
      <w:r>
        <w:rPr>
          <w:rFonts w:asciiTheme="minorHAnsi" w:hAnsiTheme="minorHAnsi"/>
          <w:sz w:val="28"/>
          <w:szCs w:val="28"/>
        </w:rPr>
        <w:t xml:space="preserve">STUDENT NAME: ALEXANDRA ALINA TINCA </w:t>
      </w:r>
    </w:p>
    <w:p w14:paraId="231111E0" w14:textId="3F5A2D1B" w:rsidR="00175818" w:rsidRDefault="00175818" w:rsidP="00175818">
      <w:pPr>
        <w:pStyle w:val="NoSpacing"/>
        <w:ind w:firstLine="720"/>
        <w:rPr>
          <w:rFonts w:asciiTheme="minorHAnsi" w:hAnsiTheme="minorHAnsi"/>
          <w:sz w:val="28"/>
          <w:szCs w:val="28"/>
        </w:rPr>
      </w:pPr>
      <w:r>
        <w:rPr>
          <w:rFonts w:asciiTheme="minorHAnsi" w:hAnsiTheme="minorHAnsi"/>
          <w:sz w:val="28"/>
          <w:szCs w:val="28"/>
        </w:rPr>
        <w:t>STUDENT NUMBER: 2028610</w:t>
      </w:r>
    </w:p>
    <w:p w14:paraId="01812E05" w14:textId="6941B92C" w:rsidR="00175818" w:rsidRDefault="00175818" w:rsidP="00175818">
      <w:pPr>
        <w:pStyle w:val="NoSpacing"/>
        <w:ind w:firstLine="720"/>
        <w:rPr>
          <w:rFonts w:asciiTheme="minorHAnsi" w:hAnsiTheme="minorHAnsi"/>
          <w:sz w:val="28"/>
          <w:szCs w:val="28"/>
        </w:rPr>
      </w:pPr>
      <w:r>
        <w:rPr>
          <w:rFonts w:asciiTheme="minorHAnsi" w:hAnsiTheme="minorHAnsi"/>
          <w:sz w:val="28"/>
          <w:szCs w:val="28"/>
        </w:rPr>
        <w:t xml:space="preserve">LECTURER NAME: DR. MOLLY JACK </w:t>
      </w:r>
    </w:p>
    <w:p w14:paraId="1969ABB2" w14:textId="55113F82" w:rsidR="00B43C9C" w:rsidRPr="00175818" w:rsidRDefault="00B43C9C" w:rsidP="00175818">
      <w:pPr>
        <w:pStyle w:val="NoSpacing"/>
        <w:ind w:firstLine="720"/>
        <w:rPr>
          <w:rFonts w:asciiTheme="minorHAnsi" w:hAnsiTheme="minorHAnsi"/>
          <w:sz w:val="28"/>
          <w:szCs w:val="28"/>
        </w:rPr>
      </w:pPr>
      <w:r>
        <w:rPr>
          <w:rFonts w:asciiTheme="minorHAnsi" w:hAnsiTheme="minorHAnsi"/>
          <w:sz w:val="28"/>
          <w:szCs w:val="28"/>
        </w:rPr>
        <w:t>DATE: 08/09/2021</w:t>
      </w:r>
    </w:p>
    <w:p w14:paraId="6DB70382" w14:textId="429509A7" w:rsidR="00175818" w:rsidRPr="00175818" w:rsidRDefault="00175818" w:rsidP="00175818">
      <w:pPr>
        <w:pStyle w:val="Heading1"/>
        <w:rPr>
          <w:rFonts w:asciiTheme="minorHAnsi" w:hAnsiTheme="minorHAnsi"/>
          <w:sz w:val="28"/>
        </w:rPr>
      </w:pPr>
      <w:r>
        <w:tab/>
      </w:r>
    </w:p>
    <w:p w14:paraId="3E017E97" w14:textId="77777777" w:rsidR="001451B4" w:rsidRDefault="001451B4" w:rsidP="001451B4">
      <w:pPr>
        <w:pStyle w:val="Title"/>
      </w:pPr>
    </w:p>
    <w:p w14:paraId="5A624916" w14:textId="77777777" w:rsidR="001451B4" w:rsidRDefault="001451B4" w:rsidP="001451B4">
      <w:pPr>
        <w:pStyle w:val="Title"/>
      </w:pPr>
    </w:p>
    <w:p w14:paraId="079AAFDB" w14:textId="77777777" w:rsidR="001451B4" w:rsidRDefault="001451B4" w:rsidP="001451B4">
      <w:pPr>
        <w:pStyle w:val="Title"/>
      </w:pPr>
    </w:p>
    <w:p w14:paraId="54591663" w14:textId="77777777" w:rsidR="001451B4" w:rsidRDefault="001451B4" w:rsidP="001451B4">
      <w:pPr>
        <w:pStyle w:val="Title"/>
      </w:pPr>
    </w:p>
    <w:p w14:paraId="78BCA5C9" w14:textId="77777777" w:rsidR="001451B4" w:rsidRDefault="001451B4" w:rsidP="001451B4">
      <w:pPr>
        <w:pStyle w:val="Title"/>
      </w:pPr>
    </w:p>
    <w:p w14:paraId="7830F758" w14:textId="77777777" w:rsidR="001451B4" w:rsidRDefault="001451B4" w:rsidP="001451B4">
      <w:pPr>
        <w:pStyle w:val="Title"/>
      </w:pPr>
    </w:p>
    <w:p w14:paraId="098DD765" w14:textId="77777777" w:rsidR="001451B4" w:rsidRDefault="001451B4" w:rsidP="001451B4">
      <w:pPr>
        <w:pStyle w:val="Title"/>
      </w:pPr>
    </w:p>
    <w:p w14:paraId="218CEAE0" w14:textId="77777777" w:rsidR="001451B4" w:rsidRDefault="001451B4" w:rsidP="001451B4">
      <w:pPr>
        <w:pStyle w:val="Title"/>
      </w:pPr>
    </w:p>
    <w:p w14:paraId="361B5B28" w14:textId="77777777" w:rsidR="001451B4" w:rsidRDefault="001451B4" w:rsidP="001451B4">
      <w:pPr>
        <w:pStyle w:val="Title"/>
      </w:pPr>
    </w:p>
    <w:p w14:paraId="5284E7D2" w14:textId="77777777" w:rsidR="001451B4" w:rsidRDefault="009E2501" w:rsidP="001451B4">
      <w:pPr>
        <w:pStyle w:val="Title"/>
        <w:rPr>
          <w:bCs/>
          <w:szCs w:val="28"/>
        </w:rPr>
      </w:pPr>
      <w:r>
        <w:t xml:space="preserve">Community Engagement </w:t>
      </w:r>
      <w:r>
        <w:br w:type="page"/>
      </w:r>
    </w:p>
    <w:sdt>
      <w:sdtPr>
        <w:rPr>
          <w:rFonts w:ascii="Times New Roman" w:eastAsia="Times New Roman" w:hAnsi="Times New Roman" w:cs="Times New Roman"/>
          <w:b w:val="0"/>
          <w:bCs w:val="0"/>
          <w:color w:val="auto"/>
          <w:sz w:val="24"/>
          <w:szCs w:val="22"/>
        </w:rPr>
        <w:id w:val="-590626293"/>
        <w:docPartObj>
          <w:docPartGallery w:val="Table of Contents"/>
          <w:docPartUnique/>
        </w:docPartObj>
      </w:sdtPr>
      <w:sdtEndPr/>
      <w:sdtContent>
        <w:p w14:paraId="4FBE3868" w14:textId="77777777" w:rsidR="00776A6E" w:rsidRDefault="009E2501" w:rsidP="00776A6E">
          <w:pPr>
            <w:pStyle w:val="TOCHeading"/>
            <w:jc w:val="center"/>
          </w:pPr>
          <w:r w:rsidRPr="00776A6E">
            <w:rPr>
              <w:rFonts w:ascii="Times New Roman" w:hAnsi="Times New Roman" w:cs="Times New Roman"/>
              <w:color w:val="auto"/>
              <w:sz w:val="24"/>
              <w:szCs w:val="24"/>
            </w:rPr>
            <w:t>Table of Contents</w:t>
          </w:r>
        </w:p>
        <w:p w14:paraId="4F86D4CF" w14:textId="77777777" w:rsidR="00BA72BC" w:rsidRDefault="00C12EC4" w:rsidP="00BA72BC">
          <w:pPr>
            <w:pStyle w:val="TOC1"/>
            <w:tabs>
              <w:tab w:val="right" w:leader="dot" w:pos="9350"/>
            </w:tabs>
            <w:jc w:val="both"/>
            <w:rPr>
              <w:rFonts w:asciiTheme="minorHAnsi" w:eastAsiaTheme="minorEastAsia" w:hAnsiTheme="minorHAnsi" w:cstheme="minorBidi"/>
              <w:noProof/>
              <w:sz w:val="22"/>
            </w:rPr>
          </w:pPr>
          <w:r>
            <w:fldChar w:fldCharType="begin"/>
          </w:r>
          <w:r w:rsidR="009E2501">
            <w:instrText xml:space="preserve"> TOC \o "1-3" \h \z \u </w:instrText>
          </w:r>
          <w:r>
            <w:fldChar w:fldCharType="separate"/>
          </w:r>
          <w:hyperlink w:anchor="_Toc77706039" w:history="1">
            <w:r w:rsidR="00BA72BC" w:rsidRPr="006552E2">
              <w:rPr>
                <w:rStyle w:val="Hyperlink"/>
                <w:noProof/>
              </w:rPr>
              <w:t>Introduction</w:t>
            </w:r>
            <w:r w:rsidR="00BA72BC">
              <w:rPr>
                <w:noProof/>
                <w:webHidden/>
              </w:rPr>
              <w:tab/>
            </w:r>
            <w:r w:rsidR="00BA72BC">
              <w:rPr>
                <w:noProof/>
                <w:webHidden/>
              </w:rPr>
              <w:fldChar w:fldCharType="begin"/>
            </w:r>
            <w:r w:rsidR="00BA72BC">
              <w:rPr>
                <w:noProof/>
                <w:webHidden/>
              </w:rPr>
              <w:instrText xml:space="preserve"> PAGEREF _Toc77706039 \h </w:instrText>
            </w:r>
            <w:r w:rsidR="00BA72BC">
              <w:rPr>
                <w:noProof/>
                <w:webHidden/>
              </w:rPr>
            </w:r>
            <w:r w:rsidR="00BA72BC">
              <w:rPr>
                <w:noProof/>
                <w:webHidden/>
              </w:rPr>
              <w:fldChar w:fldCharType="separate"/>
            </w:r>
            <w:r w:rsidR="00BA72BC">
              <w:rPr>
                <w:noProof/>
                <w:webHidden/>
              </w:rPr>
              <w:t>2</w:t>
            </w:r>
            <w:r w:rsidR="00BA72BC">
              <w:rPr>
                <w:noProof/>
                <w:webHidden/>
              </w:rPr>
              <w:fldChar w:fldCharType="end"/>
            </w:r>
          </w:hyperlink>
        </w:p>
        <w:p w14:paraId="029ED9AD" w14:textId="77777777" w:rsidR="00BA72BC" w:rsidRDefault="00152D06" w:rsidP="00BA72BC">
          <w:pPr>
            <w:pStyle w:val="TOC1"/>
            <w:tabs>
              <w:tab w:val="right" w:leader="dot" w:pos="9350"/>
            </w:tabs>
            <w:jc w:val="both"/>
            <w:rPr>
              <w:rFonts w:asciiTheme="minorHAnsi" w:eastAsiaTheme="minorEastAsia" w:hAnsiTheme="minorHAnsi" w:cstheme="minorBidi"/>
              <w:noProof/>
              <w:sz w:val="22"/>
            </w:rPr>
          </w:pPr>
          <w:hyperlink w:anchor="_Toc77706040" w:history="1">
            <w:r w:rsidR="00BA72BC" w:rsidRPr="006552E2">
              <w:rPr>
                <w:rStyle w:val="Hyperlink"/>
                <w:noProof/>
              </w:rPr>
              <w:t>The Body</w:t>
            </w:r>
            <w:r w:rsidR="00BA72BC">
              <w:rPr>
                <w:noProof/>
                <w:webHidden/>
              </w:rPr>
              <w:tab/>
            </w:r>
            <w:r w:rsidR="00BA72BC">
              <w:rPr>
                <w:noProof/>
                <w:webHidden/>
              </w:rPr>
              <w:fldChar w:fldCharType="begin"/>
            </w:r>
            <w:r w:rsidR="00BA72BC">
              <w:rPr>
                <w:noProof/>
                <w:webHidden/>
              </w:rPr>
              <w:instrText xml:space="preserve"> PAGEREF _Toc77706040 \h </w:instrText>
            </w:r>
            <w:r w:rsidR="00BA72BC">
              <w:rPr>
                <w:noProof/>
                <w:webHidden/>
              </w:rPr>
            </w:r>
            <w:r w:rsidR="00BA72BC">
              <w:rPr>
                <w:noProof/>
                <w:webHidden/>
              </w:rPr>
              <w:fldChar w:fldCharType="separate"/>
            </w:r>
            <w:r w:rsidR="00BA72BC">
              <w:rPr>
                <w:noProof/>
                <w:webHidden/>
              </w:rPr>
              <w:t>3</w:t>
            </w:r>
            <w:r w:rsidR="00BA72BC">
              <w:rPr>
                <w:noProof/>
                <w:webHidden/>
              </w:rPr>
              <w:fldChar w:fldCharType="end"/>
            </w:r>
          </w:hyperlink>
        </w:p>
        <w:p w14:paraId="23117879" w14:textId="77777777" w:rsidR="00BA72BC" w:rsidRDefault="00152D06" w:rsidP="00BA72BC">
          <w:pPr>
            <w:pStyle w:val="TOC2"/>
            <w:tabs>
              <w:tab w:val="right" w:leader="dot" w:pos="9350"/>
            </w:tabs>
            <w:jc w:val="both"/>
            <w:rPr>
              <w:rFonts w:asciiTheme="minorHAnsi" w:eastAsiaTheme="minorEastAsia" w:hAnsiTheme="minorHAnsi" w:cstheme="minorBidi"/>
              <w:noProof/>
              <w:sz w:val="22"/>
            </w:rPr>
          </w:pPr>
          <w:hyperlink w:anchor="_Toc77706041" w:history="1">
            <w:r w:rsidR="00BA72BC" w:rsidRPr="006552E2">
              <w:rPr>
                <w:rStyle w:val="Hyperlink"/>
                <w:noProof/>
              </w:rPr>
              <w:t>Description of the program</w:t>
            </w:r>
            <w:r w:rsidR="00BA72BC">
              <w:rPr>
                <w:noProof/>
                <w:webHidden/>
              </w:rPr>
              <w:tab/>
            </w:r>
            <w:r w:rsidR="00BA72BC">
              <w:rPr>
                <w:noProof/>
                <w:webHidden/>
              </w:rPr>
              <w:fldChar w:fldCharType="begin"/>
            </w:r>
            <w:r w:rsidR="00BA72BC">
              <w:rPr>
                <w:noProof/>
                <w:webHidden/>
              </w:rPr>
              <w:instrText xml:space="preserve"> PAGEREF _Toc77706041 \h </w:instrText>
            </w:r>
            <w:r w:rsidR="00BA72BC">
              <w:rPr>
                <w:noProof/>
                <w:webHidden/>
              </w:rPr>
            </w:r>
            <w:r w:rsidR="00BA72BC">
              <w:rPr>
                <w:noProof/>
                <w:webHidden/>
              </w:rPr>
              <w:fldChar w:fldCharType="separate"/>
            </w:r>
            <w:r w:rsidR="00BA72BC">
              <w:rPr>
                <w:noProof/>
                <w:webHidden/>
              </w:rPr>
              <w:t>3</w:t>
            </w:r>
            <w:r w:rsidR="00BA72BC">
              <w:rPr>
                <w:noProof/>
                <w:webHidden/>
              </w:rPr>
              <w:fldChar w:fldCharType="end"/>
            </w:r>
          </w:hyperlink>
        </w:p>
        <w:p w14:paraId="70477D64" w14:textId="77777777" w:rsidR="00BA72BC" w:rsidRDefault="00152D06" w:rsidP="00BA72BC">
          <w:pPr>
            <w:pStyle w:val="TOC2"/>
            <w:tabs>
              <w:tab w:val="right" w:leader="dot" w:pos="9350"/>
            </w:tabs>
            <w:jc w:val="both"/>
            <w:rPr>
              <w:rFonts w:asciiTheme="minorHAnsi" w:eastAsiaTheme="minorEastAsia" w:hAnsiTheme="minorHAnsi" w:cstheme="minorBidi"/>
              <w:noProof/>
              <w:sz w:val="22"/>
            </w:rPr>
          </w:pPr>
          <w:hyperlink w:anchor="_Toc77706042" w:history="1">
            <w:r w:rsidR="00BA72BC" w:rsidRPr="006552E2">
              <w:rPr>
                <w:rStyle w:val="Hyperlink"/>
                <w:noProof/>
              </w:rPr>
              <w:t>Analysis of best practices, particularly on principles of community engagement</w:t>
            </w:r>
            <w:r w:rsidR="00BA72BC">
              <w:rPr>
                <w:noProof/>
                <w:webHidden/>
              </w:rPr>
              <w:tab/>
            </w:r>
            <w:r w:rsidR="00BA72BC">
              <w:rPr>
                <w:noProof/>
                <w:webHidden/>
              </w:rPr>
              <w:fldChar w:fldCharType="begin"/>
            </w:r>
            <w:r w:rsidR="00BA72BC">
              <w:rPr>
                <w:noProof/>
                <w:webHidden/>
              </w:rPr>
              <w:instrText xml:space="preserve"> PAGEREF _Toc77706042 \h </w:instrText>
            </w:r>
            <w:r w:rsidR="00BA72BC">
              <w:rPr>
                <w:noProof/>
                <w:webHidden/>
              </w:rPr>
            </w:r>
            <w:r w:rsidR="00BA72BC">
              <w:rPr>
                <w:noProof/>
                <w:webHidden/>
              </w:rPr>
              <w:fldChar w:fldCharType="separate"/>
            </w:r>
            <w:r w:rsidR="00BA72BC">
              <w:rPr>
                <w:noProof/>
                <w:webHidden/>
              </w:rPr>
              <w:t>3</w:t>
            </w:r>
            <w:r w:rsidR="00BA72BC">
              <w:rPr>
                <w:noProof/>
                <w:webHidden/>
              </w:rPr>
              <w:fldChar w:fldCharType="end"/>
            </w:r>
          </w:hyperlink>
        </w:p>
        <w:p w14:paraId="01A26875" w14:textId="77777777" w:rsidR="00BA72BC" w:rsidRDefault="00152D06" w:rsidP="00BA72BC">
          <w:pPr>
            <w:pStyle w:val="TOC2"/>
            <w:tabs>
              <w:tab w:val="right" w:leader="dot" w:pos="9350"/>
            </w:tabs>
            <w:jc w:val="both"/>
            <w:rPr>
              <w:rFonts w:asciiTheme="minorHAnsi" w:eastAsiaTheme="minorEastAsia" w:hAnsiTheme="minorHAnsi" w:cstheme="minorBidi"/>
              <w:noProof/>
              <w:sz w:val="22"/>
            </w:rPr>
          </w:pPr>
          <w:hyperlink w:anchor="_Toc77706043" w:history="1">
            <w:r w:rsidR="00BA72BC" w:rsidRPr="006552E2">
              <w:rPr>
                <w:rStyle w:val="Hyperlink"/>
                <w:noProof/>
              </w:rPr>
              <w:t>Analysis of community engagement standards</w:t>
            </w:r>
            <w:r w:rsidR="00BA72BC">
              <w:rPr>
                <w:noProof/>
                <w:webHidden/>
              </w:rPr>
              <w:tab/>
            </w:r>
            <w:r w:rsidR="00BA72BC">
              <w:rPr>
                <w:noProof/>
                <w:webHidden/>
              </w:rPr>
              <w:fldChar w:fldCharType="begin"/>
            </w:r>
            <w:r w:rsidR="00BA72BC">
              <w:rPr>
                <w:noProof/>
                <w:webHidden/>
              </w:rPr>
              <w:instrText xml:space="preserve"> PAGEREF _Toc77706043 \h </w:instrText>
            </w:r>
            <w:r w:rsidR="00BA72BC">
              <w:rPr>
                <w:noProof/>
                <w:webHidden/>
              </w:rPr>
            </w:r>
            <w:r w:rsidR="00BA72BC">
              <w:rPr>
                <w:noProof/>
                <w:webHidden/>
              </w:rPr>
              <w:fldChar w:fldCharType="separate"/>
            </w:r>
            <w:r w:rsidR="00BA72BC">
              <w:rPr>
                <w:noProof/>
                <w:webHidden/>
              </w:rPr>
              <w:t>4</w:t>
            </w:r>
            <w:r w:rsidR="00BA72BC">
              <w:rPr>
                <w:noProof/>
                <w:webHidden/>
              </w:rPr>
              <w:fldChar w:fldCharType="end"/>
            </w:r>
          </w:hyperlink>
        </w:p>
        <w:p w14:paraId="4E8DFF2F" w14:textId="77777777" w:rsidR="00BA72BC" w:rsidRDefault="00152D06" w:rsidP="00BA72BC">
          <w:pPr>
            <w:pStyle w:val="TOC2"/>
            <w:tabs>
              <w:tab w:val="right" w:leader="dot" w:pos="9350"/>
            </w:tabs>
            <w:jc w:val="both"/>
            <w:rPr>
              <w:rFonts w:asciiTheme="minorHAnsi" w:eastAsiaTheme="minorEastAsia" w:hAnsiTheme="minorHAnsi" w:cstheme="minorBidi"/>
              <w:noProof/>
              <w:sz w:val="22"/>
            </w:rPr>
          </w:pPr>
          <w:hyperlink w:anchor="_Toc77706044" w:history="1">
            <w:r w:rsidR="00BA72BC" w:rsidRPr="006552E2">
              <w:rPr>
                <w:rStyle w:val="Hyperlink"/>
                <w:noProof/>
              </w:rPr>
              <w:t>Benefits of stakeholders’ participation</w:t>
            </w:r>
            <w:r w:rsidR="00BA72BC">
              <w:rPr>
                <w:noProof/>
                <w:webHidden/>
              </w:rPr>
              <w:tab/>
            </w:r>
            <w:r w:rsidR="00BA72BC">
              <w:rPr>
                <w:noProof/>
                <w:webHidden/>
              </w:rPr>
              <w:fldChar w:fldCharType="begin"/>
            </w:r>
            <w:r w:rsidR="00BA72BC">
              <w:rPr>
                <w:noProof/>
                <w:webHidden/>
              </w:rPr>
              <w:instrText xml:space="preserve"> PAGEREF _Toc77706044 \h </w:instrText>
            </w:r>
            <w:r w:rsidR="00BA72BC">
              <w:rPr>
                <w:noProof/>
                <w:webHidden/>
              </w:rPr>
            </w:r>
            <w:r w:rsidR="00BA72BC">
              <w:rPr>
                <w:noProof/>
                <w:webHidden/>
              </w:rPr>
              <w:fldChar w:fldCharType="separate"/>
            </w:r>
            <w:r w:rsidR="00BA72BC">
              <w:rPr>
                <w:noProof/>
                <w:webHidden/>
              </w:rPr>
              <w:t>4</w:t>
            </w:r>
            <w:r w:rsidR="00BA72BC">
              <w:rPr>
                <w:noProof/>
                <w:webHidden/>
              </w:rPr>
              <w:fldChar w:fldCharType="end"/>
            </w:r>
          </w:hyperlink>
        </w:p>
        <w:p w14:paraId="38838E22" w14:textId="77777777" w:rsidR="00BA72BC" w:rsidRDefault="00152D06" w:rsidP="00BA72BC">
          <w:pPr>
            <w:pStyle w:val="TOC2"/>
            <w:tabs>
              <w:tab w:val="right" w:leader="dot" w:pos="9350"/>
            </w:tabs>
            <w:jc w:val="both"/>
            <w:rPr>
              <w:rFonts w:asciiTheme="minorHAnsi" w:eastAsiaTheme="minorEastAsia" w:hAnsiTheme="minorHAnsi" w:cstheme="minorBidi"/>
              <w:noProof/>
              <w:sz w:val="22"/>
            </w:rPr>
          </w:pPr>
          <w:hyperlink w:anchor="_Toc77706045" w:history="1">
            <w:r w:rsidR="00BA72BC" w:rsidRPr="006552E2">
              <w:rPr>
                <w:rStyle w:val="Hyperlink"/>
                <w:noProof/>
              </w:rPr>
              <w:t>Relationship of amidst stakeholders and social media platforms for community engagement</w:t>
            </w:r>
            <w:r w:rsidR="00BA72BC">
              <w:rPr>
                <w:noProof/>
                <w:webHidden/>
              </w:rPr>
              <w:tab/>
            </w:r>
            <w:r w:rsidR="00BA72BC">
              <w:rPr>
                <w:noProof/>
                <w:webHidden/>
              </w:rPr>
              <w:fldChar w:fldCharType="begin"/>
            </w:r>
            <w:r w:rsidR="00BA72BC">
              <w:rPr>
                <w:noProof/>
                <w:webHidden/>
              </w:rPr>
              <w:instrText xml:space="preserve"> PAGEREF _Toc77706045 \h </w:instrText>
            </w:r>
            <w:r w:rsidR="00BA72BC">
              <w:rPr>
                <w:noProof/>
                <w:webHidden/>
              </w:rPr>
            </w:r>
            <w:r w:rsidR="00BA72BC">
              <w:rPr>
                <w:noProof/>
                <w:webHidden/>
              </w:rPr>
              <w:fldChar w:fldCharType="separate"/>
            </w:r>
            <w:r w:rsidR="00BA72BC">
              <w:rPr>
                <w:noProof/>
                <w:webHidden/>
              </w:rPr>
              <w:t>5</w:t>
            </w:r>
            <w:r w:rsidR="00BA72BC">
              <w:rPr>
                <w:noProof/>
                <w:webHidden/>
              </w:rPr>
              <w:fldChar w:fldCharType="end"/>
            </w:r>
          </w:hyperlink>
        </w:p>
        <w:p w14:paraId="29F08E69" w14:textId="77777777" w:rsidR="00BA72BC" w:rsidRDefault="00152D06" w:rsidP="00BA72BC">
          <w:pPr>
            <w:pStyle w:val="TOC2"/>
            <w:tabs>
              <w:tab w:val="right" w:leader="dot" w:pos="9350"/>
            </w:tabs>
            <w:jc w:val="both"/>
            <w:rPr>
              <w:rFonts w:asciiTheme="minorHAnsi" w:eastAsiaTheme="minorEastAsia" w:hAnsiTheme="minorHAnsi" w:cstheme="minorBidi"/>
              <w:noProof/>
              <w:sz w:val="22"/>
            </w:rPr>
          </w:pPr>
          <w:hyperlink w:anchor="_Toc77706046" w:history="1">
            <w:r w:rsidR="00BA72BC" w:rsidRPr="006552E2">
              <w:rPr>
                <w:rStyle w:val="Hyperlink"/>
                <w:noProof/>
              </w:rPr>
              <w:t>Use of social media platforms as outreach for supporting the program</w:t>
            </w:r>
            <w:r w:rsidR="00BA72BC">
              <w:rPr>
                <w:noProof/>
                <w:webHidden/>
              </w:rPr>
              <w:tab/>
            </w:r>
            <w:r w:rsidR="00BA72BC">
              <w:rPr>
                <w:noProof/>
                <w:webHidden/>
              </w:rPr>
              <w:fldChar w:fldCharType="begin"/>
            </w:r>
            <w:r w:rsidR="00BA72BC">
              <w:rPr>
                <w:noProof/>
                <w:webHidden/>
              </w:rPr>
              <w:instrText xml:space="preserve"> PAGEREF _Toc77706046 \h </w:instrText>
            </w:r>
            <w:r w:rsidR="00BA72BC">
              <w:rPr>
                <w:noProof/>
                <w:webHidden/>
              </w:rPr>
            </w:r>
            <w:r w:rsidR="00BA72BC">
              <w:rPr>
                <w:noProof/>
                <w:webHidden/>
              </w:rPr>
              <w:fldChar w:fldCharType="separate"/>
            </w:r>
            <w:r w:rsidR="00BA72BC">
              <w:rPr>
                <w:noProof/>
                <w:webHidden/>
              </w:rPr>
              <w:t>5</w:t>
            </w:r>
            <w:r w:rsidR="00BA72BC">
              <w:rPr>
                <w:noProof/>
                <w:webHidden/>
              </w:rPr>
              <w:fldChar w:fldCharType="end"/>
            </w:r>
          </w:hyperlink>
        </w:p>
        <w:p w14:paraId="0C9426BE" w14:textId="77777777" w:rsidR="00BA72BC" w:rsidRDefault="00152D06" w:rsidP="00BA72BC">
          <w:pPr>
            <w:pStyle w:val="TOC2"/>
            <w:tabs>
              <w:tab w:val="right" w:leader="dot" w:pos="9350"/>
            </w:tabs>
            <w:jc w:val="both"/>
            <w:rPr>
              <w:rFonts w:asciiTheme="minorHAnsi" w:eastAsiaTheme="minorEastAsia" w:hAnsiTheme="minorHAnsi" w:cstheme="minorBidi"/>
              <w:noProof/>
              <w:sz w:val="22"/>
            </w:rPr>
          </w:pPr>
          <w:hyperlink w:anchor="_Toc77706047" w:history="1">
            <w:r w:rsidR="00BA72BC" w:rsidRPr="006552E2">
              <w:rPr>
                <w:rStyle w:val="Hyperlink"/>
                <w:noProof/>
              </w:rPr>
              <w:t>Relevant avenues for promoting community participation and collaboration</w:t>
            </w:r>
            <w:r w:rsidR="00BA72BC">
              <w:rPr>
                <w:noProof/>
                <w:webHidden/>
              </w:rPr>
              <w:tab/>
            </w:r>
            <w:r w:rsidR="00BA72BC">
              <w:rPr>
                <w:noProof/>
                <w:webHidden/>
              </w:rPr>
              <w:fldChar w:fldCharType="begin"/>
            </w:r>
            <w:r w:rsidR="00BA72BC">
              <w:rPr>
                <w:noProof/>
                <w:webHidden/>
              </w:rPr>
              <w:instrText xml:space="preserve"> PAGEREF _Toc77706047 \h </w:instrText>
            </w:r>
            <w:r w:rsidR="00BA72BC">
              <w:rPr>
                <w:noProof/>
                <w:webHidden/>
              </w:rPr>
            </w:r>
            <w:r w:rsidR="00BA72BC">
              <w:rPr>
                <w:noProof/>
                <w:webHidden/>
              </w:rPr>
              <w:fldChar w:fldCharType="separate"/>
            </w:r>
            <w:r w:rsidR="00BA72BC">
              <w:rPr>
                <w:noProof/>
                <w:webHidden/>
              </w:rPr>
              <w:t>6</w:t>
            </w:r>
            <w:r w:rsidR="00BA72BC">
              <w:rPr>
                <w:noProof/>
                <w:webHidden/>
              </w:rPr>
              <w:fldChar w:fldCharType="end"/>
            </w:r>
          </w:hyperlink>
        </w:p>
        <w:p w14:paraId="2A9EFD46" w14:textId="77777777" w:rsidR="00BA72BC" w:rsidRDefault="00152D06" w:rsidP="00BA72BC">
          <w:pPr>
            <w:pStyle w:val="TOC2"/>
            <w:tabs>
              <w:tab w:val="right" w:leader="dot" w:pos="9350"/>
            </w:tabs>
            <w:jc w:val="both"/>
            <w:rPr>
              <w:rFonts w:asciiTheme="minorHAnsi" w:eastAsiaTheme="minorEastAsia" w:hAnsiTheme="minorHAnsi" w:cstheme="minorBidi"/>
              <w:noProof/>
              <w:sz w:val="22"/>
            </w:rPr>
          </w:pPr>
          <w:hyperlink w:anchor="_Toc77706048" w:history="1">
            <w:r w:rsidR="00BA72BC" w:rsidRPr="006552E2">
              <w:rPr>
                <w:rStyle w:val="Hyperlink"/>
                <w:noProof/>
              </w:rPr>
              <w:t>Methods to establish inclusion multi-culturalism and socio-cultural integration</w:t>
            </w:r>
            <w:r w:rsidR="00BA72BC">
              <w:rPr>
                <w:noProof/>
                <w:webHidden/>
              </w:rPr>
              <w:tab/>
            </w:r>
            <w:r w:rsidR="00BA72BC">
              <w:rPr>
                <w:noProof/>
                <w:webHidden/>
              </w:rPr>
              <w:fldChar w:fldCharType="begin"/>
            </w:r>
            <w:r w:rsidR="00BA72BC">
              <w:rPr>
                <w:noProof/>
                <w:webHidden/>
              </w:rPr>
              <w:instrText xml:space="preserve"> PAGEREF _Toc77706048 \h </w:instrText>
            </w:r>
            <w:r w:rsidR="00BA72BC">
              <w:rPr>
                <w:noProof/>
                <w:webHidden/>
              </w:rPr>
            </w:r>
            <w:r w:rsidR="00BA72BC">
              <w:rPr>
                <w:noProof/>
                <w:webHidden/>
              </w:rPr>
              <w:fldChar w:fldCharType="separate"/>
            </w:r>
            <w:r w:rsidR="00BA72BC">
              <w:rPr>
                <w:noProof/>
                <w:webHidden/>
              </w:rPr>
              <w:t>6</w:t>
            </w:r>
            <w:r w:rsidR="00BA72BC">
              <w:rPr>
                <w:noProof/>
                <w:webHidden/>
              </w:rPr>
              <w:fldChar w:fldCharType="end"/>
            </w:r>
          </w:hyperlink>
        </w:p>
        <w:p w14:paraId="30672D63" w14:textId="77777777" w:rsidR="00BA72BC" w:rsidRDefault="00152D06" w:rsidP="00BA72BC">
          <w:pPr>
            <w:pStyle w:val="TOC2"/>
            <w:tabs>
              <w:tab w:val="right" w:leader="dot" w:pos="9350"/>
            </w:tabs>
            <w:jc w:val="both"/>
            <w:rPr>
              <w:rFonts w:asciiTheme="minorHAnsi" w:eastAsiaTheme="minorEastAsia" w:hAnsiTheme="minorHAnsi" w:cstheme="minorBidi"/>
              <w:noProof/>
              <w:sz w:val="22"/>
            </w:rPr>
          </w:pPr>
          <w:hyperlink w:anchor="_Toc77706049" w:history="1">
            <w:r w:rsidR="00BA72BC" w:rsidRPr="006552E2">
              <w:rPr>
                <w:rStyle w:val="Hyperlink"/>
                <w:noProof/>
              </w:rPr>
              <w:t>Why community engagement practitioner educates community members on external and internal factors influencing community development</w:t>
            </w:r>
            <w:r w:rsidR="00BA72BC">
              <w:rPr>
                <w:noProof/>
                <w:webHidden/>
              </w:rPr>
              <w:tab/>
            </w:r>
            <w:r w:rsidR="00BA72BC">
              <w:rPr>
                <w:noProof/>
                <w:webHidden/>
              </w:rPr>
              <w:fldChar w:fldCharType="begin"/>
            </w:r>
            <w:r w:rsidR="00BA72BC">
              <w:rPr>
                <w:noProof/>
                <w:webHidden/>
              </w:rPr>
              <w:instrText xml:space="preserve"> PAGEREF _Toc77706049 \h </w:instrText>
            </w:r>
            <w:r w:rsidR="00BA72BC">
              <w:rPr>
                <w:noProof/>
                <w:webHidden/>
              </w:rPr>
            </w:r>
            <w:r w:rsidR="00BA72BC">
              <w:rPr>
                <w:noProof/>
                <w:webHidden/>
              </w:rPr>
              <w:fldChar w:fldCharType="separate"/>
            </w:r>
            <w:r w:rsidR="00BA72BC">
              <w:rPr>
                <w:noProof/>
                <w:webHidden/>
              </w:rPr>
              <w:t>6</w:t>
            </w:r>
            <w:r w:rsidR="00BA72BC">
              <w:rPr>
                <w:noProof/>
                <w:webHidden/>
              </w:rPr>
              <w:fldChar w:fldCharType="end"/>
            </w:r>
          </w:hyperlink>
        </w:p>
        <w:p w14:paraId="01450955" w14:textId="77777777" w:rsidR="00BA72BC" w:rsidRDefault="00152D06" w:rsidP="00BA72BC">
          <w:pPr>
            <w:pStyle w:val="TOC1"/>
            <w:tabs>
              <w:tab w:val="right" w:leader="dot" w:pos="9350"/>
            </w:tabs>
            <w:jc w:val="both"/>
            <w:rPr>
              <w:rFonts w:asciiTheme="minorHAnsi" w:eastAsiaTheme="minorEastAsia" w:hAnsiTheme="minorHAnsi" w:cstheme="minorBidi"/>
              <w:noProof/>
              <w:sz w:val="22"/>
            </w:rPr>
          </w:pPr>
          <w:hyperlink w:anchor="_Toc77706050" w:history="1">
            <w:r w:rsidR="00BA72BC" w:rsidRPr="006552E2">
              <w:rPr>
                <w:rStyle w:val="Hyperlink"/>
                <w:noProof/>
              </w:rPr>
              <w:t>Conclusion</w:t>
            </w:r>
            <w:r w:rsidR="00BA72BC">
              <w:rPr>
                <w:noProof/>
                <w:webHidden/>
              </w:rPr>
              <w:tab/>
            </w:r>
            <w:r w:rsidR="00BA72BC">
              <w:rPr>
                <w:noProof/>
                <w:webHidden/>
              </w:rPr>
              <w:fldChar w:fldCharType="begin"/>
            </w:r>
            <w:r w:rsidR="00BA72BC">
              <w:rPr>
                <w:noProof/>
                <w:webHidden/>
              </w:rPr>
              <w:instrText xml:space="preserve"> PAGEREF _Toc77706050 \h </w:instrText>
            </w:r>
            <w:r w:rsidR="00BA72BC">
              <w:rPr>
                <w:noProof/>
                <w:webHidden/>
              </w:rPr>
            </w:r>
            <w:r w:rsidR="00BA72BC">
              <w:rPr>
                <w:noProof/>
                <w:webHidden/>
              </w:rPr>
              <w:fldChar w:fldCharType="separate"/>
            </w:r>
            <w:r w:rsidR="00BA72BC">
              <w:rPr>
                <w:noProof/>
                <w:webHidden/>
              </w:rPr>
              <w:t>8</w:t>
            </w:r>
            <w:r w:rsidR="00BA72BC">
              <w:rPr>
                <w:noProof/>
                <w:webHidden/>
              </w:rPr>
              <w:fldChar w:fldCharType="end"/>
            </w:r>
          </w:hyperlink>
        </w:p>
        <w:p w14:paraId="5083B79A" w14:textId="77777777" w:rsidR="00BA72BC" w:rsidRDefault="00152D06" w:rsidP="00BA72BC">
          <w:pPr>
            <w:pStyle w:val="TOC1"/>
            <w:tabs>
              <w:tab w:val="right" w:leader="dot" w:pos="9350"/>
            </w:tabs>
            <w:jc w:val="both"/>
            <w:rPr>
              <w:rFonts w:asciiTheme="minorHAnsi" w:eastAsiaTheme="minorEastAsia" w:hAnsiTheme="minorHAnsi" w:cstheme="minorBidi"/>
              <w:noProof/>
              <w:sz w:val="22"/>
            </w:rPr>
          </w:pPr>
          <w:hyperlink w:anchor="_Toc77706051" w:history="1">
            <w:r w:rsidR="00BA72BC" w:rsidRPr="006552E2">
              <w:rPr>
                <w:rStyle w:val="Hyperlink"/>
                <w:noProof/>
              </w:rPr>
              <w:t>References</w:t>
            </w:r>
            <w:r w:rsidR="00BA72BC">
              <w:rPr>
                <w:noProof/>
                <w:webHidden/>
              </w:rPr>
              <w:tab/>
            </w:r>
            <w:r w:rsidR="00BA72BC">
              <w:rPr>
                <w:noProof/>
                <w:webHidden/>
              </w:rPr>
              <w:fldChar w:fldCharType="begin"/>
            </w:r>
            <w:r w:rsidR="00BA72BC">
              <w:rPr>
                <w:noProof/>
                <w:webHidden/>
              </w:rPr>
              <w:instrText xml:space="preserve"> PAGEREF _Toc77706051 \h </w:instrText>
            </w:r>
            <w:r w:rsidR="00BA72BC">
              <w:rPr>
                <w:noProof/>
                <w:webHidden/>
              </w:rPr>
            </w:r>
            <w:r w:rsidR="00BA72BC">
              <w:rPr>
                <w:noProof/>
                <w:webHidden/>
              </w:rPr>
              <w:fldChar w:fldCharType="separate"/>
            </w:r>
            <w:r w:rsidR="00BA72BC">
              <w:rPr>
                <w:noProof/>
                <w:webHidden/>
              </w:rPr>
              <w:t>9</w:t>
            </w:r>
            <w:r w:rsidR="00BA72BC">
              <w:rPr>
                <w:noProof/>
                <w:webHidden/>
              </w:rPr>
              <w:fldChar w:fldCharType="end"/>
            </w:r>
          </w:hyperlink>
        </w:p>
        <w:p w14:paraId="682771DA" w14:textId="77777777" w:rsidR="00776A6E" w:rsidRDefault="00C12EC4" w:rsidP="00BA72BC">
          <w:pPr>
            <w:jc w:val="both"/>
          </w:pPr>
          <w:r>
            <w:fldChar w:fldCharType="end"/>
          </w:r>
        </w:p>
      </w:sdtContent>
    </w:sdt>
    <w:p w14:paraId="4C479482" w14:textId="77777777" w:rsidR="00F666BF" w:rsidRDefault="009E2501">
      <w:pPr>
        <w:widowControl/>
        <w:autoSpaceDE/>
        <w:autoSpaceDN/>
        <w:spacing w:after="200" w:line="276" w:lineRule="auto"/>
        <w:rPr>
          <w:rFonts w:eastAsiaTheme="majorEastAsia" w:cstheme="majorBidi"/>
          <w:b/>
          <w:bCs/>
          <w:szCs w:val="28"/>
        </w:rPr>
      </w:pPr>
      <w:r>
        <w:br w:type="page"/>
      </w:r>
    </w:p>
    <w:p w14:paraId="711910AC" w14:textId="77777777" w:rsidR="001451B4" w:rsidRDefault="009E2501" w:rsidP="001451B4">
      <w:pPr>
        <w:pStyle w:val="Heading1"/>
        <w:jc w:val="both"/>
      </w:pPr>
      <w:bookmarkStart w:id="1" w:name="_Toc77706039"/>
      <w:r w:rsidRPr="00583E93">
        <w:lastRenderedPageBreak/>
        <w:t>Introduction</w:t>
      </w:r>
      <w:bookmarkEnd w:id="0"/>
      <w:bookmarkEnd w:id="1"/>
    </w:p>
    <w:p w14:paraId="69A18154" w14:textId="77777777" w:rsidR="001451B4" w:rsidRDefault="009E2501" w:rsidP="001451B4">
      <w:pPr>
        <w:jc w:val="both"/>
      </w:pPr>
      <w:r>
        <w:t xml:space="preserve">Community engagement is stress towards a powerful tool for bringing about key environmental or behavioral transformations. It shall lead to the growth in the community along with the health and sustainability of the members associated with it. It serves as the tactical procedure of collaboratively working with and through teams of people being accredited by similar conditions, or geographic proximity and special interest to resolve issues that influence their welfare. Usually, it tends to indulge partnerships with coalitions. It is used to support resources' mobilization also influential systems, changing relationships with partners and benefitting as catalysts for the transformation of policies, practices, and programs as well. </w:t>
      </w:r>
    </w:p>
    <w:p w14:paraId="73EB749D" w14:textId="77777777" w:rsidR="001451B4" w:rsidRPr="00583E93" w:rsidRDefault="009E2501" w:rsidP="006A586C">
      <w:pPr>
        <w:jc w:val="both"/>
      </w:pPr>
      <w:r>
        <w:t>The UK community foundations are strongly committed to the organization of various programs associated with community engagement</w:t>
      </w:r>
      <w:r w:rsidR="006A586C">
        <w:t xml:space="preserve"> (</w:t>
      </w:r>
      <w:proofErr w:type="spellStart"/>
      <w:r w:rsidR="006A586C">
        <w:rPr>
          <w:shd w:val="clear" w:color="auto" w:fill="FFFFFF"/>
        </w:rPr>
        <w:t>Ukcommunityfoundations</w:t>
      </w:r>
      <w:proofErr w:type="spellEnd"/>
      <w:r w:rsidR="006A586C">
        <w:rPr>
          <w:shd w:val="clear" w:color="auto" w:fill="FFFFFF"/>
        </w:rPr>
        <w:t xml:space="preserve"> 2021</w:t>
      </w:r>
      <w:r w:rsidR="006A586C">
        <w:t>)</w:t>
      </w:r>
      <w:r>
        <w:t>. One of the key programs of the company is the Nationwide Community Grants program. The respective program used to raise grants of over</w:t>
      </w:r>
      <w:r w:rsidR="006A586C">
        <w:t xml:space="preserve"> 50000 pounds around 11 regions in the UK on annual basis. UK Community Foundations, being a registered charity used to result in the mobilization of community foundations involved within favorable societal changes across the UK by the evolution of the community philanthropy. The community program arranged by UK Community Foundations is stressed on the prevention of people from becoming homeless thereby facilitating with necessary accommodation benefits to the people deprived of home privileges. The segment would highlight critical aspects associated with the community engagement program considering the respective program followed by a key discussion on best practices. The unit shall highlight community engaging principles also standards. Ultimately, the reported plan would outline the advantages of stakeholders' involvement within their relations with social media.    </w:t>
      </w:r>
      <w:r>
        <w:t xml:space="preserve"> </w:t>
      </w:r>
    </w:p>
    <w:p w14:paraId="2AE5A9F7" w14:textId="77777777" w:rsidR="00776A6E" w:rsidRDefault="009E2501">
      <w:pPr>
        <w:widowControl/>
        <w:autoSpaceDE/>
        <w:autoSpaceDN/>
        <w:spacing w:after="200" w:line="276" w:lineRule="auto"/>
        <w:rPr>
          <w:rFonts w:eastAsiaTheme="majorEastAsia" w:cstheme="majorBidi"/>
          <w:b/>
          <w:bCs/>
          <w:szCs w:val="28"/>
        </w:rPr>
      </w:pPr>
      <w:bookmarkStart w:id="2" w:name="_Toc77099927"/>
      <w:r>
        <w:br w:type="page"/>
      </w:r>
    </w:p>
    <w:p w14:paraId="47B6372E" w14:textId="77777777" w:rsidR="001451B4" w:rsidRPr="00583E93" w:rsidRDefault="009E2501" w:rsidP="001451B4">
      <w:pPr>
        <w:pStyle w:val="Heading1"/>
        <w:jc w:val="both"/>
      </w:pPr>
      <w:bookmarkStart w:id="3" w:name="_Toc77706040"/>
      <w:r w:rsidRPr="00583E93">
        <w:lastRenderedPageBreak/>
        <w:t>The Body</w:t>
      </w:r>
      <w:bookmarkEnd w:id="2"/>
      <w:bookmarkEnd w:id="3"/>
    </w:p>
    <w:p w14:paraId="346FC05F" w14:textId="77777777" w:rsidR="001451B4" w:rsidRDefault="009E2501" w:rsidP="001451B4">
      <w:pPr>
        <w:pStyle w:val="Heading2"/>
        <w:jc w:val="both"/>
      </w:pPr>
      <w:bookmarkStart w:id="4" w:name="_Toc77099928"/>
      <w:bookmarkStart w:id="5" w:name="_Toc77706041"/>
      <w:r w:rsidRPr="00583E93">
        <w:t>Description of the program</w:t>
      </w:r>
      <w:bookmarkEnd w:id="4"/>
      <w:bookmarkEnd w:id="5"/>
    </w:p>
    <w:p w14:paraId="3E33BC20" w14:textId="77777777" w:rsidR="00547E87" w:rsidRPr="00547E87" w:rsidRDefault="009E2501" w:rsidP="00F545B8">
      <w:pPr>
        <w:jc w:val="both"/>
      </w:pPr>
      <w:r>
        <w:t>U</w:t>
      </w:r>
      <w:r w:rsidR="00F545B8">
        <w:t>K Community Foundations have multiple shapes and sizes. Nonetheless, they commonly have a commitment or forming difference in people's lives in areas served. Nationwide tends to believe in ethical doings involving communities and their members at the core of its meaning as social development.  The program is stressed towards assisting people to home and encouraging people to thrive within the home atmosphere. Awards of Nationwide Community Grants program grants about £50000 annually in diversified regions. The Fund's ongoing projects are used to support local people also those stressing to enjoy the latest approaches. It indulges research of creative methods for challenging housing issues (</w:t>
      </w:r>
      <w:r w:rsidR="00F545B8">
        <w:rPr>
          <w:shd w:val="clear" w:color="auto" w:fill="FFFFFF"/>
        </w:rPr>
        <w:t>funds for NGOs 2021</w:t>
      </w:r>
      <w:r w:rsidR="00F545B8">
        <w:t xml:space="preserve">). Pilot approaches would support the organization in applying the latest arenas thematically and reaching underserved people. Moreover, ideas' </w:t>
      </w:r>
      <w:r w:rsidR="00C80BBA">
        <w:t>replication has</w:t>
      </w:r>
      <w:r w:rsidR="00F545B8">
        <w:t xml:space="preserve"> been observed to work elsewhere. However, fundamental priorities associated with the program</w:t>
      </w:r>
      <w:r w:rsidR="00C80BBA">
        <w:t xml:space="preserve"> are supporting people in housing needs originally and innovatively (</w:t>
      </w:r>
      <w:r w:rsidR="00C80BBA">
        <w:rPr>
          <w:shd w:val="clear" w:color="auto" w:fill="FFFFFF"/>
        </w:rPr>
        <w:t>funds for NGOs 2021</w:t>
      </w:r>
      <w:r w:rsidR="00C80BBA">
        <w:t>).</w:t>
      </w:r>
      <w:r w:rsidR="00F545B8">
        <w:t xml:space="preserve"> </w:t>
      </w:r>
      <w:r w:rsidR="00C80BBA">
        <w:t xml:space="preserve">This involves already both events placing local implications and those exploring key techniques for administering community housing necessities. </w:t>
      </w:r>
      <w:r w:rsidR="00F545B8">
        <w:t xml:space="preserve">    </w:t>
      </w:r>
    </w:p>
    <w:p w14:paraId="61C4F9A1" w14:textId="77777777" w:rsidR="001451B4" w:rsidRDefault="009E2501" w:rsidP="001451B4">
      <w:pPr>
        <w:pStyle w:val="Heading2"/>
        <w:jc w:val="both"/>
      </w:pPr>
      <w:bookmarkStart w:id="6" w:name="_Toc77099929"/>
      <w:bookmarkStart w:id="7" w:name="_Toc77706042"/>
      <w:r w:rsidRPr="00583E93">
        <w:t>Analysis of best practices, particularly on principles of community engagement</w:t>
      </w:r>
      <w:bookmarkEnd w:id="6"/>
      <w:bookmarkEnd w:id="7"/>
    </w:p>
    <w:p w14:paraId="5CA985CE" w14:textId="77777777" w:rsidR="00FC0A4A" w:rsidRDefault="009E2501" w:rsidP="00FC0A4A">
      <w:pPr>
        <w:jc w:val="both"/>
      </w:pPr>
      <w:r>
        <w:t>For the housing program, UK Community Foundations must comply with certain best practices to drive successful community engagement. The organization must communicate with its community associates regarding their prospective contributions to the community (</w:t>
      </w:r>
      <w:r>
        <w:rPr>
          <w:shd w:val="clear" w:color="auto" w:fill="FFFFFF"/>
        </w:rPr>
        <w:t>funds for NGOs 2021</w:t>
      </w:r>
      <w:r>
        <w:t>). The organization's communication could be undertaken directly and via email messages. The company should have an alliance with a group of valued community managers. The maintenance of a regular-based recruiting cycle helps community leaders in phasing out various life aspects. It is helpful for the company's community program to drive creative involvement. Moreover, UK Community Foundations used to establish influential engagement programs rather than developing the content calendar (</w:t>
      </w:r>
      <w:proofErr w:type="spellStart"/>
      <w:r>
        <w:rPr>
          <w:shd w:val="clear" w:color="auto" w:fill="FFFFFF"/>
        </w:rPr>
        <w:t>Ukcommunityfoundations</w:t>
      </w:r>
      <w:proofErr w:type="spellEnd"/>
      <w:r>
        <w:rPr>
          <w:shd w:val="clear" w:color="auto" w:fill="FFFFFF"/>
        </w:rPr>
        <w:t xml:space="preserve"> 2021</w:t>
      </w:r>
      <w:r>
        <w:t>). This would involve members with 3 groups through messages also the host of timely video official hours. Eventually, the registered charity should consider the value of its community to expertise and peer-to-peer links. Further, compliance with key community engaging principles is essential for the registered charity in deriving sustainable results (</w:t>
      </w:r>
      <w:r>
        <w:rPr>
          <w:shd w:val="clear" w:color="auto" w:fill="FFFFFF"/>
        </w:rPr>
        <w:t>funds for NGOs 2021</w:t>
      </w:r>
      <w:r>
        <w:t>). They are underlined below:</w:t>
      </w:r>
    </w:p>
    <w:p w14:paraId="6E7F1463" w14:textId="77777777" w:rsidR="00A64EAC" w:rsidRDefault="009E2501" w:rsidP="00FC0A4A">
      <w:pPr>
        <w:pStyle w:val="ListParagraph"/>
        <w:numPr>
          <w:ilvl w:val="0"/>
          <w:numId w:val="3"/>
        </w:numPr>
        <w:jc w:val="both"/>
      </w:pPr>
      <w:r>
        <w:t>Openness and learning</w:t>
      </w:r>
    </w:p>
    <w:p w14:paraId="1C3E1107" w14:textId="77777777" w:rsidR="00FC0A4A" w:rsidRDefault="009E2501" w:rsidP="00FC0A4A">
      <w:pPr>
        <w:pStyle w:val="ListParagraph"/>
        <w:numPr>
          <w:ilvl w:val="0"/>
          <w:numId w:val="3"/>
        </w:numPr>
        <w:jc w:val="both"/>
      </w:pPr>
      <w:r>
        <w:lastRenderedPageBreak/>
        <w:t>Action and Impact</w:t>
      </w:r>
    </w:p>
    <w:p w14:paraId="14200526" w14:textId="77777777" w:rsidR="00FC0A4A" w:rsidRDefault="009E2501" w:rsidP="00FC0A4A">
      <w:pPr>
        <w:pStyle w:val="ListParagraph"/>
        <w:numPr>
          <w:ilvl w:val="0"/>
          <w:numId w:val="3"/>
        </w:numPr>
        <w:jc w:val="both"/>
      </w:pPr>
      <w:r>
        <w:t>Transparency and Trust</w:t>
      </w:r>
    </w:p>
    <w:p w14:paraId="2B7240D9" w14:textId="77777777" w:rsidR="00086258" w:rsidRDefault="009E2501" w:rsidP="00086258">
      <w:pPr>
        <w:pStyle w:val="ListParagraph"/>
        <w:numPr>
          <w:ilvl w:val="0"/>
          <w:numId w:val="3"/>
        </w:numPr>
        <w:jc w:val="both"/>
      </w:pPr>
      <w:r>
        <w:t>Effective engagement with the participatory environment</w:t>
      </w:r>
      <w:r w:rsidR="00376574">
        <w:t xml:space="preserve"> (</w:t>
      </w:r>
      <w:r w:rsidR="00376574">
        <w:rPr>
          <w:shd w:val="clear" w:color="auto" w:fill="FFFFFF"/>
        </w:rPr>
        <w:t>Culhane et al. 2018</w:t>
      </w:r>
      <w:r w:rsidR="00376574">
        <w:t>)</w:t>
      </w:r>
    </w:p>
    <w:p w14:paraId="592E8798" w14:textId="77777777" w:rsidR="00086258" w:rsidRDefault="009E2501" w:rsidP="00086258">
      <w:pPr>
        <w:pStyle w:val="ListParagraph"/>
        <w:numPr>
          <w:ilvl w:val="0"/>
          <w:numId w:val="3"/>
        </w:numPr>
        <w:jc w:val="both"/>
      </w:pPr>
      <w:r>
        <w:t>Careful planning</w:t>
      </w:r>
    </w:p>
    <w:p w14:paraId="6914A5FD" w14:textId="77777777" w:rsidR="00086258" w:rsidRDefault="009E2501" w:rsidP="00086258">
      <w:pPr>
        <w:pStyle w:val="ListParagraph"/>
        <w:numPr>
          <w:ilvl w:val="0"/>
          <w:numId w:val="3"/>
        </w:numPr>
        <w:jc w:val="both"/>
      </w:pPr>
      <w:r>
        <w:t>Involvement with a shared goal</w:t>
      </w:r>
    </w:p>
    <w:p w14:paraId="5830B798" w14:textId="77777777" w:rsidR="00FC0A4A" w:rsidRPr="00A64EAC" w:rsidRDefault="009E2501" w:rsidP="00086258">
      <w:pPr>
        <w:pStyle w:val="ListParagraph"/>
        <w:numPr>
          <w:ilvl w:val="0"/>
          <w:numId w:val="3"/>
        </w:numPr>
        <w:jc w:val="both"/>
      </w:pPr>
      <w:r>
        <w:t xml:space="preserve">Demographic Diversity and inclusion  </w:t>
      </w:r>
    </w:p>
    <w:p w14:paraId="60003681" w14:textId="77777777" w:rsidR="001451B4" w:rsidRDefault="009E2501" w:rsidP="001451B4">
      <w:pPr>
        <w:pStyle w:val="Heading2"/>
        <w:jc w:val="both"/>
      </w:pPr>
      <w:bookmarkStart w:id="8" w:name="_Toc77099930"/>
      <w:bookmarkStart w:id="9" w:name="_Toc77706043"/>
      <w:r w:rsidRPr="00583E93">
        <w:t>Analysis of community engagement standards</w:t>
      </w:r>
      <w:bookmarkEnd w:id="8"/>
      <w:bookmarkEnd w:id="9"/>
    </w:p>
    <w:p w14:paraId="0337EF79" w14:textId="77777777" w:rsidR="00591B95" w:rsidRPr="00591B95" w:rsidRDefault="009E2501" w:rsidP="006A75B1">
      <w:pPr>
        <w:jc w:val="both"/>
      </w:pPr>
      <w:r>
        <w:t>Community engagement is critical to direct collaboration with the local populace in unanimous implementation, decision-making, and policy aspects. Stra</w:t>
      </w:r>
      <w:r w:rsidR="006A75B1">
        <w:t>te</w:t>
      </w:r>
      <w:r>
        <w:t xml:space="preserve">gically, considering the charity’s housing program, the community </w:t>
      </w:r>
      <w:r w:rsidR="006A75B1">
        <w:t>engagement</w:t>
      </w:r>
      <w:r>
        <w:t xml:space="preserve"> stays on the core of </w:t>
      </w:r>
      <w:r w:rsidR="006A75B1">
        <w:t>community systems development, communication for sustainability also accountability to impacted population (</w:t>
      </w:r>
      <w:r w:rsidR="006A75B1">
        <w:rPr>
          <w:shd w:val="clear" w:color="auto" w:fill="FFFFFF"/>
        </w:rPr>
        <w:t>funds for NGOs 2021</w:t>
      </w:r>
      <w:r w:rsidR="006A75B1">
        <w:t>). It stresses key global objects like AAP, socio-behavioral changes and regulations along with public sector structure (</w:t>
      </w:r>
      <w:r w:rsidR="00C825AB" w:rsidRPr="002744C4">
        <w:rPr>
          <w:shd w:val="clear" w:color="auto" w:fill="FFFFFF"/>
        </w:rPr>
        <w:t>McInroy</w:t>
      </w:r>
      <w:r w:rsidR="00C825AB">
        <w:rPr>
          <w:shd w:val="clear" w:color="auto" w:fill="FFFFFF"/>
        </w:rPr>
        <w:t xml:space="preserve"> et al. 2019</w:t>
      </w:r>
      <w:r w:rsidR="006A75B1">
        <w:t>). For the housing event as a community engagement program, the registered charity company used to regard the use of key quality policies like adaptability and localization, evolving on the local capacity, empowerment, collaboration, inclusion, and two-way communication (</w:t>
      </w:r>
      <w:proofErr w:type="spellStart"/>
      <w:r w:rsidR="006A75B1">
        <w:rPr>
          <w:shd w:val="clear" w:color="auto" w:fill="FFFFFF"/>
        </w:rPr>
        <w:t>Ukcommunityfoundations</w:t>
      </w:r>
      <w:proofErr w:type="spellEnd"/>
      <w:r w:rsidR="006A75B1">
        <w:rPr>
          <w:shd w:val="clear" w:color="auto" w:fill="FFFFFF"/>
        </w:rPr>
        <w:t xml:space="preserve"> 2021</w:t>
      </w:r>
      <w:r w:rsidR="006A75B1">
        <w:t>).</w:t>
      </w:r>
      <w:r w:rsidR="002A571A">
        <w:t xml:space="preserve"> Amidst the standards 2-way community is core priority </w:t>
      </w:r>
      <w:r w:rsidR="008F0DC5">
        <w:t xml:space="preserve">helpful for the company in educating of program's aims to the concerned stakeholders thereby avail responses within the discussion to ensure successful program understanding and community engagement results. </w:t>
      </w:r>
      <w:r w:rsidR="006A75B1">
        <w:t xml:space="preserve">         </w:t>
      </w:r>
      <w:r>
        <w:t xml:space="preserve">  </w:t>
      </w:r>
    </w:p>
    <w:p w14:paraId="13EAAB0F" w14:textId="77777777" w:rsidR="001451B4" w:rsidRDefault="009E2501" w:rsidP="001451B4">
      <w:pPr>
        <w:pStyle w:val="Heading2"/>
        <w:jc w:val="both"/>
      </w:pPr>
      <w:bookmarkStart w:id="10" w:name="_Toc77099931"/>
      <w:bookmarkStart w:id="11" w:name="_Toc77706044"/>
      <w:r w:rsidRPr="00583E93">
        <w:t>Benefits of stakeholders’ participation</w:t>
      </w:r>
      <w:bookmarkEnd w:id="10"/>
      <w:bookmarkEnd w:id="11"/>
    </w:p>
    <w:p w14:paraId="2CB11779" w14:textId="77777777" w:rsidR="00BE14FC" w:rsidRPr="00BE14FC" w:rsidRDefault="009E2501" w:rsidP="002744C4">
      <w:pPr>
        <w:jc w:val="both"/>
      </w:pPr>
      <w:r>
        <w:t>The organization endures numerous community stakeholders facilitating the housing funding program as the community engagement event (</w:t>
      </w:r>
      <w:r w:rsidRPr="00BE14FC">
        <w:rPr>
          <w:shd w:val="clear" w:color="auto" w:fill="FFFFFF"/>
        </w:rPr>
        <w:t>funds for NGOs 2021</w:t>
      </w:r>
      <w:r>
        <w:t xml:space="preserve">). Diverse community stakeholders indulge community groups, NGOs, environmental enterprises, development entities, and </w:t>
      </w:r>
      <w:r w:rsidR="00631CAB">
        <w:t>neighborhoods with citizen associations.</w:t>
      </w:r>
      <w:r w:rsidR="002D49C3">
        <w:t xml:space="preserve"> Using diversified community stakeholders, the organization might successfully move forward </w:t>
      </w:r>
      <w:r w:rsidR="00E92AB2">
        <w:t>with the program proceedings. The methodical framework for stakeholder involvement would reap numerous organizational benefits via the program. Community stakeholders' engagement contributes significantly to the business (</w:t>
      </w:r>
      <w:proofErr w:type="spellStart"/>
      <w:r w:rsidR="002744C4">
        <w:rPr>
          <w:shd w:val="clear" w:color="auto" w:fill="FFFFFF"/>
        </w:rPr>
        <w:t>Boadi</w:t>
      </w:r>
      <w:proofErr w:type="spellEnd"/>
      <w:r w:rsidR="002744C4">
        <w:rPr>
          <w:shd w:val="clear" w:color="auto" w:fill="FFFFFF"/>
        </w:rPr>
        <w:t xml:space="preserve"> et al. 2018</w:t>
      </w:r>
      <w:r w:rsidR="00E92AB2">
        <w:t xml:space="preserve">). Engagement poses advantages on community, results in the organizational growth in legitimacy, competitiveness, and decision-making via tapping in local understanding, developing recruitment, and cost control. The stakeholders become an essential element of the community </w:t>
      </w:r>
      <w:r w:rsidR="00E92AB2">
        <w:lastRenderedPageBreak/>
        <w:t>engagement event and facilities remain greatly documented as minimal projects costs, greater returns, community ownership, and better results (</w:t>
      </w:r>
      <w:proofErr w:type="spellStart"/>
      <w:r w:rsidR="00C825AB" w:rsidRPr="002744C4">
        <w:rPr>
          <w:shd w:val="clear" w:color="auto" w:fill="FFFFFF"/>
        </w:rPr>
        <w:t>Geekiyanage</w:t>
      </w:r>
      <w:proofErr w:type="spellEnd"/>
      <w:r w:rsidR="00C825AB">
        <w:rPr>
          <w:shd w:val="clear" w:color="auto" w:fill="FFFFFF"/>
        </w:rPr>
        <w:t xml:space="preserve"> et al. 2020</w:t>
      </w:r>
      <w:r w:rsidR="00E92AB2">
        <w:t xml:space="preserve">). It fosters market sustainability. Decision-makers to community engagement stress towards hearing feedback that may result in successful program results and wider stakeholder benefits.            </w:t>
      </w:r>
      <w:r w:rsidR="002D49C3">
        <w:t xml:space="preserve"> </w:t>
      </w:r>
      <w:r w:rsidR="00631CAB">
        <w:t xml:space="preserve"> </w:t>
      </w:r>
      <w:r>
        <w:t xml:space="preserve">  </w:t>
      </w:r>
    </w:p>
    <w:p w14:paraId="20DE5034" w14:textId="77777777" w:rsidR="001451B4" w:rsidRDefault="009E2501" w:rsidP="001451B4">
      <w:pPr>
        <w:pStyle w:val="Heading2"/>
        <w:jc w:val="both"/>
      </w:pPr>
      <w:bookmarkStart w:id="12" w:name="_Toc77099932"/>
      <w:bookmarkStart w:id="13" w:name="_Toc77706045"/>
      <w:r w:rsidRPr="00583E93">
        <w:t>Relationship of amidst stakeholders and social media platforms for community engagement</w:t>
      </w:r>
      <w:bookmarkEnd w:id="12"/>
      <w:bookmarkEnd w:id="13"/>
    </w:p>
    <w:p w14:paraId="0BB7AD2A" w14:textId="77777777" w:rsidR="00BC7BC0" w:rsidRPr="00BC7BC0" w:rsidRDefault="009E2501" w:rsidP="007E116F">
      <w:pPr>
        <w:jc w:val="both"/>
      </w:pPr>
      <w:r>
        <w:t>Stakeholders' connection with social media for community engagement stays remarkable. Social media has been the key approach to boost awareness for community engagement events. UK Community Foundations are facilitated by using social media platforms for leading housing programs and availing strategic responses (</w:t>
      </w:r>
      <w:r w:rsidRPr="007E116F">
        <w:rPr>
          <w:shd w:val="clear" w:color="auto" w:fill="FFFFFF"/>
        </w:rPr>
        <w:t>funds for NGOs 2021</w:t>
      </w:r>
      <w:r>
        <w:t>). Additionally, it is supportive to contribute to stakeholders' interests. Nonetheless, the first step for engaging stakeholders in maintaining a relevant presence on platforms of social media like Pinterest, Instagram, Facebook, and others utilized by the registered charity. The organization may form social media accounts to establish a program that satisfies stakeholders' needs (</w:t>
      </w:r>
      <w:r w:rsidR="00C825AB">
        <w:rPr>
          <w:shd w:val="clear" w:color="auto" w:fill="FFFFFF"/>
        </w:rPr>
        <w:t xml:space="preserve">Welch </w:t>
      </w:r>
      <w:r w:rsidR="00C825AB" w:rsidRPr="002744C4">
        <w:rPr>
          <w:shd w:val="clear" w:color="auto" w:fill="FFFFFF"/>
        </w:rPr>
        <w:t xml:space="preserve">and </w:t>
      </w:r>
      <w:proofErr w:type="spellStart"/>
      <w:r w:rsidR="00C825AB" w:rsidRPr="002744C4">
        <w:rPr>
          <w:shd w:val="clear" w:color="auto" w:fill="FFFFFF"/>
        </w:rPr>
        <w:t>Plaxton</w:t>
      </w:r>
      <w:proofErr w:type="spellEnd"/>
      <w:r w:rsidR="00C825AB" w:rsidRPr="002744C4">
        <w:rPr>
          <w:shd w:val="clear" w:color="auto" w:fill="FFFFFF"/>
        </w:rPr>
        <w:t>-Moore</w:t>
      </w:r>
      <w:r w:rsidR="00C825AB">
        <w:rPr>
          <w:shd w:val="clear" w:color="auto" w:fill="FFFFFF"/>
        </w:rPr>
        <w:t xml:space="preserve"> 2017</w:t>
      </w:r>
      <w:r>
        <w:t>). Considering the use of social media to boost the housing program by the company, the users would be core corporate stakeholders. Therefore, to get value from social media, the company requires supporting more stakeholders towards active involvement in their program platform (</w:t>
      </w:r>
      <w:proofErr w:type="spellStart"/>
      <w:r w:rsidRPr="007E116F">
        <w:rPr>
          <w:shd w:val="clear" w:color="auto" w:fill="FFFFFF"/>
        </w:rPr>
        <w:t>Ukcommunityfoundations</w:t>
      </w:r>
      <w:proofErr w:type="spellEnd"/>
      <w:r w:rsidRPr="007E116F">
        <w:rPr>
          <w:shd w:val="clear" w:color="auto" w:fill="FFFFFF"/>
        </w:rPr>
        <w:t xml:space="preserve"> 2021</w:t>
      </w:r>
      <w:r>
        <w:t xml:space="preserve">).        </w:t>
      </w:r>
    </w:p>
    <w:p w14:paraId="207AE8AB" w14:textId="77777777" w:rsidR="001451B4" w:rsidRDefault="009E2501" w:rsidP="001451B4">
      <w:pPr>
        <w:pStyle w:val="Heading2"/>
        <w:jc w:val="both"/>
      </w:pPr>
      <w:bookmarkStart w:id="14" w:name="_Toc77099933"/>
      <w:bookmarkStart w:id="15" w:name="_Toc77706046"/>
      <w:r w:rsidRPr="00583E93">
        <w:t>Use of social media platforms as outreach for supporting the program</w:t>
      </w:r>
      <w:bookmarkEnd w:id="14"/>
      <w:bookmarkEnd w:id="15"/>
    </w:p>
    <w:p w14:paraId="263CBBBE" w14:textId="77777777" w:rsidR="008F0DC5" w:rsidRPr="008F0DC5" w:rsidRDefault="009E2501" w:rsidP="00AB699A">
      <w:pPr>
        <w:jc w:val="both"/>
      </w:pPr>
      <w:r>
        <w:t>The company could use social media platforms to support the housing program diversely.</w:t>
      </w:r>
      <w:r w:rsidR="00672468">
        <w:t xml:space="preserve"> The use of attractive and relatable images could help the company in developing a critical understanding of the program among stakeholders. The alternatives are infinite and support the community in effective post engagement (</w:t>
      </w:r>
      <w:proofErr w:type="spellStart"/>
      <w:r w:rsidR="00672468" w:rsidRPr="00672468">
        <w:rPr>
          <w:shd w:val="clear" w:color="auto" w:fill="FFFFFF"/>
        </w:rPr>
        <w:t>Ukcommunityfoundations</w:t>
      </w:r>
      <w:proofErr w:type="spellEnd"/>
      <w:r w:rsidR="00672468" w:rsidRPr="00672468">
        <w:rPr>
          <w:shd w:val="clear" w:color="auto" w:fill="FFFFFF"/>
        </w:rPr>
        <w:t xml:space="preserve"> 2021</w:t>
      </w:r>
      <w:r w:rsidR="00672468">
        <w:t>). The organization can share other programs' success stories with community members through social media. The use of inspirational quotes could help UK Community Foundations in brand experience humanization and developing audiences' satisfaction. Social media contests stay a tactical approach in promoting community engagement with the relevance of prizes to corporate audiences. Eventually, asking for help from audiences through feedback populating is useful to develop a sense of relatedness amongst audiences (</w:t>
      </w:r>
      <w:proofErr w:type="spellStart"/>
      <w:r w:rsidR="002744C4">
        <w:rPr>
          <w:shd w:val="clear" w:color="auto" w:fill="FFFFFF"/>
        </w:rPr>
        <w:t>Dessart</w:t>
      </w:r>
      <w:proofErr w:type="spellEnd"/>
      <w:r w:rsidR="002744C4">
        <w:rPr>
          <w:shd w:val="clear" w:color="auto" w:fill="FFFFFF"/>
        </w:rPr>
        <w:t xml:space="preserve"> 2017</w:t>
      </w:r>
      <w:r w:rsidR="00672468">
        <w:t xml:space="preserve">). Social media use links the community with ample </w:t>
      </w:r>
      <w:r w:rsidR="00AB699A">
        <w:t>information</w:t>
      </w:r>
      <w:r w:rsidR="00672468">
        <w:t xml:space="preserve"> for use to report messaging and obtain ideas in community </w:t>
      </w:r>
      <w:r w:rsidR="00AB699A">
        <w:t>members’</w:t>
      </w:r>
      <w:r w:rsidR="00672468">
        <w:t xml:space="preserve"> </w:t>
      </w:r>
      <w:r w:rsidR="00AB699A">
        <w:t>requirements (</w:t>
      </w:r>
      <w:r w:rsidR="00C825AB" w:rsidRPr="002744C4">
        <w:rPr>
          <w:shd w:val="clear" w:color="auto" w:fill="FFFFFF"/>
        </w:rPr>
        <w:t>Mosconi</w:t>
      </w:r>
      <w:r w:rsidR="00C825AB">
        <w:rPr>
          <w:shd w:val="clear" w:color="auto" w:fill="FFFFFF"/>
        </w:rPr>
        <w:t xml:space="preserve"> et al. 2017</w:t>
      </w:r>
      <w:r w:rsidR="00AB699A">
        <w:t xml:space="preserve">). The organization addressing community through influential engagement events may learn of </w:t>
      </w:r>
      <w:r w:rsidR="00AB699A">
        <w:lastRenderedPageBreak/>
        <w:t>audiences, assess their reach via analytics, and stress-specific posts to targeted community neighborhoods (</w:t>
      </w:r>
      <w:r w:rsidR="00AB699A" w:rsidRPr="00AB699A">
        <w:rPr>
          <w:shd w:val="clear" w:color="auto" w:fill="FFFFFF"/>
        </w:rPr>
        <w:t>funds for NGOs 2021</w:t>
      </w:r>
      <w:r w:rsidR="00AB699A">
        <w:t xml:space="preserve">).  </w:t>
      </w:r>
      <w:r w:rsidR="00672468">
        <w:t xml:space="preserve">        </w:t>
      </w:r>
      <w:r>
        <w:t xml:space="preserve"> </w:t>
      </w:r>
    </w:p>
    <w:p w14:paraId="02FB36C7" w14:textId="77777777" w:rsidR="001451B4" w:rsidRDefault="009E2501" w:rsidP="001451B4">
      <w:pPr>
        <w:pStyle w:val="Heading2"/>
        <w:jc w:val="both"/>
      </w:pPr>
      <w:bookmarkStart w:id="16" w:name="_Toc77099934"/>
      <w:bookmarkStart w:id="17" w:name="_Toc77706047"/>
      <w:r w:rsidRPr="00583E93">
        <w:t>Relevant avenues for promoting community participation and collaboration</w:t>
      </w:r>
      <w:bookmarkEnd w:id="16"/>
      <w:bookmarkEnd w:id="17"/>
    </w:p>
    <w:p w14:paraId="7A712018" w14:textId="77777777" w:rsidR="00ED7E6A" w:rsidRPr="00ED7E6A" w:rsidRDefault="009E2501" w:rsidP="00C81E7D">
      <w:pPr>
        <w:jc w:val="both"/>
      </w:pPr>
      <w:r>
        <w:t>Community collaboration and participation help the company to reach a goal, achievement of which was impossible. The registered charity needs to practice relevant avenues to drive successful community engagement such as Trust, time, and turf (</w:t>
      </w:r>
      <w:proofErr w:type="spellStart"/>
      <w:r w:rsidRPr="00ED7E6A">
        <w:rPr>
          <w:shd w:val="clear" w:color="auto" w:fill="FFFFFF"/>
        </w:rPr>
        <w:t>Ukcommunityfoundations</w:t>
      </w:r>
      <w:proofErr w:type="spellEnd"/>
      <w:r w:rsidRPr="00ED7E6A">
        <w:rPr>
          <w:shd w:val="clear" w:color="auto" w:fill="FFFFFF"/>
        </w:rPr>
        <w:t xml:space="preserve"> 2021</w:t>
      </w:r>
      <w:r>
        <w:t xml:space="preserve">). Effective </w:t>
      </w:r>
      <w:r w:rsidR="00C81E7D">
        <w:t>goal clarification is essential for the organization</w:t>
      </w:r>
      <w:r w:rsidR="00C81E7D" w:rsidRPr="00C81E7D">
        <w:t xml:space="preserve"> </w:t>
      </w:r>
      <w:r w:rsidR="00C81E7D">
        <w:t>in proceeding effectively with community engagement. By establishing a common framework, the organization could derive successful program results (</w:t>
      </w:r>
      <w:r w:rsidR="00C825AB" w:rsidRPr="002744C4">
        <w:rPr>
          <w:shd w:val="clear" w:color="auto" w:fill="FFFFFF"/>
        </w:rPr>
        <w:t>Goodman</w:t>
      </w:r>
      <w:r w:rsidR="00C825AB">
        <w:rPr>
          <w:shd w:val="clear" w:color="auto" w:fill="FFFFFF"/>
        </w:rPr>
        <w:t xml:space="preserve"> et al. 2017</w:t>
      </w:r>
      <w:r w:rsidR="00C81E7D">
        <w:t xml:space="preserve">). Moreover, some other avenues would indulge determination of obligations towards managing community engagement program effectively, compliance of clear conversation path, use of open and structural processes as decision-making, conflict management, and others. Additionally, support to democratic leadership is profitable in reflecting, acknowledging, and celebrating achievement to the program.   </w:t>
      </w:r>
      <w:r>
        <w:t xml:space="preserve"> </w:t>
      </w:r>
    </w:p>
    <w:p w14:paraId="60E93493" w14:textId="77777777" w:rsidR="001451B4" w:rsidRDefault="009E2501" w:rsidP="001451B4">
      <w:pPr>
        <w:pStyle w:val="Heading2"/>
        <w:jc w:val="both"/>
      </w:pPr>
      <w:bookmarkStart w:id="18" w:name="_Toc77099935"/>
      <w:bookmarkStart w:id="19" w:name="_Toc77706048"/>
      <w:r w:rsidRPr="00583E93">
        <w:t>Methods to establish inclusion multi-culturalism and socio-cultural integration</w:t>
      </w:r>
      <w:bookmarkEnd w:id="18"/>
      <w:bookmarkEnd w:id="19"/>
    </w:p>
    <w:p w14:paraId="6D92E5E8" w14:textId="77777777" w:rsidR="00C752BC" w:rsidRPr="00C752BC" w:rsidRDefault="009E2501" w:rsidP="001556C0">
      <w:pPr>
        <w:jc w:val="both"/>
      </w:pPr>
      <w:r>
        <w:t>Claimed, invited, and closed spaces are key me</w:t>
      </w:r>
      <w:r w:rsidR="001556C0">
        <w:t>t</w:t>
      </w:r>
      <w:r>
        <w:t xml:space="preserve">hods to be used by the organization for </w:t>
      </w:r>
      <w:r w:rsidR="001556C0">
        <w:t>building societal</w:t>
      </w:r>
      <w:r>
        <w:t xml:space="preserve"> integration, multi</w:t>
      </w:r>
      <w:r w:rsidR="001556C0">
        <w:t>culturalism, and inclusion. Further, the use of Power Cube is supportive of the company to comprehend the potential marginalization of communities by globalized forces concerning the situation</w:t>
      </w:r>
      <w:r w:rsidR="00C81E7D">
        <w:t xml:space="preserve"> (</w:t>
      </w:r>
      <w:r w:rsidR="00C825AB">
        <w:rPr>
          <w:shd w:val="clear" w:color="auto" w:fill="FFFFFF"/>
        </w:rPr>
        <w:t>Trott et al. 2020</w:t>
      </w:r>
      <w:r w:rsidR="00C81E7D">
        <w:t>)</w:t>
      </w:r>
      <w:r w:rsidR="001556C0">
        <w:t>. Power Cube stresses the relevance of interpreting the relationship of power levels along with engagement areas. Invites spaces, commonly are subjected to external challenges to raise legitimacy by examining stakeholders for policies' endorsement</w:t>
      </w:r>
      <w:r w:rsidR="00376574">
        <w:t xml:space="preserve"> (</w:t>
      </w:r>
      <w:r w:rsidR="00376574" w:rsidRPr="002744C4">
        <w:rPr>
          <w:shd w:val="clear" w:color="auto" w:fill="FFFFFF"/>
        </w:rPr>
        <w:t>Joosten</w:t>
      </w:r>
      <w:r w:rsidR="00376574">
        <w:rPr>
          <w:shd w:val="clear" w:color="auto" w:fill="FFFFFF"/>
        </w:rPr>
        <w:t xml:space="preserve"> et al. 2018</w:t>
      </w:r>
      <w:r w:rsidR="00376574">
        <w:t>)</w:t>
      </w:r>
      <w:r w:rsidR="001556C0">
        <w:t xml:space="preserve">. Contrarily, people have formed claimed spaces for themselves, which used to provide a relatively less effective chance to form solidarity with control and boost their agendas.      </w:t>
      </w:r>
      <w:r>
        <w:t xml:space="preserve">  </w:t>
      </w:r>
    </w:p>
    <w:p w14:paraId="378AF4CF" w14:textId="77777777" w:rsidR="001451B4" w:rsidRDefault="009E2501" w:rsidP="001451B4">
      <w:pPr>
        <w:pStyle w:val="Heading2"/>
        <w:jc w:val="both"/>
      </w:pPr>
      <w:bookmarkStart w:id="20" w:name="_Toc77099936"/>
      <w:bookmarkStart w:id="21" w:name="_Toc77706049"/>
      <w:r w:rsidRPr="00583E93">
        <w:t>Why community engagement practitioner educates community members on external and internal factors influencing community development</w:t>
      </w:r>
      <w:bookmarkEnd w:id="20"/>
      <w:bookmarkEnd w:id="21"/>
    </w:p>
    <w:p w14:paraId="68DE8908" w14:textId="77777777" w:rsidR="00C752BC" w:rsidRPr="00C752BC" w:rsidRDefault="009E2501" w:rsidP="00C752BC">
      <w:pPr>
        <w:jc w:val="both"/>
      </w:pPr>
      <w:r>
        <w:t>The respective practitioner plays a fundamental role in familiarizing community members tactically of wider aspects affecting community progress. It supports establishing critical links amidst personal experience and political structures. Further, such training and education assist in the analysis of the situation thereby leading to micro-level impacts and macro-level decision-making (</w:t>
      </w:r>
      <w:proofErr w:type="spellStart"/>
      <w:r w:rsidR="00C825AB">
        <w:rPr>
          <w:shd w:val="clear" w:color="auto" w:fill="FFFFFF"/>
        </w:rPr>
        <w:t>McMeeking</w:t>
      </w:r>
      <w:proofErr w:type="spellEnd"/>
      <w:r w:rsidR="00C825AB" w:rsidRPr="002744C4">
        <w:rPr>
          <w:shd w:val="clear" w:color="auto" w:fill="FFFFFF"/>
        </w:rPr>
        <w:t xml:space="preserve"> and Weinberg</w:t>
      </w:r>
      <w:r w:rsidR="00C825AB">
        <w:rPr>
          <w:shd w:val="clear" w:color="auto" w:fill="FFFFFF"/>
        </w:rPr>
        <w:t xml:space="preserve"> 2020</w:t>
      </w:r>
      <w:r>
        <w:t xml:space="preserve">). It contributes to the development of potential for personal agency in power constraints. Education linked to community engagement is used to </w:t>
      </w:r>
      <w:r>
        <w:lastRenderedPageBreak/>
        <w:t xml:space="preserve">benefit the practitioner in promotion of sustainable and strong connections in communities, redefinition of societal issues with local people as well as designing a curriculum from the experience of arguments. </w:t>
      </w:r>
    </w:p>
    <w:p w14:paraId="3C3BDDF6" w14:textId="77777777" w:rsidR="00F666BF" w:rsidRDefault="009E2501">
      <w:pPr>
        <w:widowControl/>
        <w:autoSpaceDE/>
        <w:autoSpaceDN/>
        <w:spacing w:after="200" w:line="276" w:lineRule="auto"/>
        <w:rPr>
          <w:rFonts w:eastAsiaTheme="majorEastAsia" w:cstheme="majorBidi"/>
          <w:b/>
          <w:bCs/>
          <w:szCs w:val="28"/>
        </w:rPr>
      </w:pPr>
      <w:bookmarkStart w:id="22" w:name="_Toc77099937"/>
      <w:r>
        <w:br w:type="page"/>
      </w:r>
    </w:p>
    <w:p w14:paraId="5FBEE8FA" w14:textId="77777777" w:rsidR="00882354" w:rsidRDefault="009E2501" w:rsidP="001451B4">
      <w:pPr>
        <w:pStyle w:val="Heading1"/>
        <w:jc w:val="both"/>
      </w:pPr>
      <w:bookmarkStart w:id="23" w:name="_Toc77706050"/>
      <w:r w:rsidRPr="00583E93">
        <w:lastRenderedPageBreak/>
        <w:t>Conclusion</w:t>
      </w:r>
      <w:bookmarkEnd w:id="22"/>
      <w:bookmarkEnd w:id="23"/>
    </w:p>
    <w:p w14:paraId="39FCAB04" w14:textId="1E0BFF56" w:rsidR="003A63C9" w:rsidRDefault="009E2501" w:rsidP="00CA259A">
      <w:pPr>
        <w:jc w:val="both"/>
      </w:pPr>
      <w:r>
        <w:t xml:space="preserve">In confirmation of the </w:t>
      </w:r>
      <w:r w:rsidR="008E697C">
        <w:t>discussion</w:t>
      </w:r>
      <w:r>
        <w:t xml:space="preserve">, it could be deduced that the housing program engaged with addressing the social issue of homelessness for </w:t>
      </w:r>
      <w:r w:rsidR="00CA259A">
        <w:t>unprivileged</w:t>
      </w:r>
      <w:r>
        <w:t xml:space="preserve"> UK people is facilitated by the adherence to numerous </w:t>
      </w:r>
      <w:r w:rsidR="00CA259A">
        <w:t xml:space="preserve">principles along with best practices of effective community engagement. The key stakeholder committed within the following event of community </w:t>
      </w:r>
      <w:r w:rsidR="008E697C">
        <w:t>engagements</w:t>
      </w:r>
      <w:r w:rsidR="00CA259A">
        <w:t xml:space="preserve"> such as the investors, governments and many more are greatly contributed in terms of image and financial returns by the program results and facilitate the organization in the accomplishment of strategic targets related to the program. Nonetheless, the key stakeholders are effectively interlinked to the social platforms for community engagement. Moreover, numerous avenues have played a fundamental role in the establishment and development of community collaboration resulting in the effective promotion of social integration as well as multi-</w:t>
      </w:r>
      <w:r w:rsidR="00CA259A" w:rsidRPr="00CA259A">
        <w:t xml:space="preserve"> </w:t>
      </w:r>
      <w:r w:rsidR="00CA259A" w:rsidRPr="00583E93">
        <w:t>culturalism</w:t>
      </w:r>
      <w:r w:rsidR="00CA259A">
        <w:t>.</w:t>
      </w:r>
    </w:p>
    <w:p w14:paraId="2D399D62" w14:textId="7DADD93F" w:rsidR="00776A6E" w:rsidRDefault="009E2501" w:rsidP="00241F4C">
      <w:pPr>
        <w:jc w:val="both"/>
      </w:pPr>
      <w:r>
        <w:t xml:space="preserve">In deliberation of the strategic usage of </w:t>
      </w:r>
      <w:r w:rsidR="00241F4C">
        <w:t>diverse</w:t>
      </w:r>
      <w:r>
        <w:t xml:space="preserve"> social media platforms, it has been concluded that some product </w:t>
      </w:r>
      <w:r w:rsidR="00241F4C">
        <w:t>recommendations</w:t>
      </w:r>
      <w:r>
        <w:t xml:space="preserve"> for </w:t>
      </w:r>
      <w:r w:rsidR="00241F4C">
        <w:t>progressing</w:t>
      </w:r>
      <w:r>
        <w:t xml:space="preserve"> community engagement on social media are </w:t>
      </w:r>
      <w:r w:rsidR="00241F4C">
        <w:t xml:space="preserve">likely </w:t>
      </w:r>
      <w:r>
        <w:t>to help the enterprise in</w:t>
      </w:r>
      <w:r w:rsidR="00241F4C">
        <w:t xml:space="preserve"> </w:t>
      </w:r>
      <w:r>
        <w:t xml:space="preserve">gaining </w:t>
      </w:r>
      <w:r w:rsidR="00241F4C">
        <w:t>numerous</w:t>
      </w:r>
      <w:r>
        <w:t xml:space="preserve"> impressive program outputs. The company in the program course, may go further and stress towards pictorial representation for reciting any personal narrative. It might be related to how someone used a commodity</w:t>
      </w:r>
      <w:r w:rsidR="00241F4C">
        <w:t>, reaction to the product, or timeline of the event</w:t>
      </w:r>
      <w:r>
        <w:t xml:space="preserve"> </w:t>
      </w:r>
      <w:r w:rsidR="00241F4C">
        <w:t xml:space="preserve">with any commodity or service. Moreover, key alternatives remain </w:t>
      </w:r>
      <w:r w:rsidR="008E697C">
        <w:t>infinite,</w:t>
      </w:r>
      <w:r w:rsidR="00241F4C">
        <w:t xml:space="preserve"> and the more innovative image of the program would be, the more community would involve within the post. The company might also support its community members sustainably for utilization of the like as well as share options to account for any query posted. Moreover, for the event, the organization must enable its customers for leaving diverse success stories or reviews from the experience with the service. It is also suggested to the organization in representing every aspect of the business. Additionally, the organization could also focus upon the use of increasingly innovative tactics for community engagement such as emphasizing community moderation, boosting a sense of approachability, segmenting the base of users, and offering a platform to community members to articulate them openly. Observation of faces behind could help the UK Community Foundations in forming a personal linkage with its audiences thereby effectively and efficiently humanize the business through the program.</w:t>
      </w:r>
    </w:p>
    <w:p w14:paraId="165785C8" w14:textId="77777777" w:rsidR="00776A6E" w:rsidRDefault="009E2501">
      <w:pPr>
        <w:widowControl/>
        <w:autoSpaceDE/>
        <w:autoSpaceDN/>
        <w:spacing w:after="200" w:line="276" w:lineRule="auto"/>
      </w:pPr>
      <w:r>
        <w:br w:type="page"/>
      </w:r>
    </w:p>
    <w:p w14:paraId="36B40094" w14:textId="77777777" w:rsidR="00704649" w:rsidRPr="006663A2" w:rsidRDefault="009E2501" w:rsidP="00704649">
      <w:pPr>
        <w:pStyle w:val="Heading1"/>
        <w:jc w:val="both"/>
      </w:pPr>
      <w:bookmarkStart w:id="24" w:name="_Toc77706051"/>
      <w:r>
        <w:lastRenderedPageBreak/>
        <w:t>References</w:t>
      </w:r>
      <w:bookmarkEnd w:id="24"/>
    </w:p>
    <w:p w14:paraId="32870D13" w14:textId="77777777" w:rsidR="00704649" w:rsidRPr="002744C4" w:rsidRDefault="00704649" w:rsidP="00C825AB">
      <w:pPr>
        <w:jc w:val="both"/>
        <w:rPr>
          <w:shd w:val="clear" w:color="auto" w:fill="FFFFFF"/>
        </w:rPr>
      </w:pPr>
      <w:proofErr w:type="spellStart"/>
      <w:r>
        <w:rPr>
          <w:shd w:val="clear" w:color="auto" w:fill="FFFFFF"/>
        </w:rPr>
        <w:t>Boadi</w:t>
      </w:r>
      <w:proofErr w:type="spellEnd"/>
      <w:r>
        <w:rPr>
          <w:shd w:val="clear" w:color="auto" w:fill="FFFFFF"/>
        </w:rPr>
        <w:t xml:space="preserve">, E.A., He, Z., Darko, D.F. and </w:t>
      </w:r>
      <w:proofErr w:type="spellStart"/>
      <w:r>
        <w:rPr>
          <w:shd w:val="clear" w:color="auto" w:fill="FFFFFF"/>
        </w:rPr>
        <w:t>Abrokwah</w:t>
      </w:r>
      <w:proofErr w:type="spellEnd"/>
      <w:r>
        <w:rPr>
          <w:shd w:val="clear" w:color="auto" w:fill="FFFFFF"/>
        </w:rPr>
        <w:t>, E., 2018. Unlocking from community stakeholders, corporate social responsibility (CSR) projects for effective company–community relationship. </w:t>
      </w:r>
      <w:r>
        <w:rPr>
          <w:i/>
          <w:iCs/>
          <w:shd w:val="clear" w:color="auto" w:fill="FFFFFF"/>
        </w:rPr>
        <w:t>Labor History</w:t>
      </w:r>
      <w:r>
        <w:rPr>
          <w:shd w:val="clear" w:color="auto" w:fill="FFFFFF"/>
        </w:rPr>
        <w:t>, </w:t>
      </w:r>
      <w:r>
        <w:rPr>
          <w:i/>
          <w:iCs/>
          <w:shd w:val="clear" w:color="auto" w:fill="FFFFFF"/>
        </w:rPr>
        <w:t>59</w:t>
      </w:r>
      <w:r>
        <w:rPr>
          <w:shd w:val="clear" w:color="auto" w:fill="FFFFFF"/>
        </w:rPr>
        <w:t>(6), pp.746-762.</w:t>
      </w:r>
    </w:p>
    <w:p w14:paraId="020D6D8B" w14:textId="77777777" w:rsidR="00704649" w:rsidRDefault="00704649" w:rsidP="00C825AB">
      <w:pPr>
        <w:jc w:val="both"/>
        <w:rPr>
          <w:shd w:val="clear" w:color="auto" w:fill="FFFFFF"/>
        </w:rPr>
      </w:pPr>
      <w:r>
        <w:rPr>
          <w:shd w:val="clear" w:color="auto" w:fill="FFFFFF"/>
        </w:rPr>
        <w:t xml:space="preserve">Culhane, J., </w:t>
      </w:r>
      <w:proofErr w:type="spellStart"/>
      <w:r>
        <w:rPr>
          <w:shd w:val="clear" w:color="auto" w:fill="FFFFFF"/>
        </w:rPr>
        <w:t>Niewolny</w:t>
      </w:r>
      <w:proofErr w:type="spellEnd"/>
      <w:r>
        <w:rPr>
          <w:shd w:val="clear" w:color="auto" w:fill="FFFFFF"/>
        </w:rPr>
        <w:t xml:space="preserve">, K., Clark, S. and </w:t>
      </w:r>
      <w:proofErr w:type="spellStart"/>
      <w:r>
        <w:rPr>
          <w:shd w:val="clear" w:color="auto" w:fill="FFFFFF"/>
        </w:rPr>
        <w:t>Misyak</w:t>
      </w:r>
      <w:proofErr w:type="spellEnd"/>
      <w:r>
        <w:rPr>
          <w:shd w:val="clear" w:color="auto" w:fill="FFFFFF"/>
        </w:rPr>
        <w:t>, S., 2018. Exploring the Intersections of Interdisciplinary Teaching, Experiential Learning, and Community Engagement: A Case Study of Service Learning in Practice. </w:t>
      </w:r>
      <w:r>
        <w:rPr>
          <w:i/>
          <w:iCs/>
          <w:shd w:val="clear" w:color="auto" w:fill="FFFFFF"/>
        </w:rPr>
        <w:t>International Journal of Teaching and Learning in Higher Education</w:t>
      </w:r>
      <w:r>
        <w:rPr>
          <w:shd w:val="clear" w:color="auto" w:fill="FFFFFF"/>
        </w:rPr>
        <w:t>, </w:t>
      </w:r>
      <w:r>
        <w:rPr>
          <w:i/>
          <w:iCs/>
          <w:shd w:val="clear" w:color="auto" w:fill="FFFFFF"/>
        </w:rPr>
        <w:t>30</w:t>
      </w:r>
      <w:r>
        <w:rPr>
          <w:shd w:val="clear" w:color="auto" w:fill="FFFFFF"/>
        </w:rPr>
        <w:t>(3), pp.412-422.</w:t>
      </w:r>
    </w:p>
    <w:p w14:paraId="58302697" w14:textId="77777777" w:rsidR="00704649" w:rsidRDefault="00704649" w:rsidP="00C825AB">
      <w:pPr>
        <w:jc w:val="both"/>
        <w:rPr>
          <w:shd w:val="clear" w:color="auto" w:fill="FFFFFF"/>
        </w:rPr>
      </w:pPr>
      <w:proofErr w:type="spellStart"/>
      <w:r>
        <w:rPr>
          <w:shd w:val="clear" w:color="auto" w:fill="FFFFFF"/>
        </w:rPr>
        <w:t>Dessart</w:t>
      </w:r>
      <w:proofErr w:type="spellEnd"/>
      <w:r>
        <w:rPr>
          <w:shd w:val="clear" w:color="auto" w:fill="FFFFFF"/>
        </w:rPr>
        <w:t>, L., 2017. Social media engagement: a model of antecedents and relational outcomes. </w:t>
      </w:r>
      <w:r>
        <w:rPr>
          <w:i/>
          <w:iCs/>
          <w:shd w:val="clear" w:color="auto" w:fill="FFFFFF"/>
        </w:rPr>
        <w:t>Journal of Marketing Management</w:t>
      </w:r>
      <w:r>
        <w:rPr>
          <w:shd w:val="clear" w:color="auto" w:fill="FFFFFF"/>
        </w:rPr>
        <w:t>, </w:t>
      </w:r>
      <w:r>
        <w:rPr>
          <w:i/>
          <w:iCs/>
          <w:shd w:val="clear" w:color="auto" w:fill="FFFFFF"/>
        </w:rPr>
        <w:t>33</w:t>
      </w:r>
      <w:r>
        <w:rPr>
          <w:shd w:val="clear" w:color="auto" w:fill="FFFFFF"/>
        </w:rPr>
        <w:t>(5-6), pp.375-399.</w:t>
      </w:r>
    </w:p>
    <w:p w14:paraId="4A45586E" w14:textId="77777777" w:rsidR="00704649" w:rsidRDefault="00704649" w:rsidP="006663A2">
      <w:pPr>
        <w:jc w:val="both"/>
        <w:rPr>
          <w:shd w:val="clear" w:color="auto" w:fill="FFFFFF"/>
        </w:rPr>
      </w:pPr>
      <w:proofErr w:type="spellStart"/>
      <w:r>
        <w:rPr>
          <w:shd w:val="clear" w:color="auto" w:fill="FFFFFF"/>
        </w:rPr>
        <w:t>fundsforNGOs</w:t>
      </w:r>
      <w:proofErr w:type="spellEnd"/>
      <w:r>
        <w:rPr>
          <w:shd w:val="clear" w:color="auto" w:fill="FFFFFF"/>
        </w:rPr>
        <w:t>, 2021, </w:t>
      </w:r>
      <w:r>
        <w:rPr>
          <w:i/>
          <w:iCs/>
          <w:shd w:val="clear" w:color="auto" w:fill="FFFFFF"/>
        </w:rPr>
        <w:t xml:space="preserve">UK Community Foundation launches Nationwide Community Grants </w:t>
      </w:r>
      <w:proofErr w:type="spellStart"/>
      <w:r>
        <w:rPr>
          <w:i/>
          <w:iCs/>
          <w:shd w:val="clear" w:color="auto" w:fill="FFFFFF"/>
        </w:rPr>
        <w:t>Programme</w:t>
      </w:r>
      <w:proofErr w:type="spellEnd"/>
      <w:r>
        <w:rPr>
          <w:i/>
          <w:iCs/>
          <w:shd w:val="clear" w:color="auto" w:fill="FFFFFF"/>
        </w:rPr>
        <w:t xml:space="preserve"> 2019</w:t>
      </w:r>
      <w:r>
        <w:rPr>
          <w:shd w:val="clear" w:color="auto" w:fill="FFFFFF"/>
        </w:rPr>
        <w:t>. [online] Available at: &lt;https://www2.fundsforngos.org/latest-funds-for-ngos/uk-community-foundation-launches-nationwide-community-grants-programme-2019/&gt; [Accessed 12 July 2021].</w:t>
      </w:r>
    </w:p>
    <w:p w14:paraId="615E622E" w14:textId="77777777" w:rsidR="00704649" w:rsidRPr="002744C4" w:rsidRDefault="00704649" w:rsidP="00C825AB">
      <w:pPr>
        <w:jc w:val="both"/>
        <w:rPr>
          <w:shd w:val="clear" w:color="auto" w:fill="FFFFFF"/>
        </w:rPr>
      </w:pPr>
      <w:proofErr w:type="spellStart"/>
      <w:r w:rsidRPr="002744C4">
        <w:rPr>
          <w:shd w:val="clear" w:color="auto" w:fill="FFFFFF"/>
        </w:rPr>
        <w:t>Geekiyanage</w:t>
      </w:r>
      <w:proofErr w:type="spellEnd"/>
      <w:r w:rsidRPr="002744C4">
        <w:rPr>
          <w:shd w:val="clear" w:color="auto" w:fill="FFFFFF"/>
        </w:rPr>
        <w:t xml:space="preserve">, D., Fernando, T. and </w:t>
      </w:r>
      <w:proofErr w:type="spellStart"/>
      <w:r w:rsidRPr="002744C4">
        <w:rPr>
          <w:shd w:val="clear" w:color="auto" w:fill="FFFFFF"/>
        </w:rPr>
        <w:t>Keraminiyage</w:t>
      </w:r>
      <w:proofErr w:type="spellEnd"/>
      <w:r w:rsidRPr="002744C4">
        <w:rPr>
          <w:shd w:val="clear" w:color="auto" w:fill="FFFFFF"/>
        </w:rPr>
        <w:t>, K., 2020. Assessing the state of the art in community engagement for participatory decision-making in disaster risk-sensitive urban development. </w:t>
      </w:r>
      <w:r w:rsidRPr="002744C4">
        <w:rPr>
          <w:i/>
          <w:iCs/>
          <w:shd w:val="clear" w:color="auto" w:fill="FFFFFF"/>
        </w:rPr>
        <w:t>International journal of disaster risk reduction</w:t>
      </w:r>
      <w:r w:rsidRPr="002744C4">
        <w:rPr>
          <w:shd w:val="clear" w:color="auto" w:fill="FFFFFF"/>
        </w:rPr>
        <w:t>, p.101847.</w:t>
      </w:r>
    </w:p>
    <w:p w14:paraId="7CE95FF7" w14:textId="77777777" w:rsidR="00704649" w:rsidRPr="002744C4" w:rsidRDefault="00704649" w:rsidP="00C825AB">
      <w:pPr>
        <w:jc w:val="both"/>
        <w:rPr>
          <w:shd w:val="clear" w:color="auto" w:fill="FFFFFF"/>
        </w:rPr>
      </w:pPr>
      <w:r w:rsidRPr="002744C4">
        <w:rPr>
          <w:shd w:val="clear" w:color="auto" w:fill="FFFFFF"/>
        </w:rPr>
        <w:t xml:space="preserve">Goodman, M.S., Thompson, V.L.S., Arroyo Johnson, C., </w:t>
      </w:r>
      <w:proofErr w:type="spellStart"/>
      <w:r w:rsidRPr="002744C4">
        <w:rPr>
          <w:shd w:val="clear" w:color="auto" w:fill="FFFFFF"/>
        </w:rPr>
        <w:t>Gennarelli</w:t>
      </w:r>
      <w:proofErr w:type="spellEnd"/>
      <w:r w:rsidRPr="002744C4">
        <w:rPr>
          <w:shd w:val="clear" w:color="auto" w:fill="FFFFFF"/>
        </w:rPr>
        <w:t xml:space="preserve">, R., Drake, B.F., </w:t>
      </w:r>
      <w:proofErr w:type="spellStart"/>
      <w:r w:rsidRPr="002744C4">
        <w:rPr>
          <w:shd w:val="clear" w:color="auto" w:fill="FFFFFF"/>
        </w:rPr>
        <w:t>Bajwa</w:t>
      </w:r>
      <w:proofErr w:type="spellEnd"/>
      <w:r w:rsidRPr="002744C4">
        <w:rPr>
          <w:shd w:val="clear" w:color="auto" w:fill="FFFFFF"/>
        </w:rPr>
        <w:t>, P., Witherspoon, M. and Bowen, D., 2017. Evaluating community engagement in research: quantitative measure development. </w:t>
      </w:r>
      <w:r w:rsidRPr="002744C4">
        <w:rPr>
          <w:i/>
          <w:iCs/>
          <w:shd w:val="clear" w:color="auto" w:fill="FFFFFF"/>
        </w:rPr>
        <w:t>Journal of community psychology</w:t>
      </w:r>
      <w:r w:rsidRPr="002744C4">
        <w:rPr>
          <w:shd w:val="clear" w:color="auto" w:fill="FFFFFF"/>
        </w:rPr>
        <w:t>, </w:t>
      </w:r>
      <w:r w:rsidRPr="002744C4">
        <w:rPr>
          <w:i/>
          <w:iCs/>
          <w:shd w:val="clear" w:color="auto" w:fill="FFFFFF"/>
        </w:rPr>
        <w:t>45</w:t>
      </w:r>
      <w:r w:rsidRPr="002744C4">
        <w:rPr>
          <w:shd w:val="clear" w:color="auto" w:fill="FFFFFF"/>
        </w:rPr>
        <w:t>(1), pp.17-32.</w:t>
      </w:r>
    </w:p>
    <w:p w14:paraId="20137E18" w14:textId="77777777" w:rsidR="00704649" w:rsidRDefault="00704649" w:rsidP="00C825AB">
      <w:pPr>
        <w:jc w:val="both"/>
        <w:rPr>
          <w:shd w:val="clear" w:color="auto" w:fill="FFFFFF"/>
        </w:rPr>
      </w:pPr>
      <w:r w:rsidRPr="002744C4">
        <w:rPr>
          <w:shd w:val="clear" w:color="auto" w:fill="FFFFFF"/>
        </w:rPr>
        <w:t>Joosten, Y.A., Israel, T.L., Head, A., Vaughn, Y., Gil, V.V., Mouton, C. and Wilkins, C.H., 2018. Enhancing translational researchers’ ability to collaborate with community stakeholders: lessons from the community engagement studio. </w:t>
      </w:r>
      <w:r w:rsidRPr="002744C4">
        <w:rPr>
          <w:i/>
          <w:iCs/>
          <w:shd w:val="clear" w:color="auto" w:fill="FFFFFF"/>
        </w:rPr>
        <w:t>Journal of clinical and translational science</w:t>
      </w:r>
      <w:r w:rsidRPr="002744C4">
        <w:rPr>
          <w:shd w:val="clear" w:color="auto" w:fill="FFFFFF"/>
        </w:rPr>
        <w:t>, </w:t>
      </w:r>
      <w:r w:rsidRPr="002744C4">
        <w:rPr>
          <w:i/>
          <w:iCs/>
          <w:shd w:val="clear" w:color="auto" w:fill="FFFFFF"/>
        </w:rPr>
        <w:t>2</w:t>
      </w:r>
      <w:r w:rsidRPr="002744C4">
        <w:rPr>
          <w:shd w:val="clear" w:color="auto" w:fill="FFFFFF"/>
        </w:rPr>
        <w:t>(4), pp.201-207.</w:t>
      </w:r>
    </w:p>
    <w:p w14:paraId="26D91FD5" w14:textId="77777777" w:rsidR="00704649" w:rsidRPr="002744C4" w:rsidRDefault="00704649" w:rsidP="00C825AB">
      <w:pPr>
        <w:jc w:val="both"/>
        <w:rPr>
          <w:shd w:val="clear" w:color="auto" w:fill="FFFFFF"/>
        </w:rPr>
      </w:pPr>
      <w:r w:rsidRPr="002744C4">
        <w:rPr>
          <w:shd w:val="clear" w:color="auto" w:fill="FFFFFF"/>
        </w:rPr>
        <w:t>McInroy, L.B., McCloskey, R.J., Craig, S.L. and Eaton, A.D., 2019. LGBTQ+ youths’ community engagement and resource seeking online versus offline. </w:t>
      </w:r>
      <w:r w:rsidRPr="002744C4">
        <w:rPr>
          <w:i/>
          <w:iCs/>
          <w:shd w:val="clear" w:color="auto" w:fill="FFFFFF"/>
        </w:rPr>
        <w:t>Journal of Technology in Human Services</w:t>
      </w:r>
      <w:r w:rsidRPr="002744C4">
        <w:rPr>
          <w:shd w:val="clear" w:color="auto" w:fill="FFFFFF"/>
        </w:rPr>
        <w:t>, </w:t>
      </w:r>
      <w:r w:rsidRPr="002744C4">
        <w:rPr>
          <w:i/>
          <w:iCs/>
          <w:shd w:val="clear" w:color="auto" w:fill="FFFFFF"/>
        </w:rPr>
        <w:t>37</w:t>
      </w:r>
      <w:r w:rsidRPr="002744C4">
        <w:rPr>
          <w:shd w:val="clear" w:color="auto" w:fill="FFFFFF"/>
        </w:rPr>
        <w:t>(4), pp.315-333.</w:t>
      </w:r>
    </w:p>
    <w:p w14:paraId="72A7024C" w14:textId="77777777" w:rsidR="00704649" w:rsidRPr="002744C4" w:rsidRDefault="00704649" w:rsidP="00C825AB">
      <w:pPr>
        <w:jc w:val="both"/>
        <w:rPr>
          <w:shd w:val="clear" w:color="auto" w:fill="FFFFFF"/>
        </w:rPr>
      </w:pPr>
      <w:proofErr w:type="spellStart"/>
      <w:r w:rsidRPr="002744C4">
        <w:rPr>
          <w:shd w:val="clear" w:color="auto" w:fill="FFFFFF"/>
        </w:rPr>
        <w:t>McMeeking</w:t>
      </w:r>
      <w:proofErr w:type="spellEnd"/>
      <w:r w:rsidRPr="002744C4">
        <w:rPr>
          <w:shd w:val="clear" w:color="auto" w:fill="FFFFFF"/>
        </w:rPr>
        <w:t>, L.B. and Weinberg, A.E., 2020. Participatory action research experiences for undergraduates: forging critical connections through community engagement. </w:t>
      </w:r>
      <w:r w:rsidRPr="002744C4">
        <w:rPr>
          <w:i/>
          <w:iCs/>
          <w:shd w:val="clear" w:color="auto" w:fill="FFFFFF"/>
        </w:rPr>
        <w:t>Studies in Higher Education</w:t>
      </w:r>
      <w:r w:rsidRPr="002744C4">
        <w:rPr>
          <w:shd w:val="clear" w:color="auto" w:fill="FFFFFF"/>
        </w:rPr>
        <w:t>, </w:t>
      </w:r>
      <w:r w:rsidRPr="002744C4">
        <w:rPr>
          <w:i/>
          <w:iCs/>
          <w:shd w:val="clear" w:color="auto" w:fill="FFFFFF"/>
        </w:rPr>
        <w:t>45</w:t>
      </w:r>
      <w:r w:rsidRPr="002744C4">
        <w:rPr>
          <w:shd w:val="clear" w:color="auto" w:fill="FFFFFF"/>
        </w:rPr>
        <w:t>(11), pp.2260-2273.</w:t>
      </w:r>
    </w:p>
    <w:p w14:paraId="0C10083C" w14:textId="77777777" w:rsidR="00704649" w:rsidRPr="002744C4" w:rsidRDefault="00704649" w:rsidP="00C825AB">
      <w:pPr>
        <w:jc w:val="both"/>
        <w:rPr>
          <w:shd w:val="clear" w:color="auto" w:fill="FFFFFF"/>
        </w:rPr>
      </w:pPr>
      <w:r w:rsidRPr="002744C4">
        <w:rPr>
          <w:shd w:val="clear" w:color="auto" w:fill="FFFFFF"/>
        </w:rPr>
        <w:t xml:space="preserve">Mosconi, G., Korn, M., Reuter, C., Tolmie, P., </w:t>
      </w:r>
      <w:proofErr w:type="spellStart"/>
      <w:r w:rsidRPr="002744C4">
        <w:rPr>
          <w:shd w:val="clear" w:color="auto" w:fill="FFFFFF"/>
        </w:rPr>
        <w:t>Teli</w:t>
      </w:r>
      <w:proofErr w:type="spellEnd"/>
      <w:r w:rsidRPr="002744C4">
        <w:rPr>
          <w:shd w:val="clear" w:color="auto" w:fill="FFFFFF"/>
        </w:rPr>
        <w:t xml:space="preserve">, M. and </w:t>
      </w:r>
      <w:proofErr w:type="spellStart"/>
      <w:r w:rsidRPr="002744C4">
        <w:rPr>
          <w:shd w:val="clear" w:color="auto" w:fill="FFFFFF"/>
        </w:rPr>
        <w:t>Pipek</w:t>
      </w:r>
      <w:proofErr w:type="spellEnd"/>
      <w:r w:rsidRPr="002744C4">
        <w:rPr>
          <w:shd w:val="clear" w:color="auto" w:fill="FFFFFF"/>
        </w:rPr>
        <w:t xml:space="preserve">, V., 2017. From </w:t>
      </w:r>
      <w:proofErr w:type="spellStart"/>
      <w:r w:rsidRPr="002744C4">
        <w:rPr>
          <w:shd w:val="clear" w:color="auto" w:fill="FFFFFF"/>
        </w:rPr>
        <w:t>facebook</w:t>
      </w:r>
      <w:proofErr w:type="spellEnd"/>
      <w:r w:rsidRPr="002744C4">
        <w:rPr>
          <w:shd w:val="clear" w:color="auto" w:fill="FFFFFF"/>
        </w:rPr>
        <w:t xml:space="preserve"> to the </w:t>
      </w:r>
      <w:proofErr w:type="spellStart"/>
      <w:r w:rsidRPr="002744C4">
        <w:rPr>
          <w:shd w:val="clear" w:color="auto" w:fill="FFFFFF"/>
        </w:rPr>
        <w:lastRenderedPageBreak/>
        <w:t>neighbourhood</w:t>
      </w:r>
      <w:proofErr w:type="spellEnd"/>
      <w:r w:rsidRPr="002744C4">
        <w:rPr>
          <w:shd w:val="clear" w:color="auto" w:fill="FFFFFF"/>
        </w:rPr>
        <w:t xml:space="preserve">: </w:t>
      </w:r>
      <w:proofErr w:type="spellStart"/>
      <w:r w:rsidRPr="002744C4">
        <w:rPr>
          <w:shd w:val="clear" w:color="auto" w:fill="FFFFFF"/>
        </w:rPr>
        <w:t>Infrastructuring</w:t>
      </w:r>
      <w:proofErr w:type="spellEnd"/>
      <w:r w:rsidRPr="002744C4">
        <w:rPr>
          <w:shd w:val="clear" w:color="auto" w:fill="FFFFFF"/>
        </w:rPr>
        <w:t xml:space="preserve"> of hybrid community engagement. </w:t>
      </w:r>
      <w:r w:rsidRPr="002744C4">
        <w:rPr>
          <w:i/>
          <w:iCs/>
          <w:shd w:val="clear" w:color="auto" w:fill="FFFFFF"/>
        </w:rPr>
        <w:t>Computer Supported Cooperative Work (CSCW)</w:t>
      </w:r>
      <w:r w:rsidRPr="002744C4">
        <w:rPr>
          <w:shd w:val="clear" w:color="auto" w:fill="FFFFFF"/>
        </w:rPr>
        <w:t>, </w:t>
      </w:r>
      <w:r w:rsidRPr="002744C4">
        <w:rPr>
          <w:i/>
          <w:iCs/>
          <w:shd w:val="clear" w:color="auto" w:fill="FFFFFF"/>
        </w:rPr>
        <w:t>26</w:t>
      </w:r>
      <w:r w:rsidRPr="002744C4">
        <w:rPr>
          <w:shd w:val="clear" w:color="auto" w:fill="FFFFFF"/>
        </w:rPr>
        <w:t>(4), pp.959-1003.</w:t>
      </w:r>
    </w:p>
    <w:p w14:paraId="5E18AB8E" w14:textId="77777777" w:rsidR="00704649" w:rsidRDefault="00704649" w:rsidP="00C825AB">
      <w:pPr>
        <w:jc w:val="both"/>
        <w:rPr>
          <w:shd w:val="clear" w:color="auto" w:fill="FFFFFF"/>
        </w:rPr>
      </w:pPr>
      <w:r>
        <w:rPr>
          <w:shd w:val="clear" w:color="auto" w:fill="FFFFFF"/>
        </w:rPr>
        <w:t xml:space="preserve">Trott, C.D., Sample </w:t>
      </w:r>
      <w:proofErr w:type="spellStart"/>
      <w:r>
        <w:rPr>
          <w:shd w:val="clear" w:color="auto" w:fill="FFFFFF"/>
        </w:rPr>
        <w:t>McMeeking</w:t>
      </w:r>
      <w:proofErr w:type="spellEnd"/>
      <w:r>
        <w:rPr>
          <w:shd w:val="clear" w:color="auto" w:fill="FFFFFF"/>
        </w:rPr>
        <w:t>, L.B. and Weinberg, A.E., 2020. Participatory action research experiences for undergraduates: forging critical connections through community engagement. </w:t>
      </w:r>
      <w:r>
        <w:rPr>
          <w:i/>
          <w:iCs/>
          <w:shd w:val="clear" w:color="auto" w:fill="FFFFFF"/>
        </w:rPr>
        <w:t>Studies in Higher Education</w:t>
      </w:r>
      <w:r>
        <w:rPr>
          <w:shd w:val="clear" w:color="auto" w:fill="FFFFFF"/>
        </w:rPr>
        <w:t>, </w:t>
      </w:r>
      <w:r>
        <w:rPr>
          <w:i/>
          <w:iCs/>
          <w:shd w:val="clear" w:color="auto" w:fill="FFFFFF"/>
        </w:rPr>
        <w:t>45</w:t>
      </w:r>
      <w:r>
        <w:rPr>
          <w:shd w:val="clear" w:color="auto" w:fill="FFFFFF"/>
        </w:rPr>
        <w:t>(11), pp.2260-2273.</w:t>
      </w:r>
    </w:p>
    <w:p w14:paraId="737A448B" w14:textId="77777777" w:rsidR="00704649" w:rsidRDefault="00704649" w:rsidP="006663A2">
      <w:pPr>
        <w:jc w:val="both"/>
        <w:rPr>
          <w:shd w:val="clear" w:color="auto" w:fill="FFFFFF"/>
        </w:rPr>
      </w:pPr>
      <w:proofErr w:type="spellStart"/>
      <w:r>
        <w:rPr>
          <w:shd w:val="clear" w:color="auto" w:fill="FFFFFF"/>
        </w:rPr>
        <w:t>Ukcommunityfoundations</w:t>
      </w:r>
      <w:proofErr w:type="spellEnd"/>
      <w:r>
        <w:rPr>
          <w:shd w:val="clear" w:color="auto" w:fill="FFFFFF"/>
        </w:rPr>
        <w:t>, 2021, </w:t>
      </w:r>
      <w:r>
        <w:rPr>
          <w:i/>
          <w:iCs/>
          <w:shd w:val="clear" w:color="auto" w:fill="FFFFFF"/>
        </w:rPr>
        <w:t>UK Community Foundations</w:t>
      </w:r>
      <w:r>
        <w:rPr>
          <w:shd w:val="clear" w:color="auto" w:fill="FFFFFF"/>
        </w:rPr>
        <w:t>. [online] Available at: &lt;https://www.ukcommunityfoundations.org/&gt; [Accessed 12 July 2021].</w:t>
      </w:r>
    </w:p>
    <w:p w14:paraId="34A48028" w14:textId="77777777" w:rsidR="00704649" w:rsidRPr="002744C4" w:rsidRDefault="00704649" w:rsidP="00C825AB">
      <w:pPr>
        <w:jc w:val="both"/>
        <w:rPr>
          <w:shd w:val="clear" w:color="auto" w:fill="FFFFFF"/>
        </w:rPr>
      </w:pPr>
      <w:r w:rsidRPr="002744C4">
        <w:rPr>
          <w:shd w:val="clear" w:color="auto" w:fill="FFFFFF"/>
        </w:rPr>
        <w:t xml:space="preserve">Welch, M. and </w:t>
      </w:r>
      <w:proofErr w:type="spellStart"/>
      <w:r w:rsidRPr="002744C4">
        <w:rPr>
          <w:shd w:val="clear" w:color="auto" w:fill="FFFFFF"/>
        </w:rPr>
        <w:t>Plaxton</w:t>
      </w:r>
      <w:proofErr w:type="spellEnd"/>
      <w:r w:rsidRPr="002744C4">
        <w:rPr>
          <w:shd w:val="clear" w:color="auto" w:fill="FFFFFF"/>
        </w:rPr>
        <w:t>-Moore, S., 2017. Faculty development for advancing community engagement in higher education: Current trends and future directions. </w:t>
      </w:r>
      <w:r w:rsidRPr="002744C4">
        <w:rPr>
          <w:i/>
          <w:iCs/>
          <w:shd w:val="clear" w:color="auto" w:fill="FFFFFF"/>
        </w:rPr>
        <w:t>Journal of Higher Education Outreach and Engagement</w:t>
      </w:r>
      <w:r w:rsidRPr="002744C4">
        <w:rPr>
          <w:shd w:val="clear" w:color="auto" w:fill="FFFFFF"/>
        </w:rPr>
        <w:t>, </w:t>
      </w:r>
      <w:r w:rsidRPr="002744C4">
        <w:rPr>
          <w:i/>
          <w:iCs/>
          <w:shd w:val="clear" w:color="auto" w:fill="FFFFFF"/>
        </w:rPr>
        <w:t>21</w:t>
      </w:r>
      <w:r w:rsidRPr="002744C4">
        <w:rPr>
          <w:shd w:val="clear" w:color="auto" w:fill="FFFFFF"/>
        </w:rPr>
        <w:t>(2), pp.131-166.</w:t>
      </w:r>
    </w:p>
    <w:sectPr w:rsidR="00704649" w:rsidRPr="002744C4" w:rsidSect="001451B4">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017530" w14:textId="77777777" w:rsidR="00152D06" w:rsidRDefault="00152D06" w:rsidP="00C12EC4">
      <w:pPr>
        <w:spacing w:line="240" w:lineRule="auto"/>
      </w:pPr>
      <w:r>
        <w:separator/>
      </w:r>
    </w:p>
  </w:endnote>
  <w:endnote w:type="continuationSeparator" w:id="0">
    <w:p w14:paraId="05395E17" w14:textId="77777777" w:rsidR="00152D06" w:rsidRDefault="00152D06" w:rsidP="00C12E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90626295"/>
      <w:docPartObj>
        <w:docPartGallery w:val="Page Numbers (Bottom of Page)"/>
        <w:docPartUnique/>
      </w:docPartObj>
    </w:sdtPr>
    <w:sdtEndPr/>
    <w:sdtContent>
      <w:p w14:paraId="024DE26C" w14:textId="77777777" w:rsidR="00BE14FC" w:rsidRDefault="00C12EC4">
        <w:pPr>
          <w:pStyle w:val="Footer"/>
          <w:jc w:val="right"/>
        </w:pPr>
        <w:r>
          <w:fldChar w:fldCharType="begin"/>
        </w:r>
        <w:r w:rsidR="009E2501">
          <w:instrText xml:space="preserve"> PAGE   \* MERGEFORMAT </w:instrText>
        </w:r>
        <w:r>
          <w:fldChar w:fldCharType="separate"/>
        </w:r>
        <w:r w:rsidR="00BA72BC">
          <w:rPr>
            <w:noProof/>
          </w:rPr>
          <w:t>1</w:t>
        </w:r>
        <w:r>
          <w:rPr>
            <w:noProof/>
          </w:rPr>
          <w:fldChar w:fldCharType="end"/>
        </w:r>
      </w:p>
    </w:sdtContent>
  </w:sdt>
  <w:p w14:paraId="00F3F4D9" w14:textId="77777777" w:rsidR="00BE14FC" w:rsidRDefault="00BE1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492745" w14:textId="77777777" w:rsidR="00152D06" w:rsidRDefault="00152D06" w:rsidP="00C12EC4">
      <w:pPr>
        <w:spacing w:line="240" w:lineRule="auto"/>
      </w:pPr>
      <w:r>
        <w:separator/>
      </w:r>
    </w:p>
  </w:footnote>
  <w:footnote w:type="continuationSeparator" w:id="0">
    <w:p w14:paraId="2D82A524" w14:textId="77777777" w:rsidR="00152D06" w:rsidRDefault="00152D06" w:rsidP="00C12EC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374AC4"/>
    <w:multiLevelType w:val="hybridMultilevel"/>
    <w:tmpl w:val="F71EBDF8"/>
    <w:lvl w:ilvl="0" w:tplc="F4EA80EE">
      <w:start w:val="1"/>
      <w:numFmt w:val="bullet"/>
      <w:lvlText w:val=""/>
      <w:lvlJc w:val="left"/>
      <w:pPr>
        <w:ind w:left="720" w:hanging="360"/>
      </w:pPr>
      <w:rPr>
        <w:rFonts w:ascii="Symbol" w:hAnsi="Symbol" w:hint="default"/>
      </w:rPr>
    </w:lvl>
    <w:lvl w:ilvl="1" w:tplc="AC5824E2" w:tentative="1">
      <w:start w:val="1"/>
      <w:numFmt w:val="bullet"/>
      <w:lvlText w:val="o"/>
      <w:lvlJc w:val="left"/>
      <w:pPr>
        <w:ind w:left="1440" w:hanging="360"/>
      </w:pPr>
      <w:rPr>
        <w:rFonts w:ascii="Courier New" w:hAnsi="Courier New" w:cs="Courier New" w:hint="default"/>
      </w:rPr>
    </w:lvl>
    <w:lvl w:ilvl="2" w:tplc="4B209FDE" w:tentative="1">
      <w:start w:val="1"/>
      <w:numFmt w:val="bullet"/>
      <w:lvlText w:val=""/>
      <w:lvlJc w:val="left"/>
      <w:pPr>
        <w:ind w:left="2160" w:hanging="360"/>
      </w:pPr>
      <w:rPr>
        <w:rFonts w:ascii="Wingdings" w:hAnsi="Wingdings" w:hint="default"/>
      </w:rPr>
    </w:lvl>
    <w:lvl w:ilvl="3" w:tplc="B29E0EFC" w:tentative="1">
      <w:start w:val="1"/>
      <w:numFmt w:val="bullet"/>
      <w:lvlText w:val=""/>
      <w:lvlJc w:val="left"/>
      <w:pPr>
        <w:ind w:left="2880" w:hanging="360"/>
      </w:pPr>
      <w:rPr>
        <w:rFonts w:ascii="Symbol" w:hAnsi="Symbol" w:hint="default"/>
      </w:rPr>
    </w:lvl>
    <w:lvl w:ilvl="4" w:tplc="38C66D26" w:tentative="1">
      <w:start w:val="1"/>
      <w:numFmt w:val="bullet"/>
      <w:lvlText w:val="o"/>
      <w:lvlJc w:val="left"/>
      <w:pPr>
        <w:ind w:left="3600" w:hanging="360"/>
      </w:pPr>
      <w:rPr>
        <w:rFonts w:ascii="Courier New" w:hAnsi="Courier New" w:cs="Courier New" w:hint="default"/>
      </w:rPr>
    </w:lvl>
    <w:lvl w:ilvl="5" w:tplc="ACE8B492" w:tentative="1">
      <w:start w:val="1"/>
      <w:numFmt w:val="bullet"/>
      <w:lvlText w:val=""/>
      <w:lvlJc w:val="left"/>
      <w:pPr>
        <w:ind w:left="4320" w:hanging="360"/>
      </w:pPr>
      <w:rPr>
        <w:rFonts w:ascii="Wingdings" w:hAnsi="Wingdings" w:hint="default"/>
      </w:rPr>
    </w:lvl>
    <w:lvl w:ilvl="6" w:tplc="C0D08162" w:tentative="1">
      <w:start w:val="1"/>
      <w:numFmt w:val="bullet"/>
      <w:lvlText w:val=""/>
      <w:lvlJc w:val="left"/>
      <w:pPr>
        <w:ind w:left="5040" w:hanging="360"/>
      </w:pPr>
      <w:rPr>
        <w:rFonts w:ascii="Symbol" w:hAnsi="Symbol" w:hint="default"/>
      </w:rPr>
    </w:lvl>
    <w:lvl w:ilvl="7" w:tplc="2528C2AA" w:tentative="1">
      <w:start w:val="1"/>
      <w:numFmt w:val="bullet"/>
      <w:lvlText w:val="o"/>
      <w:lvlJc w:val="left"/>
      <w:pPr>
        <w:ind w:left="5760" w:hanging="360"/>
      </w:pPr>
      <w:rPr>
        <w:rFonts w:ascii="Courier New" w:hAnsi="Courier New" w:cs="Courier New" w:hint="default"/>
      </w:rPr>
    </w:lvl>
    <w:lvl w:ilvl="8" w:tplc="74067B6A" w:tentative="1">
      <w:start w:val="1"/>
      <w:numFmt w:val="bullet"/>
      <w:lvlText w:val=""/>
      <w:lvlJc w:val="left"/>
      <w:pPr>
        <w:ind w:left="6480" w:hanging="360"/>
      </w:pPr>
      <w:rPr>
        <w:rFonts w:ascii="Wingdings" w:hAnsi="Wingdings" w:hint="default"/>
      </w:rPr>
    </w:lvl>
  </w:abstractNum>
  <w:abstractNum w:abstractNumId="1" w15:restartNumberingAfterBreak="0">
    <w:nsid w:val="1C4F4C28"/>
    <w:multiLevelType w:val="hybridMultilevel"/>
    <w:tmpl w:val="D346DC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801698F"/>
    <w:multiLevelType w:val="hybridMultilevel"/>
    <w:tmpl w:val="AAA4049E"/>
    <w:lvl w:ilvl="0" w:tplc="C2966A60">
      <w:start w:val="1"/>
      <w:numFmt w:val="bullet"/>
      <w:lvlText w:val=""/>
      <w:lvlJc w:val="left"/>
      <w:pPr>
        <w:ind w:left="720" w:hanging="360"/>
      </w:pPr>
      <w:rPr>
        <w:rFonts w:ascii="Symbol" w:hAnsi="Symbol" w:hint="default"/>
      </w:rPr>
    </w:lvl>
    <w:lvl w:ilvl="1" w:tplc="50D46B0E" w:tentative="1">
      <w:start w:val="1"/>
      <w:numFmt w:val="bullet"/>
      <w:lvlText w:val="o"/>
      <w:lvlJc w:val="left"/>
      <w:pPr>
        <w:ind w:left="1440" w:hanging="360"/>
      </w:pPr>
      <w:rPr>
        <w:rFonts w:ascii="Courier New" w:hAnsi="Courier New" w:cs="Courier New" w:hint="default"/>
      </w:rPr>
    </w:lvl>
    <w:lvl w:ilvl="2" w:tplc="87DC8598" w:tentative="1">
      <w:start w:val="1"/>
      <w:numFmt w:val="bullet"/>
      <w:lvlText w:val=""/>
      <w:lvlJc w:val="left"/>
      <w:pPr>
        <w:ind w:left="2160" w:hanging="360"/>
      </w:pPr>
      <w:rPr>
        <w:rFonts w:ascii="Wingdings" w:hAnsi="Wingdings" w:hint="default"/>
      </w:rPr>
    </w:lvl>
    <w:lvl w:ilvl="3" w:tplc="816A5DD0" w:tentative="1">
      <w:start w:val="1"/>
      <w:numFmt w:val="bullet"/>
      <w:lvlText w:val=""/>
      <w:lvlJc w:val="left"/>
      <w:pPr>
        <w:ind w:left="2880" w:hanging="360"/>
      </w:pPr>
      <w:rPr>
        <w:rFonts w:ascii="Symbol" w:hAnsi="Symbol" w:hint="default"/>
      </w:rPr>
    </w:lvl>
    <w:lvl w:ilvl="4" w:tplc="64EAEFA4" w:tentative="1">
      <w:start w:val="1"/>
      <w:numFmt w:val="bullet"/>
      <w:lvlText w:val="o"/>
      <w:lvlJc w:val="left"/>
      <w:pPr>
        <w:ind w:left="3600" w:hanging="360"/>
      </w:pPr>
      <w:rPr>
        <w:rFonts w:ascii="Courier New" w:hAnsi="Courier New" w:cs="Courier New" w:hint="default"/>
      </w:rPr>
    </w:lvl>
    <w:lvl w:ilvl="5" w:tplc="E4CC16AA" w:tentative="1">
      <w:start w:val="1"/>
      <w:numFmt w:val="bullet"/>
      <w:lvlText w:val=""/>
      <w:lvlJc w:val="left"/>
      <w:pPr>
        <w:ind w:left="4320" w:hanging="360"/>
      </w:pPr>
      <w:rPr>
        <w:rFonts w:ascii="Wingdings" w:hAnsi="Wingdings" w:hint="default"/>
      </w:rPr>
    </w:lvl>
    <w:lvl w:ilvl="6" w:tplc="BCDE3BBC" w:tentative="1">
      <w:start w:val="1"/>
      <w:numFmt w:val="bullet"/>
      <w:lvlText w:val=""/>
      <w:lvlJc w:val="left"/>
      <w:pPr>
        <w:ind w:left="5040" w:hanging="360"/>
      </w:pPr>
      <w:rPr>
        <w:rFonts w:ascii="Symbol" w:hAnsi="Symbol" w:hint="default"/>
      </w:rPr>
    </w:lvl>
    <w:lvl w:ilvl="7" w:tplc="EBCCA130" w:tentative="1">
      <w:start w:val="1"/>
      <w:numFmt w:val="bullet"/>
      <w:lvlText w:val="o"/>
      <w:lvlJc w:val="left"/>
      <w:pPr>
        <w:ind w:left="5760" w:hanging="360"/>
      </w:pPr>
      <w:rPr>
        <w:rFonts w:ascii="Courier New" w:hAnsi="Courier New" w:cs="Courier New" w:hint="default"/>
      </w:rPr>
    </w:lvl>
    <w:lvl w:ilvl="8" w:tplc="5622B052" w:tentative="1">
      <w:start w:val="1"/>
      <w:numFmt w:val="bullet"/>
      <w:lvlText w:val=""/>
      <w:lvlJc w:val="left"/>
      <w:pPr>
        <w:ind w:left="6480" w:hanging="360"/>
      </w:pPr>
      <w:rPr>
        <w:rFonts w:ascii="Wingdings" w:hAnsi="Wingdings" w:hint="default"/>
      </w:rPr>
    </w:lvl>
  </w:abstractNum>
  <w:abstractNum w:abstractNumId="3" w15:restartNumberingAfterBreak="0">
    <w:nsid w:val="74202EDD"/>
    <w:multiLevelType w:val="hybridMultilevel"/>
    <w:tmpl w:val="2FC87E9A"/>
    <w:lvl w:ilvl="0" w:tplc="52782586">
      <w:start w:val="1"/>
      <w:numFmt w:val="bullet"/>
      <w:lvlText w:val=""/>
      <w:lvlJc w:val="left"/>
      <w:pPr>
        <w:ind w:left="1260" w:hanging="360"/>
      </w:pPr>
      <w:rPr>
        <w:rFonts w:ascii="Symbol" w:hAnsi="Symbol" w:hint="default"/>
      </w:rPr>
    </w:lvl>
    <w:lvl w:ilvl="1" w:tplc="F3742C76" w:tentative="1">
      <w:start w:val="1"/>
      <w:numFmt w:val="bullet"/>
      <w:lvlText w:val="o"/>
      <w:lvlJc w:val="left"/>
      <w:pPr>
        <w:ind w:left="1980" w:hanging="360"/>
      </w:pPr>
      <w:rPr>
        <w:rFonts w:ascii="Courier New" w:hAnsi="Courier New" w:cs="Courier New" w:hint="default"/>
      </w:rPr>
    </w:lvl>
    <w:lvl w:ilvl="2" w:tplc="EF04EA36" w:tentative="1">
      <w:start w:val="1"/>
      <w:numFmt w:val="bullet"/>
      <w:lvlText w:val=""/>
      <w:lvlJc w:val="left"/>
      <w:pPr>
        <w:ind w:left="2700" w:hanging="360"/>
      </w:pPr>
      <w:rPr>
        <w:rFonts w:ascii="Wingdings" w:hAnsi="Wingdings" w:hint="default"/>
      </w:rPr>
    </w:lvl>
    <w:lvl w:ilvl="3" w:tplc="A8CE6264" w:tentative="1">
      <w:start w:val="1"/>
      <w:numFmt w:val="bullet"/>
      <w:lvlText w:val=""/>
      <w:lvlJc w:val="left"/>
      <w:pPr>
        <w:ind w:left="3420" w:hanging="360"/>
      </w:pPr>
      <w:rPr>
        <w:rFonts w:ascii="Symbol" w:hAnsi="Symbol" w:hint="default"/>
      </w:rPr>
    </w:lvl>
    <w:lvl w:ilvl="4" w:tplc="F4CA745E" w:tentative="1">
      <w:start w:val="1"/>
      <w:numFmt w:val="bullet"/>
      <w:lvlText w:val="o"/>
      <w:lvlJc w:val="left"/>
      <w:pPr>
        <w:ind w:left="4140" w:hanging="360"/>
      </w:pPr>
      <w:rPr>
        <w:rFonts w:ascii="Courier New" w:hAnsi="Courier New" w:cs="Courier New" w:hint="default"/>
      </w:rPr>
    </w:lvl>
    <w:lvl w:ilvl="5" w:tplc="D6C61C22" w:tentative="1">
      <w:start w:val="1"/>
      <w:numFmt w:val="bullet"/>
      <w:lvlText w:val=""/>
      <w:lvlJc w:val="left"/>
      <w:pPr>
        <w:ind w:left="4860" w:hanging="360"/>
      </w:pPr>
      <w:rPr>
        <w:rFonts w:ascii="Wingdings" w:hAnsi="Wingdings" w:hint="default"/>
      </w:rPr>
    </w:lvl>
    <w:lvl w:ilvl="6" w:tplc="941EC3C8" w:tentative="1">
      <w:start w:val="1"/>
      <w:numFmt w:val="bullet"/>
      <w:lvlText w:val=""/>
      <w:lvlJc w:val="left"/>
      <w:pPr>
        <w:ind w:left="5580" w:hanging="360"/>
      </w:pPr>
      <w:rPr>
        <w:rFonts w:ascii="Symbol" w:hAnsi="Symbol" w:hint="default"/>
      </w:rPr>
    </w:lvl>
    <w:lvl w:ilvl="7" w:tplc="7B96A192" w:tentative="1">
      <w:start w:val="1"/>
      <w:numFmt w:val="bullet"/>
      <w:lvlText w:val="o"/>
      <w:lvlJc w:val="left"/>
      <w:pPr>
        <w:ind w:left="6300" w:hanging="360"/>
      </w:pPr>
      <w:rPr>
        <w:rFonts w:ascii="Courier New" w:hAnsi="Courier New" w:cs="Courier New" w:hint="default"/>
      </w:rPr>
    </w:lvl>
    <w:lvl w:ilvl="8" w:tplc="DA822668" w:tentative="1">
      <w:start w:val="1"/>
      <w:numFmt w:val="bullet"/>
      <w:lvlText w:val=""/>
      <w:lvlJc w:val="left"/>
      <w:pPr>
        <w:ind w:left="702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1B4"/>
    <w:rsid w:val="00012CAB"/>
    <w:rsid w:val="0002512B"/>
    <w:rsid w:val="000306B0"/>
    <w:rsid w:val="000438FF"/>
    <w:rsid w:val="00046D9B"/>
    <w:rsid w:val="00053985"/>
    <w:rsid w:val="0007292D"/>
    <w:rsid w:val="00081F10"/>
    <w:rsid w:val="00086258"/>
    <w:rsid w:val="0009161F"/>
    <w:rsid w:val="00091C76"/>
    <w:rsid w:val="00116859"/>
    <w:rsid w:val="00134E91"/>
    <w:rsid w:val="00136256"/>
    <w:rsid w:val="001451B4"/>
    <w:rsid w:val="0015039B"/>
    <w:rsid w:val="00152D06"/>
    <w:rsid w:val="001556C0"/>
    <w:rsid w:val="00175818"/>
    <w:rsid w:val="001813E3"/>
    <w:rsid w:val="001957B8"/>
    <w:rsid w:val="001B3B2C"/>
    <w:rsid w:val="001C1E4A"/>
    <w:rsid w:val="001D13C2"/>
    <w:rsid w:val="001D5564"/>
    <w:rsid w:val="001E3BCB"/>
    <w:rsid w:val="001E6024"/>
    <w:rsid w:val="001E6F82"/>
    <w:rsid w:val="00217B30"/>
    <w:rsid w:val="00234D1D"/>
    <w:rsid w:val="00241F4C"/>
    <w:rsid w:val="002513B1"/>
    <w:rsid w:val="00255CE0"/>
    <w:rsid w:val="00255EEC"/>
    <w:rsid w:val="002560DC"/>
    <w:rsid w:val="002744C4"/>
    <w:rsid w:val="00292583"/>
    <w:rsid w:val="002A1B2B"/>
    <w:rsid w:val="002A50AF"/>
    <w:rsid w:val="002A571A"/>
    <w:rsid w:val="002B5844"/>
    <w:rsid w:val="002D49C3"/>
    <w:rsid w:val="002E5B29"/>
    <w:rsid w:val="002E6083"/>
    <w:rsid w:val="00315F0B"/>
    <w:rsid w:val="00320DB2"/>
    <w:rsid w:val="00337612"/>
    <w:rsid w:val="0035066C"/>
    <w:rsid w:val="00363643"/>
    <w:rsid w:val="00376574"/>
    <w:rsid w:val="003A63C9"/>
    <w:rsid w:val="003B2B7C"/>
    <w:rsid w:val="003B3580"/>
    <w:rsid w:val="003B5B25"/>
    <w:rsid w:val="003C50AB"/>
    <w:rsid w:val="003C797B"/>
    <w:rsid w:val="003D2177"/>
    <w:rsid w:val="003E3A06"/>
    <w:rsid w:val="00433314"/>
    <w:rsid w:val="004405C8"/>
    <w:rsid w:val="00442569"/>
    <w:rsid w:val="00455BAE"/>
    <w:rsid w:val="00467642"/>
    <w:rsid w:val="00487D3A"/>
    <w:rsid w:val="004A0697"/>
    <w:rsid w:val="004A4E73"/>
    <w:rsid w:val="004B000B"/>
    <w:rsid w:val="00507F39"/>
    <w:rsid w:val="00526DE8"/>
    <w:rsid w:val="00532C8D"/>
    <w:rsid w:val="00542293"/>
    <w:rsid w:val="005469CE"/>
    <w:rsid w:val="00547E87"/>
    <w:rsid w:val="005571A0"/>
    <w:rsid w:val="005813D2"/>
    <w:rsid w:val="00583E93"/>
    <w:rsid w:val="005857E6"/>
    <w:rsid w:val="00591B95"/>
    <w:rsid w:val="005A614C"/>
    <w:rsid w:val="005B0C87"/>
    <w:rsid w:val="005C4162"/>
    <w:rsid w:val="005D75E2"/>
    <w:rsid w:val="005D7FFE"/>
    <w:rsid w:val="005E01CE"/>
    <w:rsid w:val="005F029E"/>
    <w:rsid w:val="005F57A6"/>
    <w:rsid w:val="006309B0"/>
    <w:rsid w:val="00631CAB"/>
    <w:rsid w:val="00634F90"/>
    <w:rsid w:val="006364A8"/>
    <w:rsid w:val="00644A65"/>
    <w:rsid w:val="00654610"/>
    <w:rsid w:val="00656EA7"/>
    <w:rsid w:val="006663A2"/>
    <w:rsid w:val="00672468"/>
    <w:rsid w:val="00693616"/>
    <w:rsid w:val="006A586C"/>
    <w:rsid w:val="006A75B1"/>
    <w:rsid w:val="006B1690"/>
    <w:rsid w:val="006D6352"/>
    <w:rsid w:val="006E1833"/>
    <w:rsid w:val="006F2043"/>
    <w:rsid w:val="006F654C"/>
    <w:rsid w:val="00704649"/>
    <w:rsid w:val="007127E4"/>
    <w:rsid w:val="00712B5C"/>
    <w:rsid w:val="00724D82"/>
    <w:rsid w:val="00752208"/>
    <w:rsid w:val="00753B45"/>
    <w:rsid w:val="0076628B"/>
    <w:rsid w:val="007731A4"/>
    <w:rsid w:val="00776A6E"/>
    <w:rsid w:val="00787A72"/>
    <w:rsid w:val="0079138B"/>
    <w:rsid w:val="007B0BFC"/>
    <w:rsid w:val="007C5718"/>
    <w:rsid w:val="007C6A4D"/>
    <w:rsid w:val="007D180E"/>
    <w:rsid w:val="007D6EED"/>
    <w:rsid w:val="007E116F"/>
    <w:rsid w:val="007E3118"/>
    <w:rsid w:val="00814560"/>
    <w:rsid w:val="00816E51"/>
    <w:rsid w:val="00834904"/>
    <w:rsid w:val="00846F40"/>
    <w:rsid w:val="0087185E"/>
    <w:rsid w:val="00872BD8"/>
    <w:rsid w:val="00875C13"/>
    <w:rsid w:val="00877F6D"/>
    <w:rsid w:val="00882354"/>
    <w:rsid w:val="008878BB"/>
    <w:rsid w:val="0089788A"/>
    <w:rsid w:val="008D6457"/>
    <w:rsid w:val="008D7CD0"/>
    <w:rsid w:val="008E697C"/>
    <w:rsid w:val="008F0DC5"/>
    <w:rsid w:val="008F3DCA"/>
    <w:rsid w:val="008F565A"/>
    <w:rsid w:val="00904774"/>
    <w:rsid w:val="00912FD1"/>
    <w:rsid w:val="00937046"/>
    <w:rsid w:val="009405D0"/>
    <w:rsid w:val="00946E60"/>
    <w:rsid w:val="00972245"/>
    <w:rsid w:val="00990FFD"/>
    <w:rsid w:val="00994BCC"/>
    <w:rsid w:val="00996095"/>
    <w:rsid w:val="009A1012"/>
    <w:rsid w:val="009B153C"/>
    <w:rsid w:val="009C3F78"/>
    <w:rsid w:val="009E2501"/>
    <w:rsid w:val="009F12CB"/>
    <w:rsid w:val="00A01F4F"/>
    <w:rsid w:val="00A23D8D"/>
    <w:rsid w:val="00A4563D"/>
    <w:rsid w:val="00A64EAC"/>
    <w:rsid w:val="00A740F9"/>
    <w:rsid w:val="00A74F13"/>
    <w:rsid w:val="00A76208"/>
    <w:rsid w:val="00A82535"/>
    <w:rsid w:val="00A86D37"/>
    <w:rsid w:val="00A904BD"/>
    <w:rsid w:val="00A94433"/>
    <w:rsid w:val="00AA393A"/>
    <w:rsid w:val="00AA6844"/>
    <w:rsid w:val="00AA7575"/>
    <w:rsid w:val="00AB699A"/>
    <w:rsid w:val="00AD0072"/>
    <w:rsid w:val="00AD2FCD"/>
    <w:rsid w:val="00AD7058"/>
    <w:rsid w:val="00AF61F6"/>
    <w:rsid w:val="00B02DAB"/>
    <w:rsid w:val="00B07D8E"/>
    <w:rsid w:val="00B4305F"/>
    <w:rsid w:val="00B43C9C"/>
    <w:rsid w:val="00B443A7"/>
    <w:rsid w:val="00B44EA5"/>
    <w:rsid w:val="00B50132"/>
    <w:rsid w:val="00B651F2"/>
    <w:rsid w:val="00B71ABF"/>
    <w:rsid w:val="00B75815"/>
    <w:rsid w:val="00B7588C"/>
    <w:rsid w:val="00B815B3"/>
    <w:rsid w:val="00BA72BC"/>
    <w:rsid w:val="00BB140B"/>
    <w:rsid w:val="00BC7BC0"/>
    <w:rsid w:val="00BE14FC"/>
    <w:rsid w:val="00BE1D9B"/>
    <w:rsid w:val="00C0475E"/>
    <w:rsid w:val="00C12EC4"/>
    <w:rsid w:val="00C55F7F"/>
    <w:rsid w:val="00C6364F"/>
    <w:rsid w:val="00C752BC"/>
    <w:rsid w:val="00C76738"/>
    <w:rsid w:val="00C774E4"/>
    <w:rsid w:val="00C80BBA"/>
    <w:rsid w:val="00C81E7D"/>
    <w:rsid w:val="00C825AB"/>
    <w:rsid w:val="00C83C8B"/>
    <w:rsid w:val="00C90C3F"/>
    <w:rsid w:val="00CA259A"/>
    <w:rsid w:val="00CA7B03"/>
    <w:rsid w:val="00CB688D"/>
    <w:rsid w:val="00CC0E35"/>
    <w:rsid w:val="00CD49B6"/>
    <w:rsid w:val="00CE0BC7"/>
    <w:rsid w:val="00CE427D"/>
    <w:rsid w:val="00CF39F9"/>
    <w:rsid w:val="00D123B1"/>
    <w:rsid w:val="00D31027"/>
    <w:rsid w:val="00D34BCD"/>
    <w:rsid w:val="00D67C94"/>
    <w:rsid w:val="00D86BF2"/>
    <w:rsid w:val="00DA3915"/>
    <w:rsid w:val="00DC49A8"/>
    <w:rsid w:val="00DE3379"/>
    <w:rsid w:val="00DF6791"/>
    <w:rsid w:val="00DF6E0F"/>
    <w:rsid w:val="00E06619"/>
    <w:rsid w:val="00E538B3"/>
    <w:rsid w:val="00E55C70"/>
    <w:rsid w:val="00E56647"/>
    <w:rsid w:val="00E60D1B"/>
    <w:rsid w:val="00E714CF"/>
    <w:rsid w:val="00E762DD"/>
    <w:rsid w:val="00E87553"/>
    <w:rsid w:val="00E87870"/>
    <w:rsid w:val="00E92AB2"/>
    <w:rsid w:val="00E9679A"/>
    <w:rsid w:val="00E9687E"/>
    <w:rsid w:val="00EC73A3"/>
    <w:rsid w:val="00ED7E6A"/>
    <w:rsid w:val="00ED7FA7"/>
    <w:rsid w:val="00EE5F31"/>
    <w:rsid w:val="00EE63AA"/>
    <w:rsid w:val="00EF54EC"/>
    <w:rsid w:val="00F03872"/>
    <w:rsid w:val="00F27373"/>
    <w:rsid w:val="00F31D54"/>
    <w:rsid w:val="00F545B8"/>
    <w:rsid w:val="00F54E48"/>
    <w:rsid w:val="00F6129D"/>
    <w:rsid w:val="00F61D1C"/>
    <w:rsid w:val="00F623D0"/>
    <w:rsid w:val="00F666BF"/>
    <w:rsid w:val="00F953CF"/>
    <w:rsid w:val="00FA553B"/>
    <w:rsid w:val="00FB4F8F"/>
    <w:rsid w:val="00FC0A4A"/>
    <w:rsid w:val="00FD404D"/>
    <w:rsid w:val="00FE0BE4"/>
    <w:rsid w:val="00FE793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D533C"/>
  <w15:docId w15:val="{5C31DACE-809E-7348-9EBC-457369685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451B4"/>
    <w:pPr>
      <w:widowControl w:val="0"/>
      <w:autoSpaceDE w:val="0"/>
      <w:autoSpaceDN w:val="0"/>
      <w:spacing w:after="0" w:line="360" w:lineRule="auto"/>
    </w:pPr>
    <w:rPr>
      <w:rFonts w:ascii="Times New Roman" w:eastAsia="Times New Roman" w:hAnsi="Times New Roman" w:cs="Times New Roman"/>
      <w:sz w:val="24"/>
    </w:rPr>
  </w:style>
  <w:style w:type="paragraph" w:styleId="Heading1">
    <w:name w:val="heading 1"/>
    <w:basedOn w:val="Normal"/>
    <w:next w:val="Normal"/>
    <w:link w:val="Heading1Char"/>
    <w:uiPriority w:val="9"/>
    <w:qFormat/>
    <w:rsid w:val="00B4305F"/>
    <w:pPr>
      <w:keepNext/>
      <w:keepLines/>
      <w:spacing w:before="48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B4305F"/>
    <w:pPr>
      <w:keepNext/>
      <w:keepLines/>
      <w:spacing w:before="200"/>
      <w:outlineLvl w:val="1"/>
    </w:pPr>
    <w:rPr>
      <w:rFonts w:eastAsiaTheme="majorEastAsia" w:cstheme="majorBidi"/>
      <w:b/>
      <w:bCs/>
      <w:szCs w:val="26"/>
    </w:rPr>
  </w:style>
  <w:style w:type="paragraph" w:styleId="Heading3">
    <w:name w:val="heading 3"/>
    <w:basedOn w:val="Heading2"/>
    <w:next w:val="Normal"/>
    <w:link w:val="Heading3Char"/>
    <w:uiPriority w:val="9"/>
    <w:unhideWhenUsed/>
    <w:qFormat/>
    <w:rsid w:val="00816E51"/>
    <w:pPr>
      <w:outlineLvl w:val="2"/>
    </w:pPr>
    <w:rPr>
      <w:i/>
      <w:color w:val="000000" w:themeColor="text1"/>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05F"/>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B4305F"/>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816E51"/>
    <w:rPr>
      <w:rFonts w:ascii="Times New Roman" w:eastAsiaTheme="majorEastAsia" w:hAnsi="Times New Roman" w:cs="Arial"/>
      <w:b/>
      <w:i/>
      <w:color w:val="000000" w:themeColor="text1"/>
      <w:sz w:val="22"/>
      <w:szCs w:val="22"/>
    </w:rPr>
  </w:style>
  <w:style w:type="paragraph" w:styleId="Title">
    <w:name w:val="Title"/>
    <w:basedOn w:val="Normal"/>
    <w:next w:val="Normal"/>
    <w:link w:val="TitleChar"/>
    <w:uiPriority w:val="10"/>
    <w:qFormat/>
    <w:rsid w:val="00B4305F"/>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B4305F"/>
    <w:rPr>
      <w:rFonts w:ascii="Times New Roman" w:eastAsiaTheme="majorEastAsia" w:hAnsi="Times New Roman" w:cstheme="majorBidi"/>
      <w:b/>
      <w:spacing w:val="5"/>
      <w:kern w:val="28"/>
      <w:sz w:val="32"/>
      <w:szCs w:val="52"/>
    </w:rPr>
  </w:style>
  <w:style w:type="paragraph" w:styleId="ListParagraph">
    <w:name w:val="List Paragraph"/>
    <w:basedOn w:val="Normal"/>
    <w:uiPriority w:val="34"/>
    <w:qFormat/>
    <w:rsid w:val="001451B4"/>
    <w:pPr>
      <w:ind w:left="720"/>
      <w:contextualSpacing/>
    </w:pPr>
  </w:style>
  <w:style w:type="paragraph" w:styleId="Header">
    <w:name w:val="header"/>
    <w:basedOn w:val="Normal"/>
    <w:link w:val="HeaderChar"/>
    <w:uiPriority w:val="99"/>
    <w:semiHidden/>
    <w:unhideWhenUsed/>
    <w:rsid w:val="001451B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451B4"/>
    <w:rPr>
      <w:rFonts w:ascii="Times New Roman" w:eastAsia="Times New Roman" w:hAnsi="Times New Roman" w:cs="Times New Roman"/>
      <w:sz w:val="24"/>
    </w:rPr>
  </w:style>
  <w:style w:type="paragraph" w:styleId="Footer">
    <w:name w:val="footer"/>
    <w:basedOn w:val="Normal"/>
    <w:link w:val="FooterChar"/>
    <w:uiPriority w:val="99"/>
    <w:unhideWhenUsed/>
    <w:rsid w:val="001451B4"/>
    <w:pPr>
      <w:tabs>
        <w:tab w:val="center" w:pos="4680"/>
        <w:tab w:val="right" w:pos="9360"/>
      </w:tabs>
      <w:spacing w:line="240" w:lineRule="auto"/>
    </w:pPr>
  </w:style>
  <w:style w:type="character" w:customStyle="1" w:styleId="FooterChar">
    <w:name w:val="Footer Char"/>
    <w:basedOn w:val="DefaultParagraphFont"/>
    <w:link w:val="Footer"/>
    <w:uiPriority w:val="99"/>
    <w:rsid w:val="001451B4"/>
    <w:rPr>
      <w:rFonts w:ascii="Times New Roman" w:eastAsia="Times New Roman" w:hAnsi="Times New Roman" w:cs="Times New Roman"/>
      <w:sz w:val="24"/>
    </w:rPr>
  </w:style>
  <w:style w:type="paragraph" w:styleId="TOCHeading">
    <w:name w:val="TOC Heading"/>
    <w:basedOn w:val="Heading1"/>
    <w:next w:val="Normal"/>
    <w:uiPriority w:val="39"/>
    <w:semiHidden/>
    <w:unhideWhenUsed/>
    <w:qFormat/>
    <w:rsid w:val="00776A6E"/>
    <w:pPr>
      <w:widowControl/>
      <w:autoSpaceDE/>
      <w:autoSpaceDN/>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776A6E"/>
    <w:pPr>
      <w:spacing w:after="100"/>
    </w:pPr>
  </w:style>
  <w:style w:type="paragraph" w:styleId="TOC2">
    <w:name w:val="toc 2"/>
    <w:basedOn w:val="Normal"/>
    <w:next w:val="Normal"/>
    <w:autoRedefine/>
    <w:uiPriority w:val="39"/>
    <w:unhideWhenUsed/>
    <w:rsid w:val="00776A6E"/>
    <w:pPr>
      <w:spacing w:after="100"/>
      <w:ind w:left="240"/>
    </w:pPr>
  </w:style>
  <w:style w:type="character" w:styleId="Hyperlink">
    <w:name w:val="Hyperlink"/>
    <w:basedOn w:val="DefaultParagraphFont"/>
    <w:uiPriority w:val="99"/>
    <w:unhideWhenUsed/>
    <w:rsid w:val="00776A6E"/>
    <w:rPr>
      <w:color w:val="0000FF" w:themeColor="hyperlink"/>
      <w:u w:val="single"/>
    </w:rPr>
  </w:style>
  <w:style w:type="paragraph" w:styleId="BalloonText">
    <w:name w:val="Balloon Text"/>
    <w:basedOn w:val="Normal"/>
    <w:link w:val="BalloonTextChar"/>
    <w:uiPriority w:val="99"/>
    <w:semiHidden/>
    <w:unhideWhenUsed/>
    <w:rsid w:val="00776A6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6A6E"/>
    <w:rPr>
      <w:rFonts w:ascii="Tahoma" w:eastAsia="Times New Roman" w:hAnsi="Tahoma" w:cs="Tahoma"/>
      <w:sz w:val="16"/>
      <w:szCs w:val="16"/>
    </w:rPr>
  </w:style>
  <w:style w:type="paragraph" w:styleId="NoSpacing">
    <w:name w:val="No Spacing"/>
    <w:uiPriority w:val="1"/>
    <w:qFormat/>
    <w:rsid w:val="00175818"/>
    <w:pPr>
      <w:widowControl w:val="0"/>
      <w:autoSpaceDE w:val="0"/>
      <w:autoSpaceDN w:val="0"/>
      <w:spacing w:after="0" w:line="240" w:lineRule="auto"/>
    </w:pPr>
    <w:rPr>
      <w:rFonts w:ascii="Times New Roman" w:eastAsia="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7877D5-827D-4EEC-ACAC-76A5EFF1C7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11</Pages>
  <Words>2934</Words>
  <Characters>16724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alexandra alina tinca</cp:lastModifiedBy>
  <cp:revision>3</cp:revision>
  <dcterms:created xsi:type="dcterms:W3CDTF">2021-09-26T02:00:00Z</dcterms:created>
  <dcterms:modified xsi:type="dcterms:W3CDTF">2021-09-26T02:31:00Z</dcterms:modified>
</cp:coreProperties>
</file>