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96647802"/>
        <w:docPartObj>
          <w:docPartGallery w:val="Cover Pages"/>
          <w:docPartUnique/>
        </w:docPartObj>
      </w:sdtPr>
      <w:sdtContent>
        <w:p w14:paraId="30864E5E" w14:textId="2F3FCD2E" w:rsidR="00BF552E" w:rsidRDefault="00BF552E">
          <w:r>
            <w:rPr>
              <w:noProof/>
            </w:rPr>
            <mc:AlternateContent>
              <mc:Choice Requires="wpg">
                <w:drawing>
                  <wp:anchor distT="0" distB="0" distL="114300" distR="114300" simplePos="0" relativeHeight="251662336" behindDoc="0" locked="0" layoutInCell="1" allowOverlap="1" wp14:anchorId="2B794A1C" wp14:editId="671CE57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3896FD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7C0C99E8" w14:textId="32E4E585" w:rsidR="00BF552E" w:rsidRDefault="000D523D">
          <w:r>
            <w:rPr>
              <w:noProof/>
            </w:rPr>
            <mc:AlternateContent>
              <mc:Choice Requires="wps">
                <w:drawing>
                  <wp:anchor distT="45720" distB="45720" distL="114300" distR="114300" simplePos="0" relativeHeight="251664384" behindDoc="0" locked="0" layoutInCell="1" allowOverlap="1" wp14:anchorId="1245E0F5" wp14:editId="2261F5C9">
                    <wp:simplePos x="0" y="0"/>
                    <wp:positionH relativeFrom="column">
                      <wp:posOffset>372110</wp:posOffset>
                    </wp:positionH>
                    <wp:positionV relativeFrom="paragraph">
                      <wp:posOffset>5158105</wp:posOffset>
                    </wp:positionV>
                    <wp:extent cx="5900420" cy="1404620"/>
                    <wp:effectExtent l="0" t="0" r="2413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0420" cy="1404620"/>
                            </a:xfrm>
                            <a:prstGeom prst="rect">
                              <a:avLst/>
                            </a:prstGeom>
                            <a:solidFill>
                              <a:srgbClr val="FFFFFF"/>
                            </a:solidFill>
                            <a:ln w="9525">
                              <a:solidFill>
                                <a:srgbClr val="000000"/>
                              </a:solidFill>
                              <a:miter lim="800000"/>
                              <a:headEnd/>
                              <a:tailEnd/>
                            </a:ln>
                          </wps:spPr>
                          <wps:txbx>
                            <w:txbxContent>
                              <w:p w14:paraId="1CB6FBC1" w14:textId="2D87FDF4" w:rsidR="000D523D" w:rsidRPr="002B5D7C" w:rsidRDefault="002B7057" w:rsidP="002B5D7C">
                                <w:pPr>
                                  <w:spacing w:line="360" w:lineRule="auto"/>
                                  <w:jc w:val="both"/>
                                  <w:rPr>
                                    <w:rFonts w:ascii="Arial" w:hAnsi="Arial" w:cs="Arial"/>
                                    <w:sz w:val="28"/>
                                    <w:szCs w:val="28"/>
                                  </w:rPr>
                                </w:pPr>
                                <w:r w:rsidRPr="002B5D7C">
                                  <w:rPr>
                                    <w:rFonts w:ascii="Arial" w:hAnsi="Arial" w:cs="Arial"/>
                                    <w:sz w:val="28"/>
                                    <w:szCs w:val="28"/>
                                  </w:rPr>
                                  <w:t>Student Name</w:t>
                                </w:r>
                                <w:r w:rsidR="00224CF5" w:rsidRPr="002B5D7C">
                                  <w:rPr>
                                    <w:rFonts w:ascii="Arial" w:hAnsi="Arial" w:cs="Arial"/>
                                    <w:sz w:val="28"/>
                                    <w:szCs w:val="28"/>
                                  </w:rPr>
                                  <w:t>: Jordan Glasgow</w:t>
                                </w:r>
                              </w:p>
                              <w:p w14:paraId="552654FA" w14:textId="5B8268CD" w:rsidR="00224CF5" w:rsidRPr="002B5D7C" w:rsidRDefault="00224CF5" w:rsidP="002B5D7C">
                                <w:pPr>
                                  <w:spacing w:line="360" w:lineRule="auto"/>
                                  <w:jc w:val="both"/>
                                  <w:rPr>
                                    <w:rFonts w:ascii="Arial" w:hAnsi="Arial" w:cs="Arial"/>
                                    <w:sz w:val="28"/>
                                    <w:szCs w:val="28"/>
                                  </w:rPr>
                                </w:pPr>
                                <w:r w:rsidRPr="002B5D7C">
                                  <w:rPr>
                                    <w:rFonts w:ascii="Arial" w:hAnsi="Arial" w:cs="Arial"/>
                                    <w:sz w:val="28"/>
                                    <w:szCs w:val="28"/>
                                  </w:rPr>
                                  <w:t xml:space="preserve">Student </w:t>
                                </w:r>
                                <w:r w:rsidR="00985FA9" w:rsidRPr="002B5D7C">
                                  <w:rPr>
                                    <w:rFonts w:ascii="Arial" w:hAnsi="Arial" w:cs="Arial"/>
                                    <w:sz w:val="28"/>
                                    <w:szCs w:val="28"/>
                                  </w:rPr>
                                  <w:t>Number:1918303</w:t>
                                </w:r>
                              </w:p>
                              <w:p w14:paraId="5814AF35" w14:textId="48497FF8" w:rsidR="00587F0E" w:rsidRPr="002B5D7C" w:rsidRDefault="00587F0E" w:rsidP="002B5D7C">
                                <w:pPr>
                                  <w:spacing w:line="360" w:lineRule="auto"/>
                                  <w:jc w:val="both"/>
                                  <w:rPr>
                                    <w:rFonts w:ascii="Arial" w:hAnsi="Arial" w:cs="Arial"/>
                                    <w:sz w:val="28"/>
                                    <w:szCs w:val="28"/>
                                  </w:rPr>
                                </w:pPr>
                                <w:r w:rsidRPr="002B5D7C">
                                  <w:rPr>
                                    <w:rFonts w:ascii="Arial" w:hAnsi="Arial" w:cs="Arial"/>
                                    <w:sz w:val="28"/>
                                    <w:szCs w:val="28"/>
                                  </w:rPr>
                                  <w:t>Programme: BSc Health and Social Care</w:t>
                                </w:r>
                              </w:p>
                              <w:p w14:paraId="2C925926" w14:textId="77777777" w:rsidR="00587F0E" w:rsidRPr="002B5D7C" w:rsidRDefault="00587F0E" w:rsidP="002B5D7C">
                                <w:pPr>
                                  <w:spacing w:line="360" w:lineRule="auto"/>
                                  <w:jc w:val="both"/>
                                  <w:rPr>
                                    <w:rFonts w:ascii="Arial" w:hAnsi="Arial" w:cs="Arial"/>
                                    <w:sz w:val="28"/>
                                    <w:szCs w:val="28"/>
                                  </w:rPr>
                                </w:pPr>
                                <w:r w:rsidRPr="002B5D7C">
                                  <w:rPr>
                                    <w:rFonts w:ascii="Arial" w:hAnsi="Arial" w:cs="Arial"/>
                                    <w:sz w:val="28"/>
                                    <w:szCs w:val="28"/>
                                  </w:rPr>
                                  <w:t>Module: Mental Disorders and Psychopathology</w:t>
                                </w:r>
                              </w:p>
                              <w:p w14:paraId="34FB59F0" w14:textId="46BF3971" w:rsidR="00985FA9" w:rsidRPr="002B5D7C" w:rsidRDefault="00587F0E" w:rsidP="002B5D7C">
                                <w:pPr>
                                  <w:spacing w:line="360" w:lineRule="auto"/>
                                  <w:jc w:val="both"/>
                                  <w:rPr>
                                    <w:rFonts w:ascii="Arial" w:hAnsi="Arial" w:cs="Arial"/>
                                    <w:sz w:val="28"/>
                                    <w:szCs w:val="28"/>
                                  </w:rPr>
                                </w:pPr>
                                <w:r w:rsidRPr="002B5D7C">
                                  <w:rPr>
                                    <w:rFonts w:ascii="Arial" w:hAnsi="Arial" w:cs="Arial"/>
                                    <w:sz w:val="28"/>
                                    <w:szCs w:val="28"/>
                                  </w:rPr>
                                  <w:t>Module code: BMHP6006_BIRM</w:t>
                                </w:r>
                              </w:p>
                              <w:p w14:paraId="310B708E" w14:textId="1BDD05DD" w:rsidR="00587F0E" w:rsidRPr="002B5D7C" w:rsidRDefault="00441F1A" w:rsidP="002B5D7C">
                                <w:pPr>
                                  <w:spacing w:line="360" w:lineRule="auto"/>
                                  <w:jc w:val="both"/>
                                  <w:rPr>
                                    <w:rFonts w:ascii="Arial" w:hAnsi="Arial" w:cs="Arial"/>
                                    <w:sz w:val="28"/>
                                    <w:szCs w:val="28"/>
                                  </w:rPr>
                                </w:pPr>
                                <w:r w:rsidRPr="002B5D7C">
                                  <w:rPr>
                                    <w:rFonts w:ascii="Arial" w:hAnsi="Arial" w:cs="Arial"/>
                                    <w:sz w:val="28"/>
                                    <w:szCs w:val="28"/>
                                  </w:rPr>
                                  <w:t>Lectures Name: C</w:t>
                                </w:r>
                                <w:r w:rsidR="002B5D7C" w:rsidRPr="002B5D7C">
                                  <w:rPr>
                                    <w:rFonts w:ascii="Arial" w:hAnsi="Arial" w:cs="Arial"/>
                                    <w:sz w:val="28"/>
                                    <w:szCs w:val="28"/>
                                  </w:rPr>
                                  <w:t xml:space="preserve">hloe Harris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245E0F5" id="_x0000_t202" coordsize="21600,21600" o:spt="202" path="m,l,21600r21600,l21600,xe">
                    <v:stroke joinstyle="miter"/>
                    <v:path gradientshapeok="t" o:connecttype="rect"/>
                  </v:shapetype>
                  <v:shape id="Text Box 2" o:spid="_x0000_s1026" type="#_x0000_t202" style="position:absolute;margin-left:29.3pt;margin-top:406.15pt;width:464.6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">
                    <v:textbox style="mso-fit-shape-to-text:t">
                      <w:txbxContent>
                        <w:p w14:paraId="1CB6FBC1" w14:textId="2D87FDF4" w:rsidR="000D523D" w:rsidRPr="002B5D7C" w:rsidRDefault="002B7057" w:rsidP="002B5D7C">
                          <w:pPr>
                            <w:spacing w:line="360" w:lineRule="auto"/>
                            <w:jc w:val="both"/>
                            <w:rPr>
                              <w:rFonts w:ascii="Arial" w:hAnsi="Arial" w:cs="Arial"/>
                              <w:sz w:val="28"/>
                              <w:szCs w:val="28"/>
                            </w:rPr>
                          </w:pPr>
                          <w:r w:rsidRPr="002B5D7C">
                            <w:rPr>
                              <w:rFonts w:ascii="Arial" w:hAnsi="Arial" w:cs="Arial"/>
                              <w:sz w:val="28"/>
                              <w:szCs w:val="28"/>
                            </w:rPr>
                            <w:t>Student Name</w:t>
                          </w:r>
                          <w:r w:rsidR="00224CF5" w:rsidRPr="002B5D7C">
                            <w:rPr>
                              <w:rFonts w:ascii="Arial" w:hAnsi="Arial" w:cs="Arial"/>
                              <w:sz w:val="28"/>
                              <w:szCs w:val="28"/>
                            </w:rPr>
                            <w:t>: Jordan Glasgow</w:t>
                          </w:r>
                        </w:p>
                        <w:p w14:paraId="552654FA" w14:textId="5B8268CD" w:rsidR="00224CF5" w:rsidRPr="002B5D7C" w:rsidRDefault="00224CF5" w:rsidP="002B5D7C">
                          <w:pPr>
                            <w:spacing w:line="360" w:lineRule="auto"/>
                            <w:jc w:val="both"/>
                            <w:rPr>
                              <w:rFonts w:ascii="Arial" w:hAnsi="Arial" w:cs="Arial"/>
                              <w:sz w:val="28"/>
                              <w:szCs w:val="28"/>
                            </w:rPr>
                          </w:pPr>
                          <w:r w:rsidRPr="002B5D7C">
                            <w:rPr>
                              <w:rFonts w:ascii="Arial" w:hAnsi="Arial" w:cs="Arial"/>
                              <w:sz w:val="28"/>
                              <w:szCs w:val="28"/>
                            </w:rPr>
                            <w:t xml:space="preserve">Student </w:t>
                          </w:r>
                          <w:r w:rsidR="00985FA9" w:rsidRPr="002B5D7C">
                            <w:rPr>
                              <w:rFonts w:ascii="Arial" w:hAnsi="Arial" w:cs="Arial"/>
                              <w:sz w:val="28"/>
                              <w:szCs w:val="28"/>
                            </w:rPr>
                            <w:t>Number:1918303</w:t>
                          </w:r>
                        </w:p>
                        <w:p w14:paraId="5814AF35" w14:textId="48497FF8" w:rsidR="00587F0E" w:rsidRPr="002B5D7C" w:rsidRDefault="00587F0E" w:rsidP="002B5D7C">
                          <w:pPr>
                            <w:spacing w:line="360" w:lineRule="auto"/>
                            <w:jc w:val="both"/>
                            <w:rPr>
                              <w:rFonts w:ascii="Arial" w:hAnsi="Arial" w:cs="Arial"/>
                              <w:sz w:val="28"/>
                              <w:szCs w:val="28"/>
                            </w:rPr>
                          </w:pPr>
                          <w:r w:rsidRPr="002B5D7C">
                            <w:rPr>
                              <w:rFonts w:ascii="Arial" w:hAnsi="Arial" w:cs="Arial"/>
                              <w:sz w:val="28"/>
                              <w:szCs w:val="28"/>
                            </w:rPr>
                            <w:t>Programme: BSc Health and Social Care</w:t>
                          </w:r>
                        </w:p>
                        <w:p w14:paraId="2C925926" w14:textId="77777777" w:rsidR="00587F0E" w:rsidRPr="002B5D7C" w:rsidRDefault="00587F0E" w:rsidP="002B5D7C">
                          <w:pPr>
                            <w:spacing w:line="360" w:lineRule="auto"/>
                            <w:jc w:val="both"/>
                            <w:rPr>
                              <w:rFonts w:ascii="Arial" w:hAnsi="Arial" w:cs="Arial"/>
                              <w:sz w:val="28"/>
                              <w:szCs w:val="28"/>
                            </w:rPr>
                          </w:pPr>
                          <w:r w:rsidRPr="002B5D7C">
                            <w:rPr>
                              <w:rFonts w:ascii="Arial" w:hAnsi="Arial" w:cs="Arial"/>
                              <w:sz w:val="28"/>
                              <w:szCs w:val="28"/>
                            </w:rPr>
                            <w:t>Module: Mental Disorders and Psychopathology</w:t>
                          </w:r>
                        </w:p>
                        <w:p w14:paraId="34FB59F0" w14:textId="46BF3971" w:rsidR="00985FA9" w:rsidRPr="002B5D7C" w:rsidRDefault="00587F0E" w:rsidP="002B5D7C">
                          <w:pPr>
                            <w:spacing w:line="360" w:lineRule="auto"/>
                            <w:jc w:val="both"/>
                            <w:rPr>
                              <w:rFonts w:ascii="Arial" w:hAnsi="Arial" w:cs="Arial"/>
                              <w:sz w:val="28"/>
                              <w:szCs w:val="28"/>
                            </w:rPr>
                          </w:pPr>
                          <w:r w:rsidRPr="002B5D7C">
                            <w:rPr>
                              <w:rFonts w:ascii="Arial" w:hAnsi="Arial" w:cs="Arial"/>
                              <w:sz w:val="28"/>
                              <w:szCs w:val="28"/>
                            </w:rPr>
                            <w:t>Module code: BMHP6006_BIRM</w:t>
                          </w:r>
                        </w:p>
                        <w:p w14:paraId="310B708E" w14:textId="1BDD05DD" w:rsidR="00587F0E" w:rsidRPr="002B5D7C" w:rsidRDefault="00441F1A" w:rsidP="002B5D7C">
                          <w:pPr>
                            <w:spacing w:line="360" w:lineRule="auto"/>
                            <w:jc w:val="both"/>
                            <w:rPr>
                              <w:rFonts w:ascii="Arial" w:hAnsi="Arial" w:cs="Arial"/>
                              <w:sz w:val="28"/>
                              <w:szCs w:val="28"/>
                            </w:rPr>
                          </w:pPr>
                          <w:r w:rsidRPr="002B5D7C">
                            <w:rPr>
                              <w:rFonts w:ascii="Arial" w:hAnsi="Arial" w:cs="Arial"/>
                              <w:sz w:val="28"/>
                              <w:szCs w:val="28"/>
                            </w:rPr>
                            <w:t>Lectures Name: C</w:t>
                          </w:r>
                          <w:r w:rsidR="002B5D7C" w:rsidRPr="002B5D7C">
                            <w:rPr>
                              <w:rFonts w:ascii="Arial" w:hAnsi="Arial" w:cs="Arial"/>
                              <w:sz w:val="28"/>
                              <w:szCs w:val="28"/>
                            </w:rPr>
                            <w:t xml:space="preserve">hloe Harris </w:t>
                          </w:r>
                        </w:p>
                      </w:txbxContent>
                    </v:textbox>
                    <w10:wrap type="square"/>
                  </v:shape>
                </w:pict>
              </mc:Fallback>
            </mc:AlternateContent>
          </w:r>
          <w:r>
            <w:rPr>
              <w:noProof/>
            </w:rPr>
            <mc:AlternateContent>
              <mc:Choice Requires="wps">
                <w:drawing>
                  <wp:anchor distT="0" distB="0" distL="114300" distR="114300" simplePos="0" relativeHeight="251659264" behindDoc="0" locked="0" layoutInCell="1" allowOverlap="1" wp14:anchorId="5D6EB672" wp14:editId="03EAB0CF">
                    <wp:simplePos x="0" y="0"/>
                    <wp:positionH relativeFrom="margin">
                      <wp:align>center</wp:align>
                    </wp:positionH>
                    <wp:positionV relativeFrom="page">
                      <wp:posOffset>1421115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7F4DDB" w14:textId="06FFED9D" w:rsidR="00BF552E" w:rsidRPr="00BF552E" w:rsidRDefault="00000000">
                                <w:pPr>
                                  <w:jc w:val="right"/>
                                  <w:rPr>
                                    <w:color w:val="4472C4" w:themeColor="accent1"/>
                                    <w:sz w:val="72"/>
                                    <w:szCs w:val="72"/>
                                  </w:rPr>
                                </w:pPr>
                                <w:sdt>
                                  <w:sdtPr>
                                    <w:rPr>
                                      <w:caps/>
                                      <w:color w:val="4472C4"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F552E" w:rsidRPr="00BF552E">
                                      <w:rPr>
                                        <w:caps/>
                                        <w:color w:val="4472C4" w:themeColor="accent1"/>
                                        <w:sz w:val="72"/>
                                        <w:szCs w:val="72"/>
                                      </w:rPr>
                                      <w:t>Component 2 written report</w:t>
                                    </w:r>
                                  </w:sdtContent>
                                </w:sdt>
                              </w:p>
                              <w:p w14:paraId="56DAA78B" w14:textId="3A8FA4AF" w:rsidR="00BF552E" w:rsidRDefault="00BF552E">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D6EB672" id="Text Box 154" o:spid="_x0000_s1027" type="#_x0000_t202" style="position:absolute;margin-left:0;margin-top:111.9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" filled="f" stroked="f" strokeweight=".5pt">
                    <v:textbox inset="126pt,0,54pt,0">
                      <w:txbxContent>
                        <w:p w14:paraId="487F4DDB" w14:textId="06FFED9D" w:rsidR="00BF552E" w:rsidRPr="00BF552E" w:rsidRDefault="00000000">
                          <w:pPr>
                            <w:jc w:val="right"/>
                            <w:rPr>
                              <w:color w:val="4472C4" w:themeColor="accent1"/>
                              <w:sz w:val="72"/>
                              <w:szCs w:val="72"/>
                            </w:rPr>
                          </w:pPr>
                          <w:sdt>
                            <w:sdtPr>
                              <w:rPr>
                                <w:caps/>
                                <w:color w:val="4472C4"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F552E" w:rsidRPr="00BF552E">
                                <w:rPr>
                                  <w:caps/>
                                  <w:color w:val="4472C4" w:themeColor="accent1"/>
                                  <w:sz w:val="72"/>
                                  <w:szCs w:val="72"/>
                                </w:rPr>
                                <w:t>Component 2 written report</w:t>
                              </w:r>
                            </w:sdtContent>
                          </w:sdt>
                        </w:p>
                        <w:p w14:paraId="56DAA78B" w14:textId="3A8FA4AF" w:rsidR="00BF552E" w:rsidRDefault="00BF552E">
                          <w:pPr>
                            <w:jc w:val="right"/>
                            <w:rPr>
                              <w:smallCaps/>
                              <w:color w:val="404040" w:themeColor="text1" w:themeTint="BF"/>
                              <w:sz w:val="36"/>
                              <w:szCs w:val="36"/>
                            </w:rPr>
                          </w:pPr>
                        </w:p>
                      </w:txbxContent>
                    </v:textbox>
                    <w10:wrap type="square" anchorx="margin" anchory="page"/>
                  </v:shape>
                </w:pict>
              </mc:Fallback>
            </mc:AlternateContent>
          </w:r>
          <w:r w:rsidR="00BF552E">
            <w:br w:type="page"/>
          </w:r>
        </w:p>
      </w:sdtContent>
    </w:sdt>
    <w:sdt>
      <w:sdtPr>
        <w:rPr>
          <w:rFonts w:ascii="Arial" w:hAnsi="Arial" w:cs="Arial"/>
          <w:b/>
          <w:bCs/>
          <w:color w:val="auto"/>
          <w:u w:val="single"/>
        </w:rPr>
        <w:id w:val="-709260808"/>
        <w:docPartObj>
          <w:docPartGallery w:val="Table of Contents"/>
          <w:docPartUnique/>
        </w:docPartObj>
      </w:sdtPr>
      <w:sdtEndPr>
        <w:rPr>
          <w:rFonts w:asciiTheme="minorHAnsi" w:eastAsiaTheme="minorHAnsi" w:hAnsiTheme="minorHAnsi" w:cstheme="minorBidi"/>
          <w:noProof/>
          <w:sz w:val="22"/>
          <w:szCs w:val="22"/>
          <w:u w:val="none"/>
          <w:lang w:val="en-GB"/>
        </w:rPr>
      </w:sdtEndPr>
      <w:sdtContent>
        <w:p w14:paraId="4F02EA04" w14:textId="5527971E" w:rsidR="00E61C37" w:rsidRPr="00E61C37" w:rsidRDefault="00E61C37">
          <w:pPr>
            <w:pStyle w:val="TOCHeading"/>
            <w:rPr>
              <w:rFonts w:ascii="Arial" w:hAnsi="Arial" w:cs="Arial"/>
              <w:b/>
              <w:bCs/>
              <w:color w:val="auto"/>
              <w:u w:val="single"/>
            </w:rPr>
          </w:pPr>
          <w:r w:rsidRPr="00E61C37">
            <w:rPr>
              <w:rFonts w:ascii="Arial" w:hAnsi="Arial" w:cs="Arial"/>
              <w:b/>
              <w:bCs/>
              <w:color w:val="auto"/>
              <w:u w:val="single"/>
            </w:rPr>
            <w:t>Contents</w:t>
          </w:r>
        </w:p>
        <w:p w14:paraId="257F558A" w14:textId="18C39B53" w:rsidR="004F4299" w:rsidRDefault="00E61C37">
          <w:pPr>
            <w:pStyle w:val="TOC1"/>
            <w:rPr>
              <w:rFonts w:asciiTheme="minorHAnsi" w:eastAsiaTheme="minorEastAsia" w:hAnsiTheme="minorHAnsi" w:cstheme="minorBidi"/>
              <w:b w:val="0"/>
              <w:bCs w:val="0"/>
              <w:lang w:eastAsia="en-GB"/>
            </w:rPr>
          </w:pPr>
          <w:r>
            <w:fldChar w:fldCharType="begin"/>
          </w:r>
          <w:r>
            <w:instrText xml:space="preserve"> TOC \o "1-3" \h \z \u </w:instrText>
          </w:r>
          <w:r>
            <w:fldChar w:fldCharType="separate"/>
          </w:r>
          <w:hyperlink w:anchor="_Toc110321242" w:history="1">
            <w:r w:rsidR="004F4299" w:rsidRPr="00002359">
              <w:rPr>
                <w:rStyle w:val="Hyperlink"/>
              </w:rPr>
              <w:t>Introduction</w:t>
            </w:r>
            <w:r w:rsidR="004F4299">
              <w:rPr>
                <w:webHidden/>
              </w:rPr>
              <w:tab/>
            </w:r>
            <w:r w:rsidR="004F4299">
              <w:rPr>
                <w:webHidden/>
              </w:rPr>
              <w:fldChar w:fldCharType="begin"/>
            </w:r>
            <w:r w:rsidR="004F4299">
              <w:rPr>
                <w:webHidden/>
              </w:rPr>
              <w:instrText xml:space="preserve"> PAGEREF _Toc110321242 \h </w:instrText>
            </w:r>
            <w:r w:rsidR="004F4299">
              <w:rPr>
                <w:webHidden/>
              </w:rPr>
            </w:r>
            <w:r w:rsidR="004F4299">
              <w:rPr>
                <w:webHidden/>
              </w:rPr>
              <w:fldChar w:fldCharType="separate"/>
            </w:r>
            <w:r w:rsidR="004F4299">
              <w:rPr>
                <w:webHidden/>
              </w:rPr>
              <w:t>2</w:t>
            </w:r>
            <w:r w:rsidR="004F4299">
              <w:rPr>
                <w:webHidden/>
              </w:rPr>
              <w:fldChar w:fldCharType="end"/>
            </w:r>
          </w:hyperlink>
        </w:p>
        <w:p w14:paraId="21014CA7" w14:textId="3B0DFCA6" w:rsidR="004F4299" w:rsidRDefault="004F4299">
          <w:pPr>
            <w:pStyle w:val="TOC1"/>
            <w:rPr>
              <w:rFonts w:asciiTheme="minorHAnsi" w:eastAsiaTheme="minorEastAsia" w:hAnsiTheme="minorHAnsi" w:cstheme="minorBidi"/>
              <w:b w:val="0"/>
              <w:bCs w:val="0"/>
              <w:lang w:eastAsia="en-GB"/>
            </w:rPr>
          </w:pPr>
          <w:hyperlink w:anchor="_Toc110321243" w:history="1">
            <w:r w:rsidRPr="00002359">
              <w:rPr>
                <w:rStyle w:val="Hyperlink"/>
              </w:rPr>
              <w:t>Definition and Classification</w:t>
            </w:r>
            <w:r>
              <w:rPr>
                <w:webHidden/>
              </w:rPr>
              <w:tab/>
            </w:r>
            <w:r>
              <w:rPr>
                <w:webHidden/>
              </w:rPr>
              <w:fldChar w:fldCharType="begin"/>
            </w:r>
            <w:r>
              <w:rPr>
                <w:webHidden/>
              </w:rPr>
              <w:instrText xml:space="preserve"> PAGEREF _Toc110321243 \h </w:instrText>
            </w:r>
            <w:r>
              <w:rPr>
                <w:webHidden/>
              </w:rPr>
            </w:r>
            <w:r>
              <w:rPr>
                <w:webHidden/>
              </w:rPr>
              <w:fldChar w:fldCharType="separate"/>
            </w:r>
            <w:r>
              <w:rPr>
                <w:webHidden/>
              </w:rPr>
              <w:t>3</w:t>
            </w:r>
            <w:r>
              <w:rPr>
                <w:webHidden/>
              </w:rPr>
              <w:fldChar w:fldCharType="end"/>
            </w:r>
          </w:hyperlink>
        </w:p>
        <w:p w14:paraId="49E65B04" w14:textId="57F29E4A" w:rsidR="004F4299" w:rsidRDefault="004F4299">
          <w:pPr>
            <w:pStyle w:val="TOC1"/>
            <w:rPr>
              <w:rFonts w:asciiTheme="minorHAnsi" w:eastAsiaTheme="minorEastAsia" w:hAnsiTheme="minorHAnsi" w:cstheme="minorBidi"/>
              <w:b w:val="0"/>
              <w:bCs w:val="0"/>
              <w:lang w:eastAsia="en-GB"/>
            </w:rPr>
          </w:pPr>
          <w:hyperlink w:anchor="_Toc110321244" w:history="1">
            <w:r w:rsidRPr="00002359">
              <w:rPr>
                <w:rStyle w:val="Hyperlink"/>
              </w:rPr>
              <w:t>Diagnosis</w:t>
            </w:r>
            <w:r>
              <w:rPr>
                <w:webHidden/>
              </w:rPr>
              <w:tab/>
            </w:r>
            <w:r>
              <w:rPr>
                <w:webHidden/>
              </w:rPr>
              <w:fldChar w:fldCharType="begin"/>
            </w:r>
            <w:r>
              <w:rPr>
                <w:webHidden/>
              </w:rPr>
              <w:instrText xml:space="preserve"> PAGEREF _Toc110321244 \h </w:instrText>
            </w:r>
            <w:r>
              <w:rPr>
                <w:webHidden/>
              </w:rPr>
            </w:r>
            <w:r>
              <w:rPr>
                <w:webHidden/>
              </w:rPr>
              <w:fldChar w:fldCharType="separate"/>
            </w:r>
            <w:r>
              <w:rPr>
                <w:webHidden/>
              </w:rPr>
              <w:t>5</w:t>
            </w:r>
            <w:r>
              <w:rPr>
                <w:webHidden/>
              </w:rPr>
              <w:fldChar w:fldCharType="end"/>
            </w:r>
          </w:hyperlink>
        </w:p>
        <w:p w14:paraId="253E72B6" w14:textId="56646E51" w:rsidR="004F4299" w:rsidRDefault="004F4299">
          <w:pPr>
            <w:pStyle w:val="TOC1"/>
            <w:rPr>
              <w:rFonts w:asciiTheme="minorHAnsi" w:eastAsiaTheme="minorEastAsia" w:hAnsiTheme="minorHAnsi" w:cstheme="minorBidi"/>
              <w:b w:val="0"/>
              <w:bCs w:val="0"/>
              <w:lang w:eastAsia="en-GB"/>
            </w:rPr>
          </w:pPr>
          <w:hyperlink w:anchor="_Toc110321245" w:history="1">
            <w:r w:rsidRPr="00002359">
              <w:rPr>
                <w:rStyle w:val="Hyperlink"/>
              </w:rPr>
              <w:t>Treatment</w:t>
            </w:r>
            <w:r>
              <w:rPr>
                <w:webHidden/>
              </w:rPr>
              <w:tab/>
            </w:r>
            <w:r>
              <w:rPr>
                <w:webHidden/>
              </w:rPr>
              <w:fldChar w:fldCharType="begin"/>
            </w:r>
            <w:r>
              <w:rPr>
                <w:webHidden/>
              </w:rPr>
              <w:instrText xml:space="preserve"> PAGEREF _Toc110321245 \h </w:instrText>
            </w:r>
            <w:r>
              <w:rPr>
                <w:webHidden/>
              </w:rPr>
            </w:r>
            <w:r>
              <w:rPr>
                <w:webHidden/>
              </w:rPr>
              <w:fldChar w:fldCharType="separate"/>
            </w:r>
            <w:r>
              <w:rPr>
                <w:webHidden/>
              </w:rPr>
              <w:t>7</w:t>
            </w:r>
            <w:r>
              <w:rPr>
                <w:webHidden/>
              </w:rPr>
              <w:fldChar w:fldCharType="end"/>
            </w:r>
          </w:hyperlink>
        </w:p>
        <w:p w14:paraId="67C363D1" w14:textId="530FD3CB" w:rsidR="004F4299" w:rsidRDefault="004F4299">
          <w:pPr>
            <w:pStyle w:val="TOC1"/>
            <w:rPr>
              <w:rFonts w:asciiTheme="minorHAnsi" w:eastAsiaTheme="minorEastAsia" w:hAnsiTheme="minorHAnsi" w:cstheme="minorBidi"/>
              <w:b w:val="0"/>
              <w:bCs w:val="0"/>
              <w:lang w:eastAsia="en-GB"/>
            </w:rPr>
          </w:pPr>
          <w:hyperlink w:anchor="_Toc110321246" w:history="1">
            <w:r w:rsidRPr="00002359">
              <w:rPr>
                <w:rStyle w:val="Hyperlink"/>
              </w:rPr>
              <w:t>Measurement of Rehabilitation</w:t>
            </w:r>
            <w:r>
              <w:rPr>
                <w:webHidden/>
              </w:rPr>
              <w:tab/>
            </w:r>
            <w:r>
              <w:rPr>
                <w:webHidden/>
              </w:rPr>
              <w:fldChar w:fldCharType="begin"/>
            </w:r>
            <w:r>
              <w:rPr>
                <w:webHidden/>
              </w:rPr>
              <w:instrText xml:space="preserve"> PAGEREF _Toc110321246 \h </w:instrText>
            </w:r>
            <w:r>
              <w:rPr>
                <w:webHidden/>
              </w:rPr>
            </w:r>
            <w:r>
              <w:rPr>
                <w:webHidden/>
              </w:rPr>
              <w:fldChar w:fldCharType="separate"/>
            </w:r>
            <w:r>
              <w:rPr>
                <w:webHidden/>
              </w:rPr>
              <w:t>9</w:t>
            </w:r>
            <w:r>
              <w:rPr>
                <w:webHidden/>
              </w:rPr>
              <w:fldChar w:fldCharType="end"/>
            </w:r>
          </w:hyperlink>
        </w:p>
        <w:p w14:paraId="4DD92F81" w14:textId="0B5B2C25" w:rsidR="004F4299" w:rsidRDefault="004F4299">
          <w:pPr>
            <w:pStyle w:val="TOC1"/>
            <w:rPr>
              <w:rFonts w:asciiTheme="minorHAnsi" w:eastAsiaTheme="minorEastAsia" w:hAnsiTheme="minorHAnsi" w:cstheme="minorBidi"/>
              <w:b w:val="0"/>
              <w:bCs w:val="0"/>
              <w:lang w:eastAsia="en-GB"/>
            </w:rPr>
          </w:pPr>
          <w:hyperlink w:anchor="_Toc110321247" w:history="1">
            <w:r w:rsidRPr="00002359">
              <w:rPr>
                <w:rStyle w:val="Hyperlink"/>
              </w:rPr>
              <w:t>Recommendations for future practice</w:t>
            </w:r>
            <w:r>
              <w:rPr>
                <w:webHidden/>
              </w:rPr>
              <w:tab/>
            </w:r>
            <w:r>
              <w:rPr>
                <w:webHidden/>
              </w:rPr>
              <w:fldChar w:fldCharType="begin"/>
            </w:r>
            <w:r>
              <w:rPr>
                <w:webHidden/>
              </w:rPr>
              <w:instrText xml:space="preserve"> PAGEREF _Toc110321247 \h </w:instrText>
            </w:r>
            <w:r>
              <w:rPr>
                <w:webHidden/>
              </w:rPr>
            </w:r>
            <w:r>
              <w:rPr>
                <w:webHidden/>
              </w:rPr>
              <w:fldChar w:fldCharType="separate"/>
            </w:r>
            <w:r>
              <w:rPr>
                <w:webHidden/>
              </w:rPr>
              <w:t>11</w:t>
            </w:r>
            <w:r>
              <w:rPr>
                <w:webHidden/>
              </w:rPr>
              <w:fldChar w:fldCharType="end"/>
            </w:r>
          </w:hyperlink>
        </w:p>
        <w:p w14:paraId="200034E4" w14:textId="7F8977FD" w:rsidR="004F4299" w:rsidRDefault="004F4299">
          <w:pPr>
            <w:pStyle w:val="TOC1"/>
            <w:rPr>
              <w:rFonts w:asciiTheme="minorHAnsi" w:eastAsiaTheme="minorEastAsia" w:hAnsiTheme="minorHAnsi" w:cstheme="minorBidi"/>
              <w:b w:val="0"/>
              <w:bCs w:val="0"/>
              <w:lang w:eastAsia="en-GB"/>
            </w:rPr>
          </w:pPr>
          <w:hyperlink w:anchor="_Toc110321248" w:history="1">
            <w:r w:rsidRPr="00002359">
              <w:rPr>
                <w:rStyle w:val="Hyperlink"/>
              </w:rPr>
              <w:t>Conclusion</w:t>
            </w:r>
            <w:r>
              <w:rPr>
                <w:webHidden/>
              </w:rPr>
              <w:tab/>
            </w:r>
            <w:r>
              <w:rPr>
                <w:webHidden/>
              </w:rPr>
              <w:fldChar w:fldCharType="begin"/>
            </w:r>
            <w:r>
              <w:rPr>
                <w:webHidden/>
              </w:rPr>
              <w:instrText xml:space="preserve"> PAGEREF _Toc110321248 \h </w:instrText>
            </w:r>
            <w:r>
              <w:rPr>
                <w:webHidden/>
              </w:rPr>
            </w:r>
            <w:r>
              <w:rPr>
                <w:webHidden/>
              </w:rPr>
              <w:fldChar w:fldCharType="separate"/>
            </w:r>
            <w:r>
              <w:rPr>
                <w:webHidden/>
              </w:rPr>
              <w:t>13</w:t>
            </w:r>
            <w:r>
              <w:rPr>
                <w:webHidden/>
              </w:rPr>
              <w:fldChar w:fldCharType="end"/>
            </w:r>
          </w:hyperlink>
        </w:p>
        <w:p w14:paraId="42F9DE2D" w14:textId="764B887A" w:rsidR="004F4299" w:rsidRDefault="004F4299">
          <w:pPr>
            <w:pStyle w:val="TOC1"/>
            <w:rPr>
              <w:rFonts w:asciiTheme="minorHAnsi" w:eastAsiaTheme="minorEastAsia" w:hAnsiTheme="minorHAnsi" w:cstheme="minorBidi"/>
              <w:b w:val="0"/>
              <w:bCs w:val="0"/>
              <w:lang w:eastAsia="en-GB"/>
            </w:rPr>
          </w:pPr>
          <w:hyperlink w:anchor="_Toc110321249" w:history="1">
            <w:r w:rsidRPr="00002359">
              <w:rPr>
                <w:rStyle w:val="Hyperlink"/>
              </w:rPr>
              <w:t>Reference List</w:t>
            </w:r>
            <w:r>
              <w:rPr>
                <w:webHidden/>
              </w:rPr>
              <w:tab/>
            </w:r>
            <w:r>
              <w:rPr>
                <w:webHidden/>
              </w:rPr>
              <w:fldChar w:fldCharType="begin"/>
            </w:r>
            <w:r>
              <w:rPr>
                <w:webHidden/>
              </w:rPr>
              <w:instrText xml:space="preserve"> PAGEREF _Toc110321249 \h </w:instrText>
            </w:r>
            <w:r>
              <w:rPr>
                <w:webHidden/>
              </w:rPr>
            </w:r>
            <w:r>
              <w:rPr>
                <w:webHidden/>
              </w:rPr>
              <w:fldChar w:fldCharType="separate"/>
            </w:r>
            <w:r>
              <w:rPr>
                <w:webHidden/>
              </w:rPr>
              <w:t>14</w:t>
            </w:r>
            <w:r>
              <w:rPr>
                <w:webHidden/>
              </w:rPr>
              <w:fldChar w:fldCharType="end"/>
            </w:r>
          </w:hyperlink>
        </w:p>
        <w:p w14:paraId="3DD87930" w14:textId="06CD4BE7" w:rsidR="00E61C37" w:rsidRDefault="00E61C37">
          <w:r>
            <w:rPr>
              <w:b/>
              <w:bCs/>
              <w:noProof/>
            </w:rPr>
            <w:fldChar w:fldCharType="end"/>
          </w:r>
        </w:p>
      </w:sdtContent>
    </w:sdt>
    <w:p w14:paraId="3579111E" w14:textId="625EDF4F" w:rsidR="002B5D7C" w:rsidRDefault="002B5D7C">
      <w:r>
        <w:br w:type="page"/>
      </w:r>
    </w:p>
    <w:p w14:paraId="76507A24" w14:textId="634F8809" w:rsidR="00C741D0" w:rsidRPr="00C741D0" w:rsidRDefault="00C80D52" w:rsidP="00C741D0">
      <w:pPr>
        <w:pStyle w:val="Heading1"/>
        <w:rPr>
          <w:rFonts w:ascii="Arial" w:hAnsi="Arial" w:cs="Arial"/>
          <w:b/>
          <w:bCs/>
          <w:color w:val="auto"/>
          <w:sz w:val="36"/>
          <w:szCs w:val="36"/>
          <w:u w:val="single"/>
        </w:rPr>
      </w:pPr>
      <w:bookmarkStart w:id="0" w:name="_Toc110321242"/>
      <w:r w:rsidRPr="00021F0A">
        <w:rPr>
          <w:rFonts w:ascii="Arial" w:hAnsi="Arial" w:cs="Arial"/>
          <w:b/>
          <w:bCs/>
          <w:color w:val="auto"/>
          <w:sz w:val="36"/>
          <w:szCs w:val="36"/>
          <w:u w:val="single"/>
        </w:rPr>
        <w:lastRenderedPageBreak/>
        <w:t>Introduction</w:t>
      </w:r>
      <w:bookmarkEnd w:id="0"/>
    </w:p>
    <w:p w14:paraId="429C19B1" w14:textId="79927942" w:rsidR="00B02605" w:rsidRDefault="00B02605" w:rsidP="00B02605"/>
    <w:p w14:paraId="49812D22" w14:textId="77777777" w:rsidR="00AA38CA" w:rsidRPr="00273528" w:rsidRDefault="00AA38CA" w:rsidP="00AA38CA">
      <w:pPr>
        <w:spacing w:line="360" w:lineRule="auto"/>
        <w:jc w:val="both"/>
        <w:rPr>
          <w:rFonts w:ascii="Arial" w:hAnsi="Arial" w:cs="Arial"/>
        </w:rPr>
      </w:pPr>
      <w:r w:rsidRPr="00273528">
        <w:rPr>
          <w:rFonts w:ascii="Arial" w:hAnsi="Arial" w:cs="Arial"/>
        </w:rPr>
        <w:t>Dementia (F00-F03) is a condition caused by a brain disorder, generally chronic or progressive, in which various higher cortical functions, such as memory, reasoning, direction, understanding, computation, learning ability, language, and judgement, are disrupted.</w:t>
      </w:r>
    </w:p>
    <w:p w14:paraId="0CC53858" w14:textId="0660462F" w:rsidR="00AA38CA" w:rsidRPr="00273528" w:rsidRDefault="00AA38CA" w:rsidP="00AA38CA">
      <w:pPr>
        <w:spacing w:line="360" w:lineRule="auto"/>
        <w:jc w:val="both"/>
        <w:rPr>
          <w:rFonts w:ascii="Arial" w:hAnsi="Arial" w:cs="Arial"/>
        </w:rPr>
      </w:pPr>
      <w:r w:rsidRPr="00273528">
        <w:rPr>
          <w:rFonts w:ascii="Arial" w:hAnsi="Arial" w:cs="Arial"/>
        </w:rPr>
        <w:t xml:space="preserve">The consciousness is not obscured. Impaired cognitive performance is frequently accompanied by, and sometimes preceded by, decrease in emotional regulation, social behaviour, or motivation. This syndrome arises in Alzheimer's disease, cerebrovascular illness, and other disorders that affect the brain primarily or secondary. </w:t>
      </w:r>
      <w:r w:rsidR="00C174EF" w:rsidRPr="00273528">
        <w:rPr>
          <w:rFonts w:ascii="Arial" w:hAnsi="Arial" w:cs="Arial"/>
        </w:rPr>
        <w:t>F01.0 Arteriosclerotic dementia Acute onset vascular dementia. Typically occurs quickly following a series of strokes caused by cerebrovascular thrombosis, embolism, or haemorrhage. A single massive infarction may be the culprit in certain instances.</w:t>
      </w:r>
    </w:p>
    <w:p w14:paraId="573904BC" w14:textId="3918F03D" w:rsidR="00AA38CA" w:rsidRPr="00273528" w:rsidRDefault="00AA38CA" w:rsidP="00AA38CA">
      <w:pPr>
        <w:spacing w:line="360" w:lineRule="auto"/>
        <w:jc w:val="both"/>
        <w:rPr>
          <w:rFonts w:ascii="Arial" w:hAnsi="Arial" w:cs="Arial"/>
        </w:rPr>
      </w:pPr>
      <w:r w:rsidRPr="00273528">
        <w:rPr>
          <w:rFonts w:ascii="Arial" w:hAnsi="Arial" w:cs="Arial"/>
        </w:rPr>
        <w:t>The World Health Organization officially launched the official ICD-10 code set. Chapter V ('Mental and behavioural disorders, including disorders of psychological development') offers operationalized diagnostic standards for the categorization of mental illnesses, including a precise definition of vascular dementia. Furthermore, the ICD-10 criteria allow for the classification of vascular dementia into subcategories such as acute onset vascular dementia, multi-infarct dementia, subcortical vascular dementia, and mixed or unexplained kinds. The clinical viability of the ICD-10 criteria for subtypes of vascular dementia was demonstrated in a study of 72 demented individuals aged 75 to 83 years who had computed tomography scans demonstrating arterial lesions. Only 18 cases (25.0%) meet the ICD-10 criteria for vascular dementia. Sixty-one percent of the cases could be adequately divided into subtypes.</w:t>
      </w:r>
    </w:p>
    <w:p w14:paraId="22075C67" w14:textId="36711E3D" w:rsidR="00EC6F38" w:rsidRPr="00273528" w:rsidRDefault="00C174EF" w:rsidP="00EC6F38">
      <w:pPr>
        <w:spacing w:line="360" w:lineRule="auto"/>
        <w:jc w:val="both"/>
        <w:rPr>
          <w:rFonts w:ascii="Arial" w:hAnsi="Arial" w:cs="Arial"/>
        </w:rPr>
      </w:pPr>
      <w:r w:rsidRPr="00273528">
        <w:rPr>
          <w:rFonts w:ascii="Arial" w:hAnsi="Arial" w:cs="Arial"/>
        </w:rPr>
        <w:t>Vascular</w:t>
      </w:r>
      <w:r w:rsidR="0091553E" w:rsidRPr="00273528">
        <w:rPr>
          <w:rFonts w:ascii="Arial" w:hAnsi="Arial" w:cs="Arial"/>
        </w:rPr>
        <w:t xml:space="preserve"> dementia (VAD) is the second most frequent form of dementia in both Europe and the United States. It is more widespread in Asia and many poor nations than Alzheimer's disease dementia (DAT). VAD is the most avoidable kind of dementia related to old age. VAD pathophysiology is multifaceted, and it is a diverse clinical entity, not a homogenous one. VAD pathophysiology classification is critical for prevention and therapy. Controlling the risk factors for VAD minimises its occurrence while also stabilising or improving cognitive function.</w:t>
      </w:r>
      <w:r w:rsidR="00DF1ED6" w:rsidRPr="00273528">
        <w:rPr>
          <w:rFonts w:ascii="Arial" w:hAnsi="Arial" w:cs="Arial"/>
        </w:rPr>
        <w:t xml:space="preserve"> </w:t>
      </w:r>
      <w:r w:rsidR="00EC6F38" w:rsidRPr="00273528">
        <w:rPr>
          <w:rFonts w:ascii="Arial" w:hAnsi="Arial" w:cs="Arial"/>
        </w:rPr>
        <w:t>Vascular dementia results from a brain infarction caused by vascular illness, such as hypertensive cerebrovascular disease. Infarcts are often minor, but their cumulative effect is significant. The onset is frequently later in life.</w:t>
      </w:r>
    </w:p>
    <w:p w14:paraId="228963A8" w14:textId="60BAC026" w:rsidR="00C14EBB" w:rsidRPr="00273528" w:rsidRDefault="00C14EBB" w:rsidP="00EC6F38">
      <w:pPr>
        <w:spacing w:line="360" w:lineRule="auto"/>
        <w:jc w:val="both"/>
        <w:rPr>
          <w:rFonts w:ascii="Arial" w:hAnsi="Arial" w:cs="Arial"/>
        </w:rPr>
      </w:pPr>
      <w:r w:rsidRPr="00273528">
        <w:rPr>
          <w:rFonts w:ascii="Arial" w:hAnsi="Arial" w:cs="Arial"/>
        </w:rPr>
        <w:br w:type="page"/>
      </w:r>
    </w:p>
    <w:p w14:paraId="71674544" w14:textId="4D99B03A" w:rsidR="00B02605" w:rsidRDefault="00021F0A" w:rsidP="00021F0A">
      <w:pPr>
        <w:pStyle w:val="Heading1"/>
        <w:rPr>
          <w:rFonts w:ascii="Arial" w:hAnsi="Arial" w:cs="Arial"/>
          <w:b/>
          <w:bCs/>
          <w:color w:val="auto"/>
          <w:sz w:val="40"/>
          <w:szCs w:val="40"/>
          <w:u w:val="single"/>
        </w:rPr>
      </w:pPr>
      <w:bookmarkStart w:id="1" w:name="_Toc110321243"/>
      <w:r w:rsidRPr="00021F0A">
        <w:rPr>
          <w:rFonts w:ascii="Arial" w:hAnsi="Arial" w:cs="Arial"/>
          <w:b/>
          <w:bCs/>
          <w:color w:val="auto"/>
          <w:sz w:val="40"/>
          <w:szCs w:val="40"/>
          <w:u w:val="single"/>
        </w:rPr>
        <w:lastRenderedPageBreak/>
        <w:t xml:space="preserve">Definition and </w:t>
      </w:r>
      <w:r w:rsidRPr="00021F0A">
        <w:rPr>
          <w:rFonts w:ascii="Arial" w:hAnsi="Arial" w:cs="Arial"/>
          <w:b/>
          <w:bCs/>
          <w:color w:val="auto"/>
          <w:sz w:val="36"/>
          <w:szCs w:val="36"/>
          <w:u w:val="single"/>
        </w:rPr>
        <w:t>Classification</w:t>
      </w:r>
      <w:bookmarkEnd w:id="1"/>
      <w:r w:rsidRPr="00021F0A">
        <w:rPr>
          <w:rFonts w:ascii="Arial" w:hAnsi="Arial" w:cs="Arial"/>
          <w:b/>
          <w:bCs/>
          <w:color w:val="auto"/>
          <w:sz w:val="40"/>
          <w:szCs w:val="40"/>
          <w:u w:val="single"/>
        </w:rPr>
        <w:t xml:space="preserve">  </w:t>
      </w:r>
    </w:p>
    <w:p w14:paraId="1C0A9224" w14:textId="5C952639" w:rsidR="00021F0A" w:rsidRDefault="00021F0A" w:rsidP="00021F0A"/>
    <w:p w14:paraId="4604D26C" w14:textId="77777777" w:rsidR="007265EB" w:rsidRDefault="00B975D7" w:rsidP="00982564">
      <w:pPr>
        <w:spacing w:line="360" w:lineRule="auto"/>
        <w:jc w:val="both"/>
        <w:rPr>
          <w:rFonts w:ascii="Arial" w:hAnsi="Arial" w:cs="Arial"/>
        </w:rPr>
      </w:pPr>
      <w:r w:rsidRPr="00B975D7">
        <w:rPr>
          <w:rFonts w:ascii="Arial" w:hAnsi="Arial" w:cs="Arial"/>
        </w:rPr>
        <w:t>In accordance with the World Health Organization, a mental disorder is defined as a clinically significant disruption in a person's cognition, emotions, control, or behaviour. Typically, it's connected to pain or dysfunction in significant, critical places. There are several varieties of mental illnesses. Dementia is described by the ICD-10 as a brain disease that is often progressive and characterised by disturbances in mental processes including memory, reasoning, understanding, learning, and judgement. Different varieties of dementia are characterised by cognitive deficits, which frequently coexist with a decline in social behaviour, motivation, and emotional control.</w:t>
      </w:r>
    </w:p>
    <w:p w14:paraId="1F51FC90" w14:textId="455AC358" w:rsidR="00096A2E" w:rsidRPr="00832385" w:rsidRDefault="00ED4844" w:rsidP="00982564">
      <w:pPr>
        <w:spacing w:line="360" w:lineRule="auto"/>
        <w:jc w:val="both"/>
        <w:rPr>
          <w:rFonts w:ascii="Arial" w:hAnsi="Arial" w:cs="Arial"/>
        </w:rPr>
      </w:pPr>
      <w:r w:rsidRPr="00ED4844">
        <w:rPr>
          <w:rFonts w:ascii="Arial" w:hAnsi="Arial" w:cs="Arial"/>
        </w:rPr>
        <w:t>ICD-10 includes diagnostic criteria in two forms: diagnostic guidelines for routine clinical use and research criteria. Mental problems in the old do not constitute a discrete morbidity group, and mental abnormalities in the elderly might be classed in any clinically appropriate department. The dementias are included in the section on organic and symptomatic mental diseases ("organic" means that the ailment may be linked to a separate brain or systemic disease). Dementia, amnesic syndrome, delirium, organic quasi-functional illness, and personality disorder are all clinical syndrome entry points.</w:t>
      </w:r>
      <w:r w:rsidR="00E551A3">
        <w:rPr>
          <w:rFonts w:ascii="Arial" w:hAnsi="Arial" w:cs="Arial"/>
        </w:rPr>
        <w:t xml:space="preserve"> Dementia is a</w:t>
      </w:r>
      <w:r w:rsidR="00E805BB" w:rsidRPr="00832385">
        <w:rPr>
          <w:rFonts w:ascii="Arial" w:hAnsi="Arial" w:cs="Arial"/>
        </w:rPr>
        <w:t xml:space="preserve"> disease in which a person's capacity to think, remember, learn, make decisions, and solve issues is impaired. Personality changes and emotional issues may also be symptoms. Dementia is caused by a variety of factors, including Alzheimer's disease, brain cancer, and brain damage. Dementia normally worsens over time.</w:t>
      </w:r>
      <w:r w:rsidR="00832385" w:rsidRPr="00832385">
        <w:rPr>
          <w:rFonts w:ascii="Arial" w:hAnsi="Arial" w:cs="Arial"/>
        </w:rPr>
        <w:t xml:space="preserve"> </w:t>
      </w:r>
      <w:r w:rsidR="00E805BB" w:rsidRPr="00832385">
        <w:rPr>
          <w:rFonts w:ascii="Arial" w:hAnsi="Arial" w:cs="Arial"/>
        </w:rPr>
        <w:t>An acquired organic mental illness characterised by a loss of intellectual capacities severe enough to impair social or vocational functioning. Memory, conduct, personality, judgement, attention, spatial relations, language, abstract cognition, and other executive processes are all affected by this disorder. Intellectual decline is often gradual and initially spares the level of consciousness</w:t>
      </w:r>
    </w:p>
    <w:p w14:paraId="6B85D9BF" w14:textId="77777777" w:rsidR="009B7475" w:rsidRPr="009B7475" w:rsidRDefault="009B7475" w:rsidP="009B7475">
      <w:pPr>
        <w:spacing w:line="360" w:lineRule="auto"/>
        <w:jc w:val="both"/>
        <w:rPr>
          <w:rFonts w:ascii="Arial" w:hAnsi="Arial" w:cs="Arial"/>
        </w:rPr>
      </w:pPr>
      <w:r w:rsidRPr="009B7475">
        <w:rPr>
          <w:rFonts w:ascii="Arial" w:hAnsi="Arial" w:cs="Arial"/>
        </w:rPr>
        <w:t>Dementia is classified as a neurocognitive disorder (NCD) by the Diagnostic and Statistical Manual of Mental Disorders (DSM-5). Then, Minor NCD and Major NCD are segregated from the NCD group. The term "cognitive" refers to thinking and related activities, while the phrase "neurocognitive" refers to these disorders to emphasise that brain disease and poor brain function are the causes of NCD symptoms.</w:t>
      </w:r>
    </w:p>
    <w:p w14:paraId="2FFED485" w14:textId="4911EEA8" w:rsidR="00880F4B" w:rsidRDefault="009B7475" w:rsidP="009B7475">
      <w:pPr>
        <w:spacing w:line="360" w:lineRule="auto"/>
        <w:jc w:val="both"/>
        <w:rPr>
          <w:rFonts w:ascii="Arial" w:hAnsi="Arial" w:cs="Arial"/>
        </w:rPr>
      </w:pPr>
      <w:r w:rsidRPr="009B7475">
        <w:rPr>
          <w:rFonts w:ascii="Arial" w:hAnsi="Arial" w:cs="Arial"/>
        </w:rPr>
        <w:t>NCDs are disorders in which the primary clinical defect is acquired cognitive function rather than growing cognitive function. Attention, planning, inhibition, learning, memory, language, visual perception, spatial abilities, social skills, and other cognitive functions may all be hampered. In this article, the phrases "major neurocognitive disorder" and "moderate neurocognitive disorder" are used interchangeably.</w:t>
      </w:r>
      <w:r>
        <w:rPr>
          <w:rFonts w:ascii="Arial" w:hAnsi="Arial" w:cs="Arial"/>
        </w:rPr>
        <w:t xml:space="preserve"> </w:t>
      </w:r>
      <w:r w:rsidR="003775AB" w:rsidRPr="003775AB">
        <w:rPr>
          <w:rFonts w:ascii="Arial" w:hAnsi="Arial" w:cs="Arial"/>
        </w:rPr>
        <w:t xml:space="preserve">The Latin root of the term "dementia" </w:t>
      </w:r>
      <w:r w:rsidR="003775AB" w:rsidRPr="003775AB">
        <w:rPr>
          <w:rFonts w:ascii="Arial" w:hAnsi="Arial" w:cs="Arial"/>
        </w:rPr>
        <w:lastRenderedPageBreak/>
        <w:t>means "crazy" or "insane."</w:t>
      </w:r>
      <w:r w:rsidR="003775AB">
        <w:rPr>
          <w:rFonts w:ascii="Arial" w:hAnsi="Arial" w:cs="Arial"/>
        </w:rPr>
        <w:t xml:space="preserve"> </w:t>
      </w:r>
      <w:r w:rsidR="003775AB" w:rsidRPr="003775AB">
        <w:rPr>
          <w:rFonts w:ascii="Arial" w:hAnsi="Arial" w:cs="Arial"/>
        </w:rPr>
        <w:t>The term dementia has been changed to neurocognitive disorder ("NCD") in an effort to remove any negative connotations from the illness. Dementia, however, is anticipated to continue being used often since it is well recognised and used to describe a diverse constellation</w:t>
      </w:r>
    </w:p>
    <w:p w14:paraId="51F34450" w14:textId="77777777" w:rsidR="00880F4B" w:rsidRDefault="00880F4B" w:rsidP="00982564">
      <w:pPr>
        <w:spacing w:line="360" w:lineRule="auto"/>
        <w:jc w:val="both"/>
        <w:rPr>
          <w:rFonts w:ascii="Arial" w:hAnsi="Arial" w:cs="Arial"/>
        </w:rPr>
      </w:pPr>
      <w:r>
        <w:rPr>
          <w:rFonts w:ascii="Arial" w:hAnsi="Arial" w:cs="Arial"/>
        </w:rPr>
        <w:br w:type="page"/>
      </w:r>
    </w:p>
    <w:p w14:paraId="52AE94C0" w14:textId="4C077CD6" w:rsidR="00880F4B" w:rsidRDefault="00880F4B" w:rsidP="00880F4B">
      <w:pPr>
        <w:pStyle w:val="Heading1"/>
        <w:rPr>
          <w:rFonts w:ascii="Arial" w:hAnsi="Arial" w:cs="Arial"/>
          <w:b/>
          <w:bCs/>
          <w:color w:val="auto"/>
          <w:sz w:val="36"/>
          <w:szCs w:val="36"/>
          <w:u w:val="single"/>
        </w:rPr>
      </w:pPr>
      <w:bookmarkStart w:id="2" w:name="_Toc110321244"/>
      <w:r w:rsidRPr="00880F4B">
        <w:rPr>
          <w:rFonts w:ascii="Arial" w:hAnsi="Arial" w:cs="Arial"/>
          <w:b/>
          <w:bCs/>
          <w:color w:val="auto"/>
          <w:sz w:val="36"/>
          <w:szCs w:val="36"/>
          <w:u w:val="single"/>
        </w:rPr>
        <w:lastRenderedPageBreak/>
        <w:t>Diagnosis</w:t>
      </w:r>
      <w:bookmarkEnd w:id="2"/>
    </w:p>
    <w:p w14:paraId="564D08E3" w14:textId="645AE2ED" w:rsidR="00880F4B" w:rsidRDefault="00880F4B" w:rsidP="00880F4B"/>
    <w:p w14:paraId="27D16838" w14:textId="77777777" w:rsidR="00736378" w:rsidRDefault="00736378" w:rsidP="00982564">
      <w:pPr>
        <w:spacing w:line="360" w:lineRule="auto"/>
        <w:jc w:val="both"/>
        <w:rPr>
          <w:rFonts w:ascii="Arial" w:hAnsi="Arial" w:cs="Arial"/>
        </w:rPr>
      </w:pPr>
      <w:r w:rsidRPr="00736378">
        <w:rPr>
          <w:rFonts w:ascii="Arial" w:hAnsi="Arial" w:cs="Arial"/>
        </w:rPr>
        <w:t>The United Nations 1948 Convention, to which the United Kingdom is a signatory, talks of safeguarding every member of civil society across the world, including those diagnosed with any kind of dementia and who have impairments caused by dementia symptoms. The Principles for Older Persons issued a declaration on including the rights and duties of older people in 1991. This demonstrates that the United Kingdom is assisting persons suffering from dementia by participating in the United Nations and adhering to its regulations to guarantee those in need are assisted.</w:t>
      </w:r>
      <w:r>
        <w:rPr>
          <w:rFonts w:ascii="Arial" w:hAnsi="Arial" w:cs="Arial"/>
        </w:rPr>
        <w:t xml:space="preserve"> </w:t>
      </w:r>
    </w:p>
    <w:p w14:paraId="7F4B93B6" w14:textId="77777777" w:rsidR="00BD7C8C" w:rsidRPr="00BD7C8C" w:rsidRDefault="00BD7C8C" w:rsidP="00BD7C8C">
      <w:pPr>
        <w:spacing w:line="360" w:lineRule="auto"/>
        <w:jc w:val="both"/>
        <w:rPr>
          <w:rFonts w:ascii="Arial" w:hAnsi="Arial" w:cs="Arial"/>
        </w:rPr>
      </w:pPr>
      <w:r w:rsidRPr="00BD7C8C">
        <w:rPr>
          <w:rFonts w:ascii="Arial" w:hAnsi="Arial" w:cs="Arial"/>
        </w:rPr>
        <w:t>ICD codes F01 - F03 are used to describe dementia. Dementia, often known as senility, refers to a group of brain diseases that produce a long-term, generally gradual deterioration in a person's ability to think and recall that is serious enough to impair with daily functioning. Emotional problems, language challenges, and a loss of motivation are other common symptoms. A person's consciousness is normally unaffected. A dementia diagnosis needs a divergence from a person's normal mental ability as well as a greater drop than would be expected with age. These problems have a significant influence on the people who care for a person.</w:t>
      </w:r>
    </w:p>
    <w:p w14:paraId="3740037E" w14:textId="77777777" w:rsidR="004F5804" w:rsidRDefault="00BD7C8C" w:rsidP="00BD7C8C">
      <w:pPr>
        <w:spacing w:line="360" w:lineRule="auto"/>
        <w:jc w:val="both"/>
        <w:rPr>
          <w:rFonts w:ascii="Arial" w:hAnsi="Arial" w:cs="Arial"/>
        </w:rPr>
      </w:pPr>
      <w:r w:rsidRPr="00BD7C8C">
        <w:rPr>
          <w:rFonts w:ascii="Arial" w:hAnsi="Arial" w:cs="Arial"/>
        </w:rPr>
        <w:t>A severe neurocognitive disorder, according to the DSM-5, comprises the following symptoms.</w:t>
      </w:r>
    </w:p>
    <w:p w14:paraId="3F9B925C" w14:textId="77777777" w:rsidR="007D0B7E" w:rsidRDefault="001274E5" w:rsidP="00982564">
      <w:pPr>
        <w:spacing w:line="360" w:lineRule="auto"/>
        <w:jc w:val="both"/>
        <w:rPr>
          <w:rFonts w:ascii="Arial" w:hAnsi="Arial" w:cs="Arial"/>
        </w:rPr>
      </w:pPr>
      <w:r w:rsidRPr="001274E5">
        <w:rPr>
          <w:rFonts w:ascii="Arial" w:hAnsi="Arial" w:cs="Arial"/>
        </w:rPr>
        <w:t>There is evidence of considerable cognitive deterioration from a former level of performance in one or more of the above areas based on the person's, an informed informant's, or the clinician's concerns. There is also evidence of a deterioration in neurocognitive ability, as evidenced by test scores that are two or more standard deviations below suitable norms (i.e., below the third percentile) on formal testing or comparable clinical examination. Cognitive deficiencies are severe enough to prevent independence (i.e., requiring minimal assistance with instrumental activities of daily living). Cognitive deficits are not just seen in delirium.</w:t>
      </w:r>
    </w:p>
    <w:p w14:paraId="433C972F" w14:textId="01C00C11" w:rsidR="00096A2E" w:rsidRDefault="00977EFA" w:rsidP="00982564">
      <w:pPr>
        <w:spacing w:line="360" w:lineRule="auto"/>
        <w:jc w:val="both"/>
        <w:rPr>
          <w:rFonts w:ascii="Arial" w:hAnsi="Arial" w:cs="Arial"/>
        </w:rPr>
      </w:pPr>
      <w:r w:rsidRPr="00977EFA">
        <w:rPr>
          <w:rFonts w:ascii="Arial" w:hAnsi="Arial" w:cs="Arial"/>
        </w:rPr>
        <w:t>There is no other primary cause of the cognitive deficiencies in relation to a mental illness (for example major depressive disorder and schizophreni</w:t>
      </w:r>
      <w:r w:rsidR="00415503">
        <w:rPr>
          <w:rFonts w:ascii="Arial" w:hAnsi="Arial" w:cs="Arial"/>
        </w:rPr>
        <w:t>a</w:t>
      </w:r>
      <w:r w:rsidR="003775AB" w:rsidRPr="003775AB">
        <w:rPr>
          <w:rFonts w:ascii="Arial" w:hAnsi="Arial" w:cs="Arial"/>
        </w:rPr>
        <w:t>).</w:t>
      </w:r>
    </w:p>
    <w:p w14:paraId="50372921" w14:textId="5C74CE26" w:rsidR="00923C15" w:rsidRDefault="00923C15" w:rsidP="00982564">
      <w:pPr>
        <w:spacing w:line="360" w:lineRule="auto"/>
        <w:jc w:val="both"/>
        <w:rPr>
          <w:rFonts w:ascii="Arial" w:hAnsi="Arial" w:cs="Arial"/>
        </w:rPr>
      </w:pPr>
      <w:r w:rsidRPr="00923C15">
        <w:rPr>
          <w:rFonts w:ascii="Arial" w:hAnsi="Arial" w:cs="Arial"/>
        </w:rPr>
        <w:t xml:space="preserve">Cognitive impairment is frequently connected with clinical symptoms associated with brain vascular disease. However, due to changing definitional criteria, determining the prevalence of cognitive impairment caused by cerebrovascular illness is problematic. Dementia affects up to one-third of older stroke patients, with a fraction developing Alzheimer's disease (AD) rather than a pure vascular dementia syndrome. In reality, most major autopsy series have revealed that pure vascular dementia is uncommon. Although no clinical criteria for the diagnosis of AD </w:t>
      </w:r>
      <w:r w:rsidRPr="00923C15">
        <w:rPr>
          <w:rFonts w:ascii="Arial" w:hAnsi="Arial" w:cs="Arial"/>
        </w:rPr>
        <w:lastRenderedPageBreak/>
        <w:t>with cerebrovascular illness are now available, a combined aetiology of AD and cerebrovascular disease is believed to become more frequent with advancing age.</w:t>
      </w:r>
    </w:p>
    <w:p w14:paraId="0815756E" w14:textId="77777777" w:rsidR="008153F7" w:rsidRDefault="008153F7" w:rsidP="00982564">
      <w:pPr>
        <w:spacing w:line="360" w:lineRule="auto"/>
        <w:jc w:val="both"/>
        <w:rPr>
          <w:rFonts w:ascii="Arial" w:hAnsi="Arial" w:cs="Arial"/>
        </w:rPr>
      </w:pPr>
    </w:p>
    <w:p w14:paraId="66E505CC" w14:textId="13FB79C4" w:rsidR="00415503" w:rsidRDefault="00415503" w:rsidP="00982564">
      <w:pPr>
        <w:spacing w:line="360" w:lineRule="auto"/>
        <w:jc w:val="both"/>
        <w:rPr>
          <w:rFonts w:ascii="Arial" w:hAnsi="Arial" w:cs="Arial"/>
        </w:rPr>
      </w:pPr>
    </w:p>
    <w:p w14:paraId="317B0FFF" w14:textId="77777777" w:rsidR="00415503" w:rsidRDefault="00415503" w:rsidP="00982564">
      <w:pPr>
        <w:spacing w:line="360" w:lineRule="auto"/>
        <w:jc w:val="both"/>
        <w:rPr>
          <w:rFonts w:ascii="Arial" w:hAnsi="Arial" w:cs="Arial"/>
        </w:rPr>
      </w:pPr>
      <w:r>
        <w:rPr>
          <w:rFonts w:ascii="Arial" w:hAnsi="Arial" w:cs="Arial"/>
        </w:rPr>
        <w:br w:type="page"/>
      </w:r>
    </w:p>
    <w:p w14:paraId="06E4D63C" w14:textId="7ADAEE6C" w:rsidR="00415503" w:rsidRDefault="00BD4BDE" w:rsidP="00415503">
      <w:pPr>
        <w:pStyle w:val="Heading1"/>
        <w:rPr>
          <w:rFonts w:ascii="Arial" w:hAnsi="Arial" w:cs="Arial"/>
          <w:b/>
          <w:bCs/>
          <w:color w:val="auto"/>
          <w:sz w:val="44"/>
          <w:szCs w:val="44"/>
          <w:u w:val="single"/>
        </w:rPr>
      </w:pPr>
      <w:bookmarkStart w:id="3" w:name="_Toc110321245"/>
      <w:r w:rsidRPr="008A66E4">
        <w:rPr>
          <w:rFonts w:ascii="Arial" w:hAnsi="Arial" w:cs="Arial"/>
          <w:b/>
          <w:bCs/>
          <w:color w:val="auto"/>
          <w:sz w:val="44"/>
          <w:szCs w:val="44"/>
          <w:u w:val="single"/>
        </w:rPr>
        <w:lastRenderedPageBreak/>
        <w:t>Treatment</w:t>
      </w:r>
      <w:bookmarkEnd w:id="3"/>
    </w:p>
    <w:p w14:paraId="3BF9A00B" w14:textId="5F4DE127" w:rsidR="008A66E4" w:rsidRPr="00C92182" w:rsidRDefault="008A66E4" w:rsidP="00C92182">
      <w:pPr>
        <w:spacing w:line="360" w:lineRule="auto"/>
        <w:jc w:val="both"/>
        <w:rPr>
          <w:rFonts w:ascii="Arial" w:hAnsi="Arial" w:cs="Arial"/>
        </w:rPr>
      </w:pPr>
    </w:p>
    <w:p w14:paraId="1C2271E8" w14:textId="77777777" w:rsidR="00205235" w:rsidRDefault="00752B3D" w:rsidP="0077336B">
      <w:pPr>
        <w:spacing w:line="360" w:lineRule="auto"/>
        <w:jc w:val="both"/>
        <w:rPr>
          <w:rFonts w:ascii="Arial" w:hAnsi="Arial" w:cs="Arial"/>
        </w:rPr>
      </w:pPr>
      <w:r w:rsidRPr="00752B3D">
        <w:rPr>
          <w:rFonts w:ascii="Arial" w:hAnsi="Arial" w:cs="Arial"/>
        </w:rPr>
        <w:t>Early involvement of a multidisciplinary team of healthcare experts can improve treatment from the moment a patient is diagnosed. The newest knowledge on dementia diagnosis was provided by bringing together leaders in the international medical community, according to a Webster study on the potential and difficulties in dementia diagnosis. The goal is multifaceted: to provide a forum for the exchange of information and research; to aid in understanding dementia for the person living with it as well as for family members and friends who may be acting as their caregivers; and, finally, to influence decision-makers who can advocate for continued support for research, science, and cutting-edge approaches.</w:t>
      </w:r>
      <w:r w:rsidR="00205235">
        <w:rPr>
          <w:rFonts w:ascii="Arial" w:hAnsi="Arial" w:cs="Arial"/>
        </w:rPr>
        <w:t xml:space="preserve"> </w:t>
      </w:r>
    </w:p>
    <w:p w14:paraId="654D2C37" w14:textId="77777777" w:rsidR="008B4F3A" w:rsidRDefault="00C92182" w:rsidP="00C92182">
      <w:pPr>
        <w:spacing w:line="360" w:lineRule="auto"/>
        <w:jc w:val="both"/>
        <w:rPr>
          <w:rFonts w:ascii="Arial" w:hAnsi="Arial" w:cs="Arial"/>
        </w:rPr>
      </w:pPr>
      <w:r w:rsidRPr="00C92182">
        <w:rPr>
          <w:rFonts w:ascii="Arial" w:hAnsi="Arial" w:cs="Arial"/>
        </w:rPr>
        <w:t>You cannot</w:t>
      </w:r>
      <w:r w:rsidR="00205235">
        <w:rPr>
          <w:rFonts w:ascii="Arial" w:hAnsi="Arial" w:cs="Arial"/>
        </w:rPr>
        <w:t xml:space="preserve"> currently</w:t>
      </w:r>
      <w:r w:rsidRPr="00C92182">
        <w:rPr>
          <w:rFonts w:ascii="Arial" w:hAnsi="Arial" w:cs="Arial"/>
        </w:rPr>
        <w:t xml:space="preserve"> treat vascular dementia. Treating the underlying illnesses that impact the brain's blood flow is the main objective in the treatment of vascular dementia. The risk factors for additional brain tissue damage can be decreased by treating these underlying diseases. Some examples of such therapies </w:t>
      </w:r>
      <w:r w:rsidRPr="00C92182">
        <w:rPr>
          <w:rFonts w:ascii="Arial" w:hAnsi="Arial" w:cs="Arial"/>
        </w:rPr>
        <w:t>are</w:t>
      </w:r>
      <w:r w:rsidRPr="00C92182">
        <w:rPr>
          <w:rFonts w:ascii="Arial" w:hAnsi="Arial" w:cs="Arial"/>
        </w:rPr>
        <w:t xml:space="preserve"> drugs to control diabetes, high cholesterol, low triglycerides, and blood clotting </w:t>
      </w:r>
      <w:r w:rsidR="009C73F3" w:rsidRPr="00C92182">
        <w:rPr>
          <w:rFonts w:ascii="Arial" w:hAnsi="Arial" w:cs="Arial"/>
        </w:rPr>
        <w:t>issues</w:t>
      </w:r>
      <w:r w:rsidR="009C73F3">
        <w:rPr>
          <w:rFonts w:ascii="Arial" w:hAnsi="Arial" w:cs="Arial"/>
        </w:rPr>
        <w:t>.</w:t>
      </w:r>
      <w:r w:rsidR="009C73F3" w:rsidRPr="0077336B">
        <w:rPr>
          <w:rFonts w:ascii="Arial" w:hAnsi="Arial" w:cs="Arial"/>
        </w:rPr>
        <w:t xml:space="preserve"> </w:t>
      </w:r>
    </w:p>
    <w:p w14:paraId="29AEB0E1" w14:textId="2DC47870" w:rsidR="008B4F3A" w:rsidRDefault="006F5D45" w:rsidP="00C92182">
      <w:pPr>
        <w:spacing w:line="360" w:lineRule="auto"/>
        <w:jc w:val="both"/>
        <w:rPr>
          <w:rFonts w:ascii="Arial" w:hAnsi="Arial" w:cs="Arial"/>
        </w:rPr>
      </w:pPr>
      <w:r w:rsidRPr="006F5D45">
        <w:rPr>
          <w:rFonts w:ascii="Arial" w:hAnsi="Arial" w:cs="Arial"/>
        </w:rPr>
        <w:t>Treatment aims to address the underlying cause, which may delay the pace of brain cell death. This typically entails following a healthy, balanced diet. If you are overweight, you should exercise and stop smoking. getting in shape and reducing alcohol consumption taking drugs to control high blood pressure, lower cholesterol, or prevent blood clots Other treatments, such as physiotherapy, occupational therapy, dementia activities (such as memory cafés), and mental therapies, can help to alleviate the effects of any existing problems.</w:t>
      </w:r>
    </w:p>
    <w:p w14:paraId="5D60FE08" w14:textId="2C2F3270" w:rsidR="007506C6" w:rsidRDefault="004A2DAF" w:rsidP="00C92182">
      <w:pPr>
        <w:spacing w:line="360" w:lineRule="auto"/>
        <w:jc w:val="both"/>
        <w:rPr>
          <w:rFonts w:ascii="Arial" w:hAnsi="Arial" w:cs="Arial"/>
        </w:rPr>
      </w:pPr>
      <w:r w:rsidRPr="004A2DAF">
        <w:rPr>
          <w:rFonts w:ascii="Arial" w:hAnsi="Arial" w:cs="Arial"/>
        </w:rPr>
        <w:t>Subcortical small-vessel disease has been linked in epidemiological studies to dementia and cognitive decline, but it is challenging to determine how these conditions manifest cognitively and the clinical importance of MRI white matter abnormalities in specific individuals. Study inclusion criteria have a significant role in determining the prevalence of particular neuropathologic characteristics of vascular cognitive impairment. Both sporadic instances and familial disorders of cerebral meningocortical microangiopathies include dementia as a common symptom. It is unclear how much amyloid-beta protein affects the level of cognitive impairment in AD patients.</w:t>
      </w:r>
      <w:r w:rsidR="007506C6">
        <w:rPr>
          <w:rFonts w:ascii="Arial" w:hAnsi="Arial" w:cs="Arial"/>
        </w:rPr>
        <w:t xml:space="preserve"> </w:t>
      </w:r>
    </w:p>
    <w:p w14:paraId="0683AEE5" w14:textId="77777777" w:rsidR="003024A7" w:rsidRDefault="004C674E" w:rsidP="00C92182">
      <w:pPr>
        <w:spacing w:line="360" w:lineRule="auto"/>
        <w:jc w:val="both"/>
        <w:rPr>
          <w:rFonts w:ascii="Arial" w:hAnsi="Arial" w:cs="Arial"/>
        </w:rPr>
      </w:pPr>
      <w:r w:rsidRPr="004C674E">
        <w:rPr>
          <w:rFonts w:ascii="Arial" w:hAnsi="Arial" w:cs="Arial"/>
        </w:rPr>
        <w:t xml:space="preserve">'Nimodipine may be useful in the treatment of dementia symptoms caused by unclassified sickness, Alzheimer's disease, cerebrovascular disease, or a combination of Alzheimer's and cerebrovascular disease.' It seems to be well tolerated, with little side effects. Data from several investigations including over 500 participants were not accessible. It is preferable to do a meta-analysis of individual patient data from all trials. Dementia is a chronic condition, </w:t>
      </w:r>
      <w:r w:rsidRPr="004C674E">
        <w:rPr>
          <w:rFonts w:ascii="Arial" w:hAnsi="Arial" w:cs="Arial"/>
        </w:rPr>
        <w:lastRenderedPageBreak/>
        <w:t>and the short-term benefits of nimodipine demonstrated in the trials reviewed do not justify its use as a long-term anti-dementia medicine. Longer-term outcomes must be the focus of additional study, according to Birks and López-Arrieta (2002).</w:t>
      </w:r>
    </w:p>
    <w:p w14:paraId="39C42D45" w14:textId="4300888F" w:rsidR="009C73F3" w:rsidRDefault="009C73F3" w:rsidP="00C92182">
      <w:pPr>
        <w:spacing w:line="360" w:lineRule="auto"/>
        <w:jc w:val="both"/>
        <w:rPr>
          <w:rFonts w:ascii="Arial" w:hAnsi="Arial" w:cs="Arial"/>
        </w:rPr>
      </w:pPr>
      <w:r w:rsidRPr="009C73F3">
        <w:rPr>
          <w:rFonts w:ascii="Arial" w:hAnsi="Arial" w:cs="Arial"/>
        </w:rPr>
        <w:t xml:space="preserve">Additionally, other alternative drugs are being researched for the treatment of VCI. The majority of these aim to lower vascular disease or boost blood flow to the brain's arteries. Many cardiac drugs, including some calcium channel blockers, are being studied. However, the most encouraging data to far favours prevention. It has been demonstrated that midlife blood pressure reduction in persons with excessive blood pressure can prevent stroke and cognitive decline, however the impact on cognition is less dramatic. Midlife cholesterol reduction has also been </w:t>
      </w:r>
      <w:r w:rsidRPr="009C73F3">
        <w:rPr>
          <w:rFonts w:ascii="Arial" w:hAnsi="Arial" w:cs="Arial"/>
        </w:rPr>
        <w:t>proposed;</w:t>
      </w:r>
      <w:r w:rsidRPr="009C73F3">
        <w:rPr>
          <w:rFonts w:ascii="Arial" w:hAnsi="Arial" w:cs="Arial"/>
        </w:rPr>
        <w:t xml:space="preserve"> </w:t>
      </w:r>
      <w:r w:rsidRPr="009C73F3">
        <w:rPr>
          <w:rFonts w:ascii="Arial" w:hAnsi="Arial" w:cs="Arial"/>
        </w:rPr>
        <w:t>however,</w:t>
      </w:r>
      <w:r w:rsidRPr="009C73F3">
        <w:rPr>
          <w:rFonts w:ascii="Arial" w:hAnsi="Arial" w:cs="Arial"/>
        </w:rPr>
        <w:t xml:space="preserve"> the data is not strong at this time. Diabetes management should slow the onset and progression of harmful vascular alterations.</w:t>
      </w:r>
    </w:p>
    <w:p w14:paraId="657CF969" w14:textId="77777777" w:rsidR="00A04642" w:rsidRPr="00A04642" w:rsidRDefault="00A04642" w:rsidP="00A04642">
      <w:pPr>
        <w:spacing w:line="360" w:lineRule="auto"/>
        <w:jc w:val="both"/>
        <w:rPr>
          <w:rFonts w:ascii="Arial" w:hAnsi="Arial" w:cs="Arial"/>
        </w:rPr>
      </w:pPr>
      <w:r w:rsidRPr="00A04642">
        <w:rPr>
          <w:rFonts w:ascii="Arial" w:hAnsi="Arial" w:cs="Arial"/>
        </w:rPr>
        <w:t>PCSP is a critical component in providing better care for all persons living with dementia, as well as supporting their family and caregivers. The CCG Improvement and Assessment Framework, which includes indicators for dementia diagnosis and post-diagnosis assistance, has brought this into sharp light.</w:t>
      </w:r>
    </w:p>
    <w:p w14:paraId="44AB2B2A" w14:textId="2EF54E6E" w:rsidR="00CE108A" w:rsidRDefault="00A04642" w:rsidP="00A04642">
      <w:pPr>
        <w:spacing w:line="360" w:lineRule="auto"/>
        <w:jc w:val="both"/>
        <w:rPr>
          <w:rFonts w:ascii="Arial" w:hAnsi="Arial" w:cs="Arial"/>
        </w:rPr>
      </w:pPr>
      <w:r w:rsidRPr="00A04642">
        <w:rPr>
          <w:rFonts w:ascii="Arial" w:hAnsi="Arial" w:cs="Arial"/>
        </w:rPr>
        <w:t>There is an urgent need to ensure that every person with dementia has an individual PCSP and to strive for deeper integration with other support plans, such as social services, whenever practicable.</w:t>
      </w:r>
      <w:r w:rsidR="00293448">
        <w:rPr>
          <w:rFonts w:ascii="Arial" w:hAnsi="Arial" w:cs="Arial"/>
        </w:rPr>
        <w:t xml:space="preserve"> </w:t>
      </w:r>
      <w:r w:rsidR="00820BDB" w:rsidRPr="00820BDB">
        <w:rPr>
          <w:rFonts w:ascii="Arial" w:hAnsi="Arial" w:cs="Arial"/>
        </w:rPr>
        <w:t>Improved customised care and support planning in dementia services will be attained by promoting a uniform approach that reduces unjustified local variance in procedure or outcomes. fostering equity and addressing health disparities; establishing consistency with applicable cross-condition care plans, such as diabetes; and drawing on examples of effective practise from throughout the country</w:t>
      </w:r>
      <w:r w:rsidR="00293448">
        <w:rPr>
          <w:rFonts w:ascii="Arial" w:hAnsi="Arial" w:cs="Arial"/>
        </w:rPr>
        <w:t>.</w:t>
      </w:r>
    </w:p>
    <w:p w14:paraId="2384F6A5" w14:textId="623BF7BB" w:rsidR="00DE346D" w:rsidRDefault="005D160E" w:rsidP="00ED71BF">
      <w:pPr>
        <w:spacing w:line="360" w:lineRule="auto"/>
        <w:jc w:val="both"/>
        <w:rPr>
          <w:rFonts w:ascii="Arial" w:hAnsi="Arial" w:cs="Arial"/>
        </w:rPr>
      </w:pPr>
      <w:r w:rsidRPr="005D160E">
        <w:rPr>
          <w:rFonts w:ascii="Arial" w:hAnsi="Arial" w:cs="Arial"/>
        </w:rPr>
        <w:t xml:space="preserve">Essentially, the outcome of the personalised care and support planning process is a written plan that is clear, straightforward, and precise, and outlines what important to the person, what care and support the person is receiving, contingency plans for the future, and provisions for review. </w:t>
      </w:r>
      <w:r w:rsidR="001E6177">
        <w:rPr>
          <w:rFonts w:ascii="Arial" w:hAnsi="Arial" w:cs="Arial"/>
        </w:rPr>
        <w:t>According</w:t>
      </w:r>
      <w:r w:rsidR="00ED71BF">
        <w:rPr>
          <w:rFonts w:ascii="Arial" w:hAnsi="Arial" w:cs="Arial"/>
        </w:rPr>
        <w:t xml:space="preserve"> </w:t>
      </w:r>
      <w:r w:rsidR="001E6177">
        <w:rPr>
          <w:rFonts w:ascii="Arial" w:hAnsi="Arial" w:cs="Arial"/>
        </w:rPr>
        <w:t xml:space="preserve">to the </w:t>
      </w:r>
      <w:r w:rsidRPr="005D160E">
        <w:rPr>
          <w:rFonts w:ascii="Arial" w:hAnsi="Arial" w:cs="Arial"/>
        </w:rPr>
        <w:t>NHS England Summary Guide on Personalised Care and Support Planning can be used as a benchmark or point of reference.</w:t>
      </w:r>
      <w:r w:rsidR="00DE346D">
        <w:rPr>
          <w:rFonts w:ascii="Arial" w:hAnsi="Arial" w:cs="Arial"/>
        </w:rPr>
        <w:br w:type="page"/>
      </w:r>
    </w:p>
    <w:p w14:paraId="71EBAED5" w14:textId="77777777" w:rsidR="008666A1" w:rsidRDefault="009C32FB" w:rsidP="009C32FB">
      <w:pPr>
        <w:pStyle w:val="Heading1"/>
        <w:rPr>
          <w:rFonts w:ascii="Arial" w:hAnsi="Arial" w:cs="Arial"/>
          <w:b/>
          <w:bCs/>
          <w:color w:val="auto"/>
          <w:sz w:val="36"/>
          <w:szCs w:val="36"/>
          <w:u w:val="single"/>
        </w:rPr>
      </w:pPr>
      <w:bookmarkStart w:id="4" w:name="_Toc110321246"/>
      <w:r w:rsidRPr="009C32FB">
        <w:rPr>
          <w:rFonts w:ascii="Arial" w:hAnsi="Arial" w:cs="Arial"/>
          <w:b/>
          <w:bCs/>
          <w:color w:val="auto"/>
          <w:sz w:val="36"/>
          <w:szCs w:val="36"/>
          <w:u w:val="single"/>
        </w:rPr>
        <w:lastRenderedPageBreak/>
        <w:t>Measurement of Rehabilitation</w:t>
      </w:r>
      <w:bookmarkEnd w:id="4"/>
      <w:r w:rsidRPr="009C32FB">
        <w:rPr>
          <w:rFonts w:ascii="Arial" w:hAnsi="Arial" w:cs="Arial"/>
          <w:b/>
          <w:bCs/>
          <w:color w:val="auto"/>
          <w:sz w:val="36"/>
          <w:szCs w:val="36"/>
          <w:u w:val="single"/>
        </w:rPr>
        <w:t xml:space="preserve"> </w:t>
      </w:r>
    </w:p>
    <w:p w14:paraId="2A78DA28" w14:textId="77777777" w:rsidR="00AC7A8A" w:rsidRPr="00AC7A8A" w:rsidRDefault="00AC7A8A" w:rsidP="00AC7A8A">
      <w:pPr>
        <w:spacing w:line="360" w:lineRule="auto"/>
        <w:jc w:val="both"/>
        <w:rPr>
          <w:rFonts w:ascii="Arial" w:hAnsi="Arial" w:cs="Arial"/>
        </w:rPr>
      </w:pPr>
    </w:p>
    <w:p w14:paraId="559C26ED" w14:textId="020C3C7B" w:rsidR="00632793" w:rsidRPr="00AC7A8A" w:rsidRDefault="00AC7A8A" w:rsidP="00AC7A8A">
      <w:pPr>
        <w:spacing w:line="360" w:lineRule="auto"/>
        <w:jc w:val="both"/>
        <w:rPr>
          <w:rFonts w:ascii="Arial" w:hAnsi="Arial" w:cs="Arial"/>
        </w:rPr>
      </w:pPr>
      <w:r w:rsidRPr="00AC7A8A">
        <w:rPr>
          <w:rFonts w:ascii="Arial" w:hAnsi="Arial" w:cs="Arial"/>
        </w:rPr>
        <w:t>Many of the 101 national Alzheimer's organisations that responded to the poll said their country has or is working on a National Dementia Plan. Most existing National Dementia Plans include a section on diagnosis, demonstrating improvement in the UK's consideration of dementia care. In England and Wales, the statute is the Mental Health Act 1983, which was also revised in 2007. It informs individuals about their rights while suffering from mental health difficulties, such as evaluation and treatment in hospital, treatment in the community, and paths into hospital, which might be civil or criminal.</w:t>
      </w:r>
    </w:p>
    <w:p w14:paraId="5CC7A5D8" w14:textId="77777777" w:rsidR="00632793" w:rsidRPr="00AC7A8A" w:rsidRDefault="00632793" w:rsidP="00AC7A8A">
      <w:pPr>
        <w:spacing w:line="360" w:lineRule="auto"/>
        <w:jc w:val="both"/>
        <w:rPr>
          <w:rFonts w:ascii="Arial" w:hAnsi="Arial" w:cs="Arial"/>
        </w:rPr>
      </w:pPr>
      <w:r w:rsidRPr="00AC7A8A">
        <w:rPr>
          <w:rFonts w:ascii="Arial" w:hAnsi="Arial" w:cs="Arial"/>
        </w:rPr>
        <w:t>According to government research funding pledges, "investment on dementia research will double, and clinical trials for novel therapies will move more quickly" (dubbed the "Dementia Moonshot"). The Government was encouraged by the Dementia All Party Parliamentary Group (APPG) to "establish a timeline" for the monies to be advanced and to speed up the delivery of the Dementia Moonshot.</w:t>
      </w:r>
    </w:p>
    <w:p w14:paraId="21CCF8CF" w14:textId="0B7F72E9" w:rsidR="00632793" w:rsidRPr="00AC7A8A" w:rsidRDefault="00632793" w:rsidP="00AC7A8A">
      <w:pPr>
        <w:spacing w:line="360" w:lineRule="auto"/>
        <w:jc w:val="both"/>
        <w:rPr>
          <w:rFonts w:ascii="Arial" w:hAnsi="Arial" w:cs="Arial"/>
        </w:rPr>
      </w:pPr>
      <w:r w:rsidRPr="00AC7A8A">
        <w:rPr>
          <w:rFonts w:ascii="Arial" w:hAnsi="Arial" w:cs="Arial"/>
        </w:rPr>
        <w:t>The amount of money the government allocated for dementia research increased from £28.2 million to £82.5 million between 2010 and 2018. The wider scientific community as well as the Dementia All Party Parliamentary Group praised this increase.</w:t>
      </w:r>
    </w:p>
    <w:p w14:paraId="5CEDD8B0" w14:textId="77777777" w:rsidR="00F32BFE" w:rsidRPr="00AC7A8A" w:rsidRDefault="00F32BFE" w:rsidP="00AC7A8A">
      <w:pPr>
        <w:spacing w:line="360" w:lineRule="auto"/>
        <w:jc w:val="both"/>
        <w:rPr>
          <w:rFonts w:ascii="Arial" w:hAnsi="Arial" w:cs="Arial"/>
        </w:rPr>
      </w:pPr>
      <w:r w:rsidRPr="00AC7A8A">
        <w:rPr>
          <w:rFonts w:ascii="Arial" w:hAnsi="Arial" w:cs="Arial"/>
        </w:rPr>
        <w:t xml:space="preserve">. Yet unfortunately, considering dementia status still being ranked as one of the top risk factors for mortality within the UK cancer research is receiving approximately three times as much funding, it is evident that additional financing is required if there are any hopes of tackling the fast-growing pace of dementia but according to an article released in September of 2021 by the title of Fuelling the Moonshot: Unleashing the UK’s potential through dementia research </w:t>
      </w:r>
    </w:p>
    <w:p w14:paraId="6A41DBD6" w14:textId="50EEF4BC" w:rsidR="000E2936" w:rsidRDefault="00467ADD" w:rsidP="00AC7A8A">
      <w:pPr>
        <w:spacing w:line="360" w:lineRule="auto"/>
        <w:jc w:val="both"/>
        <w:rPr>
          <w:rFonts w:ascii="Arial" w:hAnsi="Arial" w:cs="Arial"/>
        </w:rPr>
      </w:pPr>
      <w:r w:rsidRPr="00467ADD">
        <w:rPr>
          <w:rFonts w:ascii="Arial" w:hAnsi="Arial" w:cs="Arial"/>
        </w:rPr>
        <w:t>Dementia costs the United Kingdom a total of £26.3 billion. Social care contributes £10.3 billion, whereas the NHS contributes £4.3 billion. Local government is liable for £4.5 billion of the £10.3 billion in social care expenses. The remaining £5.8 billion reflects the expense to persons with dementia and their families each year for support with activities of daily living handled by trained carers, such as eating, dressing, and washing. Dementia patients and their families pay for two-thirds of dementia costs £17.4 billion, either via unpaid care 11.6 billion</w:t>
      </w:r>
      <w:r w:rsidR="000E2936">
        <w:rPr>
          <w:rFonts w:ascii="Arial" w:hAnsi="Arial" w:cs="Arial"/>
        </w:rPr>
        <w:t xml:space="preserve"> </w:t>
      </w:r>
      <w:r w:rsidRPr="00467ADD">
        <w:rPr>
          <w:rFonts w:ascii="Arial" w:hAnsi="Arial" w:cs="Arial"/>
        </w:rPr>
        <w:t>or through private social services.</w:t>
      </w:r>
    </w:p>
    <w:p w14:paraId="24E5395E" w14:textId="34FD08A8" w:rsidR="00FD2914" w:rsidRPr="00AC7A8A" w:rsidRDefault="00586A8C" w:rsidP="00AC7A8A">
      <w:pPr>
        <w:spacing w:line="360" w:lineRule="auto"/>
        <w:jc w:val="both"/>
        <w:rPr>
          <w:rFonts w:ascii="Arial" w:hAnsi="Arial" w:cs="Arial"/>
        </w:rPr>
      </w:pPr>
      <w:r w:rsidRPr="00AC7A8A">
        <w:rPr>
          <w:rFonts w:ascii="Arial" w:hAnsi="Arial" w:cs="Arial"/>
        </w:rPr>
        <w:t xml:space="preserve">The APPG agrees with the National Institute for Health Research (NIHR) and UK Research and Innovation (UKRI) that the reduction in the funding for overseas development from 0.7 percent of GDP to 0.5 percent of GNP will have an impact on UK research capacity. Official Development Assistance (ODA) funds not just services in impoverished countries, but also </w:t>
      </w:r>
      <w:r w:rsidRPr="00AC7A8A">
        <w:rPr>
          <w:rFonts w:ascii="Arial" w:hAnsi="Arial" w:cs="Arial"/>
        </w:rPr>
        <w:lastRenderedPageBreak/>
        <w:t>research performed in the UK for the benefit of less economically developed countries. It is evident that if this budget decrease is not addressed, it will have a worldwide impact.</w:t>
      </w:r>
    </w:p>
    <w:p w14:paraId="0BDECB8D" w14:textId="2807D691" w:rsidR="007A7009" w:rsidRPr="00AC7A8A" w:rsidRDefault="00B211AD" w:rsidP="00AC7A8A">
      <w:pPr>
        <w:spacing w:line="360" w:lineRule="auto"/>
        <w:jc w:val="both"/>
        <w:rPr>
          <w:rFonts w:ascii="Arial" w:hAnsi="Arial" w:cs="Arial"/>
        </w:rPr>
      </w:pPr>
      <w:r w:rsidRPr="00AC7A8A">
        <w:rPr>
          <w:rFonts w:ascii="Arial" w:hAnsi="Arial" w:cs="Arial"/>
        </w:rPr>
        <w:br w:type="page"/>
      </w:r>
    </w:p>
    <w:p w14:paraId="59DF2B43" w14:textId="77777777" w:rsidR="007B5884" w:rsidRDefault="007B5884" w:rsidP="00DB563C">
      <w:pPr>
        <w:pStyle w:val="Heading1"/>
        <w:rPr>
          <w:rFonts w:ascii="Arial" w:hAnsi="Arial" w:cs="Arial"/>
          <w:b/>
          <w:bCs/>
          <w:color w:val="auto"/>
          <w:sz w:val="36"/>
          <w:szCs w:val="36"/>
          <w:u w:val="single"/>
        </w:rPr>
      </w:pPr>
      <w:bookmarkStart w:id="5" w:name="_Toc110321247"/>
      <w:r w:rsidRPr="007B5884">
        <w:rPr>
          <w:rFonts w:ascii="Arial" w:hAnsi="Arial" w:cs="Arial"/>
          <w:b/>
          <w:bCs/>
          <w:color w:val="auto"/>
          <w:sz w:val="36"/>
          <w:szCs w:val="36"/>
          <w:u w:val="single"/>
        </w:rPr>
        <w:lastRenderedPageBreak/>
        <w:t>Recommendations for future practice</w:t>
      </w:r>
      <w:bookmarkEnd w:id="5"/>
      <w:r w:rsidRPr="007B5884">
        <w:rPr>
          <w:rFonts w:ascii="Arial" w:hAnsi="Arial" w:cs="Arial"/>
          <w:b/>
          <w:bCs/>
          <w:color w:val="auto"/>
          <w:sz w:val="36"/>
          <w:szCs w:val="36"/>
          <w:u w:val="single"/>
        </w:rPr>
        <w:t xml:space="preserve"> </w:t>
      </w:r>
    </w:p>
    <w:p w14:paraId="441E0DA7" w14:textId="77777777" w:rsidR="00165986" w:rsidRDefault="00165986" w:rsidP="00165986"/>
    <w:p w14:paraId="0496F3C8" w14:textId="77777777" w:rsidR="00976C43" w:rsidRPr="00976C43" w:rsidRDefault="00976C43" w:rsidP="00976C43">
      <w:pPr>
        <w:spacing w:line="360" w:lineRule="auto"/>
        <w:jc w:val="both"/>
        <w:rPr>
          <w:rFonts w:ascii="Arial" w:hAnsi="Arial" w:cs="Arial"/>
        </w:rPr>
      </w:pPr>
      <w:r w:rsidRPr="00976C43">
        <w:rPr>
          <w:rFonts w:ascii="Arial" w:hAnsi="Arial" w:cs="Arial"/>
        </w:rPr>
        <w:t>As suggested by Professor Carol Brayne of Cambridge University, we should begin by doing away with the terminology “dementia," which carries with a bunch on misinformed stigmas and negative connotations. Instead, we should use the term "brain ageing" (Brayne 2018). In such scenario, the entire process of diagnosis and its associated horrors would be called into question. We may be contributing to the very "issue" we are attempting to "address" by holding to the current ways of incorrect thinking as a society.</w:t>
      </w:r>
    </w:p>
    <w:p w14:paraId="010AC8D2" w14:textId="1A8D8189" w:rsidR="003B35B3" w:rsidRDefault="00625590" w:rsidP="008146E5">
      <w:pPr>
        <w:spacing w:line="360" w:lineRule="auto"/>
        <w:jc w:val="both"/>
        <w:rPr>
          <w:rFonts w:ascii="Arial" w:hAnsi="Arial" w:cs="Arial"/>
        </w:rPr>
      </w:pPr>
      <w:r w:rsidRPr="00625590">
        <w:rPr>
          <w:rFonts w:ascii="Arial" w:hAnsi="Arial" w:cs="Arial"/>
        </w:rPr>
        <w:t xml:space="preserve">Stigma surrounding dementia affects a number of things, including a person's predisposition to seek a diagnosis, seek help after being diagnosed, and participate in research (Burgener &amp; Berger, 2008; Milne, 2010; Garand, </w:t>
      </w:r>
      <w:proofErr w:type="spellStart"/>
      <w:r w:rsidRPr="00625590">
        <w:rPr>
          <w:rFonts w:ascii="Arial" w:hAnsi="Arial" w:cs="Arial"/>
        </w:rPr>
        <w:t>Lingler</w:t>
      </w:r>
      <w:proofErr w:type="spellEnd"/>
      <w:r w:rsidRPr="00625590">
        <w:rPr>
          <w:rFonts w:ascii="Arial" w:hAnsi="Arial" w:cs="Arial"/>
        </w:rPr>
        <w:t xml:space="preserve">, Connor, &amp; Dew, 2009). Because of stigma among the medical community, services are </w:t>
      </w:r>
      <w:r w:rsidRPr="00625590">
        <w:rPr>
          <w:rFonts w:ascii="Arial" w:hAnsi="Arial" w:cs="Arial"/>
        </w:rPr>
        <w:t>skewed,</w:t>
      </w:r>
      <w:r w:rsidRPr="00625590">
        <w:rPr>
          <w:rFonts w:ascii="Arial" w:hAnsi="Arial" w:cs="Arial"/>
        </w:rPr>
        <w:t xml:space="preserve"> and treatment quality is worse (Benbow &amp; Jolley, 2012; Devlin, McAskill, &amp; Stead, 2006; Milne, 2010) According to Scheff (1990), stigma intensifies feelings of shame, and people with dementia nevertheless experience intense feelings of shame. The Alzheimer's Society of Ireland (2008) discussed two types of </w:t>
      </w:r>
      <w:r w:rsidRPr="00625590">
        <w:rPr>
          <w:rFonts w:ascii="Arial" w:hAnsi="Arial" w:cs="Arial"/>
        </w:rPr>
        <w:t>stigmas</w:t>
      </w:r>
      <w:r w:rsidRPr="00625590">
        <w:rPr>
          <w:rFonts w:ascii="Arial" w:hAnsi="Arial" w:cs="Arial"/>
        </w:rPr>
        <w:t>: internal stigma, in which the person feels ashamed of themselves and that they are "less of a person" due to dementia symptoms, and external stigma, which is stigma aimed towards the individual.</w:t>
      </w:r>
      <w:r>
        <w:rPr>
          <w:rFonts w:ascii="Arial" w:hAnsi="Arial" w:cs="Arial"/>
        </w:rPr>
        <w:t xml:space="preserve"> </w:t>
      </w:r>
      <w:r w:rsidR="008146E5" w:rsidRPr="008146E5">
        <w:rPr>
          <w:rFonts w:ascii="Arial" w:hAnsi="Arial" w:cs="Arial"/>
        </w:rPr>
        <w:t>Stigma has an impact on more than only the well-being and quality of life of persons with dementia and their family (Sandra, 2006)</w:t>
      </w:r>
    </w:p>
    <w:p w14:paraId="6DFDE06A" w14:textId="77777777" w:rsidR="0046224F" w:rsidRDefault="00D12DBB" w:rsidP="00D12DBB">
      <w:pPr>
        <w:spacing w:line="360" w:lineRule="auto"/>
        <w:jc w:val="both"/>
        <w:rPr>
          <w:rFonts w:ascii="Arial" w:hAnsi="Arial" w:cs="Arial"/>
        </w:rPr>
      </w:pPr>
      <w:r w:rsidRPr="00D12DBB">
        <w:rPr>
          <w:rFonts w:ascii="Arial" w:hAnsi="Arial" w:cs="Arial"/>
        </w:rPr>
        <w:t>More work has to be done even if there are programmes in place to help people with dementia, such as the NHS's construction of a dementia-friendly environment, improved support for family carers, and integrated care. The healthcare, social services, and commercial sectors are moving toward dementia positivity, and highly qualified personnel with dementia-specific knowledge are available in these fields.</w:t>
      </w:r>
      <w:r w:rsidR="004F4B60">
        <w:rPr>
          <w:rFonts w:ascii="Arial" w:hAnsi="Arial" w:cs="Arial"/>
        </w:rPr>
        <w:t xml:space="preserve"> </w:t>
      </w:r>
    </w:p>
    <w:p w14:paraId="0C6318A5" w14:textId="7B39A863" w:rsidR="002339BB" w:rsidRPr="002339BB" w:rsidRDefault="002339BB" w:rsidP="00D12DBB">
      <w:pPr>
        <w:spacing w:line="360" w:lineRule="auto"/>
        <w:jc w:val="both"/>
        <w:rPr>
          <w:rFonts w:ascii="Arial" w:hAnsi="Arial" w:cs="Arial"/>
        </w:rPr>
      </w:pPr>
      <w:r w:rsidRPr="002339BB">
        <w:rPr>
          <w:rFonts w:ascii="Arial" w:hAnsi="Arial" w:cs="Arial"/>
        </w:rPr>
        <w:t>The Government Moonshot initiative is presently equipped with the tools required to obtain the essential information to enable more diversified programmes and services customised to the requirements of persons living with dementia.</w:t>
      </w:r>
    </w:p>
    <w:p w14:paraId="78932A34" w14:textId="40C6F424" w:rsidR="004512AD" w:rsidRDefault="002339BB" w:rsidP="00F7311B">
      <w:pPr>
        <w:spacing w:line="360" w:lineRule="auto"/>
        <w:jc w:val="both"/>
        <w:rPr>
          <w:rFonts w:ascii="Arial" w:hAnsi="Arial" w:cs="Arial"/>
        </w:rPr>
      </w:pPr>
      <w:r w:rsidRPr="00F7311B">
        <w:rPr>
          <w:rFonts w:ascii="Arial" w:hAnsi="Arial" w:cs="Arial"/>
        </w:rPr>
        <w:t>Caregivers are educated to inspire residents to empower them to enable independence when feasible, to treat them with decency and respect, to listen to their needs, and to offer a choice where possible.</w:t>
      </w:r>
      <w:r w:rsidR="00F7311B" w:rsidRPr="00F7311B">
        <w:rPr>
          <w:rFonts w:ascii="Arial" w:hAnsi="Arial" w:cs="Arial"/>
        </w:rPr>
        <w:t xml:space="preserve"> </w:t>
      </w:r>
      <w:r w:rsidR="00F7311B" w:rsidRPr="00F7311B">
        <w:rPr>
          <w:rFonts w:ascii="Arial" w:hAnsi="Arial" w:cs="Arial"/>
        </w:rPr>
        <w:t>These are consistent with person-centered work. JRF (2009) stated that having personalised care and support, maintaining meaningful relationships and daily and personal community life to sustain healthy identity and self-esteem, and maintaining a level of control over personal surroundings are some of the key points to a good life for older people with high support needs</w:t>
      </w:r>
      <w:r w:rsidR="004512AD">
        <w:rPr>
          <w:rFonts w:ascii="Arial" w:hAnsi="Arial" w:cs="Arial"/>
        </w:rPr>
        <w:t>.</w:t>
      </w:r>
    </w:p>
    <w:p w14:paraId="4EAAF135" w14:textId="4CD73EDB" w:rsidR="00057323" w:rsidRDefault="004512AD" w:rsidP="00F7311B">
      <w:pPr>
        <w:spacing w:line="360" w:lineRule="auto"/>
        <w:jc w:val="both"/>
        <w:rPr>
          <w:rFonts w:ascii="Arial" w:hAnsi="Arial" w:cs="Arial"/>
        </w:rPr>
      </w:pPr>
      <w:r w:rsidRPr="004512AD">
        <w:rPr>
          <w:rFonts w:ascii="Arial" w:hAnsi="Arial" w:cs="Arial"/>
        </w:rPr>
        <w:lastRenderedPageBreak/>
        <w:t>I'm not sure if the slogan "dementia-friendly communities" is the proper one since I worry that it fosters segregation rather than bringing people together. The Alzheimer's organisations and organisations must thus make sure that dementia-friendly community programmes and activities benefit persons with dementia rather than just promoting their symbolic engagement.</w:t>
      </w:r>
    </w:p>
    <w:p w14:paraId="4FBF4F71" w14:textId="2AF43346" w:rsidR="00B47A22" w:rsidRDefault="007A7009" w:rsidP="00F7311B">
      <w:pPr>
        <w:spacing w:line="360" w:lineRule="auto"/>
        <w:jc w:val="both"/>
        <w:rPr>
          <w:rFonts w:ascii="Arial" w:hAnsi="Arial" w:cs="Arial"/>
        </w:rPr>
      </w:pPr>
      <w:r w:rsidRPr="00F7311B">
        <w:rPr>
          <w:rFonts w:ascii="Arial" w:hAnsi="Arial" w:cs="Arial"/>
        </w:rPr>
        <w:br w:type="page"/>
      </w:r>
    </w:p>
    <w:p w14:paraId="14F70380" w14:textId="77777777" w:rsidR="00DE6298" w:rsidRDefault="00DE6298" w:rsidP="0083066C">
      <w:pPr>
        <w:pStyle w:val="Heading1"/>
        <w:rPr>
          <w:rFonts w:ascii="Arial" w:hAnsi="Arial" w:cs="Arial"/>
          <w:b/>
          <w:bCs/>
          <w:color w:val="auto"/>
          <w:sz w:val="36"/>
          <w:szCs w:val="36"/>
          <w:u w:val="single"/>
        </w:rPr>
      </w:pPr>
      <w:bookmarkStart w:id="6" w:name="_Toc110321248"/>
      <w:r>
        <w:rPr>
          <w:rFonts w:ascii="Arial" w:hAnsi="Arial" w:cs="Arial"/>
          <w:b/>
          <w:bCs/>
          <w:color w:val="auto"/>
          <w:sz w:val="36"/>
          <w:szCs w:val="36"/>
          <w:u w:val="single"/>
        </w:rPr>
        <w:lastRenderedPageBreak/>
        <w:t>C</w:t>
      </w:r>
      <w:r w:rsidR="0083066C" w:rsidRPr="00DE6298">
        <w:rPr>
          <w:rFonts w:ascii="Arial" w:hAnsi="Arial" w:cs="Arial"/>
          <w:b/>
          <w:bCs/>
          <w:color w:val="auto"/>
          <w:sz w:val="36"/>
          <w:szCs w:val="36"/>
          <w:u w:val="single"/>
        </w:rPr>
        <w:t>onclusion</w:t>
      </w:r>
      <w:bookmarkEnd w:id="6"/>
    </w:p>
    <w:p w14:paraId="42E7CE63" w14:textId="77777777" w:rsidR="00DE6298" w:rsidRDefault="00DE6298" w:rsidP="00DE6298"/>
    <w:p w14:paraId="0FA40CE9" w14:textId="77777777" w:rsidR="009D585A" w:rsidRPr="009D585A" w:rsidRDefault="0094616C" w:rsidP="009D585A">
      <w:pPr>
        <w:spacing w:line="360" w:lineRule="auto"/>
        <w:jc w:val="both"/>
        <w:rPr>
          <w:rFonts w:ascii="Arial" w:hAnsi="Arial" w:cs="Arial"/>
        </w:rPr>
      </w:pPr>
      <w:r w:rsidRPr="0094616C">
        <w:rPr>
          <w:rFonts w:ascii="Arial" w:hAnsi="Arial" w:cs="Arial"/>
        </w:rPr>
        <w:t xml:space="preserve">Dementia affects 7.1% of the population overall and 7.4% of people over 65. (based on 2013 population data). The population of the UK as a whole, or one in every 79 people (1.3 percent), and the population of people 65 and older, or one in every 14. According to the current consensus on dementia prevalence, there are marginally more people with dementia in the youngest (65 to 69) and oldest (90+) age groups and marginally fewer in the middle-aged groups as compared to the 2007 estimates. </w:t>
      </w:r>
      <w:r w:rsidR="009D585A" w:rsidRPr="009D585A">
        <w:rPr>
          <w:rFonts w:ascii="Arial" w:hAnsi="Arial" w:cs="Arial"/>
        </w:rPr>
        <w:t>Around 55 million individuals worldwide suffer from dementia, with more than 60% residing in low- and middle-income nations. This figure is predicted to climb to 78 million in 2030 and 139 million in 2050 as the share of older people in the population continues to rise in practically every country It has also been anticipated that by 2051, there will be over 2 million dementia sufferers in the UK. If no public health initiatives are made and changes are solely attributable to an ageing population, then this is the worst-case scenario.</w:t>
      </w:r>
    </w:p>
    <w:p w14:paraId="3AD2FBA2" w14:textId="66447FE1" w:rsidR="004F4B60" w:rsidRDefault="009D585A" w:rsidP="009D585A">
      <w:pPr>
        <w:spacing w:line="360" w:lineRule="auto"/>
        <w:jc w:val="both"/>
        <w:rPr>
          <w:rFonts w:ascii="Arial" w:hAnsi="Arial" w:cs="Arial"/>
        </w:rPr>
      </w:pPr>
      <w:r w:rsidRPr="009D585A">
        <w:rPr>
          <w:rFonts w:ascii="Arial" w:hAnsi="Arial" w:cs="Arial"/>
        </w:rPr>
        <w:t>In terms of the direct expenses of medical and social care as well as the costs of informal care, dementia has enormous social and economic repercussions. The estimated global societal cost of dementia was $1.3 trillion dollars in 2019, which converts to £1,071,460,000,000 Pound Sterling and as the number of individuals with dementia and the cost of care rise, these expenses are predicted to reach $2.8 trillion dollars by 2030 which in turn converts to £2,306,640,000,000 Pound Sterling according to who.int/news-room/fact-sheets/detail/dementia</w:t>
      </w:r>
    </w:p>
    <w:p w14:paraId="05538634" w14:textId="77777777" w:rsidR="0055109F" w:rsidRDefault="007A61CF" w:rsidP="00D94B26">
      <w:pPr>
        <w:spacing w:line="360" w:lineRule="auto"/>
        <w:jc w:val="both"/>
        <w:rPr>
          <w:rFonts w:ascii="Arial" w:hAnsi="Arial" w:cs="Arial"/>
        </w:rPr>
      </w:pPr>
      <w:r w:rsidRPr="007A61CF">
        <w:rPr>
          <w:rFonts w:ascii="Arial" w:hAnsi="Arial" w:cs="Arial"/>
        </w:rPr>
        <w:t xml:space="preserve">In conclusion, there are a variety of concerns that are crucial to comprehend, and the real voice of those living with dementia is crucially absent from research on dementia and organisations that serve those living with dementia. The terminology used regarding persons with dementia increases the stigma and prejudice that still persist within the organisations that support them. Stigma is pervasive in the literature. My studies and personal experience have shown that stigmatisation persists in the community, as well as among academics, medical professionals, and organisations that support and advocate for us. </w:t>
      </w:r>
      <w:r w:rsidR="009422F6" w:rsidRPr="009422F6">
        <w:rPr>
          <w:rFonts w:ascii="Arial" w:hAnsi="Arial" w:cs="Arial"/>
        </w:rPr>
        <w:t>Due to the dehumanising terminology and relatively low percentages of people with dementia in the research cohorts, no community can be dementia-friendly. The extremely low representation of persons with dementia in discussions about them by Alzheimer's groups on crucial issues like stigma and dementia-friendly initiatives contributes greatly to the disease.</w:t>
      </w:r>
      <w:r w:rsidR="00C90556" w:rsidRPr="00C90556">
        <w:t xml:space="preserve"> </w:t>
      </w:r>
      <w:r w:rsidR="00C90556" w:rsidRPr="00C90556">
        <w:rPr>
          <w:rFonts w:ascii="Arial" w:hAnsi="Arial" w:cs="Arial"/>
        </w:rPr>
        <w:t xml:space="preserve">In the battle against stigma, language, inclusion, and developing dementia-friendly cultures are essential, and without positive change, stigma will continue to be a significant burden on persons who have dementia. (Alzheimer's Society, 2008; </w:t>
      </w:r>
      <w:proofErr w:type="spellStart"/>
      <w:r w:rsidR="00C90556" w:rsidRPr="00C90556">
        <w:rPr>
          <w:rFonts w:ascii="Arial" w:hAnsi="Arial" w:cs="Arial"/>
        </w:rPr>
        <w:t>Buttrose</w:t>
      </w:r>
      <w:proofErr w:type="spellEnd"/>
      <w:r w:rsidR="00C90556" w:rsidRPr="00C90556">
        <w:rPr>
          <w:rFonts w:ascii="Arial" w:hAnsi="Arial" w:cs="Arial"/>
        </w:rPr>
        <w:t xml:space="preserve">, 2012; Batsch, Mittelman, &amp; Alzheimer's </w:t>
      </w:r>
    </w:p>
    <w:p w14:paraId="4F1BFFD0" w14:textId="7753F2F6" w:rsidR="0055109F" w:rsidRPr="0086725F" w:rsidRDefault="0086725F" w:rsidP="0055109F">
      <w:pPr>
        <w:pStyle w:val="Heading1"/>
        <w:rPr>
          <w:rFonts w:ascii="Arial" w:hAnsi="Arial" w:cs="Arial"/>
          <w:b/>
          <w:bCs/>
          <w:color w:val="auto"/>
          <w:sz w:val="36"/>
          <w:szCs w:val="36"/>
          <w:u w:val="single"/>
        </w:rPr>
      </w:pPr>
      <w:bookmarkStart w:id="7" w:name="_Toc110321249"/>
      <w:r w:rsidRPr="0086725F">
        <w:rPr>
          <w:rFonts w:ascii="Arial" w:hAnsi="Arial" w:cs="Arial"/>
          <w:b/>
          <w:bCs/>
          <w:color w:val="auto"/>
          <w:sz w:val="36"/>
          <w:szCs w:val="36"/>
          <w:u w:val="single"/>
        </w:rPr>
        <w:lastRenderedPageBreak/>
        <w:t>Reference List</w:t>
      </w:r>
      <w:bookmarkEnd w:id="7"/>
    </w:p>
    <w:p w14:paraId="42F1D6B9" w14:textId="77777777" w:rsidR="009B2ED5" w:rsidRDefault="009B2ED5" w:rsidP="006B2999">
      <w:pPr>
        <w:spacing w:line="360" w:lineRule="auto"/>
        <w:jc w:val="both"/>
        <w:rPr>
          <w:rFonts w:ascii="Arial" w:hAnsi="Arial" w:cs="Arial"/>
        </w:rPr>
      </w:pPr>
    </w:p>
    <w:p w14:paraId="0C311DC7" w14:textId="06CEB491" w:rsidR="006B2999" w:rsidRDefault="006B2999" w:rsidP="006B2999">
      <w:pPr>
        <w:spacing w:line="360" w:lineRule="auto"/>
        <w:jc w:val="both"/>
        <w:rPr>
          <w:rFonts w:ascii="Arial" w:hAnsi="Arial" w:cs="Arial"/>
          <w:i/>
          <w:iCs/>
        </w:rPr>
      </w:pPr>
      <w:r w:rsidRPr="006B2999">
        <w:rPr>
          <w:rFonts w:ascii="Arial" w:hAnsi="Arial" w:cs="Arial"/>
          <w:i/>
          <w:iCs/>
        </w:rPr>
        <w:t xml:space="preserve">A. Regier, D., A. Kuhl, </w:t>
      </w:r>
      <w:proofErr w:type="gramStart"/>
      <w:r w:rsidRPr="006B2999">
        <w:rPr>
          <w:rFonts w:ascii="Arial" w:hAnsi="Arial" w:cs="Arial"/>
          <w:i/>
          <w:iCs/>
        </w:rPr>
        <w:t>E.</w:t>
      </w:r>
      <w:proofErr w:type="gramEnd"/>
      <w:r w:rsidRPr="006B2999">
        <w:rPr>
          <w:rFonts w:ascii="Arial" w:hAnsi="Arial" w:cs="Arial"/>
          <w:i/>
          <w:iCs/>
        </w:rPr>
        <w:t xml:space="preserve"> and J. Kupfer, D., 2013. (online) Available at: &lt;https://onlinelibrary.wiley.com/doi/10.1002/wps.20050&gt; (Accessed 10 June 2022</w:t>
      </w:r>
      <w:r w:rsidR="003622C3" w:rsidRPr="006B2999">
        <w:rPr>
          <w:rFonts w:ascii="Arial" w:hAnsi="Arial" w:cs="Arial"/>
          <w:i/>
          <w:iCs/>
        </w:rPr>
        <w:t>). The</w:t>
      </w:r>
      <w:r w:rsidRPr="006B2999">
        <w:rPr>
          <w:rFonts w:ascii="Arial" w:hAnsi="Arial" w:cs="Arial"/>
          <w:i/>
          <w:iCs/>
        </w:rPr>
        <w:t xml:space="preserve"> DSM-5: Classification and criteria changes</w:t>
      </w:r>
    </w:p>
    <w:p w14:paraId="527AD2F9" w14:textId="1AC08ABE" w:rsidR="00801314" w:rsidRDefault="00801314" w:rsidP="004157AE">
      <w:pPr>
        <w:spacing w:line="360" w:lineRule="auto"/>
        <w:jc w:val="both"/>
        <w:rPr>
          <w:rFonts w:ascii="Arial" w:hAnsi="Arial" w:cs="Arial"/>
          <w:i/>
          <w:iCs/>
        </w:rPr>
      </w:pPr>
      <w:r w:rsidRPr="00801314">
        <w:rPr>
          <w:rFonts w:ascii="Arial" w:hAnsi="Arial" w:cs="Arial"/>
          <w:i/>
          <w:iCs/>
        </w:rPr>
        <w:t>ALDENHAM PSYCHOLOGY. 2022. Historical Context of Mental Health. (online) Available at: &lt;http://www.aldenhampsychology.com/historical-context-of-mental-health.html&gt; (Accessed 6 July 202).</w:t>
      </w:r>
    </w:p>
    <w:p w14:paraId="679758FD" w14:textId="11A25092" w:rsidR="009B3758" w:rsidRDefault="009B3758" w:rsidP="004157AE">
      <w:pPr>
        <w:spacing w:line="360" w:lineRule="auto"/>
        <w:jc w:val="both"/>
        <w:rPr>
          <w:rFonts w:ascii="Arial" w:hAnsi="Arial" w:cs="Arial"/>
          <w:i/>
          <w:iCs/>
        </w:rPr>
      </w:pPr>
      <w:r w:rsidRPr="009B3758">
        <w:rPr>
          <w:rFonts w:ascii="Arial" w:hAnsi="Arial" w:cs="Arial"/>
          <w:i/>
          <w:iCs/>
        </w:rPr>
        <w:t>Alzheimer's Society. 2022. We urge amendment to cost of care cap as plans benefit just one in five people with dementia. (online) Available at: &lt;https://www.alzheimers.org.uk/news/2022-03-07/urge-amendment-cost-care-cap&gt; (Accessed 14 June 2022).</w:t>
      </w:r>
    </w:p>
    <w:p w14:paraId="7FA679C4" w14:textId="2735B559" w:rsidR="004157AE" w:rsidRDefault="004157AE" w:rsidP="004157AE">
      <w:pPr>
        <w:spacing w:line="360" w:lineRule="auto"/>
        <w:jc w:val="both"/>
        <w:rPr>
          <w:rFonts w:ascii="Arial" w:hAnsi="Arial" w:cs="Arial"/>
          <w:i/>
          <w:iCs/>
        </w:rPr>
      </w:pPr>
      <w:r w:rsidRPr="004157AE">
        <w:rPr>
          <w:rFonts w:ascii="Arial" w:hAnsi="Arial" w:cs="Arial"/>
          <w:i/>
          <w:iCs/>
        </w:rPr>
        <w:t>Alzheimer's Disease and Dementia. 2022. Overcoming Stigma. (online) Available at: &lt;https://www.alz.org/help-support/i-have-alz/overcoming-stigma#:~:text=Stigma%20is%20the%20use%20of%20negative%20labels%20to,lack%20of%20awareness%20also%20impacts%20Alzheimer%27s%20disease%20research.&gt; (Accessed 7 July 2022).</w:t>
      </w:r>
    </w:p>
    <w:p w14:paraId="25F5026E" w14:textId="57FEA494" w:rsidR="00785521" w:rsidRDefault="00B211AD" w:rsidP="00710DB8">
      <w:pPr>
        <w:spacing w:line="360" w:lineRule="auto"/>
        <w:jc w:val="both"/>
        <w:rPr>
          <w:rFonts w:ascii="Arial" w:hAnsi="Arial" w:cs="Arial"/>
          <w:i/>
          <w:iCs/>
        </w:rPr>
      </w:pPr>
      <w:r w:rsidRPr="00B211AD">
        <w:rPr>
          <w:rFonts w:ascii="Arial" w:hAnsi="Arial" w:cs="Arial"/>
          <w:i/>
          <w:iCs/>
        </w:rPr>
        <w:t>Birks, J. and López-Arrieta, J., 20</w:t>
      </w:r>
      <w:r w:rsidRPr="00B211AD">
        <w:rPr>
          <w:rFonts w:ascii="Arial" w:hAnsi="Arial" w:cs="Arial"/>
          <w:i/>
          <w:iCs/>
        </w:rPr>
        <w:t>0</w:t>
      </w:r>
      <w:r w:rsidRPr="00B211AD">
        <w:rPr>
          <w:rFonts w:ascii="Arial" w:hAnsi="Arial" w:cs="Arial"/>
          <w:i/>
          <w:iCs/>
        </w:rPr>
        <w:t xml:space="preserve">2. Nimodipine for primary degenerative, </w:t>
      </w:r>
      <w:r w:rsidR="006A74EF" w:rsidRPr="00B211AD">
        <w:rPr>
          <w:rFonts w:ascii="Arial" w:hAnsi="Arial" w:cs="Arial"/>
          <w:i/>
          <w:iCs/>
        </w:rPr>
        <w:t>mixed,</w:t>
      </w:r>
      <w:r w:rsidRPr="00B211AD">
        <w:rPr>
          <w:rFonts w:ascii="Arial" w:hAnsi="Arial" w:cs="Arial"/>
          <w:i/>
          <w:iCs/>
        </w:rPr>
        <w:t xml:space="preserve"> and vascular dementia.</w:t>
      </w:r>
      <w:r w:rsidR="00785521">
        <w:rPr>
          <w:rFonts w:ascii="Arial" w:hAnsi="Arial" w:cs="Arial"/>
          <w:i/>
          <w:iCs/>
        </w:rPr>
        <w:t xml:space="preserve"> </w:t>
      </w:r>
      <w:r w:rsidR="00785521" w:rsidRPr="00785521">
        <w:rPr>
          <w:rFonts w:ascii="Arial" w:hAnsi="Arial" w:cs="Arial"/>
          <w:i/>
          <w:iCs/>
        </w:rPr>
        <w:t xml:space="preserve">Metajournal.com. 2006. Nimodipine for primary degenerative, </w:t>
      </w:r>
      <w:r w:rsidR="00785521" w:rsidRPr="00785521">
        <w:rPr>
          <w:rFonts w:ascii="Arial" w:hAnsi="Arial" w:cs="Arial"/>
          <w:i/>
          <w:iCs/>
        </w:rPr>
        <w:t>mixed,</w:t>
      </w:r>
      <w:r w:rsidR="00785521" w:rsidRPr="00785521">
        <w:rPr>
          <w:rFonts w:ascii="Arial" w:hAnsi="Arial" w:cs="Arial"/>
          <w:i/>
          <w:iCs/>
        </w:rPr>
        <w:t xml:space="preserve"> and vascular metajournal.com. </w:t>
      </w:r>
      <w:r w:rsidR="00676E07">
        <w:rPr>
          <w:rFonts w:ascii="Arial" w:hAnsi="Arial" w:cs="Arial"/>
          <w:i/>
          <w:iCs/>
        </w:rPr>
        <w:t>(</w:t>
      </w:r>
      <w:r w:rsidR="00785521" w:rsidRPr="00785521">
        <w:rPr>
          <w:rFonts w:ascii="Arial" w:hAnsi="Arial" w:cs="Arial"/>
          <w:i/>
          <w:iCs/>
        </w:rPr>
        <w:t>online</w:t>
      </w:r>
      <w:r w:rsidR="00676E07">
        <w:rPr>
          <w:rFonts w:ascii="Arial" w:hAnsi="Arial" w:cs="Arial"/>
          <w:i/>
          <w:iCs/>
        </w:rPr>
        <w:t>)</w:t>
      </w:r>
      <w:r w:rsidR="00785521" w:rsidRPr="00785521">
        <w:rPr>
          <w:rFonts w:ascii="Arial" w:hAnsi="Arial" w:cs="Arial"/>
          <w:i/>
          <w:iCs/>
        </w:rPr>
        <w:t xml:space="preserve"> Available at: &lt;https://www.metajournal.com/articles/1146836/nimodipine-primary-degenerative-mixed-vascular-dementia&gt; </w:t>
      </w:r>
      <w:r w:rsidR="00676E07">
        <w:rPr>
          <w:rFonts w:ascii="Arial" w:hAnsi="Arial" w:cs="Arial"/>
          <w:i/>
          <w:iCs/>
        </w:rPr>
        <w:t>(</w:t>
      </w:r>
      <w:r w:rsidR="00785521" w:rsidRPr="00785521">
        <w:rPr>
          <w:rFonts w:ascii="Arial" w:hAnsi="Arial" w:cs="Arial"/>
          <w:i/>
          <w:iCs/>
        </w:rPr>
        <w:t>Accessed 14 July 2022</w:t>
      </w:r>
      <w:r w:rsidR="00676E07">
        <w:rPr>
          <w:rFonts w:ascii="Arial" w:hAnsi="Arial" w:cs="Arial"/>
          <w:i/>
          <w:iCs/>
        </w:rPr>
        <w:t>)</w:t>
      </w:r>
      <w:r w:rsidR="00785521" w:rsidRPr="00785521">
        <w:rPr>
          <w:rFonts w:ascii="Arial" w:hAnsi="Arial" w:cs="Arial"/>
          <w:i/>
          <w:iCs/>
        </w:rPr>
        <w:t>.</w:t>
      </w:r>
    </w:p>
    <w:p w14:paraId="0F091239" w14:textId="1F94F2CF" w:rsidR="00766E59" w:rsidRDefault="00766E59" w:rsidP="00710DB8">
      <w:pPr>
        <w:spacing w:line="360" w:lineRule="auto"/>
        <w:jc w:val="both"/>
        <w:rPr>
          <w:rFonts w:ascii="Arial" w:hAnsi="Arial" w:cs="Arial"/>
          <w:i/>
          <w:iCs/>
        </w:rPr>
      </w:pPr>
      <w:r w:rsidRPr="00766E59">
        <w:rPr>
          <w:rFonts w:ascii="Arial" w:hAnsi="Arial" w:cs="Arial"/>
          <w:i/>
          <w:iCs/>
        </w:rPr>
        <w:t xml:space="preserve">BT, W., MK, O., CM, S. and KA, H., 2011. Treatment of Alzheimer </w:t>
      </w:r>
      <w:r w:rsidR="00C67037" w:rsidRPr="00766E59">
        <w:rPr>
          <w:rFonts w:ascii="Arial" w:hAnsi="Arial" w:cs="Arial"/>
          <w:i/>
          <w:iCs/>
        </w:rPr>
        <w:t>disease.</w:t>
      </w:r>
      <w:r w:rsidR="00C67037">
        <w:rPr>
          <w:rFonts w:ascii="Arial" w:hAnsi="Arial" w:cs="Arial"/>
          <w:i/>
          <w:iCs/>
        </w:rPr>
        <w:t xml:space="preserve"> (</w:t>
      </w:r>
      <w:r w:rsidRPr="00766E59">
        <w:rPr>
          <w:rFonts w:ascii="Arial" w:hAnsi="Arial" w:cs="Arial"/>
          <w:i/>
          <w:iCs/>
        </w:rPr>
        <w:t>online</w:t>
      </w:r>
      <w:r w:rsidR="00E56F8D">
        <w:rPr>
          <w:rFonts w:ascii="Arial" w:hAnsi="Arial" w:cs="Arial"/>
          <w:i/>
          <w:iCs/>
        </w:rPr>
        <w:t>)</w:t>
      </w:r>
      <w:r w:rsidRPr="00766E59">
        <w:rPr>
          <w:rFonts w:ascii="Arial" w:hAnsi="Arial" w:cs="Arial"/>
          <w:i/>
          <w:iCs/>
        </w:rPr>
        <w:t xml:space="preserve"> PubMed. Available at: &lt;https://pubmed.ncbi.nlm.nih.gov/21671540/&gt; </w:t>
      </w:r>
      <w:r w:rsidR="00E56F8D">
        <w:rPr>
          <w:rFonts w:ascii="Arial" w:hAnsi="Arial" w:cs="Arial"/>
          <w:i/>
          <w:iCs/>
        </w:rPr>
        <w:t>(</w:t>
      </w:r>
      <w:r w:rsidRPr="00766E59">
        <w:rPr>
          <w:rFonts w:ascii="Arial" w:hAnsi="Arial" w:cs="Arial"/>
          <w:i/>
          <w:iCs/>
        </w:rPr>
        <w:t>Accessed 17 June 2022</w:t>
      </w:r>
      <w:r w:rsidR="00E56F8D">
        <w:rPr>
          <w:rFonts w:ascii="Arial" w:hAnsi="Arial" w:cs="Arial"/>
          <w:i/>
          <w:iCs/>
        </w:rPr>
        <w:t>)</w:t>
      </w:r>
      <w:r w:rsidRPr="00766E59">
        <w:rPr>
          <w:rFonts w:ascii="Arial" w:hAnsi="Arial" w:cs="Arial"/>
          <w:i/>
          <w:iCs/>
        </w:rPr>
        <w:t>.</w:t>
      </w:r>
    </w:p>
    <w:p w14:paraId="5EFCAFFC" w14:textId="2D64CC94" w:rsidR="006F10D6" w:rsidRDefault="00EF5A7E" w:rsidP="00710DB8">
      <w:pPr>
        <w:spacing w:line="360" w:lineRule="auto"/>
        <w:jc w:val="both"/>
        <w:rPr>
          <w:rFonts w:ascii="Arial" w:hAnsi="Arial" w:cs="Arial"/>
          <w:i/>
          <w:iCs/>
        </w:rPr>
      </w:pPr>
      <w:r w:rsidRPr="00EF5A7E">
        <w:rPr>
          <w:rFonts w:ascii="Arial" w:hAnsi="Arial" w:cs="Arial"/>
          <w:i/>
          <w:iCs/>
        </w:rPr>
        <w:t>Diagnostic criteria for dementia (Online). Dementia Australia. Available at: www.dementia.org.au/information/for-health-professionals/clinical-resources/diagnostic-criteria-for-dementia (Accessed: 21 July 2022).</w:t>
      </w:r>
    </w:p>
    <w:p w14:paraId="52C6D11B" w14:textId="77777777" w:rsidR="009B2ED5" w:rsidRPr="009B2ED5" w:rsidRDefault="009B2ED5" w:rsidP="009B2ED5">
      <w:pPr>
        <w:spacing w:line="360" w:lineRule="auto"/>
        <w:jc w:val="both"/>
        <w:rPr>
          <w:rFonts w:ascii="Arial" w:hAnsi="Arial" w:cs="Arial"/>
          <w:i/>
          <w:iCs/>
        </w:rPr>
      </w:pPr>
      <w:r w:rsidRPr="009B2ED5">
        <w:rPr>
          <w:rFonts w:ascii="Arial" w:hAnsi="Arial" w:cs="Arial"/>
          <w:i/>
          <w:iCs/>
        </w:rPr>
        <w:t>GOV.UK. Equality Act 2010: guidance. (online) Available at: &lt;https://www.gov.uk/guidance/equality-act-2010-guidance&gt; (Accessed 16 June 2022).</w:t>
      </w:r>
    </w:p>
    <w:p w14:paraId="16FCC9B1" w14:textId="610C99FB" w:rsidR="009B2ED5" w:rsidRDefault="009B2ED5" w:rsidP="009B2ED5">
      <w:pPr>
        <w:spacing w:line="360" w:lineRule="auto"/>
        <w:jc w:val="both"/>
        <w:rPr>
          <w:rFonts w:ascii="Arial" w:hAnsi="Arial" w:cs="Arial"/>
          <w:i/>
          <w:iCs/>
        </w:rPr>
      </w:pPr>
      <w:r w:rsidRPr="009B2ED5">
        <w:rPr>
          <w:rFonts w:ascii="Arial" w:hAnsi="Arial" w:cs="Arial"/>
          <w:i/>
          <w:iCs/>
        </w:rPr>
        <w:t>GOV.UK.. Definition of disability under the Equality Act 2010. (online) Available at: &lt;https://www.gov.uk/definition-of-disability-under-equality-act-2010&gt; (Accessed 14 June 2022).</w:t>
      </w:r>
    </w:p>
    <w:p w14:paraId="3B7C177D" w14:textId="4E1136C9" w:rsidR="008F7FEC" w:rsidRDefault="008F7FEC" w:rsidP="009B2ED5">
      <w:pPr>
        <w:spacing w:line="360" w:lineRule="auto"/>
        <w:jc w:val="both"/>
        <w:rPr>
          <w:rFonts w:ascii="Arial" w:hAnsi="Arial" w:cs="Arial"/>
          <w:i/>
          <w:iCs/>
        </w:rPr>
      </w:pPr>
      <w:r w:rsidRPr="008F7FEC">
        <w:rPr>
          <w:rFonts w:ascii="Arial" w:hAnsi="Arial" w:cs="Arial"/>
          <w:i/>
          <w:iCs/>
        </w:rPr>
        <w:lastRenderedPageBreak/>
        <w:t>GOV.UK. 2022. Prime Minister’s challenge on dementia 2020. (online) Available at: &lt;https://www.gov.uk/government/publications/prime-ministers-challenge-on-dementia-2020/prime-ministers-challenge-on-dementia-2020&gt; (Accessed 13 June 2022).</w:t>
      </w:r>
    </w:p>
    <w:p w14:paraId="2CDCA811" w14:textId="13BE5B99" w:rsidR="00016B6F" w:rsidRDefault="00016B6F" w:rsidP="009B2ED5">
      <w:pPr>
        <w:spacing w:line="360" w:lineRule="auto"/>
        <w:jc w:val="both"/>
        <w:rPr>
          <w:rFonts w:ascii="Arial" w:hAnsi="Arial" w:cs="Arial"/>
          <w:i/>
          <w:iCs/>
        </w:rPr>
      </w:pPr>
      <w:r w:rsidRPr="00016B6F">
        <w:rPr>
          <w:rFonts w:ascii="Arial" w:hAnsi="Arial" w:cs="Arial"/>
          <w:i/>
          <w:iCs/>
        </w:rPr>
        <w:t xml:space="preserve">Icd.who.int. 2010. ICD-10 Version:2010. </w:t>
      </w:r>
      <w:r>
        <w:rPr>
          <w:rFonts w:ascii="Arial" w:hAnsi="Arial" w:cs="Arial"/>
          <w:i/>
          <w:iCs/>
        </w:rPr>
        <w:t>(</w:t>
      </w:r>
      <w:r w:rsidRPr="00016B6F">
        <w:rPr>
          <w:rFonts w:ascii="Arial" w:hAnsi="Arial" w:cs="Arial"/>
          <w:i/>
          <w:iCs/>
        </w:rPr>
        <w:t>online</w:t>
      </w:r>
      <w:r>
        <w:rPr>
          <w:rFonts w:ascii="Arial" w:hAnsi="Arial" w:cs="Arial"/>
          <w:i/>
          <w:iCs/>
        </w:rPr>
        <w:t>)</w:t>
      </w:r>
      <w:r w:rsidRPr="00016B6F">
        <w:rPr>
          <w:rFonts w:ascii="Arial" w:hAnsi="Arial" w:cs="Arial"/>
          <w:i/>
          <w:iCs/>
        </w:rPr>
        <w:t xml:space="preserve"> Available at: &lt;https://icd.who.int/browse10/2010/en#/F01&gt; </w:t>
      </w:r>
      <w:r w:rsidR="001014A6">
        <w:rPr>
          <w:rFonts w:ascii="Arial" w:hAnsi="Arial" w:cs="Arial"/>
          <w:i/>
          <w:iCs/>
        </w:rPr>
        <w:t>(</w:t>
      </w:r>
      <w:r w:rsidRPr="00016B6F">
        <w:rPr>
          <w:rFonts w:ascii="Arial" w:hAnsi="Arial" w:cs="Arial"/>
          <w:i/>
          <w:iCs/>
        </w:rPr>
        <w:t>Accessed 6 July 2022</w:t>
      </w:r>
      <w:r>
        <w:rPr>
          <w:rFonts w:ascii="Arial" w:hAnsi="Arial" w:cs="Arial"/>
          <w:i/>
          <w:iCs/>
        </w:rPr>
        <w:t>)</w:t>
      </w:r>
      <w:r w:rsidRPr="00016B6F">
        <w:rPr>
          <w:rFonts w:ascii="Arial" w:hAnsi="Arial" w:cs="Arial"/>
          <w:i/>
          <w:iCs/>
        </w:rPr>
        <w:t>.</w:t>
      </w:r>
    </w:p>
    <w:p w14:paraId="2114D66C" w14:textId="48674FFB" w:rsidR="002C2CBA" w:rsidRDefault="002C2CBA" w:rsidP="00710DB8">
      <w:pPr>
        <w:spacing w:line="360" w:lineRule="auto"/>
        <w:jc w:val="both"/>
        <w:rPr>
          <w:rFonts w:ascii="Arial" w:hAnsi="Arial" w:cs="Arial"/>
          <w:i/>
          <w:iCs/>
        </w:rPr>
      </w:pPr>
      <w:r w:rsidRPr="002C2CBA">
        <w:rPr>
          <w:rFonts w:ascii="Arial" w:hAnsi="Arial" w:cs="Arial"/>
          <w:i/>
          <w:iCs/>
        </w:rPr>
        <w:t xml:space="preserve">Icd.codes. 2022. ICD-10-CM Section F01-F09. </w:t>
      </w:r>
      <w:r w:rsidR="00772135">
        <w:rPr>
          <w:rFonts w:ascii="Arial" w:hAnsi="Arial" w:cs="Arial"/>
          <w:i/>
          <w:iCs/>
        </w:rPr>
        <w:t>(</w:t>
      </w:r>
      <w:r w:rsidRPr="002C2CBA">
        <w:rPr>
          <w:rFonts w:ascii="Arial" w:hAnsi="Arial" w:cs="Arial"/>
          <w:i/>
          <w:iCs/>
        </w:rPr>
        <w:t>online</w:t>
      </w:r>
      <w:r w:rsidR="00772135">
        <w:rPr>
          <w:rFonts w:ascii="Arial" w:hAnsi="Arial" w:cs="Arial"/>
          <w:i/>
          <w:iCs/>
        </w:rPr>
        <w:t>)</w:t>
      </w:r>
      <w:r w:rsidRPr="002C2CBA">
        <w:rPr>
          <w:rFonts w:ascii="Arial" w:hAnsi="Arial" w:cs="Arial"/>
          <w:i/>
          <w:iCs/>
        </w:rPr>
        <w:t xml:space="preserve"> Available at: &lt;https://icd.codes/icd10cm/chapter5/F01-F09&gt; </w:t>
      </w:r>
      <w:r w:rsidR="00772135">
        <w:rPr>
          <w:rFonts w:ascii="Arial" w:hAnsi="Arial" w:cs="Arial"/>
          <w:i/>
          <w:iCs/>
        </w:rPr>
        <w:t>(</w:t>
      </w:r>
      <w:r w:rsidRPr="002C2CBA">
        <w:rPr>
          <w:rFonts w:ascii="Arial" w:hAnsi="Arial" w:cs="Arial"/>
          <w:i/>
          <w:iCs/>
        </w:rPr>
        <w:t>Accessed 6 July 2022</w:t>
      </w:r>
      <w:r w:rsidR="00772135">
        <w:rPr>
          <w:rFonts w:ascii="Arial" w:hAnsi="Arial" w:cs="Arial"/>
          <w:i/>
          <w:iCs/>
        </w:rPr>
        <w:t>)</w:t>
      </w:r>
    </w:p>
    <w:p w14:paraId="3E7434D0" w14:textId="21B88D39" w:rsidR="00787B52" w:rsidRDefault="00787B52" w:rsidP="00710DB8">
      <w:pPr>
        <w:spacing w:line="360" w:lineRule="auto"/>
        <w:jc w:val="both"/>
        <w:rPr>
          <w:rFonts w:ascii="Arial" w:hAnsi="Arial" w:cs="Arial"/>
          <w:i/>
          <w:iCs/>
        </w:rPr>
      </w:pPr>
      <w:r w:rsidRPr="00787B52">
        <w:rPr>
          <w:rFonts w:ascii="Arial" w:hAnsi="Arial" w:cs="Arial"/>
          <w:i/>
          <w:iCs/>
        </w:rPr>
        <w:t xml:space="preserve">2015. </w:t>
      </w:r>
      <w:r>
        <w:rPr>
          <w:rFonts w:ascii="Arial" w:hAnsi="Arial" w:cs="Arial"/>
          <w:i/>
          <w:iCs/>
        </w:rPr>
        <w:t>(</w:t>
      </w:r>
      <w:r w:rsidRPr="00787B52">
        <w:rPr>
          <w:rFonts w:ascii="Arial" w:hAnsi="Arial" w:cs="Arial"/>
          <w:i/>
          <w:iCs/>
        </w:rPr>
        <w:t>online</w:t>
      </w:r>
      <w:r>
        <w:rPr>
          <w:rFonts w:ascii="Arial" w:hAnsi="Arial" w:cs="Arial"/>
          <w:i/>
          <w:iCs/>
        </w:rPr>
        <w:t>)</w:t>
      </w:r>
      <w:r w:rsidRPr="00787B52">
        <w:rPr>
          <w:rFonts w:ascii="Arial" w:hAnsi="Arial" w:cs="Arial"/>
          <w:i/>
          <w:iCs/>
        </w:rPr>
        <w:t xml:space="preserve"> Available at: &lt;https://www.icd10data.com/ICD10CM/Codes/F01-F99/F01-F09/F03-/F03&gt; </w:t>
      </w:r>
      <w:r>
        <w:rPr>
          <w:rFonts w:ascii="Arial" w:hAnsi="Arial" w:cs="Arial"/>
          <w:i/>
          <w:iCs/>
        </w:rPr>
        <w:t>(</w:t>
      </w:r>
      <w:r w:rsidRPr="00787B52">
        <w:rPr>
          <w:rFonts w:ascii="Arial" w:hAnsi="Arial" w:cs="Arial"/>
          <w:i/>
          <w:iCs/>
        </w:rPr>
        <w:t>Accessed 7 Ju</w:t>
      </w:r>
      <w:r>
        <w:rPr>
          <w:rFonts w:ascii="Arial" w:hAnsi="Arial" w:cs="Arial"/>
          <w:i/>
          <w:iCs/>
        </w:rPr>
        <w:t>ly</w:t>
      </w:r>
      <w:r w:rsidRPr="00787B52">
        <w:rPr>
          <w:rFonts w:ascii="Arial" w:hAnsi="Arial" w:cs="Arial"/>
          <w:i/>
          <w:iCs/>
        </w:rPr>
        <w:t xml:space="preserve"> 2022</w:t>
      </w:r>
      <w:r>
        <w:rPr>
          <w:rFonts w:ascii="Arial" w:hAnsi="Arial" w:cs="Arial"/>
          <w:i/>
          <w:iCs/>
        </w:rPr>
        <w:t>)</w:t>
      </w:r>
      <w:r w:rsidRPr="00787B52">
        <w:rPr>
          <w:rFonts w:ascii="Arial" w:hAnsi="Arial" w:cs="Arial"/>
          <w:i/>
          <w:iCs/>
        </w:rPr>
        <w:t>.</w:t>
      </w:r>
    </w:p>
    <w:p w14:paraId="49F44180" w14:textId="60D9A16A" w:rsidR="00C67037" w:rsidRDefault="00C67037" w:rsidP="00710DB8">
      <w:pPr>
        <w:spacing w:line="360" w:lineRule="auto"/>
        <w:jc w:val="both"/>
        <w:rPr>
          <w:rFonts w:ascii="Arial" w:hAnsi="Arial" w:cs="Arial"/>
          <w:i/>
          <w:iCs/>
        </w:rPr>
      </w:pPr>
      <w:r w:rsidRPr="00C67037">
        <w:rPr>
          <w:rFonts w:ascii="Arial" w:hAnsi="Arial" w:cs="Arial"/>
          <w:i/>
          <w:iCs/>
        </w:rPr>
        <w:t xml:space="preserve">Konno, S., Meyer, J., </w:t>
      </w:r>
      <w:proofErr w:type="spellStart"/>
      <w:r w:rsidRPr="00C67037">
        <w:rPr>
          <w:rFonts w:ascii="Arial" w:hAnsi="Arial" w:cs="Arial"/>
          <w:i/>
          <w:iCs/>
        </w:rPr>
        <w:t>Terayama</w:t>
      </w:r>
      <w:proofErr w:type="spellEnd"/>
      <w:r w:rsidRPr="00C67037">
        <w:rPr>
          <w:rFonts w:ascii="Arial" w:hAnsi="Arial" w:cs="Arial"/>
          <w:i/>
          <w:iCs/>
        </w:rPr>
        <w:t xml:space="preserve">, Y., Margishvili, G. and Mortel, K., 1997. Classification, Diagnosis and Treatment of Vascular Dementia. </w:t>
      </w:r>
      <w:r>
        <w:rPr>
          <w:rFonts w:ascii="Arial" w:hAnsi="Arial" w:cs="Arial"/>
          <w:i/>
          <w:iCs/>
        </w:rPr>
        <w:t>(</w:t>
      </w:r>
      <w:r w:rsidRPr="00C67037">
        <w:rPr>
          <w:rFonts w:ascii="Arial" w:hAnsi="Arial" w:cs="Arial"/>
          <w:i/>
          <w:iCs/>
        </w:rPr>
        <w:t>onlin</w:t>
      </w:r>
      <w:r w:rsidR="008D2088">
        <w:rPr>
          <w:rFonts w:ascii="Arial" w:hAnsi="Arial" w:cs="Arial"/>
          <w:i/>
          <w:iCs/>
        </w:rPr>
        <w:t>e)</w:t>
      </w:r>
      <w:r w:rsidRPr="00C67037">
        <w:rPr>
          <w:rFonts w:ascii="Arial" w:hAnsi="Arial" w:cs="Arial"/>
          <w:i/>
          <w:iCs/>
        </w:rPr>
        <w:t xml:space="preserve"> Available at: &lt;https://pubmed.ncbi.nlm.nih.gov/9359023/&gt; </w:t>
      </w:r>
      <w:r>
        <w:rPr>
          <w:rFonts w:ascii="Arial" w:hAnsi="Arial" w:cs="Arial"/>
          <w:i/>
          <w:iCs/>
        </w:rPr>
        <w:t>(</w:t>
      </w:r>
      <w:r w:rsidRPr="00C67037">
        <w:rPr>
          <w:rFonts w:ascii="Arial" w:hAnsi="Arial" w:cs="Arial"/>
          <w:i/>
          <w:iCs/>
        </w:rPr>
        <w:t>Accessed 13 July 2022</w:t>
      </w:r>
      <w:r>
        <w:rPr>
          <w:rFonts w:ascii="Arial" w:hAnsi="Arial" w:cs="Arial"/>
          <w:i/>
          <w:iCs/>
        </w:rPr>
        <w:t>)</w:t>
      </w:r>
      <w:r w:rsidRPr="00C67037">
        <w:rPr>
          <w:rFonts w:ascii="Arial" w:hAnsi="Arial" w:cs="Arial"/>
          <w:i/>
          <w:iCs/>
        </w:rPr>
        <w:t>.</w:t>
      </w:r>
    </w:p>
    <w:p w14:paraId="2C64AB75" w14:textId="6A1AD9D9" w:rsidR="00F3548C" w:rsidRPr="000A2872" w:rsidRDefault="00F3548C" w:rsidP="00710DB8">
      <w:pPr>
        <w:spacing w:line="360" w:lineRule="auto"/>
        <w:jc w:val="both"/>
        <w:rPr>
          <w:rFonts w:ascii="Arial" w:hAnsi="Arial" w:cs="Arial"/>
          <w:i/>
          <w:iCs/>
        </w:rPr>
      </w:pPr>
      <w:r w:rsidRPr="000A2872">
        <w:rPr>
          <w:rFonts w:ascii="Arial" w:hAnsi="Arial" w:cs="Arial"/>
          <w:i/>
          <w:iCs/>
        </w:rPr>
        <w:t xml:space="preserve">Müller-Spahn, F., Sollberger, D. and Wollmer, A., 2009. </w:t>
      </w:r>
      <w:proofErr w:type="spellStart"/>
      <w:r w:rsidRPr="000A2872">
        <w:rPr>
          <w:rFonts w:ascii="Arial" w:hAnsi="Arial" w:cs="Arial"/>
          <w:i/>
          <w:iCs/>
        </w:rPr>
        <w:t>Antidementiva</w:t>
      </w:r>
      <w:proofErr w:type="spellEnd"/>
      <w:r w:rsidRPr="000A2872">
        <w:rPr>
          <w:rFonts w:ascii="Arial" w:hAnsi="Arial" w:cs="Arial"/>
          <w:i/>
          <w:iCs/>
        </w:rPr>
        <w:t xml:space="preserve">. </w:t>
      </w:r>
      <w:r w:rsidR="000A2872" w:rsidRPr="000A2872">
        <w:rPr>
          <w:rFonts w:ascii="Arial" w:hAnsi="Arial" w:cs="Arial"/>
          <w:i/>
          <w:iCs/>
        </w:rPr>
        <w:t>(</w:t>
      </w:r>
      <w:r w:rsidRPr="000A2872">
        <w:rPr>
          <w:rFonts w:ascii="Arial" w:hAnsi="Arial" w:cs="Arial"/>
          <w:i/>
          <w:iCs/>
        </w:rPr>
        <w:t>online</w:t>
      </w:r>
      <w:r w:rsidR="000A2872" w:rsidRPr="000A2872">
        <w:rPr>
          <w:rFonts w:ascii="Arial" w:hAnsi="Arial" w:cs="Arial"/>
          <w:i/>
          <w:iCs/>
        </w:rPr>
        <w:t>)</w:t>
      </w:r>
      <w:r w:rsidRPr="000A2872">
        <w:rPr>
          <w:rFonts w:ascii="Arial" w:hAnsi="Arial" w:cs="Arial"/>
          <w:i/>
          <w:iCs/>
        </w:rPr>
        <w:t xml:space="preserve"> Available at: </w:t>
      </w:r>
      <w:hyperlink r:id="rId9" w:history="1">
        <w:r w:rsidR="000A2872" w:rsidRPr="000A2872">
          <w:rPr>
            <w:rStyle w:val="Hyperlink"/>
            <w:rFonts w:ascii="Arial" w:hAnsi="Arial" w:cs="Arial"/>
            <w:i/>
            <w:iCs/>
            <w:color w:val="auto"/>
            <w:u w:val="none"/>
          </w:rPr>
          <w:t>https://pubmed.ncbi.nlm.nih.gov/19496039/</w:t>
        </w:r>
      </w:hyperlink>
      <w:r w:rsidR="000A2872" w:rsidRPr="000A2872">
        <w:rPr>
          <w:rFonts w:ascii="Arial" w:hAnsi="Arial" w:cs="Arial"/>
          <w:i/>
          <w:iCs/>
        </w:rPr>
        <w:t xml:space="preserve"> (</w:t>
      </w:r>
      <w:r w:rsidRPr="000A2872">
        <w:rPr>
          <w:rFonts w:ascii="Arial" w:hAnsi="Arial" w:cs="Arial"/>
          <w:i/>
          <w:iCs/>
        </w:rPr>
        <w:t>Accessed 2</w:t>
      </w:r>
      <w:r w:rsidR="000A2872" w:rsidRPr="000A2872">
        <w:rPr>
          <w:rFonts w:ascii="Arial" w:hAnsi="Arial" w:cs="Arial"/>
          <w:i/>
          <w:iCs/>
        </w:rPr>
        <w:t xml:space="preserve">2 July </w:t>
      </w:r>
      <w:r w:rsidRPr="000A2872">
        <w:rPr>
          <w:rFonts w:ascii="Arial" w:hAnsi="Arial" w:cs="Arial"/>
          <w:i/>
          <w:iCs/>
        </w:rPr>
        <w:t>2022</w:t>
      </w:r>
      <w:r w:rsidR="000A2872" w:rsidRPr="000A2872">
        <w:rPr>
          <w:rFonts w:ascii="Arial" w:hAnsi="Arial" w:cs="Arial"/>
          <w:i/>
          <w:iCs/>
        </w:rPr>
        <w:t>)</w:t>
      </w:r>
      <w:r w:rsidRPr="000A2872">
        <w:rPr>
          <w:rFonts w:ascii="Arial" w:hAnsi="Arial" w:cs="Arial"/>
          <w:i/>
          <w:iCs/>
        </w:rPr>
        <w:t>.</w:t>
      </w:r>
    </w:p>
    <w:p w14:paraId="0F47B2E8" w14:textId="0375946F" w:rsidR="00772991" w:rsidRDefault="00772991" w:rsidP="00710DB8">
      <w:pPr>
        <w:spacing w:line="360" w:lineRule="auto"/>
        <w:jc w:val="both"/>
        <w:rPr>
          <w:rFonts w:ascii="Arial" w:hAnsi="Arial" w:cs="Arial"/>
          <w:i/>
          <w:iCs/>
        </w:rPr>
      </w:pPr>
      <w:r w:rsidRPr="00772991">
        <w:rPr>
          <w:rFonts w:ascii="Arial" w:hAnsi="Arial" w:cs="Arial"/>
          <w:i/>
          <w:iCs/>
        </w:rPr>
        <w:t>Nhs. 2017. Vascular dementia - NHS Choices. (online) Available at: &lt;http://www.nhs.uk/Conditions/vascular-dementia/Pages/Introduction.aspx#outlook&gt; (Accessed 20 June 2022).</w:t>
      </w:r>
    </w:p>
    <w:p w14:paraId="50CC1740" w14:textId="28FFA46A" w:rsidR="00FE7324" w:rsidRDefault="00FE7324" w:rsidP="00710DB8">
      <w:pPr>
        <w:spacing w:line="360" w:lineRule="auto"/>
        <w:jc w:val="both"/>
        <w:rPr>
          <w:rFonts w:ascii="Arial" w:hAnsi="Arial" w:cs="Arial"/>
          <w:i/>
          <w:iCs/>
        </w:rPr>
      </w:pPr>
      <w:r w:rsidRPr="00FE7324">
        <w:rPr>
          <w:rFonts w:ascii="Arial" w:hAnsi="Arial" w:cs="Arial"/>
          <w:i/>
          <w:iCs/>
        </w:rPr>
        <w:t xml:space="preserve">Who.int. 2022. International Classification of Diseases (ICD). </w:t>
      </w:r>
      <w:r>
        <w:rPr>
          <w:rFonts w:ascii="Arial" w:hAnsi="Arial" w:cs="Arial"/>
          <w:i/>
          <w:iCs/>
        </w:rPr>
        <w:t>(</w:t>
      </w:r>
      <w:r w:rsidRPr="00FE7324">
        <w:rPr>
          <w:rFonts w:ascii="Arial" w:hAnsi="Arial" w:cs="Arial"/>
          <w:i/>
          <w:iCs/>
        </w:rPr>
        <w:t>onlin</w:t>
      </w:r>
      <w:r w:rsidR="00D02533">
        <w:rPr>
          <w:rFonts w:ascii="Arial" w:hAnsi="Arial" w:cs="Arial"/>
          <w:i/>
          <w:iCs/>
        </w:rPr>
        <w:t>e</w:t>
      </w:r>
      <w:r>
        <w:rPr>
          <w:rFonts w:ascii="Arial" w:hAnsi="Arial" w:cs="Arial"/>
          <w:i/>
          <w:iCs/>
        </w:rPr>
        <w:t>)</w:t>
      </w:r>
      <w:r w:rsidRPr="00FE7324">
        <w:rPr>
          <w:rFonts w:ascii="Arial" w:hAnsi="Arial" w:cs="Arial"/>
          <w:i/>
          <w:iCs/>
        </w:rPr>
        <w:t xml:space="preserve"> Available at: &lt;https://www.who.int/standards/classifications/classification-of-diseases&gt; </w:t>
      </w:r>
      <w:r w:rsidR="00D02533">
        <w:rPr>
          <w:rFonts w:ascii="Arial" w:hAnsi="Arial" w:cs="Arial"/>
          <w:i/>
          <w:iCs/>
        </w:rPr>
        <w:t>(</w:t>
      </w:r>
      <w:r w:rsidRPr="00FE7324">
        <w:rPr>
          <w:rFonts w:ascii="Arial" w:hAnsi="Arial" w:cs="Arial"/>
          <w:i/>
          <w:iCs/>
        </w:rPr>
        <w:t>Accessed 14 July 2022</w:t>
      </w:r>
      <w:r w:rsidR="00D02533">
        <w:rPr>
          <w:rFonts w:ascii="Arial" w:hAnsi="Arial" w:cs="Arial"/>
          <w:i/>
          <w:iCs/>
        </w:rPr>
        <w:t>)</w:t>
      </w:r>
      <w:r w:rsidRPr="00FE7324">
        <w:rPr>
          <w:rFonts w:ascii="Arial" w:hAnsi="Arial" w:cs="Arial"/>
          <w:i/>
          <w:iCs/>
        </w:rPr>
        <w:t>.</w:t>
      </w:r>
    </w:p>
    <w:p w14:paraId="484C6AFE" w14:textId="77777777" w:rsidR="00772135" w:rsidRDefault="00772135" w:rsidP="00710DB8">
      <w:pPr>
        <w:spacing w:line="360" w:lineRule="auto"/>
        <w:jc w:val="both"/>
        <w:rPr>
          <w:rFonts w:ascii="Arial" w:hAnsi="Arial" w:cs="Arial"/>
          <w:i/>
          <w:iCs/>
        </w:rPr>
      </w:pPr>
    </w:p>
    <w:p w14:paraId="0D4AD34D" w14:textId="77777777" w:rsidR="007D0AB9" w:rsidRDefault="007D0AB9" w:rsidP="00710DB8">
      <w:pPr>
        <w:spacing w:line="360" w:lineRule="auto"/>
        <w:jc w:val="both"/>
        <w:rPr>
          <w:rFonts w:ascii="Arial" w:hAnsi="Arial" w:cs="Arial"/>
          <w:i/>
          <w:iCs/>
        </w:rPr>
      </w:pPr>
    </w:p>
    <w:p w14:paraId="505DD517" w14:textId="77777777" w:rsidR="00EF5A7E" w:rsidRDefault="00EF5A7E" w:rsidP="00710DB8">
      <w:pPr>
        <w:spacing w:line="360" w:lineRule="auto"/>
        <w:jc w:val="both"/>
        <w:rPr>
          <w:rFonts w:ascii="Arial" w:hAnsi="Arial" w:cs="Arial"/>
          <w:i/>
          <w:iCs/>
        </w:rPr>
      </w:pPr>
    </w:p>
    <w:p w14:paraId="79B80808" w14:textId="151D283D" w:rsidR="002C570D" w:rsidRPr="00B211AD" w:rsidRDefault="002C570D" w:rsidP="00710DB8">
      <w:pPr>
        <w:spacing w:line="360" w:lineRule="auto"/>
        <w:jc w:val="both"/>
        <w:rPr>
          <w:rFonts w:ascii="Arial" w:hAnsi="Arial" w:cs="Arial"/>
          <w:i/>
          <w:iCs/>
        </w:rPr>
      </w:pPr>
      <w:r w:rsidRPr="002C570D">
        <w:rPr>
          <w:rFonts w:ascii="Arial" w:hAnsi="Arial" w:cs="Arial"/>
          <w:i/>
          <w:iCs/>
        </w:rPr>
        <w:t>.</w:t>
      </w:r>
    </w:p>
    <w:sectPr w:rsidR="002C570D" w:rsidRPr="00B211AD" w:rsidSect="00BF552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77"/>
    <w:rsid w:val="00016B6F"/>
    <w:rsid w:val="00021F0A"/>
    <w:rsid w:val="00057323"/>
    <w:rsid w:val="0006239D"/>
    <w:rsid w:val="00096A2E"/>
    <w:rsid w:val="000A2872"/>
    <w:rsid w:val="000D523D"/>
    <w:rsid w:val="000E2936"/>
    <w:rsid w:val="001014A6"/>
    <w:rsid w:val="00104C06"/>
    <w:rsid w:val="001274E5"/>
    <w:rsid w:val="00165986"/>
    <w:rsid w:val="001D73CE"/>
    <w:rsid w:val="001E6177"/>
    <w:rsid w:val="00205235"/>
    <w:rsid w:val="002111C8"/>
    <w:rsid w:val="00224CF5"/>
    <w:rsid w:val="0023137E"/>
    <w:rsid w:val="002339BB"/>
    <w:rsid w:val="00273528"/>
    <w:rsid w:val="002838FA"/>
    <w:rsid w:val="00293448"/>
    <w:rsid w:val="002B5D7C"/>
    <w:rsid w:val="002B7057"/>
    <w:rsid w:val="002C2CBA"/>
    <w:rsid w:val="002C570D"/>
    <w:rsid w:val="003024A7"/>
    <w:rsid w:val="0032144C"/>
    <w:rsid w:val="00326260"/>
    <w:rsid w:val="00360384"/>
    <w:rsid w:val="003622C3"/>
    <w:rsid w:val="003775AB"/>
    <w:rsid w:val="003A19F9"/>
    <w:rsid w:val="003B35B3"/>
    <w:rsid w:val="00415503"/>
    <w:rsid w:val="004157AE"/>
    <w:rsid w:val="00430AAE"/>
    <w:rsid w:val="00441F1A"/>
    <w:rsid w:val="004512AD"/>
    <w:rsid w:val="0046224F"/>
    <w:rsid w:val="00467ADD"/>
    <w:rsid w:val="004A2DAF"/>
    <w:rsid w:val="004C674E"/>
    <w:rsid w:val="004F4299"/>
    <w:rsid w:val="004F4B60"/>
    <w:rsid w:val="004F5804"/>
    <w:rsid w:val="004F6DE9"/>
    <w:rsid w:val="0055109F"/>
    <w:rsid w:val="00586A8C"/>
    <w:rsid w:val="00587F0E"/>
    <w:rsid w:val="005D160E"/>
    <w:rsid w:val="00625590"/>
    <w:rsid w:val="00632793"/>
    <w:rsid w:val="00652060"/>
    <w:rsid w:val="00676E07"/>
    <w:rsid w:val="006976B7"/>
    <w:rsid w:val="006A74EF"/>
    <w:rsid w:val="006B2468"/>
    <w:rsid w:val="006B2999"/>
    <w:rsid w:val="006C7591"/>
    <w:rsid w:val="006E008F"/>
    <w:rsid w:val="006F10D6"/>
    <w:rsid w:val="006F5D45"/>
    <w:rsid w:val="00710DB8"/>
    <w:rsid w:val="007265EB"/>
    <w:rsid w:val="00733EC8"/>
    <w:rsid w:val="00736378"/>
    <w:rsid w:val="007506C6"/>
    <w:rsid w:val="00752B3D"/>
    <w:rsid w:val="00766E59"/>
    <w:rsid w:val="00772135"/>
    <w:rsid w:val="00772991"/>
    <w:rsid w:val="0077336B"/>
    <w:rsid w:val="00785521"/>
    <w:rsid w:val="00787B52"/>
    <w:rsid w:val="007A61CF"/>
    <w:rsid w:val="007A7009"/>
    <w:rsid w:val="007B5884"/>
    <w:rsid w:val="007D0AB9"/>
    <w:rsid w:val="007D0B7E"/>
    <w:rsid w:val="007E756C"/>
    <w:rsid w:val="00801314"/>
    <w:rsid w:val="008146E5"/>
    <w:rsid w:val="008153F7"/>
    <w:rsid w:val="00820BDB"/>
    <w:rsid w:val="0083066C"/>
    <w:rsid w:val="00832385"/>
    <w:rsid w:val="00851BA4"/>
    <w:rsid w:val="008666A1"/>
    <w:rsid w:val="0086725F"/>
    <w:rsid w:val="00872A9D"/>
    <w:rsid w:val="0087432C"/>
    <w:rsid w:val="00880F4B"/>
    <w:rsid w:val="008A66E4"/>
    <w:rsid w:val="008B4F3A"/>
    <w:rsid w:val="008C5160"/>
    <w:rsid w:val="008D2088"/>
    <w:rsid w:val="008F7FEC"/>
    <w:rsid w:val="0091553E"/>
    <w:rsid w:val="00920837"/>
    <w:rsid w:val="00923C15"/>
    <w:rsid w:val="009422F6"/>
    <w:rsid w:val="0094616C"/>
    <w:rsid w:val="00965077"/>
    <w:rsid w:val="00976C43"/>
    <w:rsid w:val="00977EFA"/>
    <w:rsid w:val="00982564"/>
    <w:rsid w:val="00985FA9"/>
    <w:rsid w:val="009B2ED5"/>
    <w:rsid w:val="009B3758"/>
    <w:rsid w:val="009B7475"/>
    <w:rsid w:val="009C32FB"/>
    <w:rsid w:val="009C73F3"/>
    <w:rsid w:val="009D585A"/>
    <w:rsid w:val="00A04642"/>
    <w:rsid w:val="00A30A7C"/>
    <w:rsid w:val="00A70401"/>
    <w:rsid w:val="00A8115C"/>
    <w:rsid w:val="00A85038"/>
    <w:rsid w:val="00AA38CA"/>
    <w:rsid w:val="00AC7A8A"/>
    <w:rsid w:val="00B02605"/>
    <w:rsid w:val="00B211AD"/>
    <w:rsid w:val="00B318C5"/>
    <w:rsid w:val="00B47A22"/>
    <w:rsid w:val="00B51355"/>
    <w:rsid w:val="00B975D7"/>
    <w:rsid w:val="00BD4BDE"/>
    <w:rsid w:val="00BD7C8C"/>
    <w:rsid w:val="00BE5E5C"/>
    <w:rsid w:val="00BF552E"/>
    <w:rsid w:val="00C14EBB"/>
    <w:rsid w:val="00C174EF"/>
    <w:rsid w:val="00C55BBA"/>
    <w:rsid w:val="00C67037"/>
    <w:rsid w:val="00C70B9B"/>
    <w:rsid w:val="00C741D0"/>
    <w:rsid w:val="00C80D52"/>
    <w:rsid w:val="00C90556"/>
    <w:rsid w:val="00C92182"/>
    <w:rsid w:val="00CE108A"/>
    <w:rsid w:val="00CF3BE8"/>
    <w:rsid w:val="00D02533"/>
    <w:rsid w:val="00D12DBB"/>
    <w:rsid w:val="00D2649B"/>
    <w:rsid w:val="00D42592"/>
    <w:rsid w:val="00D46A18"/>
    <w:rsid w:val="00D51E16"/>
    <w:rsid w:val="00D67D48"/>
    <w:rsid w:val="00D94B26"/>
    <w:rsid w:val="00DB563C"/>
    <w:rsid w:val="00DE346D"/>
    <w:rsid w:val="00DE6298"/>
    <w:rsid w:val="00DF1ED6"/>
    <w:rsid w:val="00E30D35"/>
    <w:rsid w:val="00E551A3"/>
    <w:rsid w:val="00E56F8D"/>
    <w:rsid w:val="00E61C37"/>
    <w:rsid w:val="00E805BB"/>
    <w:rsid w:val="00EC6F38"/>
    <w:rsid w:val="00ED4844"/>
    <w:rsid w:val="00ED71BF"/>
    <w:rsid w:val="00EF5A7E"/>
    <w:rsid w:val="00F151A8"/>
    <w:rsid w:val="00F32BFE"/>
    <w:rsid w:val="00F3548C"/>
    <w:rsid w:val="00F7311B"/>
    <w:rsid w:val="00FD2914"/>
    <w:rsid w:val="00FE7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1DBDD"/>
  <w15:chartTrackingRefBased/>
  <w15:docId w15:val="{FCB50136-91D9-4E2B-B44A-F0C78E7DF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00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55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552E"/>
    <w:rPr>
      <w:rFonts w:eastAsiaTheme="minorEastAsia"/>
      <w:lang w:val="en-US"/>
    </w:rPr>
  </w:style>
  <w:style w:type="character" w:customStyle="1" w:styleId="Heading1Char">
    <w:name w:val="Heading 1 Char"/>
    <w:basedOn w:val="DefaultParagraphFont"/>
    <w:link w:val="Heading1"/>
    <w:uiPriority w:val="9"/>
    <w:rsid w:val="006E008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61C37"/>
    <w:pPr>
      <w:outlineLvl w:val="9"/>
    </w:pPr>
    <w:rPr>
      <w:lang w:val="en-US"/>
    </w:rPr>
  </w:style>
  <w:style w:type="paragraph" w:styleId="TOC1">
    <w:name w:val="toc 1"/>
    <w:basedOn w:val="Normal"/>
    <w:next w:val="Normal"/>
    <w:autoRedefine/>
    <w:uiPriority w:val="39"/>
    <w:unhideWhenUsed/>
    <w:rsid w:val="00E61C37"/>
    <w:pPr>
      <w:tabs>
        <w:tab w:val="right" w:leader="dot" w:pos="9016"/>
      </w:tabs>
      <w:spacing w:after="100" w:line="360" w:lineRule="auto"/>
      <w:jc w:val="both"/>
    </w:pPr>
    <w:rPr>
      <w:rFonts w:ascii="Arial" w:hAnsi="Arial" w:cs="Arial"/>
      <w:b/>
      <w:bCs/>
      <w:noProof/>
    </w:rPr>
  </w:style>
  <w:style w:type="character" w:styleId="Hyperlink">
    <w:name w:val="Hyperlink"/>
    <w:basedOn w:val="DefaultParagraphFont"/>
    <w:uiPriority w:val="99"/>
    <w:unhideWhenUsed/>
    <w:rsid w:val="00E61C37"/>
    <w:rPr>
      <w:color w:val="0563C1" w:themeColor="hyperlink"/>
      <w:u w:val="single"/>
    </w:rPr>
  </w:style>
  <w:style w:type="character" w:styleId="UnresolvedMention">
    <w:name w:val="Unresolved Mention"/>
    <w:basedOn w:val="DefaultParagraphFont"/>
    <w:uiPriority w:val="99"/>
    <w:semiHidden/>
    <w:unhideWhenUsed/>
    <w:rsid w:val="000A28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pubmed.ncbi.nlm.nih.gov/194960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1" ma:contentTypeDescription="Create a new document." ma:contentTypeScope="" ma:versionID="a17eb50c7885b063fa62bb708d693729">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6cd88b454fcef1db855d7776054b20f2"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73606-9CF2-42A5-BCCF-14B75B4E5B99}">
  <ds:schemaRefs>
    <ds:schemaRef ds:uri="http://schemas.microsoft.com/sharepoint/v3/contenttype/forms"/>
  </ds:schemaRefs>
</ds:datastoreItem>
</file>

<file path=customXml/itemProps2.xml><?xml version="1.0" encoding="utf-8"?>
<ds:datastoreItem xmlns:ds="http://schemas.openxmlformats.org/officeDocument/2006/customXml" ds:itemID="{3E810FF6-06A6-491B-8E85-9594D722E8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9751530-A843-4099-BA94-64A1C2F7F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9482</TotalTime>
  <Pages>16</Pages>
  <Words>3990</Words>
  <Characters>22749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Component 2 written report</vt:lpstr>
    </vt:vector>
  </TitlesOfParts>
  <Company/>
  <LinksUpToDate>false</LinksUpToDate>
  <CharactersWithSpaces>26686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report</dc:title>
  <dc:subject/>
  <dc:creator>Jordan Glasgow (1918303)</dc:creator>
  <cp:keywords/>
  <dc:description/>
  <cp:lastModifiedBy>Jordan Glasgow</cp:lastModifiedBy>
  <cp:revision>169</cp:revision>
  <dcterms:created xsi:type="dcterms:W3CDTF">2022-07-25T21:25:00Z</dcterms:created>
  <dcterms:modified xsi:type="dcterms:W3CDTF">2022-08-02T07:37:00Z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