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9F83415">
      <w:pPr>
        <w:numPr>
          <w:numId w:val="0"/>
        </w:numPr>
        <w:spacing w:line="240" w:lineRule="auto"/>
        <w:ind w:leftChars="0"/>
        <w:jc w:val="left"/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</w:pPr>
      <w:r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/>
        </w:rPr>
        <w:t>R</w:t>
      </w:r>
      <w:r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>ef</w:t>
      </w:r>
      <w:r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>erence</w:t>
      </w:r>
      <w:r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>s</w:t>
      </w:r>
      <w:r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 xml:space="preserve"> list</w:t>
      </w:r>
    </w:p>
    <w:p w14:paraId="549DFCBB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Style w:val="5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</w:pPr>
      <w:r>
        <w:rPr>
          <w:rStyle w:val="5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  <w:t xml:space="preserve">Tesco PLC (2025) </w:t>
      </w:r>
      <w:r>
        <w:rPr>
          <w:rStyle w:val="6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  <w:t>Annual Report and Financial Statements 2025</w:t>
      </w:r>
      <w:r>
        <w:rPr>
          <w:rStyle w:val="5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  <w:t>. Welwyn Garden City: Tesco PLC.</w:t>
      </w:r>
    </w:p>
    <w:p w14:paraId="3202F677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</w:pPr>
      <w:r>
        <w:rPr>
          <w:rStyle w:val="5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ab/>
      </w:r>
      <w:r>
        <w:rPr>
          <w:rStyle w:val="5"/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  <w:lang w:val="en-US" w:eastAsia="zh-CN"/>
        </w:rPr>
        <w:t>M</w:t>
      </w: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 xml:space="preserve">arks and Spencer Group plc (2025) </w:t>
      </w:r>
      <w:r>
        <w:rPr>
          <w:rStyle w:val="6"/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Annual Report and Financial Statements 2025</w:t>
      </w: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. London: Marks and Spencer Group plc.</w:t>
      </w:r>
    </w:p>
    <w:p w14:paraId="17691DCF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 xml:space="preserve">Marks and Spencer Group plc (2025) </w:t>
      </w:r>
      <w:r>
        <w:rPr>
          <w:rStyle w:val="6"/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ESG Report 2025</w:t>
      </w: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. London: Marks and Spencer Group plc.</w:t>
      </w:r>
    </w:p>
    <w:p w14:paraId="19B523AC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b w:val="0"/>
          <w:bCs w:val="0"/>
          <w:i w:val="0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 xml:space="preserve">Burberry Group plc (2025) </w:t>
      </w:r>
      <w:r>
        <w:rPr>
          <w:rStyle w:val="6"/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Annual Report 2024/25</w:t>
      </w: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. London: Burberry Group plc.</w:t>
      </w:r>
    </w:p>
    <w:p w14:paraId="7A48D6DA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 xml:space="preserve">EasyJet plc (2024) </w:t>
      </w:r>
      <w:r>
        <w:rPr>
          <w:rStyle w:val="6"/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Annual Report and Accounts 2024</w:t>
      </w:r>
      <w:r>
        <w:rPr>
          <w:rFonts w:hint="default" w:ascii="Times New Roman Regular" w:hAnsi="Times New Roman Regular" w:eastAsia="宋体" w:cs="Times New Roman Regular"/>
          <w:b w:val="0"/>
          <w:bCs w:val="0"/>
          <w:i w:val="0"/>
          <w:kern w:val="0"/>
          <w:sz w:val="28"/>
          <w:szCs w:val="28"/>
          <w:lang w:val="en-US" w:eastAsia="zh-CN" w:bidi="ar"/>
        </w:rPr>
        <w:t>. Luton: easyJet plc.</w:t>
      </w:r>
    </w:p>
    <w:p w14:paraId="574CDE4F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Al-Tabbaa, O. and Zahoor, N. (2024) ‘Alliance management capability and SMEs’ international expansion: The role of innovation pathways’,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Journal of Business Research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171, article 114384. doi: 10.1016/j.jbusres.2023.114384.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7</w:t>
      </w:r>
    </w:p>
    <w:p w14:paraId="07C1760D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Audretsch, D.B., Belitski, M. and Chowdhury, F. (2024) ‘Knowledge investment and search for innovation: evidence from the UK firms’,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The Journal of Technology Transfer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49(4), pp. 1387–1410. doi: 10.1007/s10961-023-10045-7.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8</w:t>
      </w:r>
    </w:p>
    <w:p w14:paraId="00BC7ECA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Daskalopoulos, E.T. and Machek, O. (2024) ‘Leveraging social capital for digital transformation: The role of ambidexterity and familial orientation’,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The Journal of High Technology Management Research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, 35(2), article 100512. doi: 10.1016/j.hitech.2024.100512. 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9</w:t>
      </w:r>
    </w:p>
    <w:p w14:paraId="343B0FFA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Idris, B., Saridakis, G. and Khan, Z. (2022) ‘The effect of outward and inward internationalisation on different types of innovation: Evidence from UK SMEs’,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Journal of International Management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28(2), article 100903. doi: 10.1016/j.intman.2021.100903.</w:t>
      </w:r>
    </w:p>
    <w:p w14:paraId="1B072085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Nguyen, M.H. and Trinh, V.Q. (2023) ‘U.K. economic policy uncertainty and innovation activities: A firm-level analysis’,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Journal of Economics and Business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123, article 106093. doi: 10.1016/j.jeconbus.2022.106093.</w:t>
      </w:r>
    </w:p>
    <w:p w14:paraId="2031FD8B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Alkaraan, F., Elmarzouky, M., Hussainey, K. and Venkatesh, V.G. (2023) ‘Sustainable strategic investment decision-making practices in UK companies: The influence of governance mechanisms on synergy between industry 4.0 and circular economy’,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Technological Forecasting and Social Change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187, article 122187. doi: 10.1016/j.techfore.2022.122187.</w:t>
      </w:r>
    </w:p>
    <w:p w14:paraId="3ED309A0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Nguyen, M.H. and Trinh, V.Q. (2023) ‘U.K. economic policy uncertainty and innovation activities: A firm-level analysis’,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Journal of Economics and Business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123, article 106093. doi: 10.1016/j.jeconbus.2022.106093.</w:t>
      </w:r>
    </w:p>
    <w:p w14:paraId="092EECE6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Page, A., Sealy, R., Parker, A. and Hauser, O. (2024) ‘Regulation and the trickle-down effect of women in leadership roles’,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The Leadership Quarterly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35(5), article 101721. doi: 10.1016/j.leaqua.2023.101721.</w:t>
      </w:r>
    </w:p>
    <w:p w14:paraId="5275AA58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Jansson, A., Larsson-Olaison, U. and Veldman, J. (2025) ‘Does Big Three ownership affect the strategic propensity to reinvest or distribute cash flow? Evidence from the UK and Sweden’,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Long Range Planning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58(6), article 102590. doi: 10.1016/j.lrp.2025.102590.</w:t>
      </w:r>
    </w:p>
    <w:p w14:paraId="697ECE91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Acheampong, A. and Wang, Y. (2025) ‘Carbon reduction initiatives, firm innovation and firm value’,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Economics Letters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256, article 112613. doi: 10.1016/j.econlet.2025.112613.</w:t>
      </w:r>
    </w:p>
    <w:p w14:paraId="5286E6DF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Rolls-Royce Holdings plc (2025)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Annual Report 2024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. London: Rolls-Royce Holdings plc.</w:t>
      </w:r>
    </w:p>
    <w:p w14:paraId="62105728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HSBC Holdings plc (2025)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Annual Report and Accounts 2024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. London: HSBC Holdings plc.</w:t>
      </w:r>
    </w:p>
    <w:p w14:paraId="5BFB1CCD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Porter, M.E. (1979) ‘How competitive forces shape strategy’,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Harvard Business Review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57(2), pp. 137–145.</w:t>
      </w:r>
    </w:p>
    <w:p w14:paraId="4BACE31D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Ansoff, H.I. (1957) ‘Strategies for diversification’,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Harvard Business Review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, 35(5), pp. 113–124.</w:t>
      </w:r>
      <w:bookmarkStart w:id="0" w:name="_GoBack"/>
      <w:bookmarkEnd w:id="0"/>
    </w:p>
    <w:p w14:paraId="03A7B28C">
      <w:pPr>
        <w:pStyle w:val="2"/>
        <w:keepNext w:val="0"/>
        <w:keepLines w:val="0"/>
        <w:widowControl/>
        <w:numPr>
          <w:ilvl w:val="0"/>
          <w:numId w:val="1"/>
        </w:numPr>
        <w:suppressLineNumbers w:val="0"/>
        <w:spacing w:line="240" w:lineRule="auto"/>
        <w:ind w:leftChars="0"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 xml:space="preserve">Bowman, C. and Faulkner, D. (1996) </w:t>
      </w:r>
      <w:r>
        <w:rPr>
          <w:rStyle w:val="6"/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Competitive and Corporate Strategy</w:t>
      </w:r>
      <w:r>
        <w:rPr>
          <w:rFonts w:hint="default" w:ascii="Times New Roman Regular" w:hAnsi="Times New Roman Regular" w:eastAsia="宋体" w:cs="Times New Roman Regular"/>
          <w:kern w:val="0"/>
          <w:sz w:val="28"/>
          <w:szCs w:val="28"/>
          <w:lang w:val="en-US" w:eastAsia="zh-CN" w:bidi="ar"/>
        </w:rPr>
        <w:t>. London: Irwin.</w:t>
      </w:r>
    </w:p>
    <w:p w14:paraId="56D93A58">
      <w:pPr>
        <w:pStyle w:val="2"/>
        <w:keepNext w:val="0"/>
        <w:keepLines w:val="0"/>
        <w:widowControl/>
        <w:numPr>
          <w:numId w:val="0"/>
        </w:numPr>
        <w:suppressLineNumbers w:val="0"/>
        <w:spacing w:line="240" w:lineRule="auto"/>
        <w:ind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</w:p>
    <w:p w14:paraId="14215ACB">
      <w:pPr>
        <w:pStyle w:val="2"/>
        <w:keepNext w:val="0"/>
        <w:keepLines w:val="0"/>
        <w:widowControl/>
        <w:numPr>
          <w:numId w:val="0"/>
        </w:numPr>
        <w:suppressLineNumbers w:val="0"/>
        <w:spacing w:line="240" w:lineRule="auto"/>
        <w:ind w:right="0" w:rightChars="0"/>
        <w:jc w:val="left"/>
        <w:rPr>
          <w:rFonts w:hint="default" w:ascii="Times New Roman Regular" w:hAnsi="Times New Roman Regular" w:cs="Times New Roman Regular"/>
          <w:sz w:val="28"/>
          <w:szCs w:val="28"/>
        </w:rPr>
      </w:pPr>
    </w:p>
    <w:p w14:paraId="1E8C780B">
      <w:pPr>
        <w:rPr>
          <w:rFonts w:hint="default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Times New Roman Regular">
    <w:panose1 w:val="02020503050405090304"/>
    <w:charset w:val="00"/>
    <w:family w:val="auto"/>
    <w:pitch w:val="default"/>
    <w:sig w:usb0="E0000AFF" w:usb1="00007843" w:usb2="00000001" w:usb3="00000000" w:csb0="400001BF" w:csb1="DFF70000"/>
  </w:font>
  <w:font w:name="Helvetica Neue Bold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E7BEA8FF"/>
    <w:multiLevelType w:val="singleLevel"/>
    <w:tmpl w:val="E7BEA8FF"/>
    <w:lvl w:ilvl="0" w:tentative="0">
      <w:start w:val="1"/>
      <w:numFmt w:val="decimal"/>
      <w:lvlText w:val="%1."/>
      <w:lvlJc w:val="left"/>
      <w:pPr>
        <w:tabs>
          <w:tab w:val="left" w:pos="312"/>
        </w:tabs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FB4CC8"/>
    <w:rsid w:val="FFFB4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5">
    <w:name w:val="Strong"/>
    <w:basedOn w:val="4"/>
    <w:qFormat/>
    <w:uiPriority w:val="0"/>
    <w:rPr>
      <w:b/>
    </w:rPr>
  </w:style>
  <w:style w:type="character" w:styleId="6">
    <w:name w:val="Emphasis"/>
    <w:basedOn w:val="4"/>
    <w:qFormat/>
    <w:uiPriority w:val="0"/>
    <w:rPr>
      <w:i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0</Words>
  <Characters>0</Characters>
  <Lines>0</Lines>
  <Paragraphs>0</Paragraphs>
  <TotalTime>108</TotalTime>
  <ScaleCrop>false</ScaleCrop>
  <LinksUpToDate>false</LinksUpToDate>
  <CharactersWithSpaces>0</CharactersWithSpaces>
  <Application>WPS Office_12.1.25205.25205_F1E327BC-269C-435d-A152-05C5408002CA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2026-05-07T17:18:00Z</dcterms:created>
  <dc:creator>恰似少年时</dc:creator>
  <cp:lastModifiedBy>恰似少年时</cp:lastModifiedBy>
  <dcterms:modified xsi:type="dcterms:W3CDTF">2026-05-07T19:07:23Z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2052-12.1.25205.25205</vt:lpwstr>
  </property>
  <property fmtid="{D5CDD505-2E9C-101B-9397-08002B2CF9AE}" pid="3" name="ICV">
    <vt:lpwstr>342B7CF075DF217F61BBFC699D22C327_41</vt:lpwstr>
  </property>
</Properties>
</file>