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4"/>
          <w:szCs w:val="24"/>
        </w:rPr>
        <w:id w:val="870346690"/>
        <w:docPartObj>
          <w:docPartGallery w:val="Cover Pages"/>
          <w:docPartUnique/>
        </w:docPartObj>
      </w:sdtPr>
      <w:sdtEndPr>
        <w:rPr>
          <w:rFonts w:asciiTheme="minorHAnsi" w:hAnsiTheme="minorHAnsi" w:cstheme="minorBidi"/>
          <w:sz w:val="22"/>
          <w:szCs w:val="22"/>
        </w:rPr>
      </w:sdtEndPr>
      <w:sdtContent>
        <w:p w14:paraId="738E4E0D" w14:textId="1775B6BF" w:rsidR="0001245D" w:rsidRPr="00170AEE" w:rsidRDefault="0001245D" w:rsidP="00170AEE">
          <w:pPr>
            <w:spacing w:line="360" w:lineRule="auto"/>
            <w:jc w:val="both"/>
            <w:rPr>
              <w:rFonts w:ascii="Arial" w:hAnsi="Arial" w:cs="Arial"/>
              <w:sz w:val="24"/>
              <w:szCs w:val="24"/>
            </w:rPr>
          </w:pPr>
          <w:r w:rsidRPr="00170AEE">
            <w:rPr>
              <w:rFonts w:ascii="Arial" w:hAnsi="Arial" w:cs="Arial"/>
              <w:noProof/>
              <w:sz w:val="24"/>
              <w:szCs w:val="24"/>
            </w:rPr>
            <mc:AlternateContent>
              <mc:Choice Requires="wpg">
                <w:drawing>
                  <wp:anchor distT="0" distB="0" distL="114300" distR="114300" simplePos="0" relativeHeight="251659264" behindDoc="1" locked="0" layoutInCell="1" allowOverlap="1" wp14:anchorId="35552CC1" wp14:editId="51BE2689">
                    <wp:simplePos x="0" y="0"/>
                    <wp:positionH relativeFrom="page">
                      <wp:posOffset>341906</wp:posOffset>
                    </wp:positionH>
                    <wp:positionV relativeFrom="page">
                      <wp:posOffset>485030</wp:posOffset>
                    </wp:positionV>
                    <wp:extent cx="6858003" cy="6082746"/>
                    <wp:effectExtent l="0" t="0" r="0" b="0"/>
                    <wp:wrapNone/>
                    <wp:docPr id="193" name="Group 198"/>
                    <wp:cNvGraphicFramePr/>
                    <a:graphic xmlns:a="http://schemas.openxmlformats.org/drawingml/2006/main">
                      <a:graphicData uri="http://schemas.microsoft.com/office/word/2010/wordprocessingGroup">
                        <wpg:wgp>
                          <wpg:cNvGrpSpPr/>
                          <wpg:grpSpPr>
                            <a:xfrm>
                              <a:off x="0" y="0"/>
                              <a:ext cx="6858003" cy="6082746"/>
                              <a:chOff x="-3" y="0"/>
                              <a:chExt cx="6858003" cy="6082746"/>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3" y="4054119"/>
                                <a:ext cx="6858000" cy="202862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15EEA1" w14:textId="0603E0A3" w:rsidR="0001245D" w:rsidRPr="00742921" w:rsidRDefault="00000000" w:rsidP="0090707B">
                                  <w:pPr>
                                    <w:pStyle w:val="NoSpacing"/>
                                    <w:spacing w:before="120"/>
                                    <w:rPr>
                                      <w:color w:val="FFFFFF" w:themeColor="background1"/>
                                      <w:lang w:val="en-GB"/>
                                    </w:rPr>
                                  </w:pPr>
                                  <w:sdt>
                                    <w:sdtPr>
                                      <w:rPr>
                                        <w:caps/>
                                        <w:color w:val="FFFFFF" w:themeColor="background1"/>
                                        <w:lang w:val="en-GB"/>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BF5F0F" w:rsidRPr="00742921">
                                        <w:rPr>
                                          <w:caps/>
                                          <w:color w:val="FFFFFF" w:themeColor="background1"/>
                                          <w:lang w:val="en-GB"/>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0" y="1092038"/>
                                <a:ext cx="6858000" cy="3993226"/>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lang w:val="en-GB"/>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0F3DA57B" w14:textId="77777777" w:rsidR="00183D4D" w:rsidRPr="00742921" w:rsidRDefault="00183D4D">
                                      <w:pPr>
                                        <w:pStyle w:val="NoSpacing"/>
                                        <w:jc w:val="center"/>
                                        <w:rPr>
                                          <w:rFonts w:asciiTheme="majorHAnsi" w:eastAsiaTheme="majorEastAsia" w:hAnsiTheme="majorHAnsi" w:cstheme="majorBidi"/>
                                          <w:caps/>
                                          <w:color w:val="4472C4" w:themeColor="accent1"/>
                                          <w:sz w:val="72"/>
                                          <w:szCs w:val="72"/>
                                          <w:lang w:val="en-GB"/>
                                        </w:rPr>
                                      </w:pPr>
                                      <w:r w:rsidRPr="00742921">
                                        <w:rPr>
                                          <w:rFonts w:asciiTheme="majorHAnsi" w:eastAsiaTheme="majorEastAsia" w:hAnsiTheme="majorHAnsi" w:cstheme="majorBidi"/>
                                          <w:caps/>
                                          <w:color w:val="4472C4" w:themeColor="accent1"/>
                                          <w:sz w:val="72"/>
                                          <w:szCs w:val="72"/>
                                          <w:lang w:val="en-GB"/>
                                        </w:rPr>
                                        <w:t xml:space="preserve">     </w:t>
                                      </w:r>
                                    </w:p>
                                  </w:sdtContent>
                                </w:sdt>
                                <w:tbl>
                                  <w:tblPr>
                                    <w:tblW w:w="10448" w:type="dxa"/>
                                    <w:tblInd w:w="-54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0448"/>
                                  </w:tblGrid>
                                  <w:tr w:rsidR="00183D4D" w:rsidRPr="00183D4D" w14:paraId="64953447" w14:textId="77777777" w:rsidTr="007510DC">
                                    <w:trPr>
                                      <w:cantSplit/>
                                      <w:trHeight w:val="340"/>
                                    </w:trPr>
                                    <w:tc>
                                      <w:tcPr>
                                        <w:tcW w:w="10448" w:type="dxa"/>
                                        <w:vAlign w:val="center"/>
                                      </w:tcPr>
                                      <w:p w14:paraId="4B022584" w14:textId="77777777" w:rsidR="00183D4D" w:rsidRPr="00183D4D" w:rsidRDefault="00183D4D" w:rsidP="00183D4D">
                                        <w:pPr>
                                          <w:pStyle w:val="NoSpacing"/>
                                          <w:jc w:val="center"/>
                                          <w:rPr>
                                            <w:rFonts w:asciiTheme="majorHAnsi" w:eastAsiaTheme="majorEastAsia" w:hAnsiTheme="majorHAnsi" w:cstheme="majorBidi"/>
                                            <w:b/>
                                            <w:bCs/>
                                            <w:caps/>
                                            <w:color w:val="4472C4" w:themeColor="accent1"/>
                                            <w:sz w:val="56"/>
                                            <w:szCs w:val="56"/>
                                            <w:lang w:val="en-GB"/>
                                          </w:rPr>
                                        </w:pPr>
                                      </w:p>
                                      <w:p w14:paraId="2C661DE2" w14:textId="626175BD" w:rsidR="00183D4D" w:rsidRPr="00183D4D" w:rsidRDefault="00183D4D" w:rsidP="007510DC">
                                        <w:pPr>
                                          <w:pStyle w:val="NoSpacing"/>
                                          <w:jc w:val="center"/>
                                          <w:rPr>
                                            <w:rFonts w:asciiTheme="majorHAnsi" w:eastAsiaTheme="majorEastAsia" w:hAnsiTheme="majorHAnsi" w:cstheme="majorBidi"/>
                                            <w:caps/>
                                            <w:color w:val="4472C4" w:themeColor="accent1"/>
                                            <w:sz w:val="72"/>
                                            <w:szCs w:val="72"/>
                                            <w:lang w:val="en-GB"/>
                                          </w:rPr>
                                        </w:pPr>
                                        <w:r w:rsidRPr="00183D4D">
                                          <w:rPr>
                                            <w:rFonts w:asciiTheme="majorHAnsi" w:eastAsiaTheme="majorEastAsia" w:hAnsiTheme="majorHAnsi" w:cstheme="majorBidi"/>
                                            <w:b/>
                                            <w:bCs/>
                                            <w:caps/>
                                            <w:color w:val="4472C4" w:themeColor="accent1"/>
                                            <w:sz w:val="56"/>
                                            <w:szCs w:val="56"/>
                                            <w:lang w:val="en-GB"/>
                                          </w:rPr>
                                          <w:t>The impact of staff shortages on service quality in the UK hotel sector: A Secondary Case Study of TY Newport Hotel (The Celtic Collection)</w:t>
                                        </w:r>
                                      </w:p>
                                    </w:tc>
                                  </w:tr>
                                </w:tbl>
                                <w:p w14:paraId="1D9D97AC" w14:textId="45C0C475" w:rsidR="0001245D" w:rsidRPr="00742921" w:rsidRDefault="0001245D">
                                  <w:pPr>
                                    <w:pStyle w:val="NoSpacing"/>
                                    <w:jc w:val="center"/>
                                    <w:rPr>
                                      <w:rFonts w:asciiTheme="majorHAnsi" w:eastAsiaTheme="majorEastAsia" w:hAnsiTheme="majorHAnsi" w:cstheme="majorBidi"/>
                                      <w:caps/>
                                      <w:color w:val="4472C4" w:themeColor="accent1"/>
                                      <w:sz w:val="72"/>
                                      <w:szCs w:val="72"/>
                                      <w:lang w:val="en-GB"/>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5552CC1" id="Group 198" o:spid="_x0000_s1026" style="position:absolute;left:0;text-align:left;margin-left:26.9pt;margin-top:38.2pt;width:540pt;height:478.95pt;z-index:-251657216;mso-position-horizontal-relative:page;mso-position-vertical-relative:page" coordorigin="" coordsize="68580,608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541;width:68579;height:2028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2D15EEA1" w14:textId="0603E0A3" w:rsidR="0001245D" w:rsidRPr="00742921" w:rsidRDefault="00000000" w:rsidP="0090707B">
                            <w:pPr>
                              <w:pStyle w:val="NoSpacing"/>
                              <w:spacing w:before="120"/>
                              <w:rPr>
                                <w:color w:val="FFFFFF" w:themeColor="background1"/>
                                <w:lang w:val="en-GB"/>
                              </w:rPr>
                            </w:pPr>
                            <w:sdt>
                              <w:sdtPr>
                                <w:rPr>
                                  <w:caps/>
                                  <w:color w:val="FFFFFF" w:themeColor="background1"/>
                                  <w:lang w:val="en-GB"/>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BF5F0F" w:rsidRPr="00742921">
                                  <w:rPr>
                                    <w:caps/>
                                    <w:color w:val="FFFFFF" w:themeColor="background1"/>
                                    <w:lang w:val="en-GB"/>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top:10920;width:68580;height:399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lang w:val="en-GB"/>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0F3DA57B" w14:textId="77777777" w:rsidR="00183D4D" w:rsidRPr="00742921" w:rsidRDefault="00183D4D">
                                <w:pPr>
                                  <w:pStyle w:val="NoSpacing"/>
                                  <w:jc w:val="center"/>
                                  <w:rPr>
                                    <w:rFonts w:asciiTheme="majorHAnsi" w:eastAsiaTheme="majorEastAsia" w:hAnsiTheme="majorHAnsi" w:cstheme="majorBidi"/>
                                    <w:caps/>
                                    <w:color w:val="4472C4" w:themeColor="accent1"/>
                                    <w:sz w:val="72"/>
                                    <w:szCs w:val="72"/>
                                    <w:lang w:val="en-GB"/>
                                  </w:rPr>
                                </w:pPr>
                                <w:r w:rsidRPr="00742921">
                                  <w:rPr>
                                    <w:rFonts w:asciiTheme="majorHAnsi" w:eastAsiaTheme="majorEastAsia" w:hAnsiTheme="majorHAnsi" w:cstheme="majorBidi"/>
                                    <w:caps/>
                                    <w:color w:val="4472C4" w:themeColor="accent1"/>
                                    <w:sz w:val="72"/>
                                    <w:szCs w:val="72"/>
                                    <w:lang w:val="en-GB"/>
                                  </w:rPr>
                                  <w:t xml:space="preserve">     </w:t>
                                </w:r>
                              </w:p>
                            </w:sdtContent>
                          </w:sdt>
                          <w:tbl>
                            <w:tblPr>
                              <w:tblW w:w="10448" w:type="dxa"/>
                              <w:tblInd w:w="-54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0448"/>
                            </w:tblGrid>
                            <w:tr w:rsidR="00183D4D" w:rsidRPr="00183D4D" w14:paraId="64953447" w14:textId="77777777" w:rsidTr="007510DC">
                              <w:trPr>
                                <w:cantSplit/>
                                <w:trHeight w:val="340"/>
                              </w:trPr>
                              <w:tc>
                                <w:tcPr>
                                  <w:tcW w:w="10448" w:type="dxa"/>
                                  <w:vAlign w:val="center"/>
                                </w:tcPr>
                                <w:p w14:paraId="4B022584" w14:textId="77777777" w:rsidR="00183D4D" w:rsidRPr="00183D4D" w:rsidRDefault="00183D4D" w:rsidP="00183D4D">
                                  <w:pPr>
                                    <w:pStyle w:val="NoSpacing"/>
                                    <w:jc w:val="center"/>
                                    <w:rPr>
                                      <w:rFonts w:asciiTheme="majorHAnsi" w:eastAsiaTheme="majorEastAsia" w:hAnsiTheme="majorHAnsi" w:cstheme="majorBidi"/>
                                      <w:b/>
                                      <w:bCs/>
                                      <w:caps/>
                                      <w:color w:val="4472C4" w:themeColor="accent1"/>
                                      <w:sz w:val="56"/>
                                      <w:szCs w:val="56"/>
                                      <w:lang w:val="en-GB"/>
                                    </w:rPr>
                                  </w:pPr>
                                </w:p>
                                <w:p w14:paraId="2C661DE2" w14:textId="626175BD" w:rsidR="00183D4D" w:rsidRPr="00183D4D" w:rsidRDefault="00183D4D" w:rsidP="007510DC">
                                  <w:pPr>
                                    <w:pStyle w:val="NoSpacing"/>
                                    <w:jc w:val="center"/>
                                    <w:rPr>
                                      <w:rFonts w:asciiTheme="majorHAnsi" w:eastAsiaTheme="majorEastAsia" w:hAnsiTheme="majorHAnsi" w:cstheme="majorBidi"/>
                                      <w:caps/>
                                      <w:color w:val="4472C4" w:themeColor="accent1"/>
                                      <w:sz w:val="72"/>
                                      <w:szCs w:val="72"/>
                                      <w:lang w:val="en-GB"/>
                                    </w:rPr>
                                  </w:pPr>
                                  <w:r w:rsidRPr="00183D4D">
                                    <w:rPr>
                                      <w:rFonts w:asciiTheme="majorHAnsi" w:eastAsiaTheme="majorEastAsia" w:hAnsiTheme="majorHAnsi" w:cstheme="majorBidi"/>
                                      <w:b/>
                                      <w:bCs/>
                                      <w:caps/>
                                      <w:color w:val="4472C4" w:themeColor="accent1"/>
                                      <w:sz w:val="56"/>
                                      <w:szCs w:val="56"/>
                                      <w:lang w:val="en-GB"/>
                                    </w:rPr>
                                    <w:t>The impact of staff shortages on service quality in the UK hotel sector: A Secondary Case Study of TY Newport Hotel (The Celtic Collection)</w:t>
                                  </w:r>
                                </w:p>
                              </w:tc>
                            </w:tr>
                          </w:tbl>
                          <w:p w14:paraId="1D9D97AC" w14:textId="45C0C475" w:rsidR="0001245D" w:rsidRPr="00742921" w:rsidRDefault="0001245D">
                            <w:pPr>
                              <w:pStyle w:val="NoSpacing"/>
                              <w:jc w:val="center"/>
                              <w:rPr>
                                <w:rFonts w:asciiTheme="majorHAnsi" w:eastAsiaTheme="majorEastAsia" w:hAnsiTheme="majorHAnsi" w:cstheme="majorBidi"/>
                                <w:caps/>
                                <w:color w:val="4472C4" w:themeColor="accent1"/>
                                <w:sz w:val="72"/>
                                <w:szCs w:val="72"/>
                                <w:lang w:val="en-GB"/>
                              </w:rPr>
                            </w:pPr>
                          </w:p>
                        </w:txbxContent>
                      </v:textbox>
                    </v:shape>
                    <w10:wrap anchorx="page" anchory="page"/>
                  </v:group>
                </w:pict>
              </mc:Fallback>
            </mc:AlternateContent>
          </w:r>
        </w:p>
        <w:p w14:paraId="36B0D7FC" w14:textId="31788B8D" w:rsidR="00910077" w:rsidRPr="00170AEE" w:rsidRDefault="00D913B9" w:rsidP="00170AEE">
          <w:pPr>
            <w:spacing w:line="360" w:lineRule="auto"/>
            <w:jc w:val="both"/>
            <w:rPr>
              <w:rFonts w:ascii="Arial" w:hAnsi="Arial" w:cs="Arial"/>
              <w:sz w:val="24"/>
              <w:szCs w:val="24"/>
            </w:rPr>
          </w:pPr>
          <w:r w:rsidRPr="00D913B9">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788E5D70" wp14:editId="0E8B8E1E">
                    <wp:simplePos x="0" y="0"/>
                    <wp:positionH relativeFrom="margin">
                      <wp:posOffset>72998</wp:posOffset>
                    </wp:positionH>
                    <wp:positionV relativeFrom="paragraph">
                      <wp:posOffset>7905281</wp:posOffset>
                    </wp:positionV>
                    <wp:extent cx="5255260" cy="1404620"/>
                    <wp:effectExtent l="0" t="0" r="21590" b="20320"/>
                    <wp:wrapSquare wrapText="bothSides"/>
                    <wp:docPr id="9529029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5260" cy="1404620"/>
                            </a:xfrm>
                            <a:prstGeom prst="rect">
                              <a:avLst/>
                            </a:prstGeom>
                            <a:solidFill>
                              <a:srgbClr val="FFFFFF"/>
                            </a:solidFill>
                            <a:ln w="9525">
                              <a:solidFill>
                                <a:srgbClr val="000000"/>
                              </a:solidFill>
                              <a:miter lim="800000"/>
                              <a:headEnd/>
                              <a:tailEnd/>
                            </a:ln>
                          </wps:spPr>
                          <wps:txbx>
                            <w:txbxContent>
                              <w:p w14:paraId="37966BED" w14:textId="22F48032" w:rsidR="00D913B9" w:rsidRDefault="009B4340">
                                <w:r w:rsidRPr="009B4340">
                                  <w:t>I confirm that I used Grammarly solely to check grammar, spelling, and to proofread my work. I have not used any AI tools to generate, paraphrase, or rewrite the content of this assignment. All work submitted is my own, and I have retained my notes and draft versions, which can be provided if required.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88E5D70" id="Text Box 2" o:spid="_x0000_s1030" type="#_x0000_t202" style="position:absolute;left:0;text-align:left;margin-left:5.75pt;margin-top:622.45pt;width:413.8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">
                    <v:textbox style="mso-fit-shape-to-text:t">
                      <w:txbxContent>
                        <w:p w14:paraId="37966BED" w14:textId="22F48032" w:rsidR="00D913B9" w:rsidRDefault="009B4340">
                          <w:r w:rsidRPr="009B4340">
                            <w:t>I confirm that I used Grammarly solely to check grammar, spelling, and to proofread my work. I have not used any AI tools to generate, paraphrase, or rewrite the content of this assignment. All work submitted is my own, and I have retained my notes and draft versions, which can be provided if required.</w:t>
                          </w:r>
                        </w:p>
                      </w:txbxContent>
                    </v:textbox>
                    <w10:wrap type="square" anchorx="margin"/>
                  </v:shape>
                </w:pict>
              </mc:Fallback>
            </mc:AlternateContent>
          </w:r>
          <w:r w:rsidR="0090707B" w:rsidRPr="0090707B">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6DBD6BEB" wp14:editId="6E933A34">
                    <wp:simplePos x="0" y="0"/>
                    <wp:positionH relativeFrom="margin">
                      <wp:posOffset>1152525</wp:posOffset>
                    </wp:positionH>
                    <wp:positionV relativeFrom="paragraph">
                      <wp:posOffset>5614670</wp:posOffset>
                    </wp:positionV>
                    <wp:extent cx="3164205" cy="1558290"/>
                    <wp:effectExtent l="0" t="0" r="17145"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4205" cy="1558290"/>
                            </a:xfrm>
                            <a:prstGeom prst="rect">
                              <a:avLst/>
                            </a:prstGeom>
                            <a:solidFill>
                              <a:srgbClr val="FFFFFF"/>
                            </a:solidFill>
                            <a:ln w="9525">
                              <a:solidFill>
                                <a:srgbClr val="000000"/>
                              </a:solidFill>
                              <a:miter lim="800000"/>
                              <a:headEnd/>
                              <a:tailEnd/>
                            </a:ln>
                          </wps:spPr>
                          <wps:txbx>
                            <w:txbxContent>
                              <w:p w14:paraId="68C128F3" w14:textId="156E6089" w:rsidR="0090707B" w:rsidRPr="00D25E5A" w:rsidRDefault="003A0054">
                                <w:pPr>
                                  <w:rPr>
                                    <w:rFonts w:ascii="Arial" w:hAnsi="Arial" w:cs="Arial"/>
                                    <w:sz w:val="24"/>
                                    <w:szCs w:val="24"/>
                                  </w:rPr>
                                </w:pPr>
                                <w:r w:rsidRPr="00D25E5A">
                                  <w:rPr>
                                    <w:rFonts w:ascii="Arial" w:hAnsi="Arial" w:cs="Arial"/>
                                    <w:sz w:val="24"/>
                                    <w:szCs w:val="24"/>
                                  </w:rPr>
                                  <w:t xml:space="preserve">Module Title: Hotel Placement Research Project Module code: BMIH6008 </w:t>
                                </w:r>
                              </w:p>
                              <w:p w14:paraId="06DAB8A2" w14:textId="0A6F679E" w:rsidR="003A0054" w:rsidRPr="00D25E5A" w:rsidRDefault="00841B3D" w:rsidP="00841B3D">
                                <w:pPr>
                                  <w:rPr>
                                    <w:rFonts w:ascii="Arial" w:hAnsi="Arial" w:cs="Arial"/>
                                    <w:sz w:val="24"/>
                                    <w:szCs w:val="24"/>
                                  </w:rPr>
                                </w:pPr>
                                <w:r w:rsidRPr="00D25E5A">
                                  <w:rPr>
                                    <w:rFonts w:ascii="Arial" w:hAnsi="Arial" w:cs="Arial"/>
                                    <w:sz w:val="24"/>
                                    <w:szCs w:val="24"/>
                                  </w:rPr>
                                  <w:t xml:space="preserve">Module Lead: Kathryn E Flynn </w:t>
                                </w:r>
                              </w:p>
                              <w:p w14:paraId="27D49A4A" w14:textId="10B55944" w:rsidR="00841B3D" w:rsidRPr="00D25E5A" w:rsidRDefault="00841B3D" w:rsidP="00841B3D">
                                <w:pPr>
                                  <w:rPr>
                                    <w:rFonts w:ascii="Arial" w:hAnsi="Arial" w:cs="Arial"/>
                                    <w:sz w:val="24"/>
                                    <w:szCs w:val="24"/>
                                  </w:rPr>
                                </w:pPr>
                                <w:r w:rsidRPr="00D25E5A">
                                  <w:rPr>
                                    <w:rFonts w:ascii="Arial" w:hAnsi="Arial" w:cs="Arial"/>
                                    <w:sz w:val="24"/>
                                    <w:szCs w:val="24"/>
                                  </w:rPr>
                                  <w:t xml:space="preserve">Student: Eugen Gherasim </w:t>
                                </w:r>
                                <w:r w:rsidR="0029079C" w:rsidRPr="00D25E5A">
                                  <w:rPr>
                                    <w:rFonts w:ascii="Arial" w:hAnsi="Arial" w:cs="Arial"/>
                                    <w:sz w:val="24"/>
                                    <w:szCs w:val="24"/>
                                  </w:rPr>
                                  <w:t>2242387</w:t>
                                </w:r>
                              </w:p>
                              <w:p w14:paraId="4173DE73" w14:textId="695A3276" w:rsidR="0029079C" w:rsidRPr="00D25E5A" w:rsidRDefault="0029079C" w:rsidP="00841B3D">
                                <w:pPr>
                                  <w:rPr>
                                    <w:rFonts w:ascii="Arial" w:hAnsi="Arial" w:cs="Arial"/>
                                    <w:sz w:val="24"/>
                                    <w:szCs w:val="24"/>
                                  </w:rPr>
                                </w:pPr>
                                <w:r w:rsidRPr="00D25E5A">
                                  <w:rPr>
                                    <w:rFonts w:ascii="Arial" w:hAnsi="Arial" w:cs="Arial"/>
                                    <w:sz w:val="24"/>
                                    <w:szCs w:val="24"/>
                                  </w:rPr>
                                  <w:t xml:space="preserve">Wordcount:  </w:t>
                                </w:r>
                                <w:r w:rsidR="00D913B9" w:rsidRPr="00D25E5A">
                                  <w:rPr>
                                    <w:rFonts w:ascii="Arial" w:hAnsi="Arial" w:cs="Arial"/>
                                    <w:sz w:val="24"/>
                                    <w:szCs w:val="24"/>
                                  </w:rPr>
                                  <w:t>74</w:t>
                                </w:r>
                                <w:r w:rsidR="001C7DFA">
                                  <w:rPr>
                                    <w:rFonts w:ascii="Arial" w:hAnsi="Arial" w:cs="Arial"/>
                                    <w:sz w:val="24"/>
                                    <w:szCs w:val="24"/>
                                  </w:rPr>
                                  <w:t>59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BD6BEB" id="_x0000_s1031" type="#_x0000_t202" style="position:absolute;left:0;text-align:left;margin-left:90.75pt;margin-top:442.1pt;width:249.15pt;height:122.7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">
                    <v:textbox>
                      <w:txbxContent>
                        <w:p w14:paraId="68C128F3" w14:textId="156E6089" w:rsidR="0090707B" w:rsidRPr="00D25E5A" w:rsidRDefault="003A0054">
                          <w:pPr>
                            <w:rPr>
                              <w:rFonts w:ascii="Arial" w:hAnsi="Arial" w:cs="Arial"/>
                              <w:sz w:val="24"/>
                              <w:szCs w:val="24"/>
                            </w:rPr>
                          </w:pPr>
                          <w:r w:rsidRPr="00D25E5A">
                            <w:rPr>
                              <w:rFonts w:ascii="Arial" w:hAnsi="Arial" w:cs="Arial"/>
                              <w:sz w:val="24"/>
                              <w:szCs w:val="24"/>
                            </w:rPr>
                            <w:t xml:space="preserve">Module Title: Hotel Placement Research Project Module code: BMIH6008 </w:t>
                          </w:r>
                        </w:p>
                        <w:p w14:paraId="06DAB8A2" w14:textId="0A6F679E" w:rsidR="003A0054" w:rsidRPr="00D25E5A" w:rsidRDefault="00841B3D" w:rsidP="00841B3D">
                          <w:pPr>
                            <w:rPr>
                              <w:rFonts w:ascii="Arial" w:hAnsi="Arial" w:cs="Arial"/>
                              <w:sz w:val="24"/>
                              <w:szCs w:val="24"/>
                            </w:rPr>
                          </w:pPr>
                          <w:r w:rsidRPr="00D25E5A">
                            <w:rPr>
                              <w:rFonts w:ascii="Arial" w:hAnsi="Arial" w:cs="Arial"/>
                              <w:sz w:val="24"/>
                              <w:szCs w:val="24"/>
                            </w:rPr>
                            <w:t xml:space="preserve">Module Lead: Kathryn E Flynn </w:t>
                          </w:r>
                        </w:p>
                        <w:p w14:paraId="27D49A4A" w14:textId="10B55944" w:rsidR="00841B3D" w:rsidRPr="00D25E5A" w:rsidRDefault="00841B3D" w:rsidP="00841B3D">
                          <w:pPr>
                            <w:rPr>
                              <w:rFonts w:ascii="Arial" w:hAnsi="Arial" w:cs="Arial"/>
                              <w:sz w:val="24"/>
                              <w:szCs w:val="24"/>
                            </w:rPr>
                          </w:pPr>
                          <w:r w:rsidRPr="00D25E5A">
                            <w:rPr>
                              <w:rFonts w:ascii="Arial" w:hAnsi="Arial" w:cs="Arial"/>
                              <w:sz w:val="24"/>
                              <w:szCs w:val="24"/>
                            </w:rPr>
                            <w:t xml:space="preserve">Student: Eugen Gherasim </w:t>
                          </w:r>
                          <w:r w:rsidR="0029079C" w:rsidRPr="00D25E5A">
                            <w:rPr>
                              <w:rFonts w:ascii="Arial" w:hAnsi="Arial" w:cs="Arial"/>
                              <w:sz w:val="24"/>
                              <w:szCs w:val="24"/>
                            </w:rPr>
                            <w:t>2242387</w:t>
                          </w:r>
                        </w:p>
                        <w:p w14:paraId="4173DE73" w14:textId="695A3276" w:rsidR="0029079C" w:rsidRPr="00D25E5A" w:rsidRDefault="0029079C" w:rsidP="00841B3D">
                          <w:pPr>
                            <w:rPr>
                              <w:rFonts w:ascii="Arial" w:hAnsi="Arial" w:cs="Arial"/>
                              <w:sz w:val="24"/>
                              <w:szCs w:val="24"/>
                            </w:rPr>
                          </w:pPr>
                          <w:r w:rsidRPr="00D25E5A">
                            <w:rPr>
                              <w:rFonts w:ascii="Arial" w:hAnsi="Arial" w:cs="Arial"/>
                              <w:sz w:val="24"/>
                              <w:szCs w:val="24"/>
                            </w:rPr>
                            <w:t xml:space="preserve">Wordcount:  </w:t>
                          </w:r>
                          <w:r w:rsidR="00D913B9" w:rsidRPr="00D25E5A">
                            <w:rPr>
                              <w:rFonts w:ascii="Arial" w:hAnsi="Arial" w:cs="Arial"/>
                              <w:sz w:val="24"/>
                              <w:szCs w:val="24"/>
                            </w:rPr>
                            <w:t>74</w:t>
                          </w:r>
                          <w:r w:rsidR="001C7DFA">
                            <w:rPr>
                              <w:rFonts w:ascii="Arial" w:hAnsi="Arial" w:cs="Arial"/>
                              <w:sz w:val="24"/>
                              <w:szCs w:val="24"/>
                            </w:rPr>
                            <w:t>59</w:t>
                          </w:r>
                        </w:p>
                      </w:txbxContent>
                    </v:textbox>
                    <w10:wrap type="square" anchorx="margin"/>
                  </v:shape>
                </w:pict>
              </mc:Fallback>
            </mc:AlternateContent>
          </w:r>
          <w:r w:rsidR="0001245D" w:rsidRPr="00170AEE">
            <w:rPr>
              <w:rFonts w:ascii="Arial" w:hAnsi="Arial" w:cs="Arial"/>
              <w:sz w:val="24"/>
              <w:szCs w:val="24"/>
            </w:rPr>
            <w:br w:type="page"/>
          </w:r>
        </w:p>
        <w:p w14:paraId="59FF2677" w14:textId="2D910F2C" w:rsidR="00D67941" w:rsidRPr="00D67941" w:rsidRDefault="00D67941" w:rsidP="00D67941">
          <w:pPr>
            <w:spacing w:line="360" w:lineRule="auto"/>
            <w:jc w:val="both"/>
            <w:rPr>
              <w:rFonts w:ascii="Arial" w:hAnsi="Arial" w:cs="Arial"/>
              <w:b/>
              <w:bCs/>
              <w:sz w:val="24"/>
              <w:szCs w:val="24"/>
            </w:rPr>
          </w:pPr>
          <w:r w:rsidRPr="00D67941">
            <w:rPr>
              <w:rFonts w:ascii="Arial" w:hAnsi="Arial" w:cs="Arial"/>
              <w:b/>
              <w:bCs/>
              <w:sz w:val="24"/>
              <w:szCs w:val="24"/>
            </w:rPr>
            <w:lastRenderedPageBreak/>
            <w:t>Acknowledgements</w:t>
          </w:r>
        </w:p>
        <w:p w14:paraId="69E77B4A" w14:textId="149B90CB" w:rsidR="00D67941" w:rsidRPr="00D67941" w:rsidRDefault="00D67941" w:rsidP="00D67941">
          <w:pPr>
            <w:spacing w:line="360" w:lineRule="auto"/>
            <w:jc w:val="both"/>
            <w:rPr>
              <w:rFonts w:ascii="Arial" w:hAnsi="Arial" w:cs="Arial"/>
              <w:sz w:val="24"/>
              <w:szCs w:val="24"/>
            </w:rPr>
          </w:pPr>
          <w:r w:rsidRPr="00D67941">
            <w:rPr>
              <w:rFonts w:ascii="Arial" w:hAnsi="Arial" w:cs="Arial"/>
              <w:sz w:val="24"/>
              <w:szCs w:val="24"/>
            </w:rPr>
            <w:t xml:space="preserve">I would like to express my sincere gratitude to my </w:t>
          </w:r>
          <w:r>
            <w:rPr>
              <w:rFonts w:ascii="Arial" w:hAnsi="Arial" w:cs="Arial"/>
              <w:sz w:val="24"/>
              <w:szCs w:val="24"/>
            </w:rPr>
            <w:t>lecturer</w:t>
          </w:r>
          <w:r w:rsidR="00FD161E">
            <w:rPr>
              <w:rFonts w:ascii="Arial" w:hAnsi="Arial" w:cs="Arial"/>
              <w:sz w:val="24"/>
              <w:szCs w:val="24"/>
            </w:rPr>
            <w:t xml:space="preserve">, </w:t>
          </w:r>
          <w:r w:rsidR="003370FF" w:rsidRPr="003370FF">
            <w:rPr>
              <w:rFonts w:ascii="Arial" w:hAnsi="Arial" w:cs="Arial"/>
              <w:sz w:val="24"/>
              <w:szCs w:val="24"/>
            </w:rPr>
            <w:t>Kathryn Flynn</w:t>
          </w:r>
          <w:r w:rsidR="003370FF">
            <w:rPr>
              <w:rFonts w:ascii="Arial" w:hAnsi="Arial" w:cs="Arial"/>
              <w:sz w:val="24"/>
              <w:szCs w:val="24"/>
            </w:rPr>
            <w:t>,</w:t>
          </w:r>
          <w:r w:rsidRPr="00D67941">
            <w:rPr>
              <w:rFonts w:ascii="Arial" w:hAnsi="Arial" w:cs="Arial"/>
              <w:sz w:val="24"/>
              <w:szCs w:val="24"/>
            </w:rPr>
            <w:t xml:space="preserve"> for </w:t>
          </w:r>
          <w:r w:rsidR="006F177E">
            <w:rPr>
              <w:rFonts w:ascii="Arial" w:hAnsi="Arial" w:cs="Arial"/>
              <w:sz w:val="24"/>
              <w:szCs w:val="24"/>
            </w:rPr>
            <w:t>her</w:t>
          </w:r>
          <w:r w:rsidRPr="00D67941">
            <w:rPr>
              <w:rFonts w:ascii="Arial" w:hAnsi="Arial" w:cs="Arial"/>
              <w:sz w:val="24"/>
              <w:szCs w:val="24"/>
            </w:rPr>
            <w:t xml:space="preserve"> guidance, constructive feedback and academic support throughout the development of this research project. </w:t>
          </w:r>
        </w:p>
        <w:p w14:paraId="550BAB38" w14:textId="7403033C" w:rsidR="00D67941" w:rsidRPr="00D67941" w:rsidRDefault="00D67941" w:rsidP="00D67941">
          <w:pPr>
            <w:spacing w:line="360" w:lineRule="auto"/>
            <w:jc w:val="both"/>
            <w:rPr>
              <w:rFonts w:ascii="Arial" w:hAnsi="Arial" w:cs="Arial"/>
              <w:sz w:val="24"/>
              <w:szCs w:val="24"/>
            </w:rPr>
          </w:pPr>
          <w:r w:rsidRPr="00D67941">
            <w:rPr>
              <w:rFonts w:ascii="Arial" w:hAnsi="Arial" w:cs="Arial"/>
              <w:sz w:val="24"/>
              <w:szCs w:val="24"/>
            </w:rPr>
            <w:t xml:space="preserve">I am also thankful to </w:t>
          </w:r>
          <w:r w:rsidR="00EE1E4D">
            <w:rPr>
              <w:rFonts w:ascii="Arial" w:hAnsi="Arial" w:cs="Arial"/>
              <w:sz w:val="24"/>
              <w:szCs w:val="24"/>
            </w:rPr>
            <w:t xml:space="preserve">the </w:t>
          </w:r>
          <w:r w:rsidRPr="00D67941">
            <w:rPr>
              <w:rFonts w:ascii="Arial" w:hAnsi="Arial" w:cs="Arial"/>
              <w:sz w:val="24"/>
              <w:szCs w:val="24"/>
            </w:rPr>
            <w:t>University of Wales Trinity Saint David for providing the academic environment and resources necessary to undertake this research. The knowledge and skills developed throughout the programme have significantly contributed to the completion of this project.</w:t>
          </w:r>
        </w:p>
        <w:p w14:paraId="1292984D" w14:textId="0C3FB303" w:rsidR="00D67941" w:rsidRPr="00D67941" w:rsidRDefault="00D67941" w:rsidP="00D67941">
          <w:pPr>
            <w:spacing w:line="360" w:lineRule="auto"/>
            <w:jc w:val="both"/>
            <w:rPr>
              <w:rFonts w:ascii="Arial" w:hAnsi="Arial" w:cs="Arial"/>
              <w:sz w:val="24"/>
              <w:szCs w:val="24"/>
            </w:rPr>
          </w:pPr>
          <w:r w:rsidRPr="00D67941">
            <w:rPr>
              <w:rFonts w:ascii="Arial" w:hAnsi="Arial" w:cs="Arial"/>
              <w:sz w:val="24"/>
              <w:szCs w:val="24"/>
            </w:rPr>
            <w:t>Special appreciation is extended to TY Newport Hotel (The Celtic Collection) for providing the professional context that inspired this study. The placement experience offered practical insight into the operational realities of hotel management and informed the applied focus of this research.</w:t>
          </w:r>
        </w:p>
        <w:p w14:paraId="670D131F" w14:textId="1CE96E68" w:rsidR="00D67941" w:rsidRPr="00D67941" w:rsidRDefault="00D67941" w:rsidP="00D67941">
          <w:pPr>
            <w:spacing w:line="360" w:lineRule="auto"/>
            <w:jc w:val="both"/>
            <w:rPr>
              <w:rFonts w:ascii="Arial" w:hAnsi="Arial" w:cs="Arial"/>
              <w:sz w:val="24"/>
              <w:szCs w:val="24"/>
            </w:rPr>
          </w:pPr>
          <w:r w:rsidRPr="00D67941">
            <w:rPr>
              <w:rFonts w:ascii="Arial" w:hAnsi="Arial" w:cs="Arial"/>
              <w:sz w:val="24"/>
              <w:szCs w:val="24"/>
            </w:rPr>
            <w:t>Finally, I am deeply grateful to my family and friends for their encouragement, patience and ongoing support throughout my academic journey. Their understanding and motivation have been essential to the successful completion of this work.</w:t>
          </w:r>
        </w:p>
        <w:p w14:paraId="4B594E06" w14:textId="77777777" w:rsidR="00D67941" w:rsidRDefault="00D67941" w:rsidP="00170AEE">
          <w:pPr>
            <w:spacing w:line="360" w:lineRule="auto"/>
            <w:jc w:val="both"/>
            <w:rPr>
              <w:rFonts w:ascii="Arial" w:hAnsi="Arial" w:cs="Arial"/>
              <w:b/>
              <w:bCs/>
              <w:sz w:val="24"/>
              <w:szCs w:val="24"/>
            </w:rPr>
          </w:pPr>
        </w:p>
        <w:p w14:paraId="1541DF25" w14:textId="77777777" w:rsidR="00D67941" w:rsidRDefault="00D67941" w:rsidP="00170AEE">
          <w:pPr>
            <w:spacing w:line="360" w:lineRule="auto"/>
            <w:jc w:val="both"/>
            <w:rPr>
              <w:rFonts w:ascii="Arial" w:hAnsi="Arial" w:cs="Arial"/>
              <w:b/>
              <w:bCs/>
              <w:sz w:val="24"/>
              <w:szCs w:val="24"/>
            </w:rPr>
          </w:pPr>
        </w:p>
        <w:p w14:paraId="5868882B" w14:textId="77777777" w:rsidR="00D67941" w:rsidRDefault="00D67941" w:rsidP="00170AEE">
          <w:pPr>
            <w:spacing w:line="360" w:lineRule="auto"/>
            <w:jc w:val="both"/>
            <w:rPr>
              <w:rFonts w:ascii="Arial" w:hAnsi="Arial" w:cs="Arial"/>
              <w:b/>
              <w:bCs/>
              <w:sz w:val="24"/>
              <w:szCs w:val="24"/>
            </w:rPr>
          </w:pPr>
        </w:p>
        <w:p w14:paraId="5CAF282F" w14:textId="77777777" w:rsidR="00D67941" w:rsidRDefault="00D67941" w:rsidP="00170AEE">
          <w:pPr>
            <w:spacing w:line="360" w:lineRule="auto"/>
            <w:jc w:val="both"/>
            <w:rPr>
              <w:rFonts w:ascii="Arial" w:hAnsi="Arial" w:cs="Arial"/>
              <w:b/>
              <w:bCs/>
              <w:sz w:val="24"/>
              <w:szCs w:val="24"/>
            </w:rPr>
          </w:pPr>
        </w:p>
        <w:p w14:paraId="56555BE4" w14:textId="77777777" w:rsidR="00D67941" w:rsidRDefault="00D67941" w:rsidP="00170AEE">
          <w:pPr>
            <w:spacing w:line="360" w:lineRule="auto"/>
            <w:jc w:val="both"/>
            <w:rPr>
              <w:rFonts w:ascii="Arial" w:hAnsi="Arial" w:cs="Arial"/>
              <w:b/>
              <w:bCs/>
              <w:sz w:val="24"/>
              <w:szCs w:val="24"/>
            </w:rPr>
          </w:pPr>
        </w:p>
        <w:p w14:paraId="288D72B7" w14:textId="77777777" w:rsidR="00D67941" w:rsidRDefault="00D67941" w:rsidP="00170AEE">
          <w:pPr>
            <w:spacing w:line="360" w:lineRule="auto"/>
            <w:jc w:val="both"/>
            <w:rPr>
              <w:rFonts w:ascii="Arial" w:hAnsi="Arial" w:cs="Arial"/>
              <w:b/>
              <w:bCs/>
              <w:sz w:val="24"/>
              <w:szCs w:val="24"/>
            </w:rPr>
          </w:pPr>
        </w:p>
        <w:p w14:paraId="44FDEF78" w14:textId="77777777" w:rsidR="00D67941" w:rsidRDefault="00D67941" w:rsidP="00170AEE">
          <w:pPr>
            <w:spacing w:line="360" w:lineRule="auto"/>
            <w:jc w:val="both"/>
            <w:rPr>
              <w:rFonts w:ascii="Arial" w:hAnsi="Arial" w:cs="Arial"/>
              <w:b/>
              <w:bCs/>
              <w:sz w:val="24"/>
              <w:szCs w:val="24"/>
            </w:rPr>
          </w:pPr>
        </w:p>
        <w:p w14:paraId="009706EC" w14:textId="77777777" w:rsidR="00D67941" w:rsidRDefault="00D67941" w:rsidP="00170AEE">
          <w:pPr>
            <w:spacing w:line="360" w:lineRule="auto"/>
            <w:jc w:val="both"/>
            <w:rPr>
              <w:rFonts w:ascii="Arial" w:hAnsi="Arial" w:cs="Arial"/>
              <w:b/>
              <w:bCs/>
              <w:sz w:val="24"/>
              <w:szCs w:val="24"/>
            </w:rPr>
          </w:pPr>
        </w:p>
        <w:p w14:paraId="0B134ED3" w14:textId="77777777" w:rsidR="00D67941" w:rsidRDefault="00D67941" w:rsidP="00170AEE">
          <w:pPr>
            <w:spacing w:line="360" w:lineRule="auto"/>
            <w:jc w:val="both"/>
            <w:rPr>
              <w:rFonts w:ascii="Arial" w:hAnsi="Arial" w:cs="Arial"/>
              <w:b/>
              <w:bCs/>
              <w:sz w:val="24"/>
              <w:szCs w:val="24"/>
            </w:rPr>
          </w:pPr>
        </w:p>
        <w:p w14:paraId="32E7CDBB" w14:textId="77777777" w:rsidR="00D67941" w:rsidRDefault="00D67941" w:rsidP="00170AEE">
          <w:pPr>
            <w:spacing w:line="360" w:lineRule="auto"/>
            <w:jc w:val="both"/>
            <w:rPr>
              <w:rFonts w:ascii="Arial" w:hAnsi="Arial" w:cs="Arial"/>
              <w:b/>
              <w:bCs/>
              <w:sz w:val="24"/>
              <w:szCs w:val="24"/>
            </w:rPr>
          </w:pPr>
        </w:p>
        <w:p w14:paraId="15CD08BF" w14:textId="77777777" w:rsidR="00D67941" w:rsidRDefault="00D67941" w:rsidP="00170AEE">
          <w:pPr>
            <w:spacing w:line="360" w:lineRule="auto"/>
            <w:jc w:val="both"/>
            <w:rPr>
              <w:rFonts w:ascii="Arial" w:hAnsi="Arial" w:cs="Arial"/>
              <w:b/>
              <w:bCs/>
              <w:sz w:val="24"/>
              <w:szCs w:val="24"/>
            </w:rPr>
          </w:pPr>
        </w:p>
        <w:p w14:paraId="3055C57B" w14:textId="77777777" w:rsidR="00B771E3" w:rsidRDefault="00B771E3" w:rsidP="00170AEE">
          <w:pPr>
            <w:spacing w:line="360" w:lineRule="auto"/>
            <w:jc w:val="both"/>
            <w:rPr>
              <w:rFonts w:ascii="Arial" w:hAnsi="Arial" w:cs="Arial"/>
              <w:b/>
              <w:bCs/>
              <w:sz w:val="24"/>
              <w:szCs w:val="24"/>
            </w:rPr>
          </w:pPr>
        </w:p>
        <w:p w14:paraId="69E48E2D" w14:textId="7BA38604" w:rsidR="00910077" w:rsidRPr="00170AEE" w:rsidRDefault="00910077" w:rsidP="00170AEE">
          <w:pPr>
            <w:spacing w:line="360" w:lineRule="auto"/>
            <w:jc w:val="both"/>
            <w:rPr>
              <w:rFonts w:ascii="Arial" w:hAnsi="Arial" w:cs="Arial"/>
              <w:b/>
              <w:bCs/>
              <w:sz w:val="24"/>
              <w:szCs w:val="24"/>
            </w:rPr>
          </w:pPr>
          <w:r w:rsidRPr="00170AEE">
            <w:rPr>
              <w:rFonts w:ascii="Arial" w:hAnsi="Arial" w:cs="Arial"/>
              <w:b/>
              <w:bCs/>
              <w:sz w:val="24"/>
              <w:szCs w:val="24"/>
            </w:rPr>
            <w:lastRenderedPageBreak/>
            <w:t>Abstract</w:t>
          </w:r>
        </w:p>
        <w:p w14:paraId="03E63155" w14:textId="18DF2AA6" w:rsidR="00170AEE" w:rsidRPr="00170AEE" w:rsidRDefault="00170AEE" w:rsidP="00170AEE">
          <w:pPr>
            <w:spacing w:line="360" w:lineRule="auto"/>
            <w:jc w:val="both"/>
            <w:rPr>
              <w:rFonts w:ascii="Arial" w:hAnsi="Arial" w:cs="Arial"/>
              <w:sz w:val="24"/>
              <w:szCs w:val="24"/>
            </w:rPr>
          </w:pPr>
          <w:r w:rsidRPr="00170AEE">
            <w:rPr>
              <w:rFonts w:ascii="Arial" w:hAnsi="Arial" w:cs="Arial"/>
              <w:sz w:val="24"/>
              <w:szCs w:val="24"/>
            </w:rPr>
            <w:t>This research project critically evaluates the impact of staff shortages on service quality within the UK hotel sector, using TY Newport Hotel (The Celtic Collection) as a secondary case study. The study responds to sustained workforce instability evidenced in UK accommodation and food service labour data and sector commentary identifying staffing shortages as an ongoing structural challenge rather than a temporary post-pandemic fluctuation.</w:t>
          </w:r>
        </w:p>
        <w:p w14:paraId="4B4ED8D1" w14:textId="696DAE26" w:rsidR="00170AEE" w:rsidRPr="00170AEE" w:rsidRDefault="00170AEE" w:rsidP="00170AEE">
          <w:pPr>
            <w:spacing w:line="360" w:lineRule="auto"/>
            <w:jc w:val="both"/>
            <w:rPr>
              <w:rFonts w:ascii="Arial" w:hAnsi="Arial" w:cs="Arial"/>
              <w:sz w:val="24"/>
              <w:szCs w:val="24"/>
            </w:rPr>
          </w:pPr>
          <w:r w:rsidRPr="00170AEE">
            <w:rPr>
              <w:rFonts w:ascii="Arial" w:hAnsi="Arial" w:cs="Arial"/>
              <w:sz w:val="24"/>
              <w:szCs w:val="24"/>
            </w:rPr>
            <w:t>The research pursued three objectives: (1) to examine the structural drivers of staff shortages in the UK hospitality industry; (2) to analyse how staffing constraints influence service quality dimensions in hotel operations; and (3) to evaluate organisational responses to workforce shortages and their implications for long-term service sustainability.</w:t>
          </w:r>
        </w:p>
        <w:p w14:paraId="066D6E16" w14:textId="1A3932D9" w:rsidR="00170AEE" w:rsidRPr="00170AEE" w:rsidRDefault="00170AEE" w:rsidP="00170AEE">
          <w:pPr>
            <w:spacing w:line="360" w:lineRule="auto"/>
            <w:jc w:val="both"/>
            <w:rPr>
              <w:rFonts w:ascii="Arial" w:hAnsi="Arial" w:cs="Arial"/>
              <w:sz w:val="24"/>
              <w:szCs w:val="24"/>
            </w:rPr>
          </w:pPr>
          <w:r w:rsidRPr="00170AEE">
            <w:rPr>
              <w:rFonts w:ascii="Arial" w:hAnsi="Arial" w:cs="Arial"/>
              <w:sz w:val="24"/>
              <w:szCs w:val="24"/>
            </w:rPr>
            <w:t>Adopting an interpretivist, qualitative secondary research design, the study integrates peer-reviewed hospitality literature, national labour statistics and industry reports. The analysis is theoretically grounded in the Job Demands–Resources (JD–R) model, emotional labour theory and the SERVQUAL service quality framework.</w:t>
          </w:r>
        </w:p>
        <w:p w14:paraId="38BE84B2" w14:textId="1384674B" w:rsidR="00170AEE" w:rsidRPr="00170AEE" w:rsidRDefault="00170AEE" w:rsidP="00170AEE">
          <w:pPr>
            <w:spacing w:line="360" w:lineRule="auto"/>
            <w:jc w:val="both"/>
            <w:rPr>
              <w:rFonts w:ascii="Arial" w:hAnsi="Arial" w:cs="Arial"/>
              <w:sz w:val="24"/>
              <w:szCs w:val="24"/>
            </w:rPr>
          </w:pPr>
          <w:r w:rsidRPr="00170AEE">
            <w:rPr>
              <w:rFonts w:ascii="Arial" w:hAnsi="Arial" w:cs="Arial"/>
              <w:sz w:val="24"/>
              <w:szCs w:val="24"/>
            </w:rPr>
            <w:t>The findings demonstrate that staffing shortages function as structural demand–resource imbalances within hotel employment systems. Insufficient staffing intensifies workload, emotional labour and time pressure, contributing to emotional exhaustion, reduced engagement and increased turnover intention. These psychological mechanisms mediate service quality outcomes, particularly affecting responsiveness, reliability, empathy and service recovery capacity.</w:t>
          </w:r>
        </w:p>
        <w:p w14:paraId="07A2F5F4" w14:textId="26A95E93" w:rsidR="00170AEE" w:rsidRPr="00170AEE" w:rsidRDefault="00170AEE" w:rsidP="00170AEE">
          <w:pPr>
            <w:spacing w:line="360" w:lineRule="auto"/>
            <w:jc w:val="both"/>
            <w:rPr>
              <w:rFonts w:ascii="Arial" w:hAnsi="Arial" w:cs="Arial"/>
              <w:sz w:val="24"/>
              <w:szCs w:val="24"/>
            </w:rPr>
          </w:pPr>
          <w:r w:rsidRPr="00170AEE">
            <w:rPr>
              <w:rFonts w:ascii="Arial" w:hAnsi="Arial" w:cs="Arial"/>
              <w:sz w:val="24"/>
              <w:szCs w:val="24"/>
            </w:rPr>
            <w:t xml:space="preserve">A central contribution of the study is the identification of cumulative service quality erosion. Rather than causing immediate operational collapse, staffing shortages generate </w:t>
          </w:r>
          <w:r w:rsidR="00940B24">
            <w:rPr>
              <w:rFonts w:ascii="Arial" w:hAnsi="Arial" w:cs="Arial"/>
              <w:sz w:val="24"/>
              <w:szCs w:val="24"/>
            </w:rPr>
            <w:t xml:space="preserve">a </w:t>
          </w:r>
          <w:r w:rsidRPr="00170AEE">
            <w:rPr>
              <w:rFonts w:ascii="Arial" w:hAnsi="Arial" w:cs="Arial"/>
              <w:sz w:val="24"/>
              <w:szCs w:val="24"/>
            </w:rPr>
            <w:t>gradual relational decline in frontline interactions. Transactional service components may remain operationally intact, while discretionary behaviours, personalised engagement and recovery depth deteriorate incrementally. This pattern poses strategic risk for branded properties such as TY Newport Hotel, where competitive positioning depends on consistent relational service delivery.</w:t>
          </w:r>
        </w:p>
        <w:p w14:paraId="63FC6BEA" w14:textId="15E6FB0C" w:rsidR="00170AEE" w:rsidRPr="00170AEE" w:rsidRDefault="00170AEE" w:rsidP="00170AEE">
          <w:pPr>
            <w:spacing w:line="360" w:lineRule="auto"/>
            <w:jc w:val="both"/>
            <w:rPr>
              <w:rFonts w:ascii="Arial" w:hAnsi="Arial" w:cs="Arial"/>
              <w:sz w:val="24"/>
              <w:szCs w:val="24"/>
            </w:rPr>
          </w:pPr>
          <w:r w:rsidRPr="00170AEE">
            <w:rPr>
              <w:rFonts w:ascii="Arial" w:hAnsi="Arial" w:cs="Arial"/>
              <w:sz w:val="24"/>
              <w:szCs w:val="24"/>
            </w:rPr>
            <w:t xml:space="preserve">Organisational responses such as cross-training, scheduling optimisation and high-performance work systems are shown to provide short-term buffering effects but do </w:t>
          </w:r>
          <w:r w:rsidRPr="00170AEE">
            <w:rPr>
              <w:rFonts w:ascii="Arial" w:hAnsi="Arial" w:cs="Arial"/>
              <w:sz w:val="24"/>
              <w:szCs w:val="24"/>
            </w:rPr>
            <w:lastRenderedPageBreak/>
            <w:t>not eliminate underlying structural workforce imbalances. Without addressing staffing adequacy at a strategic level, burnout–turnover cycles may persist, reinforcing labour instability.</w:t>
          </w:r>
        </w:p>
        <w:p w14:paraId="4CD8F4F7" w14:textId="0E843DB6" w:rsidR="00170AEE" w:rsidRPr="00170AEE" w:rsidRDefault="00170AEE" w:rsidP="00170AEE">
          <w:pPr>
            <w:spacing w:line="360" w:lineRule="auto"/>
            <w:jc w:val="both"/>
            <w:rPr>
              <w:rFonts w:ascii="Arial" w:hAnsi="Arial" w:cs="Arial"/>
              <w:sz w:val="24"/>
              <w:szCs w:val="24"/>
            </w:rPr>
          </w:pPr>
          <w:r w:rsidRPr="00170AEE">
            <w:rPr>
              <w:rFonts w:ascii="Arial" w:hAnsi="Arial" w:cs="Arial"/>
              <w:sz w:val="24"/>
              <w:szCs w:val="24"/>
            </w:rPr>
            <w:t>The study concludes that staffing adequacy should be conceptualised as a foundational service resource rather than solely a cost variable. For TY Newport Hotel, recommendations include establishing minimum staffing thresholds aligned with occupancy forecasting, implementing structured workload review mechanisms, strengthening service recovery autonomy and developing long-term workforce sustainability planning.</w:t>
          </w:r>
        </w:p>
        <w:p w14:paraId="2FD778E9" w14:textId="3A3A80AC" w:rsidR="00910077" w:rsidRPr="00170AEE" w:rsidRDefault="00170AEE" w:rsidP="00170AEE">
          <w:pPr>
            <w:spacing w:line="360" w:lineRule="auto"/>
            <w:jc w:val="both"/>
            <w:rPr>
              <w:rFonts w:ascii="Arial" w:hAnsi="Arial" w:cs="Arial"/>
              <w:sz w:val="24"/>
              <w:szCs w:val="24"/>
            </w:rPr>
          </w:pPr>
          <w:r w:rsidRPr="00170AEE">
            <w:rPr>
              <w:rFonts w:ascii="Arial" w:hAnsi="Arial" w:cs="Arial"/>
              <w:sz w:val="24"/>
              <w:szCs w:val="24"/>
            </w:rPr>
            <w:t>Overall, the research advances hospitality scholarship by integrating workforce instability and service quality within a unified analytical framework, reframing staff shortages as a service sustainability risk with strategic implications for hotel operations.</w:t>
          </w:r>
        </w:p>
        <w:p w14:paraId="39F8B36A" w14:textId="77777777" w:rsidR="00910077" w:rsidRDefault="00910077"/>
        <w:p w14:paraId="63DE5606" w14:textId="77777777" w:rsidR="00910077" w:rsidRDefault="00910077"/>
        <w:p w14:paraId="1164A50E" w14:textId="77777777" w:rsidR="00910077" w:rsidRDefault="00910077"/>
        <w:p w14:paraId="1A6D2F68" w14:textId="77777777" w:rsidR="00940B24" w:rsidRDefault="00940B24"/>
        <w:p w14:paraId="1851AB98" w14:textId="77777777" w:rsidR="00940B24" w:rsidRDefault="00940B24"/>
        <w:p w14:paraId="34038DA6" w14:textId="77777777" w:rsidR="00940B24" w:rsidRDefault="00940B24"/>
        <w:p w14:paraId="36071500" w14:textId="77777777" w:rsidR="00940B24" w:rsidRDefault="00940B24"/>
        <w:p w14:paraId="25C876AE" w14:textId="77777777" w:rsidR="00940B24" w:rsidRDefault="00940B24"/>
        <w:p w14:paraId="6F0C6F9F" w14:textId="77777777" w:rsidR="00940B24" w:rsidRDefault="00940B24"/>
        <w:p w14:paraId="1D083596" w14:textId="77777777" w:rsidR="00940B24" w:rsidRDefault="00940B24"/>
        <w:p w14:paraId="166D83EE" w14:textId="77777777" w:rsidR="00940B24" w:rsidRDefault="00940B24"/>
        <w:p w14:paraId="5F1AAC23" w14:textId="77777777" w:rsidR="00940B24" w:rsidRDefault="00940B24"/>
        <w:p w14:paraId="55DADE97" w14:textId="77777777" w:rsidR="00940B24" w:rsidRDefault="00940B24"/>
        <w:p w14:paraId="5CE212F4" w14:textId="77777777" w:rsidR="00940B24" w:rsidRDefault="00940B24"/>
        <w:p w14:paraId="17AC80EC" w14:textId="77777777" w:rsidR="00940B24" w:rsidRDefault="00940B24"/>
        <w:p w14:paraId="1231F190" w14:textId="77777777" w:rsidR="00940B24" w:rsidRDefault="00940B24"/>
        <w:p w14:paraId="00E4C6A7" w14:textId="3F0DD9AD" w:rsidR="0001245D" w:rsidRPr="00742921" w:rsidRDefault="00000000"/>
      </w:sdtContent>
    </w:sdt>
    <w:sdt>
      <w:sdtPr>
        <w:rPr>
          <w:rFonts w:asciiTheme="minorHAnsi" w:eastAsiaTheme="minorHAnsi" w:hAnsiTheme="minorHAnsi" w:cstheme="minorBidi"/>
          <w:color w:val="auto"/>
          <w:kern w:val="2"/>
          <w:sz w:val="22"/>
          <w:szCs w:val="22"/>
          <w:lang w:val="en-GB"/>
          <w14:ligatures w14:val="standardContextual"/>
        </w:rPr>
        <w:id w:val="943959233"/>
        <w:docPartObj>
          <w:docPartGallery w:val="Table of Contents"/>
          <w:docPartUnique/>
        </w:docPartObj>
      </w:sdtPr>
      <w:sdtEndPr>
        <w:rPr>
          <w:b/>
          <w:bCs/>
        </w:rPr>
      </w:sdtEndPr>
      <w:sdtContent>
        <w:p w14:paraId="24B5D275" w14:textId="7B1CD4EF" w:rsidR="00AE75F8" w:rsidRPr="00742921" w:rsidRDefault="00AE75F8">
          <w:pPr>
            <w:pStyle w:val="TOCHeading"/>
            <w:rPr>
              <w:lang w:val="en-GB"/>
            </w:rPr>
          </w:pPr>
          <w:r w:rsidRPr="00742921">
            <w:rPr>
              <w:lang w:val="en-GB"/>
            </w:rPr>
            <w:t>Contents</w:t>
          </w:r>
        </w:p>
        <w:p w14:paraId="22034481" w14:textId="63352D2A" w:rsidR="00682B72" w:rsidRDefault="00AE75F8">
          <w:pPr>
            <w:pStyle w:val="TOC1"/>
            <w:tabs>
              <w:tab w:val="right" w:leader="dot" w:pos="9016"/>
            </w:tabs>
            <w:rPr>
              <w:rFonts w:eastAsiaTheme="minorEastAsia"/>
              <w:noProof/>
              <w:sz w:val="24"/>
              <w:szCs w:val="24"/>
              <w:lang w:eastAsia="en-GB"/>
            </w:rPr>
          </w:pPr>
          <w:r w:rsidRPr="00742921">
            <w:fldChar w:fldCharType="begin"/>
          </w:r>
          <w:r w:rsidRPr="00742921">
            <w:instrText xml:space="preserve"> TOC \o "1-3" \h \z \u </w:instrText>
          </w:r>
          <w:r w:rsidRPr="00742921">
            <w:fldChar w:fldCharType="separate"/>
          </w:r>
          <w:hyperlink w:anchor="_Toc222944977" w:history="1">
            <w:r w:rsidR="00682B72" w:rsidRPr="000F5F46">
              <w:rPr>
                <w:rStyle w:val="Hyperlink"/>
                <w:noProof/>
              </w:rPr>
              <w:t>Chapter 1: Introduction</w:t>
            </w:r>
            <w:r w:rsidR="00682B72">
              <w:rPr>
                <w:noProof/>
                <w:webHidden/>
              </w:rPr>
              <w:tab/>
            </w:r>
            <w:r w:rsidR="00682B72">
              <w:rPr>
                <w:noProof/>
                <w:webHidden/>
              </w:rPr>
              <w:fldChar w:fldCharType="begin"/>
            </w:r>
            <w:r w:rsidR="00682B72">
              <w:rPr>
                <w:noProof/>
                <w:webHidden/>
              </w:rPr>
              <w:instrText xml:space="preserve"> PAGEREF _Toc222944977 \h </w:instrText>
            </w:r>
            <w:r w:rsidR="00682B72">
              <w:rPr>
                <w:noProof/>
                <w:webHidden/>
              </w:rPr>
            </w:r>
            <w:r w:rsidR="00682B72">
              <w:rPr>
                <w:noProof/>
                <w:webHidden/>
              </w:rPr>
              <w:fldChar w:fldCharType="separate"/>
            </w:r>
            <w:r w:rsidR="00682B72">
              <w:rPr>
                <w:noProof/>
                <w:webHidden/>
              </w:rPr>
              <w:t>6</w:t>
            </w:r>
            <w:r w:rsidR="00682B72">
              <w:rPr>
                <w:noProof/>
                <w:webHidden/>
              </w:rPr>
              <w:fldChar w:fldCharType="end"/>
            </w:r>
          </w:hyperlink>
        </w:p>
        <w:p w14:paraId="7267D18A" w14:textId="07955C0B" w:rsidR="00682B72" w:rsidRDefault="00682B72">
          <w:pPr>
            <w:pStyle w:val="TOC2"/>
            <w:tabs>
              <w:tab w:val="left" w:pos="960"/>
              <w:tab w:val="right" w:leader="dot" w:pos="9016"/>
            </w:tabs>
            <w:rPr>
              <w:rFonts w:eastAsiaTheme="minorEastAsia"/>
              <w:noProof/>
              <w:sz w:val="24"/>
              <w:szCs w:val="24"/>
              <w:lang w:eastAsia="en-GB"/>
            </w:rPr>
          </w:pPr>
          <w:hyperlink w:anchor="_Toc222944978" w:history="1">
            <w:r w:rsidRPr="000F5F46">
              <w:rPr>
                <w:rStyle w:val="Hyperlink"/>
                <w:noProof/>
              </w:rPr>
              <w:t>1.1</w:t>
            </w:r>
            <w:r>
              <w:rPr>
                <w:rFonts w:eastAsiaTheme="minorEastAsia"/>
                <w:noProof/>
                <w:sz w:val="24"/>
                <w:szCs w:val="24"/>
                <w:lang w:eastAsia="en-GB"/>
              </w:rPr>
              <w:tab/>
            </w:r>
            <w:r w:rsidRPr="000F5F46">
              <w:rPr>
                <w:rStyle w:val="Hyperlink"/>
                <w:noProof/>
              </w:rPr>
              <w:t>Background and Context</w:t>
            </w:r>
            <w:r>
              <w:rPr>
                <w:noProof/>
                <w:webHidden/>
              </w:rPr>
              <w:tab/>
            </w:r>
            <w:r>
              <w:rPr>
                <w:noProof/>
                <w:webHidden/>
              </w:rPr>
              <w:fldChar w:fldCharType="begin"/>
            </w:r>
            <w:r>
              <w:rPr>
                <w:noProof/>
                <w:webHidden/>
              </w:rPr>
              <w:instrText xml:space="preserve"> PAGEREF _Toc222944978 \h </w:instrText>
            </w:r>
            <w:r>
              <w:rPr>
                <w:noProof/>
                <w:webHidden/>
              </w:rPr>
            </w:r>
            <w:r>
              <w:rPr>
                <w:noProof/>
                <w:webHidden/>
              </w:rPr>
              <w:fldChar w:fldCharType="separate"/>
            </w:r>
            <w:r>
              <w:rPr>
                <w:noProof/>
                <w:webHidden/>
              </w:rPr>
              <w:t>6</w:t>
            </w:r>
            <w:r>
              <w:rPr>
                <w:noProof/>
                <w:webHidden/>
              </w:rPr>
              <w:fldChar w:fldCharType="end"/>
            </w:r>
          </w:hyperlink>
        </w:p>
        <w:p w14:paraId="13DEA2AE" w14:textId="6EFE7624" w:rsidR="00682B72" w:rsidRDefault="00682B72">
          <w:pPr>
            <w:pStyle w:val="TOC2"/>
            <w:tabs>
              <w:tab w:val="right" w:leader="dot" w:pos="9016"/>
            </w:tabs>
            <w:rPr>
              <w:rFonts w:eastAsiaTheme="minorEastAsia"/>
              <w:noProof/>
              <w:sz w:val="24"/>
              <w:szCs w:val="24"/>
              <w:lang w:eastAsia="en-GB"/>
            </w:rPr>
          </w:pPr>
          <w:hyperlink w:anchor="_Toc222944979" w:history="1">
            <w:r w:rsidRPr="000F5F46">
              <w:rPr>
                <w:rStyle w:val="Hyperlink"/>
                <w:noProof/>
              </w:rPr>
              <w:t>1.2 Rationale</w:t>
            </w:r>
            <w:r>
              <w:rPr>
                <w:noProof/>
                <w:webHidden/>
              </w:rPr>
              <w:tab/>
            </w:r>
            <w:r>
              <w:rPr>
                <w:noProof/>
                <w:webHidden/>
              </w:rPr>
              <w:fldChar w:fldCharType="begin"/>
            </w:r>
            <w:r>
              <w:rPr>
                <w:noProof/>
                <w:webHidden/>
              </w:rPr>
              <w:instrText xml:space="preserve"> PAGEREF _Toc222944979 \h </w:instrText>
            </w:r>
            <w:r>
              <w:rPr>
                <w:noProof/>
                <w:webHidden/>
              </w:rPr>
            </w:r>
            <w:r>
              <w:rPr>
                <w:noProof/>
                <w:webHidden/>
              </w:rPr>
              <w:fldChar w:fldCharType="separate"/>
            </w:r>
            <w:r>
              <w:rPr>
                <w:noProof/>
                <w:webHidden/>
              </w:rPr>
              <w:t>7</w:t>
            </w:r>
            <w:r>
              <w:rPr>
                <w:noProof/>
                <w:webHidden/>
              </w:rPr>
              <w:fldChar w:fldCharType="end"/>
            </w:r>
          </w:hyperlink>
        </w:p>
        <w:p w14:paraId="5F13B750" w14:textId="386DB5C0" w:rsidR="00682B72" w:rsidRDefault="00682B72">
          <w:pPr>
            <w:pStyle w:val="TOC2"/>
            <w:tabs>
              <w:tab w:val="right" w:leader="dot" w:pos="9016"/>
            </w:tabs>
            <w:rPr>
              <w:rFonts w:eastAsiaTheme="minorEastAsia"/>
              <w:noProof/>
              <w:sz w:val="24"/>
              <w:szCs w:val="24"/>
              <w:lang w:eastAsia="en-GB"/>
            </w:rPr>
          </w:pPr>
          <w:hyperlink w:anchor="_Toc222944980" w:history="1">
            <w:r w:rsidRPr="000F5F46">
              <w:rPr>
                <w:rStyle w:val="Hyperlink"/>
                <w:noProof/>
              </w:rPr>
              <w:t>1.3 Aim</w:t>
            </w:r>
            <w:r>
              <w:rPr>
                <w:noProof/>
                <w:webHidden/>
              </w:rPr>
              <w:tab/>
            </w:r>
            <w:r>
              <w:rPr>
                <w:noProof/>
                <w:webHidden/>
              </w:rPr>
              <w:fldChar w:fldCharType="begin"/>
            </w:r>
            <w:r>
              <w:rPr>
                <w:noProof/>
                <w:webHidden/>
              </w:rPr>
              <w:instrText xml:space="preserve"> PAGEREF _Toc222944980 \h </w:instrText>
            </w:r>
            <w:r>
              <w:rPr>
                <w:noProof/>
                <w:webHidden/>
              </w:rPr>
            </w:r>
            <w:r>
              <w:rPr>
                <w:noProof/>
                <w:webHidden/>
              </w:rPr>
              <w:fldChar w:fldCharType="separate"/>
            </w:r>
            <w:r>
              <w:rPr>
                <w:noProof/>
                <w:webHidden/>
              </w:rPr>
              <w:t>7</w:t>
            </w:r>
            <w:r>
              <w:rPr>
                <w:noProof/>
                <w:webHidden/>
              </w:rPr>
              <w:fldChar w:fldCharType="end"/>
            </w:r>
          </w:hyperlink>
        </w:p>
        <w:p w14:paraId="126C6A8E" w14:textId="7BF1516F" w:rsidR="00682B72" w:rsidRDefault="00682B72">
          <w:pPr>
            <w:pStyle w:val="TOC2"/>
            <w:tabs>
              <w:tab w:val="right" w:leader="dot" w:pos="9016"/>
            </w:tabs>
            <w:rPr>
              <w:rFonts w:eastAsiaTheme="minorEastAsia"/>
              <w:noProof/>
              <w:sz w:val="24"/>
              <w:szCs w:val="24"/>
              <w:lang w:eastAsia="en-GB"/>
            </w:rPr>
          </w:pPr>
          <w:hyperlink w:anchor="_Toc222944981" w:history="1">
            <w:r w:rsidRPr="000F5F46">
              <w:rPr>
                <w:rStyle w:val="Hyperlink"/>
                <w:noProof/>
              </w:rPr>
              <w:t>1.4 Objectives</w:t>
            </w:r>
            <w:r>
              <w:rPr>
                <w:noProof/>
                <w:webHidden/>
              </w:rPr>
              <w:tab/>
            </w:r>
            <w:r>
              <w:rPr>
                <w:noProof/>
                <w:webHidden/>
              </w:rPr>
              <w:fldChar w:fldCharType="begin"/>
            </w:r>
            <w:r>
              <w:rPr>
                <w:noProof/>
                <w:webHidden/>
              </w:rPr>
              <w:instrText xml:space="preserve"> PAGEREF _Toc222944981 \h </w:instrText>
            </w:r>
            <w:r>
              <w:rPr>
                <w:noProof/>
                <w:webHidden/>
              </w:rPr>
            </w:r>
            <w:r>
              <w:rPr>
                <w:noProof/>
                <w:webHidden/>
              </w:rPr>
              <w:fldChar w:fldCharType="separate"/>
            </w:r>
            <w:r>
              <w:rPr>
                <w:noProof/>
                <w:webHidden/>
              </w:rPr>
              <w:t>7</w:t>
            </w:r>
            <w:r>
              <w:rPr>
                <w:noProof/>
                <w:webHidden/>
              </w:rPr>
              <w:fldChar w:fldCharType="end"/>
            </w:r>
          </w:hyperlink>
        </w:p>
        <w:p w14:paraId="6440920A" w14:textId="4145363D" w:rsidR="00682B72" w:rsidRDefault="00682B72">
          <w:pPr>
            <w:pStyle w:val="TOC2"/>
            <w:tabs>
              <w:tab w:val="right" w:leader="dot" w:pos="9016"/>
            </w:tabs>
            <w:rPr>
              <w:rFonts w:eastAsiaTheme="minorEastAsia"/>
              <w:noProof/>
              <w:sz w:val="24"/>
              <w:szCs w:val="24"/>
              <w:lang w:eastAsia="en-GB"/>
            </w:rPr>
          </w:pPr>
          <w:hyperlink w:anchor="_Toc222944982" w:history="1">
            <w:r w:rsidRPr="000F5F46">
              <w:rPr>
                <w:rStyle w:val="Hyperlink"/>
                <w:noProof/>
              </w:rPr>
              <w:t>1.5 Structure of the Study</w:t>
            </w:r>
            <w:r>
              <w:rPr>
                <w:noProof/>
                <w:webHidden/>
              </w:rPr>
              <w:tab/>
            </w:r>
            <w:r>
              <w:rPr>
                <w:noProof/>
                <w:webHidden/>
              </w:rPr>
              <w:fldChar w:fldCharType="begin"/>
            </w:r>
            <w:r>
              <w:rPr>
                <w:noProof/>
                <w:webHidden/>
              </w:rPr>
              <w:instrText xml:space="preserve"> PAGEREF _Toc222944982 \h </w:instrText>
            </w:r>
            <w:r>
              <w:rPr>
                <w:noProof/>
                <w:webHidden/>
              </w:rPr>
            </w:r>
            <w:r>
              <w:rPr>
                <w:noProof/>
                <w:webHidden/>
              </w:rPr>
              <w:fldChar w:fldCharType="separate"/>
            </w:r>
            <w:r>
              <w:rPr>
                <w:noProof/>
                <w:webHidden/>
              </w:rPr>
              <w:t>8</w:t>
            </w:r>
            <w:r>
              <w:rPr>
                <w:noProof/>
                <w:webHidden/>
              </w:rPr>
              <w:fldChar w:fldCharType="end"/>
            </w:r>
          </w:hyperlink>
        </w:p>
        <w:p w14:paraId="1C2F7C47" w14:textId="579781CF" w:rsidR="00682B72" w:rsidRDefault="00682B72">
          <w:pPr>
            <w:pStyle w:val="TOC1"/>
            <w:tabs>
              <w:tab w:val="right" w:leader="dot" w:pos="9016"/>
            </w:tabs>
            <w:rPr>
              <w:rFonts w:eastAsiaTheme="minorEastAsia"/>
              <w:noProof/>
              <w:sz w:val="24"/>
              <w:szCs w:val="24"/>
              <w:lang w:eastAsia="en-GB"/>
            </w:rPr>
          </w:pPr>
          <w:hyperlink w:anchor="_Toc222944983" w:history="1">
            <w:r w:rsidRPr="000F5F46">
              <w:rPr>
                <w:rStyle w:val="Hyperlink"/>
                <w:noProof/>
              </w:rPr>
              <w:t>Chapter 2: Literature Review</w:t>
            </w:r>
            <w:r>
              <w:rPr>
                <w:noProof/>
                <w:webHidden/>
              </w:rPr>
              <w:tab/>
            </w:r>
            <w:r>
              <w:rPr>
                <w:noProof/>
                <w:webHidden/>
              </w:rPr>
              <w:fldChar w:fldCharType="begin"/>
            </w:r>
            <w:r>
              <w:rPr>
                <w:noProof/>
                <w:webHidden/>
              </w:rPr>
              <w:instrText xml:space="preserve"> PAGEREF _Toc222944983 \h </w:instrText>
            </w:r>
            <w:r>
              <w:rPr>
                <w:noProof/>
                <w:webHidden/>
              </w:rPr>
            </w:r>
            <w:r>
              <w:rPr>
                <w:noProof/>
                <w:webHidden/>
              </w:rPr>
              <w:fldChar w:fldCharType="separate"/>
            </w:r>
            <w:r>
              <w:rPr>
                <w:noProof/>
                <w:webHidden/>
              </w:rPr>
              <w:t>8</w:t>
            </w:r>
            <w:r>
              <w:rPr>
                <w:noProof/>
                <w:webHidden/>
              </w:rPr>
              <w:fldChar w:fldCharType="end"/>
            </w:r>
          </w:hyperlink>
        </w:p>
        <w:p w14:paraId="64BF5FD2" w14:textId="5EBC411C" w:rsidR="00682B72" w:rsidRDefault="00682B72">
          <w:pPr>
            <w:pStyle w:val="TOC2"/>
            <w:tabs>
              <w:tab w:val="right" w:leader="dot" w:pos="9016"/>
            </w:tabs>
            <w:rPr>
              <w:rFonts w:eastAsiaTheme="minorEastAsia"/>
              <w:noProof/>
              <w:sz w:val="24"/>
              <w:szCs w:val="24"/>
              <w:lang w:eastAsia="en-GB"/>
            </w:rPr>
          </w:pPr>
          <w:hyperlink w:anchor="_Toc222944984" w:history="1">
            <w:r w:rsidRPr="000F5F46">
              <w:rPr>
                <w:rStyle w:val="Hyperlink"/>
                <w:noProof/>
              </w:rPr>
              <w:t>2.1 Introduction</w:t>
            </w:r>
            <w:r>
              <w:rPr>
                <w:noProof/>
                <w:webHidden/>
              </w:rPr>
              <w:tab/>
            </w:r>
            <w:r>
              <w:rPr>
                <w:noProof/>
                <w:webHidden/>
              </w:rPr>
              <w:fldChar w:fldCharType="begin"/>
            </w:r>
            <w:r>
              <w:rPr>
                <w:noProof/>
                <w:webHidden/>
              </w:rPr>
              <w:instrText xml:space="preserve"> PAGEREF _Toc222944984 \h </w:instrText>
            </w:r>
            <w:r>
              <w:rPr>
                <w:noProof/>
                <w:webHidden/>
              </w:rPr>
            </w:r>
            <w:r>
              <w:rPr>
                <w:noProof/>
                <w:webHidden/>
              </w:rPr>
              <w:fldChar w:fldCharType="separate"/>
            </w:r>
            <w:r>
              <w:rPr>
                <w:noProof/>
                <w:webHidden/>
              </w:rPr>
              <w:t>8</w:t>
            </w:r>
            <w:r>
              <w:rPr>
                <w:noProof/>
                <w:webHidden/>
              </w:rPr>
              <w:fldChar w:fldCharType="end"/>
            </w:r>
          </w:hyperlink>
        </w:p>
        <w:p w14:paraId="1CCBE5B1" w14:textId="581A03FF" w:rsidR="00682B72" w:rsidRDefault="00682B72">
          <w:pPr>
            <w:pStyle w:val="TOC2"/>
            <w:tabs>
              <w:tab w:val="right" w:leader="dot" w:pos="9016"/>
            </w:tabs>
            <w:rPr>
              <w:rFonts w:eastAsiaTheme="minorEastAsia"/>
              <w:noProof/>
              <w:sz w:val="24"/>
              <w:szCs w:val="24"/>
              <w:lang w:eastAsia="en-GB"/>
            </w:rPr>
          </w:pPr>
          <w:hyperlink w:anchor="_Toc222944985" w:history="1">
            <w:r w:rsidRPr="000F5F46">
              <w:rPr>
                <w:rStyle w:val="Hyperlink"/>
                <w:noProof/>
              </w:rPr>
              <w:t>2.2 Structural Drivers of Staff Shortages in Hospitality</w:t>
            </w:r>
            <w:r>
              <w:rPr>
                <w:noProof/>
                <w:webHidden/>
              </w:rPr>
              <w:tab/>
            </w:r>
            <w:r>
              <w:rPr>
                <w:noProof/>
                <w:webHidden/>
              </w:rPr>
              <w:fldChar w:fldCharType="begin"/>
            </w:r>
            <w:r>
              <w:rPr>
                <w:noProof/>
                <w:webHidden/>
              </w:rPr>
              <w:instrText xml:space="preserve"> PAGEREF _Toc222944985 \h </w:instrText>
            </w:r>
            <w:r>
              <w:rPr>
                <w:noProof/>
                <w:webHidden/>
              </w:rPr>
            </w:r>
            <w:r>
              <w:rPr>
                <w:noProof/>
                <w:webHidden/>
              </w:rPr>
              <w:fldChar w:fldCharType="separate"/>
            </w:r>
            <w:r>
              <w:rPr>
                <w:noProof/>
                <w:webHidden/>
              </w:rPr>
              <w:t>9</w:t>
            </w:r>
            <w:r>
              <w:rPr>
                <w:noProof/>
                <w:webHidden/>
              </w:rPr>
              <w:fldChar w:fldCharType="end"/>
            </w:r>
          </w:hyperlink>
        </w:p>
        <w:p w14:paraId="55376814" w14:textId="32471B9C" w:rsidR="00682B72" w:rsidRDefault="00682B72">
          <w:pPr>
            <w:pStyle w:val="TOC3"/>
            <w:tabs>
              <w:tab w:val="right" w:leader="dot" w:pos="9016"/>
            </w:tabs>
            <w:rPr>
              <w:rFonts w:eastAsiaTheme="minorEastAsia"/>
              <w:noProof/>
              <w:sz w:val="24"/>
              <w:szCs w:val="24"/>
              <w:lang w:eastAsia="en-GB"/>
            </w:rPr>
          </w:pPr>
          <w:hyperlink w:anchor="_Toc222944986" w:history="1">
            <w:r w:rsidRPr="000F5F46">
              <w:rPr>
                <w:rStyle w:val="Hyperlink"/>
                <w:noProof/>
              </w:rPr>
              <w:t>2.2.1 Job Demands–Resources Perspective</w:t>
            </w:r>
            <w:r>
              <w:rPr>
                <w:noProof/>
                <w:webHidden/>
              </w:rPr>
              <w:tab/>
            </w:r>
            <w:r>
              <w:rPr>
                <w:noProof/>
                <w:webHidden/>
              </w:rPr>
              <w:fldChar w:fldCharType="begin"/>
            </w:r>
            <w:r>
              <w:rPr>
                <w:noProof/>
                <w:webHidden/>
              </w:rPr>
              <w:instrText xml:space="preserve"> PAGEREF _Toc222944986 \h </w:instrText>
            </w:r>
            <w:r>
              <w:rPr>
                <w:noProof/>
                <w:webHidden/>
              </w:rPr>
            </w:r>
            <w:r>
              <w:rPr>
                <w:noProof/>
                <w:webHidden/>
              </w:rPr>
              <w:fldChar w:fldCharType="separate"/>
            </w:r>
            <w:r>
              <w:rPr>
                <w:noProof/>
                <w:webHidden/>
              </w:rPr>
              <w:t>10</w:t>
            </w:r>
            <w:r>
              <w:rPr>
                <w:noProof/>
                <w:webHidden/>
              </w:rPr>
              <w:fldChar w:fldCharType="end"/>
            </w:r>
          </w:hyperlink>
        </w:p>
        <w:p w14:paraId="49A0AA9F" w14:textId="7375519B" w:rsidR="00682B72" w:rsidRDefault="00682B72">
          <w:pPr>
            <w:pStyle w:val="TOC3"/>
            <w:tabs>
              <w:tab w:val="right" w:leader="dot" w:pos="9016"/>
            </w:tabs>
            <w:rPr>
              <w:rFonts w:eastAsiaTheme="minorEastAsia"/>
              <w:noProof/>
              <w:sz w:val="24"/>
              <w:szCs w:val="24"/>
              <w:lang w:eastAsia="en-GB"/>
            </w:rPr>
          </w:pPr>
          <w:hyperlink w:anchor="_Toc222944987" w:history="1">
            <w:r w:rsidRPr="000F5F46">
              <w:rPr>
                <w:rStyle w:val="Hyperlink"/>
                <w:noProof/>
              </w:rPr>
              <w:t>2.2.2 Structural Labour Market Context in the UK Hospitality Sector</w:t>
            </w:r>
            <w:r>
              <w:rPr>
                <w:noProof/>
                <w:webHidden/>
              </w:rPr>
              <w:tab/>
            </w:r>
            <w:r>
              <w:rPr>
                <w:noProof/>
                <w:webHidden/>
              </w:rPr>
              <w:fldChar w:fldCharType="begin"/>
            </w:r>
            <w:r>
              <w:rPr>
                <w:noProof/>
                <w:webHidden/>
              </w:rPr>
              <w:instrText xml:space="preserve"> PAGEREF _Toc222944987 \h </w:instrText>
            </w:r>
            <w:r>
              <w:rPr>
                <w:noProof/>
                <w:webHidden/>
              </w:rPr>
            </w:r>
            <w:r>
              <w:rPr>
                <w:noProof/>
                <w:webHidden/>
              </w:rPr>
              <w:fldChar w:fldCharType="separate"/>
            </w:r>
            <w:r>
              <w:rPr>
                <w:noProof/>
                <w:webHidden/>
              </w:rPr>
              <w:t>10</w:t>
            </w:r>
            <w:r>
              <w:rPr>
                <w:noProof/>
                <w:webHidden/>
              </w:rPr>
              <w:fldChar w:fldCharType="end"/>
            </w:r>
          </w:hyperlink>
        </w:p>
        <w:p w14:paraId="33BE6A0F" w14:textId="0B141B3D" w:rsidR="00682B72" w:rsidRDefault="00682B72">
          <w:pPr>
            <w:pStyle w:val="TOC2"/>
            <w:tabs>
              <w:tab w:val="right" w:leader="dot" w:pos="9016"/>
            </w:tabs>
            <w:rPr>
              <w:rFonts w:eastAsiaTheme="minorEastAsia"/>
              <w:noProof/>
              <w:sz w:val="24"/>
              <w:szCs w:val="24"/>
              <w:lang w:eastAsia="en-GB"/>
            </w:rPr>
          </w:pPr>
          <w:hyperlink w:anchor="_Toc222944988" w:history="1">
            <w:r w:rsidRPr="000F5F46">
              <w:rPr>
                <w:rStyle w:val="Hyperlink"/>
                <w:noProof/>
              </w:rPr>
              <w:t>2.3 Conceptualising Service Quality in Hotels</w:t>
            </w:r>
            <w:r>
              <w:rPr>
                <w:noProof/>
                <w:webHidden/>
              </w:rPr>
              <w:tab/>
            </w:r>
            <w:r>
              <w:rPr>
                <w:noProof/>
                <w:webHidden/>
              </w:rPr>
              <w:fldChar w:fldCharType="begin"/>
            </w:r>
            <w:r>
              <w:rPr>
                <w:noProof/>
                <w:webHidden/>
              </w:rPr>
              <w:instrText xml:space="preserve"> PAGEREF _Toc222944988 \h </w:instrText>
            </w:r>
            <w:r>
              <w:rPr>
                <w:noProof/>
                <w:webHidden/>
              </w:rPr>
            </w:r>
            <w:r>
              <w:rPr>
                <w:noProof/>
                <w:webHidden/>
              </w:rPr>
              <w:fldChar w:fldCharType="separate"/>
            </w:r>
            <w:r>
              <w:rPr>
                <w:noProof/>
                <w:webHidden/>
              </w:rPr>
              <w:t>11</w:t>
            </w:r>
            <w:r>
              <w:rPr>
                <w:noProof/>
                <w:webHidden/>
              </w:rPr>
              <w:fldChar w:fldCharType="end"/>
            </w:r>
          </w:hyperlink>
        </w:p>
        <w:p w14:paraId="2AF78230" w14:textId="5D60A7C9" w:rsidR="00682B72" w:rsidRDefault="00682B72">
          <w:pPr>
            <w:pStyle w:val="TOC3"/>
            <w:tabs>
              <w:tab w:val="right" w:leader="dot" w:pos="9016"/>
            </w:tabs>
            <w:rPr>
              <w:rFonts w:eastAsiaTheme="minorEastAsia"/>
              <w:noProof/>
              <w:sz w:val="24"/>
              <w:szCs w:val="24"/>
              <w:lang w:eastAsia="en-GB"/>
            </w:rPr>
          </w:pPr>
          <w:hyperlink w:anchor="_Toc222944989" w:history="1">
            <w:r w:rsidRPr="000F5F46">
              <w:rPr>
                <w:rStyle w:val="Hyperlink"/>
                <w:noProof/>
              </w:rPr>
              <w:t>2.3.1 Service Recovery and Frontline Discretion</w:t>
            </w:r>
            <w:r>
              <w:rPr>
                <w:noProof/>
                <w:webHidden/>
              </w:rPr>
              <w:tab/>
            </w:r>
            <w:r>
              <w:rPr>
                <w:noProof/>
                <w:webHidden/>
              </w:rPr>
              <w:fldChar w:fldCharType="begin"/>
            </w:r>
            <w:r>
              <w:rPr>
                <w:noProof/>
                <w:webHidden/>
              </w:rPr>
              <w:instrText xml:space="preserve"> PAGEREF _Toc222944989 \h </w:instrText>
            </w:r>
            <w:r>
              <w:rPr>
                <w:noProof/>
                <w:webHidden/>
              </w:rPr>
            </w:r>
            <w:r>
              <w:rPr>
                <w:noProof/>
                <w:webHidden/>
              </w:rPr>
              <w:fldChar w:fldCharType="separate"/>
            </w:r>
            <w:r>
              <w:rPr>
                <w:noProof/>
                <w:webHidden/>
              </w:rPr>
              <w:t>12</w:t>
            </w:r>
            <w:r>
              <w:rPr>
                <w:noProof/>
                <w:webHidden/>
              </w:rPr>
              <w:fldChar w:fldCharType="end"/>
            </w:r>
          </w:hyperlink>
        </w:p>
        <w:p w14:paraId="744A42E0" w14:textId="21B0AA9C" w:rsidR="00682B72" w:rsidRDefault="00682B72">
          <w:pPr>
            <w:pStyle w:val="TOC3"/>
            <w:tabs>
              <w:tab w:val="right" w:leader="dot" w:pos="9016"/>
            </w:tabs>
            <w:rPr>
              <w:rFonts w:eastAsiaTheme="minorEastAsia"/>
              <w:noProof/>
              <w:sz w:val="24"/>
              <w:szCs w:val="24"/>
              <w:lang w:eastAsia="en-GB"/>
            </w:rPr>
          </w:pPr>
          <w:hyperlink w:anchor="_Toc222944990" w:history="1">
            <w:r w:rsidRPr="000F5F46">
              <w:rPr>
                <w:rStyle w:val="Hyperlink"/>
                <w:noProof/>
              </w:rPr>
              <w:t>2.3.2 Service-Dominant Logic and Value Co-Creation</w:t>
            </w:r>
            <w:r>
              <w:rPr>
                <w:noProof/>
                <w:webHidden/>
              </w:rPr>
              <w:tab/>
            </w:r>
            <w:r>
              <w:rPr>
                <w:noProof/>
                <w:webHidden/>
              </w:rPr>
              <w:fldChar w:fldCharType="begin"/>
            </w:r>
            <w:r>
              <w:rPr>
                <w:noProof/>
                <w:webHidden/>
              </w:rPr>
              <w:instrText xml:space="preserve"> PAGEREF _Toc222944990 \h </w:instrText>
            </w:r>
            <w:r>
              <w:rPr>
                <w:noProof/>
                <w:webHidden/>
              </w:rPr>
            </w:r>
            <w:r>
              <w:rPr>
                <w:noProof/>
                <w:webHidden/>
              </w:rPr>
              <w:fldChar w:fldCharType="separate"/>
            </w:r>
            <w:r>
              <w:rPr>
                <w:noProof/>
                <w:webHidden/>
              </w:rPr>
              <w:t>13</w:t>
            </w:r>
            <w:r>
              <w:rPr>
                <w:noProof/>
                <w:webHidden/>
              </w:rPr>
              <w:fldChar w:fldCharType="end"/>
            </w:r>
          </w:hyperlink>
        </w:p>
        <w:p w14:paraId="5FF48A9A" w14:textId="0D8A915F" w:rsidR="00682B72" w:rsidRDefault="00682B72">
          <w:pPr>
            <w:pStyle w:val="TOC3"/>
            <w:tabs>
              <w:tab w:val="right" w:leader="dot" w:pos="9016"/>
            </w:tabs>
            <w:rPr>
              <w:rFonts w:eastAsiaTheme="minorEastAsia"/>
              <w:noProof/>
              <w:sz w:val="24"/>
              <w:szCs w:val="24"/>
              <w:lang w:eastAsia="en-GB"/>
            </w:rPr>
          </w:pPr>
          <w:hyperlink w:anchor="_Toc222944991" w:history="1">
            <w:r w:rsidRPr="000F5F46">
              <w:rPr>
                <w:rStyle w:val="Hyperlink"/>
                <w:noProof/>
              </w:rPr>
              <w:t>2.3.3 Psychological Safety and Service Climate</w:t>
            </w:r>
            <w:r>
              <w:rPr>
                <w:noProof/>
                <w:webHidden/>
              </w:rPr>
              <w:tab/>
            </w:r>
            <w:r>
              <w:rPr>
                <w:noProof/>
                <w:webHidden/>
              </w:rPr>
              <w:fldChar w:fldCharType="begin"/>
            </w:r>
            <w:r>
              <w:rPr>
                <w:noProof/>
                <w:webHidden/>
              </w:rPr>
              <w:instrText xml:space="preserve"> PAGEREF _Toc222944991 \h </w:instrText>
            </w:r>
            <w:r>
              <w:rPr>
                <w:noProof/>
                <w:webHidden/>
              </w:rPr>
            </w:r>
            <w:r>
              <w:rPr>
                <w:noProof/>
                <w:webHidden/>
              </w:rPr>
              <w:fldChar w:fldCharType="separate"/>
            </w:r>
            <w:r>
              <w:rPr>
                <w:noProof/>
                <w:webHidden/>
              </w:rPr>
              <w:t>13</w:t>
            </w:r>
            <w:r>
              <w:rPr>
                <w:noProof/>
                <w:webHidden/>
              </w:rPr>
              <w:fldChar w:fldCharType="end"/>
            </w:r>
          </w:hyperlink>
        </w:p>
        <w:p w14:paraId="43762045" w14:textId="1176A5C6" w:rsidR="00682B72" w:rsidRDefault="00682B72">
          <w:pPr>
            <w:pStyle w:val="TOC2"/>
            <w:tabs>
              <w:tab w:val="right" w:leader="dot" w:pos="9016"/>
            </w:tabs>
            <w:rPr>
              <w:rFonts w:eastAsiaTheme="minorEastAsia"/>
              <w:noProof/>
              <w:sz w:val="24"/>
              <w:szCs w:val="24"/>
              <w:lang w:eastAsia="en-GB"/>
            </w:rPr>
          </w:pPr>
          <w:hyperlink w:anchor="_Toc222944992" w:history="1">
            <w:r w:rsidRPr="000F5F46">
              <w:rPr>
                <w:rStyle w:val="Hyperlink"/>
                <w:noProof/>
              </w:rPr>
              <w:t>2.4 Workload, Understaffing and Service Performance</w:t>
            </w:r>
            <w:r>
              <w:rPr>
                <w:noProof/>
                <w:webHidden/>
              </w:rPr>
              <w:tab/>
            </w:r>
            <w:r>
              <w:rPr>
                <w:noProof/>
                <w:webHidden/>
              </w:rPr>
              <w:fldChar w:fldCharType="begin"/>
            </w:r>
            <w:r>
              <w:rPr>
                <w:noProof/>
                <w:webHidden/>
              </w:rPr>
              <w:instrText xml:space="preserve"> PAGEREF _Toc222944992 \h </w:instrText>
            </w:r>
            <w:r>
              <w:rPr>
                <w:noProof/>
                <w:webHidden/>
              </w:rPr>
            </w:r>
            <w:r>
              <w:rPr>
                <w:noProof/>
                <w:webHidden/>
              </w:rPr>
              <w:fldChar w:fldCharType="separate"/>
            </w:r>
            <w:r>
              <w:rPr>
                <w:noProof/>
                <w:webHidden/>
              </w:rPr>
              <w:t>14</w:t>
            </w:r>
            <w:r>
              <w:rPr>
                <w:noProof/>
                <w:webHidden/>
              </w:rPr>
              <w:fldChar w:fldCharType="end"/>
            </w:r>
          </w:hyperlink>
        </w:p>
        <w:p w14:paraId="25C0C73E" w14:textId="2F5C5762" w:rsidR="00682B72" w:rsidRDefault="00682B72">
          <w:pPr>
            <w:pStyle w:val="TOC2"/>
            <w:tabs>
              <w:tab w:val="right" w:leader="dot" w:pos="9016"/>
            </w:tabs>
            <w:rPr>
              <w:rFonts w:eastAsiaTheme="minorEastAsia"/>
              <w:noProof/>
              <w:sz w:val="24"/>
              <w:szCs w:val="24"/>
              <w:lang w:eastAsia="en-GB"/>
            </w:rPr>
          </w:pPr>
          <w:hyperlink w:anchor="_Toc222944993" w:history="1">
            <w:r w:rsidRPr="000F5F46">
              <w:rPr>
                <w:rStyle w:val="Hyperlink"/>
                <w:noProof/>
              </w:rPr>
              <w:t>2.5 Organisational Responses to Staffing Constraints</w:t>
            </w:r>
            <w:r>
              <w:rPr>
                <w:noProof/>
                <w:webHidden/>
              </w:rPr>
              <w:tab/>
            </w:r>
            <w:r>
              <w:rPr>
                <w:noProof/>
                <w:webHidden/>
              </w:rPr>
              <w:fldChar w:fldCharType="begin"/>
            </w:r>
            <w:r>
              <w:rPr>
                <w:noProof/>
                <w:webHidden/>
              </w:rPr>
              <w:instrText xml:space="preserve"> PAGEREF _Toc222944993 \h </w:instrText>
            </w:r>
            <w:r>
              <w:rPr>
                <w:noProof/>
                <w:webHidden/>
              </w:rPr>
            </w:r>
            <w:r>
              <w:rPr>
                <w:noProof/>
                <w:webHidden/>
              </w:rPr>
              <w:fldChar w:fldCharType="separate"/>
            </w:r>
            <w:r>
              <w:rPr>
                <w:noProof/>
                <w:webHidden/>
              </w:rPr>
              <w:t>15</w:t>
            </w:r>
            <w:r>
              <w:rPr>
                <w:noProof/>
                <w:webHidden/>
              </w:rPr>
              <w:fldChar w:fldCharType="end"/>
            </w:r>
          </w:hyperlink>
        </w:p>
        <w:p w14:paraId="6FA856A2" w14:textId="4B6FBFEB" w:rsidR="00682B72" w:rsidRDefault="00682B72">
          <w:pPr>
            <w:pStyle w:val="TOC2"/>
            <w:tabs>
              <w:tab w:val="right" w:leader="dot" w:pos="9016"/>
            </w:tabs>
            <w:rPr>
              <w:rFonts w:eastAsiaTheme="minorEastAsia"/>
              <w:noProof/>
              <w:sz w:val="24"/>
              <w:szCs w:val="24"/>
              <w:lang w:eastAsia="en-GB"/>
            </w:rPr>
          </w:pPr>
          <w:hyperlink w:anchor="_Toc222944994" w:history="1">
            <w:r w:rsidRPr="000F5F46">
              <w:rPr>
                <w:rStyle w:val="Hyperlink"/>
                <w:noProof/>
              </w:rPr>
              <w:t>2.6 Research Gap</w:t>
            </w:r>
            <w:r>
              <w:rPr>
                <w:noProof/>
                <w:webHidden/>
              </w:rPr>
              <w:tab/>
            </w:r>
            <w:r>
              <w:rPr>
                <w:noProof/>
                <w:webHidden/>
              </w:rPr>
              <w:fldChar w:fldCharType="begin"/>
            </w:r>
            <w:r>
              <w:rPr>
                <w:noProof/>
                <w:webHidden/>
              </w:rPr>
              <w:instrText xml:space="preserve"> PAGEREF _Toc222944994 \h </w:instrText>
            </w:r>
            <w:r>
              <w:rPr>
                <w:noProof/>
                <w:webHidden/>
              </w:rPr>
            </w:r>
            <w:r>
              <w:rPr>
                <w:noProof/>
                <w:webHidden/>
              </w:rPr>
              <w:fldChar w:fldCharType="separate"/>
            </w:r>
            <w:r>
              <w:rPr>
                <w:noProof/>
                <w:webHidden/>
              </w:rPr>
              <w:t>16</w:t>
            </w:r>
            <w:r>
              <w:rPr>
                <w:noProof/>
                <w:webHidden/>
              </w:rPr>
              <w:fldChar w:fldCharType="end"/>
            </w:r>
          </w:hyperlink>
        </w:p>
        <w:p w14:paraId="28107F23" w14:textId="590D9615" w:rsidR="00682B72" w:rsidRDefault="00682B72">
          <w:pPr>
            <w:pStyle w:val="TOC1"/>
            <w:tabs>
              <w:tab w:val="right" w:leader="dot" w:pos="9016"/>
            </w:tabs>
            <w:rPr>
              <w:rFonts w:eastAsiaTheme="minorEastAsia"/>
              <w:noProof/>
              <w:sz w:val="24"/>
              <w:szCs w:val="24"/>
              <w:lang w:eastAsia="en-GB"/>
            </w:rPr>
          </w:pPr>
          <w:hyperlink w:anchor="_Toc222944995" w:history="1">
            <w:r w:rsidRPr="000F5F46">
              <w:rPr>
                <w:rStyle w:val="Hyperlink"/>
                <w:noProof/>
              </w:rPr>
              <w:t>Chapter 3: Methodology</w:t>
            </w:r>
            <w:r>
              <w:rPr>
                <w:noProof/>
                <w:webHidden/>
              </w:rPr>
              <w:tab/>
            </w:r>
            <w:r>
              <w:rPr>
                <w:noProof/>
                <w:webHidden/>
              </w:rPr>
              <w:fldChar w:fldCharType="begin"/>
            </w:r>
            <w:r>
              <w:rPr>
                <w:noProof/>
                <w:webHidden/>
              </w:rPr>
              <w:instrText xml:space="preserve"> PAGEREF _Toc222944995 \h </w:instrText>
            </w:r>
            <w:r>
              <w:rPr>
                <w:noProof/>
                <w:webHidden/>
              </w:rPr>
            </w:r>
            <w:r>
              <w:rPr>
                <w:noProof/>
                <w:webHidden/>
              </w:rPr>
              <w:fldChar w:fldCharType="separate"/>
            </w:r>
            <w:r>
              <w:rPr>
                <w:noProof/>
                <w:webHidden/>
              </w:rPr>
              <w:t>16</w:t>
            </w:r>
            <w:r>
              <w:rPr>
                <w:noProof/>
                <w:webHidden/>
              </w:rPr>
              <w:fldChar w:fldCharType="end"/>
            </w:r>
          </w:hyperlink>
        </w:p>
        <w:p w14:paraId="1BEA25FA" w14:textId="2EE062DE" w:rsidR="00682B72" w:rsidRDefault="00682B72">
          <w:pPr>
            <w:pStyle w:val="TOC2"/>
            <w:tabs>
              <w:tab w:val="right" w:leader="dot" w:pos="9016"/>
            </w:tabs>
            <w:rPr>
              <w:rFonts w:eastAsiaTheme="minorEastAsia"/>
              <w:noProof/>
              <w:sz w:val="24"/>
              <w:szCs w:val="24"/>
              <w:lang w:eastAsia="en-GB"/>
            </w:rPr>
          </w:pPr>
          <w:hyperlink w:anchor="_Toc222944996" w:history="1">
            <w:r w:rsidRPr="000F5F46">
              <w:rPr>
                <w:rStyle w:val="Hyperlink"/>
                <w:noProof/>
              </w:rPr>
              <w:t>3.1 Introduction</w:t>
            </w:r>
            <w:r>
              <w:rPr>
                <w:noProof/>
                <w:webHidden/>
              </w:rPr>
              <w:tab/>
            </w:r>
            <w:r>
              <w:rPr>
                <w:noProof/>
                <w:webHidden/>
              </w:rPr>
              <w:fldChar w:fldCharType="begin"/>
            </w:r>
            <w:r>
              <w:rPr>
                <w:noProof/>
                <w:webHidden/>
              </w:rPr>
              <w:instrText xml:space="preserve"> PAGEREF _Toc222944996 \h </w:instrText>
            </w:r>
            <w:r>
              <w:rPr>
                <w:noProof/>
                <w:webHidden/>
              </w:rPr>
            </w:r>
            <w:r>
              <w:rPr>
                <w:noProof/>
                <w:webHidden/>
              </w:rPr>
              <w:fldChar w:fldCharType="separate"/>
            </w:r>
            <w:r>
              <w:rPr>
                <w:noProof/>
                <w:webHidden/>
              </w:rPr>
              <w:t>16</w:t>
            </w:r>
            <w:r>
              <w:rPr>
                <w:noProof/>
                <w:webHidden/>
              </w:rPr>
              <w:fldChar w:fldCharType="end"/>
            </w:r>
          </w:hyperlink>
        </w:p>
        <w:p w14:paraId="00BFAD82" w14:textId="67236D5B" w:rsidR="00682B72" w:rsidRDefault="00682B72">
          <w:pPr>
            <w:pStyle w:val="TOC2"/>
            <w:tabs>
              <w:tab w:val="right" w:leader="dot" w:pos="9016"/>
            </w:tabs>
            <w:rPr>
              <w:rFonts w:eastAsiaTheme="minorEastAsia"/>
              <w:noProof/>
              <w:sz w:val="24"/>
              <w:szCs w:val="24"/>
              <w:lang w:eastAsia="en-GB"/>
            </w:rPr>
          </w:pPr>
          <w:hyperlink w:anchor="_Toc222944997" w:history="1">
            <w:r w:rsidRPr="000F5F46">
              <w:rPr>
                <w:rStyle w:val="Hyperlink"/>
                <w:noProof/>
              </w:rPr>
              <w:t>3.2 Research Philosophy and Approach</w:t>
            </w:r>
            <w:r>
              <w:rPr>
                <w:noProof/>
                <w:webHidden/>
              </w:rPr>
              <w:tab/>
            </w:r>
            <w:r>
              <w:rPr>
                <w:noProof/>
                <w:webHidden/>
              </w:rPr>
              <w:fldChar w:fldCharType="begin"/>
            </w:r>
            <w:r>
              <w:rPr>
                <w:noProof/>
                <w:webHidden/>
              </w:rPr>
              <w:instrText xml:space="preserve"> PAGEREF _Toc222944997 \h </w:instrText>
            </w:r>
            <w:r>
              <w:rPr>
                <w:noProof/>
                <w:webHidden/>
              </w:rPr>
            </w:r>
            <w:r>
              <w:rPr>
                <w:noProof/>
                <w:webHidden/>
              </w:rPr>
              <w:fldChar w:fldCharType="separate"/>
            </w:r>
            <w:r>
              <w:rPr>
                <w:noProof/>
                <w:webHidden/>
              </w:rPr>
              <w:t>16</w:t>
            </w:r>
            <w:r>
              <w:rPr>
                <w:noProof/>
                <w:webHidden/>
              </w:rPr>
              <w:fldChar w:fldCharType="end"/>
            </w:r>
          </w:hyperlink>
        </w:p>
        <w:p w14:paraId="547004DB" w14:textId="5C7C30CE" w:rsidR="00682B72" w:rsidRDefault="00682B72">
          <w:pPr>
            <w:pStyle w:val="TOC2"/>
            <w:tabs>
              <w:tab w:val="right" w:leader="dot" w:pos="9016"/>
            </w:tabs>
            <w:rPr>
              <w:rFonts w:eastAsiaTheme="minorEastAsia"/>
              <w:noProof/>
              <w:sz w:val="24"/>
              <w:szCs w:val="24"/>
              <w:lang w:eastAsia="en-GB"/>
            </w:rPr>
          </w:pPr>
          <w:hyperlink w:anchor="_Toc222944998" w:history="1">
            <w:r w:rsidRPr="000F5F46">
              <w:rPr>
                <w:rStyle w:val="Hyperlink"/>
                <w:noProof/>
              </w:rPr>
              <w:t>3.3 Case Study Strategy</w:t>
            </w:r>
            <w:r>
              <w:rPr>
                <w:noProof/>
                <w:webHidden/>
              </w:rPr>
              <w:tab/>
            </w:r>
            <w:r>
              <w:rPr>
                <w:noProof/>
                <w:webHidden/>
              </w:rPr>
              <w:fldChar w:fldCharType="begin"/>
            </w:r>
            <w:r>
              <w:rPr>
                <w:noProof/>
                <w:webHidden/>
              </w:rPr>
              <w:instrText xml:space="preserve"> PAGEREF _Toc222944998 \h </w:instrText>
            </w:r>
            <w:r>
              <w:rPr>
                <w:noProof/>
                <w:webHidden/>
              </w:rPr>
            </w:r>
            <w:r>
              <w:rPr>
                <w:noProof/>
                <w:webHidden/>
              </w:rPr>
              <w:fldChar w:fldCharType="separate"/>
            </w:r>
            <w:r>
              <w:rPr>
                <w:noProof/>
                <w:webHidden/>
              </w:rPr>
              <w:t>17</w:t>
            </w:r>
            <w:r>
              <w:rPr>
                <w:noProof/>
                <w:webHidden/>
              </w:rPr>
              <w:fldChar w:fldCharType="end"/>
            </w:r>
          </w:hyperlink>
        </w:p>
        <w:p w14:paraId="68771AFA" w14:textId="15F97320" w:rsidR="00682B72" w:rsidRDefault="00682B72">
          <w:pPr>
            <w:pStyle w:val="TOC2"/>
            <w:tabs>
              <w:tab w:val="right" w:leader="dot" w:pos="9016"/>
            </w:tabs>
            <w:rPr>
              <w:rFonts w:eastAsiaTheme="minorEastAsia"/>
              <w:noProof/>
              <w:sz w:val="24"/>
              <w:szCs w:val="24"/>
              <w:lang w:eastAsia="en-GB"/>
            </w:rPr>
          </w:pPr>
          <w:hyperlink w:anchor="_Toc222944999" w:history="1">
            <w:r w:rsidRPr="000F5F46">
              <w:rPr>
                <w:rStyle w:val="Hyperlink"/>
                <w:noProof/>
              </w:rPr>
              <w:t>3.4 Data Sources and Selection Criteria</w:t>
            </w:r>
            <w:r>
              <w:rPr>
                <w:noProof/>
                <w:webHidden/>
              </w:rPr>
              <w:tab/>
            </w:r>
            <w:r>
              <w:rPr>
                <w:noProof/>
                <w:webHidden/>
              </w:rPr>
              <w:fldChar w:fldCharType="begin"/>
            </w:r>
            <w:r>
              <w:rPr>
                <w:noProof/>
                <w:webHidden/>
              </w:rPr>
              <w:instrText xml:space="preserve"> PAGEREF _Toc222944999 \h </w:instrText>
            </w:r>
            <w:r>
              <w:rPr>
                <w:noProof/>
                <w:webHidden/>
              </w:rPr>
            </w:r>
            <w:r>
              <w:rPr>
                <w:noProof/>
                <w:webHidden/>
              </w:rPr>
              <w:fldChar w:fldCharType="separate"/>
            </w:r>
            <w:r>
              <w:rPr>
                <w:noProof/>
                <w:webHidden/>
              </w:rPr>
              <w:t>18</w:t>
            </w:r>
            <w:r>
              <w:rPr>
                <w:noProof/>
                <w:webHidden/>
              </w:rPr>
              <w:fldChar w:fldCharType="end"/>
            </w:r>
          </w:hyperlink>
        </w:p>
        <w:p w14:paraId="3C52D0D2" w14:textId="40502D65" w:rsidR="00682B72" w:rsidRDefault="00682B72">
          <w:pPr>
            <w:pStyle w:val="TOC2"/>
            <w:tabs>
              <w:tab w:val="right" w:leader="dot" w:pos="9016"/>
            </w:tabs>
            <w:rPr>
              <w:rFonts w:eastAsiaTheme="minorEastAsia"/>
              <w:noProof/>
              <w:sz w:val="24"/>
              <w:szCs w:val="24"/>
              <w:lang w:eastAsia="en-GB"/>
            </w:rPr>
          </w:pPr>
          <w:hyperlink w:anchor="_Toc222945000" w:history="1">
            <w:r w:rsidRPr="000F5F46">
              <w:rPr>
                <w:rStyle w:val="Hyperlink"/>
                <w:noProof/>
              </w:rPr>
              <w:t>3.5 Data Analysis</w:t>
            </w:r>
            <w:r>
              <w:rPr>
                <w:noProof/>
                <w:webHidden/>
              </w:rPr>
              <w:tab/>
            </w:r>
            <w:r>
              <w:rPr>
                <w:noProof/>
                <w:webHidden/>
              </w:rPr>
              <w:fldChar w:fldCharType="begin"/>
            </w:r>
            <w:r>
              <w:rPr>
                <w:noProof/>
                <w:webHidden/>
              </w:rPr>
              <w:instrText xml:space="preserve"> PAGEREF _Toc222945000 \h </w:instrText>
            </w:r>
            <w:r>
              <w:rPr>
                <w:noProof/>
                <w:webHidden/>
              </w:rPr>
            </w:r>
            <w:r>
              <w:rPr>
                <w:noProof/>
                <w:webHidden/>
              </w:rPr>
              <w:fldChar w:fldCharType="separate"/>
            </w:r>
            <w:r>
              <w:rPr>
                <w:noProof/>
                <w:webHidden/>
              </w:rPr>
              <w:t>19</w:t>
            </w:r>
            <w:r>
              <w:rPr>
                <w:noProof/>
                <w:webHidden/>
              </w:rPr>
              <w:fldChar w:fldCharType="end"/>
            </w:r>
          </w:hyperlink>
        </w:p>
        <w:p w14:paraId="5021E6A0" w14:textId="5E16DD21" w:rsidR="00682B72" w:rsidRDefault="00682B72">
          <w:pPr>
            <w:pStyle w:val="TOC2"/>
            <w:tabs>
              <w:tab w:val="right" w:leader="dot" w:pos="9016"/>
            </w:tabs>
            <w:rPr>
              <w:rFonts w:eastAsiaTheme="minorEastAsia"/>
              <w:noProof/>
              <w:sz w:val="24"/>
              <w:szCs w:val="24"/>
              <w:lang w:eastAsia="en-GB"/>
            </w:rPr>
          </w:pPr>
          <w:hyperlink w:anchor="_Toc222945001" w:history="1">
            <w:r w:rsidRPr="000F5F46">
              <w:rPr>
                <w:rStyle w:val="Hyperlink"/>
                <w:noProof/>
              </w:rPr>
              <w:t>3.6 Ethical Considerations</w:t>
            </w:r>
            <w:r>
              <w:rPr>
                <w:noProof/>
                <w:webHidden/>
              </w:rPr>
              <w:tab/>
            </w:r>
            <w:r>
              <w:rPr>
                <w:noProof/>
                <w:webHidden/>
              </w:rPr>
              <w:fldChar w:fldCharType="begin"/>
            </w:r>
            <w:r>
              <w:rPr>
                <w:noProof/>
                <w:webHidden/>
              </w:rPr>
              <w:instrText xml:space="preserve"> PAGEREF _Toc222945001 \h </w:instrText>
            </w:r>
            <w:r>
              <w:rPr>
                <w:noProof/>
                <w:webHidden/>
              </w:rPr>
            </w:r>
            <w:r>
              <w:rPr>
                <w:noProof/>
                <w:webHidden/>
              </w:rPr>
              <w:fldChar w:fldCharType="separate"/>
            </w:r>
            <w:r>
              <w:rPr>
                <w:noProof/>
                <w:webHidden/>
              </w:rPr>
              <w:t>20</w:t>
            </w:r>
            <w:r>
              <w:rPr>
                <w:noProof/>
                <w:webHidden/>
              </w:rPr>
              <w:fldChar w:fldCharType="end"/>
            </w:r>
          </w:hyperlink>
        </w:p>
        <w:p w14:paraId="3F9955E7" w14:textId="3BCD3910" w:rsidR="00682B72" w:rsidRDefault="00682B72">
          <w:pPr>
            <w:pStyle w:val="TOC2"/>
            <w:tabs>
              <w:tab w:val="right" w:leader="dot" w:pos="9016"/>
            </w:tabs>
            <w:rPr>
              <w:rFonts w:eastAsiaTheme="minorEastAsia"/>
              <w:noProof/>
              <w:sz w:val="24"/>
              <w:szCs w:val="24"/>
              <w:lang w:eastAsia="en-GB"/>
            </w:rPr>
          </w:pPr>
          <w:hyperlink w:anchor="_Toc222945002" w:history="1">
            <w:r w:rsidRPr="000F5F46">
              <w:rPr>
                <w:rStyle w:val="Hyperlink"/>
                <w:noProof/>
              </w:rPr>
              <w:t>3.7 Limitations</w:t>
            </w:r>
            <w:r>
              <w:rPr>
                <w:noProof/>
                <w:webHidden/>
              </w:rPr>
              <w:tab/>
            </w:r>
            <w:r>
              <w:rPr>
                <w:noProof/>
                <w:webHidden/>
              </w:rPr>
              <w:fldChar w:fldCharType="begin"/>
            </w:r>
            <w:r>
              <w:rPr>
                <w:noProof/>
                <w:webHidden/>
              </w:rPr>
              <w:instrText xml:space="preserve"> PAGEREF _Toc222945002 \h </w:instrText>
            </w:r>
            <w:r>
              <w:rPr>
                <w:noProof/>
                <w:webHidden/>
              </w:rPr>
            </w:r>
            <w:r>
              <w:rPr>
                <w:noProof/>
                <w:webHidden/>
              </w:rPr>
              <w:fldChar w:fldCharType="separate"/>
            </w:r>
            <w:r>
              <w:rPr>
                <w:noProof/>
                <w:webHidden/>
              </w:rPr>
              <w:t>20</w:t>
            </w:r>
            <w:r>
              <w:rPr>
                <w:noProof/>
                <w:webHidden/>
              </w:rPr>
              <w:fldChar w:fldCharType="end"/>
            </w:r>
          </w:hyperlink>
        </w:p>
        <w:p w14:paraId="78814738" w14:textId="3196B876" w:rsidR="00682B72" w:rsidRDefault="00682B72">
          <w:pPr>
            <w:pStyle w:val="TOC2"/>
            <w:tabs>
              <w:tab w:val="right" w:leader="dot" w:pos="9016"/>
            </w:tabs>
            <w:rPr>
              <w:rFonts w:eastAsiaTheme="minorEastAsia"/>
              <w:noProof/>
              <w:sz w:val="24"/>
              <w:szCs w:val="24"/>
              <w:lang w:eastAsia="en-GB"/>
            </w:rPr>
          </w:pPr>
          <w:hyperlink w:anchor="_Toc222945003" w:history="1">
            <w:r w:rsidRPr="000F5F46">
              <w:rPr>
                <w:rStyle w:val="Hyperlink"/>
                <w:noProof/>
              </w:rPr>
              <w:t>3.8 Research Rigour and Trustworthiness</w:t>
            </w:r>
            <w:r>
              <w:rPr>
                <w:noProof/>
                <w:webHidden/>
              </w:rPr>
              <w:tab/>
            </w:r>
            <w:r>
              <w:rPr>
                <w:noProof/>
                <w:webHidden/>
              </w:rPr>
              <w:fldChar w:fldCharType="begin"/>
            </w:r>
            <w:r>
              <w:rPr>
                <w:noProof/>
                <w:webHidden/>
              </w:rPr>
              <w:instrText xml:space="preserve"> PAGEREF _Toc222945003 \h </w:instrText>
            </w:r>
            <w:r>
              <w:rPr>
                <w:noProof/>
                <w:webHidden/>
              </w:rPr>
            </w:r>
            <w:r>
              <w:rPr>
                <w:noProof/>
                <w:webHidden/>
              </w:rPr>
              <w:fldChar w:fldCharType="separate"/>
            </w:r>
            <w:r>
              <w:rPr>
                <w:noProof/>
                <w:webHidden/>
              </w:rPr>
              <w:t>20</w:t>
            </w:r>
            <w:r>
              <w:rPr>
                <w:noProof/>
                <w:webHidden/>
              </w:rPr>
              <w:fldChar w:fldCharType="end"/>
            </w:r>
          </w:hyperlink>
        </w:p>
        <w:p w14:paraId="12963A6A" w14:textId="7944E0F1" w:rsidR="00682B72" w:rsidRDefault="00682B72">
          <w:pPr>
            <w:pStyle w:val="TOC1"/>
            <w:tabs>
              <w:tab w:val="right" w:leader="dot" w:pos="9016"/>
            </w:tabs>
            <w:rPr>
              <w:rFonts w:eastAsiaTheme="minorEastAsia"/>
              <w:noProof/>
              <w:sz w:val="24"/>
              <w:szCs w:val="24"/>
              <w:lang w:eastAsia="en-GB"/>
            </w:rPr>
          </w:pPr>
          <w:hyperlink w:anchor="_Toc222945004" w:history="1">
            <w:r w:rsidRPr="000F5F46">
              <w:rPr>
                <w:rStyle w:val="Hyperlink"/>
                <w:noProof/>
              </w:rPr>
              <w:t>CHAPTER 4: Findings and Discussion</w:t>
            </w:r>
            <w:r>
              <w:rPr>
                <w:noProof/>
                <w:webHidden/>
              </w:rPr>
              <w:tab/>
            </w:r>
            <w:r>
              <w:rPr>
                <w:noProof/>
                <w:webHidden/>
              </w:rPr>
              <w:fldChar w:fldCharType="begin"/>
            </w:r>
            <w:r>
              <w:rPr>
                <w:noProof/>
                <w:webHidden/>
              </w:rPr>
              <w:instrText xml:space="preserve"> PAGEREF _Toc222945004 \h </w:instrText>
            </w:r>
            <w:r>
              <w:rPr>
                <w:noProof/>
                <w:webHidden/>
              </w:rPr>
            </w:r>
            <w:r>
              <w:rPr>
                <w:noProof/>
                <w:webHidden/>
              </w:rPr>
              <w:fldChar w:fldCharType="separate"/>
            </w:r>
            <w:r>
              <w:rPr>
                <w:noProof/>
                <w:webHidden/>
              </w:rPr>
              <w:t>21</w:t>
            </w:r>
            <w:r>
              <w:rPr>
                <w:noProof/>
                <w:webHidden/>
              </w:rPr>
              <w:fldChar w:fldCharType="end"/>
            </w:r>
          </w:hyperlink>
        </w:p>
        <w:p w14:paraId="284BACC8" w14:textId="7616AE9E" w:rsidR="00682B72" w:rsidRDefault="00682B72">
          <w:pPr>
            <w:pStyle w:val="TOC2"/>
            <w:tabs>
              <w:tab w:val="right" w:leader="dot" w:pos="9016"/>
            </w:tabs>
            <w:rPr>
              <w:rFonts w:eastAsiaTheme="minorEastAsia"/>
              <w:noProof/>
              <w:sz w:val="24"/>
              <w:szCs w:val="24"/>
              <w:lang w:eastAsia="en-GB"/>
            </w:rPr>
          </w:pPr>
          <w:hyperlink w:anchor="_Toc222945005" w:history="1">
            <w:r w:rsidRPr="000F5F46">
              <w:rPr>
                <w:rStyle w:val="Hyperlink"/>
                <w:noProof/>
              </w:rPr>
              <w:t>4.1 Findings</w:t>
            </w:r>
            <w:r>
              <w:rPr>
                <w:noProof/>
                <w:webHidden/>
              </w:rPr>
              <w:tab/>
            </w:r>
            <w:r>
              <w:rPr>
                <w:noProof/>
                <w:webHidden/>
              </w:rPr>
              <w:fldChar w:fldCharType="begin"/>
            </w:r>
            <w:r>
              <w:rPr>
                <w:noProof/>
                <w:webHidden/>
              </w:rPr>
              <w:instrText xml:space="preserve"> PAGEREF _Toc222945005 \h </w:instrText>
            </w:r>
            <w:r>
              <w:rPr>
                <w:noProof/>
                <w:webHidden/>
              </w:rPr>
            </w:r>
            <w:r>
              <w:rPr>
                <w:noProof/>
                <w:webHidden/>
              </w:rPr>
              <w:fldChar w:fldCharType="separate"/>
            </w:r>
            <w:r>
              <w:rPr>
                <w:noProof/>
                <w:webHidden/>
              </w:rPr>
              <w:t>21</w:t>
            </w:r>
            <w:r>
              <w:rPr>
                <w:noProof/>
                <w:webHidden/>
              </w:rPr>
              <w:fldChar w:fldCharType="end"/>
            </w:r>
          </w:hyperlink>
        </w:p>
        <w:p w14:paraId="7A3037F0" w14:textId="2F33163F" w:rsidR="00682B72" w:rsidRDefault="00682B72">
          <w:pPr>
            <w:pStyle w:val="TOC3"/>
            <w:tabs>
              <w:tab w:val="right" w:leader="dot" w:pos="9016"/>
            </w:tabs>
            <w:rPr>
              <w:rFonts w:eastAsiaTheme="minorEastAsia"/>
              <w:noProof/>
              <w:sz w:val="24"/>
              <w:szCs w:val="24"/>
              <w:lang w:eastAsia="en-GB"/>
            </w:rPr>
          </w:pPr>
          <w:hyperlink w:anchor="_Toc222945006" w:history="1">
            <w:r w:rsidRPr="000F5F46">
              <w:rPr>
                <w:rStyle w:val="Hyperlink"/>
                <w:noProof/>
              </w:rPr>
              <w:t>4.1.1 Objective 1: Structural Drivers of Staff Shortages in the UK Hotel Sector</w:t>
            </w:r>
            <w:r>
              <w:rPr>
                <w:noProof/>
                <w:webHidden/>
              </w:rPr>
              <w:tab/>
            </w:r>
            <w:r>
              <w:rPr>
                <w:noProof/>
                <w:webHidden/>
              </w:rPr>
              <w:fldChar w:fldCharType="begin"/>
            </w:r>
            <w:r>
              <w:rPr>
                <w:noProof/>
                <w:webHidden/>
              </w:rPr>
              <w:instrText xml:space="preserve"> PAGEREF _Toc222945006 \h </w:instrText>
            </w:r>
            <w:r>
              <w:rPr>
                <w:noProof/>
                <w:webHidden/>
              </w:rPr>
            </w:r>
            <w:r>
              <w:rPr>
                <w:noProof/>
                <w:webHidden/>
              </w:rPr>
              <w:fldChar w:fldCharType="separate"/>
            </w:r>
            <w:r>
              <w:rPr>
                <w:noProof/>
                <w:webHidden/>
              </w:rPr>
              <w:t>21</w:t>
            </w:r>
            <w:r>
              <w:rPr>
                <w:noProof/>
                <w:webHidden/>
              </w:rPr>
              <w:fldChar w:fldCharType="end"/>
            </w:r>
          </w:hyperlink>
        </w:p>
        <w:p w14:paraId="26DEF6BD" w14:textId="6ECC1971" w:rsidR="00682B72" w:rsidRDefault="00682B72">
          <w:pPr>
            <w:pStyle w:val="TOC3"/>
            <w:tabs>
              <w:tab w:val="right" w:leader="dot" w:pos="9016"/>
            </w:tabs>
            <w:rPr>
              <w:rFonts w:eastAsiaTheme="minorEastAsia"/>
              <w:noProof/>
              <w:sz w:val="24"/>
              <w:szCs w:val="24"/>
              <w:lang w:eastAsia="en-GB"/>
            </w:rPr>
          </w:pPr>
          <w:hyperlink w:anchor="_Toc222945007" w:history="1">
            <w:r w:rsidRPr="000F5F46">
              <w:rPr>
                <w:rStyle w:val="Hyperlink"/>
                <w:noProof/>
              </w:rPr>
              <w:t>4.1.2 Objective 2: To evaluate the impact of staffing shortages on service quality</w:t>
            </w:r>
            <w:r>
              <w:rPr>
                <w:noProof/>
                <w:webHidden/>
              </w:rPr>
              <w:tab/>
            </w:r>
            <w:r>
              <w:rPr>
                <w:noProof/>
                <w:webHidden/>
              </w:rPr>
              <w:fldChar w:fldCharType="begin"/>
            </w:r>
            <w:r>
              <w:rPr>
                <w:noProof/>
                <w:webHidden/>
              </w:rPr>
              <w:instrText xml:space="preserve"> PAGEREF _Toc222945007 \h </w:instrText>
            </w:r>
            <w:r>
              <w:rPr>
                <w:noProof/>
                <w:webHidden/>
              </w:rPr>
            </w:r>
            <w:r>
              <w:rPr>
                <w:noProof/>
                <w:webHidden/>
              </w:rPr>
              <w:fldChar w:fldCharType="separate"/>
            </w:r>
            <w:r>
              <w:rPr>
                <w:noProof/>
                <w:webHidden/>
              </w:rPr>
              <w:t>23</w:t>
            </w:r>
            <w:r>
              <w:rPr>
                <w:noProof/>
                <w:webHidden/>
              </w:rPr>
              <w:fldChar w:fldCharType="end"/>
            </w:r>
          </w:hyperlink>
        </w:p>
        <w:p w14:paraId="52AC7093" w14:textId="38A0F4BF" w:rsidR="00682B72" w:rsidRDefault="00682B72">
          <w:pPr>
            <w:pStyle w:val="TOC3"/>
            <w:tabs>
              <w:tab w:val="right" w:leader="dot" w:pos="9016"/>
            </w:tabs>
            <w:rPr>
              <w:rFonts w:eastAsiaTheme="minorEastAsia"/>
              <w:noProof/>
              <w:sz w:val="24"/>
              <w:szCs w:val="24"/>
              <w:lang w:eastAsia="en-GB"/>
            </w:rPr>
          </w:pPr>
          <w:hyperlink w:anchor="_Toc222945008" w:history="1">
            <w:r w:rsidRPr="000F5F46">
              <w:rPr>
                <w:rStyle w:val="Hyperlink"/>
                <w:noProof/>
              </w:rPr>
              <w:t>4.1.3 Objective 3: To assess organisational responses to staffing constraints</w:t>
            </w:r>
            <w:r>
              <w:rPr>
                <w:noProof/>
                <w:webHidden/>
              </w:rPr>
              <w:tab/>
            </w:r>
            <w:r>
              <w:rPr>
                <w:noProof/>
                <w:webHidden/>
              </w:rPr>
              <w:fldChar w:fldCharType="begin"/>
            </w:r>
            <w:r>
              <w:rPr>
                <w:noProof/>
                <w:webHidden/>
              </w:rPr>
              <w:instrText xml:space="preserve"> PAGEREF _Toc222945008 \h </w:instrText>
            </w:r>
            <w:r>
              <w:rPr>
                <w:noProof/>
                <w:webHidden/>
              </w:rPr>
            </w:r>
            <w:r>
              <w:rPr>
                <w:noProof/>
                <w:webHidden/>
              </w:rPr>
              <w:fldChar w:fldCharType="separate"/>
            </w:r>
            <w:r>
              <w:rPr>
                <w:noProof/>
                <w:webHidden/>
              </w:rPr>
              <w:t>24</w:t>
            </w:r>
            <w:r>
              <w:rPr>
                <w:noProof/>
                <w:webHidden/>
              </w:rPr>
              <w:fldChar w:fldCharType="end"/>
            </w:r>
          </w:hyperlink>
        </w:p>
        <w:p w14:paraId="3C678EEB" w14:textId="74B1CD7E" w:rsidR="00682B72" w:rsidRDefault="00682B72">
          <w:pPr>
            <w:pStyle w:val="TOC2"/>
            <w:tabs>
              <w:tab w:val="right" w:leader="dot" w:pos="9016"/>
            </w:tabs>
            <w:rPr>
              <w:rFonts w:eastAsiaTheme="minorEastAsia"/>
              <w:noProof/>
              <w:sz w:val="24"/>
              <w:szCs w:val="24"/>
              <w:lang w:eastAsia="en-GB"/>
            </w:rPr>
          </w:pPr>
          <w:hyperlink w:anchor="_Toc222945009" w:history="1">
            <w:r w:rsidRPr="000F5F46">
              <w:rPr>
                <w:rStyle w:val="Hyperlink"/>
                <w:noProof/>
              </w:rPr>
              <w:t>4.2 Discussion</w:t>
            </w:r>
            <w:r>
              <w:rPr>
                <w:noProof/>
                <w:webHidden/>
              </w:rPr>
              <w:tab/>
            </w:r>
            <w:r>
              <w:rPr>
                <w:noProof/>
                <w:webHidden/>
              </w:rPr>
              <w:fldChar w:fldCharType="begin"/>
            </w:r>
            <w:r>
              <w:rPr>
                <w:noProof/>
                <w:webHidden/>
              </w:rPr>
              <w:instrText xml:space="preserve"> PAGEREF _Toc222945009 \h </w:instrText>
            </w:r>
            <w:r>
              <w:rPr>
                <w:noProof/>
                <w:webHidden/>
              </w:rPr>
            </w:r>
            <w:r>
              <w:rPr>
                <w:noProof/>
                <w:webHidden/>
              </w:rPr>
              <w:fldChar w:fldCharType="separate"/>
            </w:r>
            <w:r>
              <w:rPr>
                <w:noProof/>
                <w:webHidden/>
              </w:rPr>
              <w:t>25</w:t>
            </w:r>
            <w:r>
              <w:rPr>
                <w:noProof/>
                <w:webHidden/>
              </w:rPr>
              <w:fldChar w:fldCharType="end"/>
            </w:r>
          </w:hyperlink>
        </w:p>
        <w:p w14:paraId="6BE2AD34" w14:textId="084558D1" w:rsidR="00682B72" w:rsidRDefault="00682B72">
          <w:pPr>
            <w:pStyle w:val="TOC3"/>
            <w:tabs>
              <w:tab w:val="right" w:leader="dot" w:pos="9016"/>
            </w:tabs>
            <w:rPr>
              <w:rFonts w:eastAsiaTheme="minorEastAsia"/>
              <w:noProof/>
              <w:sz w:val="24"/>
              <w:szCs w:val="24"/>
              <w:lang w:eastAsia="en-GB"/>
            </w:rPr>
          </w:pPr>
          <w:hyperlink w:anchor="_Toc222945010" w:history="1">
            <w:r w:rsidRPr="000F5F46">
              <w:rPr>
                <w:rStyle w:val="Hyperlink"/>
                <w:noProof/>
              </w:rPr>
              <w:t>4.2.1 Structural Workforce Instability as a Service Sustainability Risk</w:t>
            </w:r>
            <w:r>
              <w:rPr>
                <w:noProof/>
                <w:webHidden/>
              </w:rPr>
              <w:tab/>
            </w:r>
            <w:r>
              <w:rPr>
                <w:noProof/>
                <w:webHidden/>
              </w:rPr>
              <w:fldChar w:fldCharType="begin"/>
            </w:r>
            <w:r>
              <w:rPr>
                <w:noProof/>
                <w:webHidden/>
              </w:rPr>
              <w:instrText xml:space="preserve"> PAGEREF _Toc222945010 \h </w:instrText>
            </w:r>
            <w:r>
              <w:rPr>
                <w:noProof/>
                <w:webHidden/>
              </w:rPr>
            </w:r>
            <w:r>
              <w:rPr>
                <w:noProof/>
                <w:webHidden/>
              </w:rPr>
              <w:fldChar w:fldCharType="separate"/>
            </w:r>
            <w:r>
              <w:rPr>
                <w:noProof/>
                <w:webHidden/>
              </w:rPr>
              <w:t>25</w:t>
            </w:r>
            <w:r>
              <w:rPr>
                <w:noProof/>
                <w:webHidden/>
              </w:rPr>
              <w:fldChar w:fldCharType="end"/>
            </w:r>
          </w:hyperlink>
        </w:p>
        <w:p w14:paraId="721B89F1" w14:textId="58E9651E" w:rsidR="00682B72" w:rsidRDefault="00682B72">
          <w:pPr>
            <w:pStyle w:val="TOC3"/>
            <w:tabs>
              <w:tab w:val="right" w:leader="dot" w:pos="9016"/>
            </w:tabs>
            <w:rPr>
              <w:rFonts w:eastAsiaTheme="minorEastAsia"/>
              <w:noProof/>
              <w:sz w:val="24"/>
              <w:szCs w:val="24"/>
              <w:lang w:eastAsia="en-GB"/>
            </w:rPr>
          </w:pPr>
          <w:hyperlink w:anchor="_Toc222945011" w:history="1">
            <w:r w:rsidRPr="000F5F46">
              <w:rPr>
                <w:rStyle w:val="Hyperlink"/>
                <w:noProof/>
              </w:rPr>
              <w:t>4.2.2 Cumulative Service Quality Erosion: Beyond Immediate Performance Indicators</w:t>
            </w:r>
            <w:r>
              <w:rPr>
                <w:noProof/>
                <w:webHidden/>
              </w:rPr>
              <w:tab/>
            </w:r>
            <w:r>
              <w:rPr>
                <w:noProof/>
                <w:webHidden/>
              </w:rPr>
              <w:fldChar w:fldCharType="begin"/>
            </w:r>
            <w:r>
              <w:rPr>
                <w:noProof/>
                <w:webHidden/>
              </w:rPr>
              <w:instrText xml:space="preserve"> PAGEREF _Toc222945011 \h </w:instrText>
            </w:r>
            <w:r>
              <w:rPr>
                <w:noProof/>
                <w:webHidden/>
              </w:rPr>
            </w:r>
            <w:r>
              <w:rPr>
                <w:noProof/>
                <w:webHidden/>
              </w:rPr>
              <w:fldChar w:fldCharType="separate"/>
            </w:r>
            <w:r>
              <w:rPr>
                <w:noProof/>
                <w:webHidden/>
              </w:rPr>
              <w:t>26</w:t>
            </w:r>
            <w:r>
              <w:rPr>
                <w:noProof/>
                <w:webHidden/>
              </w:rPr>
              <w:fldChar w:fldCharType="end"/>
            </w:r>
          </w:hyperlink>
        </w:p>
        <w:p w14:paraId="2587CBAD" w14:textId="7FDE2C3B" w:rsidR="00682B72" w:rsidRDefault="00682B72">
          <w:pPr>
            <w:pStyle w:val="TOC3"/>
            <w:tabs>
              <w:tab w:val="right" w:leader="dot" w:pos="9016"/>
            </w:tabs>
            <w:rPr>
              <w:rFonts w:eastAsiaTheme="minorEastAsia"/>
              <w:noProof/>
              <w:sz w:val="24"/>
              <w:szCs w:val="24"/>
              <w:lang w:eastAsia="en-GB"/>
            </w:rPr>
          </w:pPr>
          <w:hyperlink w:anchor="_Toc222945012" w:history="1">
            <w:r w:rsidRPr="000F5F46">
              <w:rPr>
                <w:rStyle w:val="Hyperlink"/>
                <w:noProof/>
              </w:rPr>
              <w:t>4.2.3 Organisational Adaptation Versus Structural Resolution</w:t>
            </w:r>
            <w:r>
              <w:rPr>
                <w:noProof/>
                <w:webHidden/>
              </w:rPr>
              <w:tab/>
            </w:r>
            <w:r>
              <w:rPr>
                <w:noProof/>
                <w:webHidden/>
              </w:rPr>
              <w:fldChar w:fldCharType="begin"/>
            </w:r>
            <w:r>
              <w:rPr>
                <w:noProof/>
                <w:webHidden/>
              </w:rPr>
              <w:instrText xml:space="preserve"> PAGEREF _Toc222945012 \h </w:instrText>
            </w:r>
            <w:r>
              <w:rPr>
                <w:noProof/>
                <w:webHidden/>
              </w:rPr>
            </w:r>
            <w:r>
              <w:rPr>
                <w:noProof/>
                <w:webHidden/>
              </w:rPr>
              <w:fldChar w:fldCharType="separate"/>
            </w:r>
            <w:r>
              <w:rPr>
                <w:noProof/>
                <w:webHidden/>
              </w:rPr>
              <w:t>27</w:t>
            </w:r>
            <w:r>
              <w:rPr>
                <w:noProof/>
                <w:webHidden/>
              </w:rPr>
              <w:fldChar w:fldCharType="end"/>
            </w:r>
          </w:hyperlink>
        </w:p>
        <w:p w14:paraId="659D7FB1" w14:textId="6EDF9210" w:rsidR="00682B72" w:rsidRDefault="00682B72">
          <w:pPr>
            <w:pStyle w:val="TOC3"/>
            <w:tabs>
              <w:tab w:val="right" w:leader="dot" w:pos="9016"/>
            </w:tabs>
            <w:rPr>
              <w:rFonts w:eastAsiaTheme="minorEastAsia"/>
              <w:noProof/>
              <w:sz w:val="24"/>
              <w:szCs w:val="24"/>
              <w:lang w:eastAsia="en-GB"/>
            </w:rPr>
          </w:pPr>
          <w:hyperlink w:anchor="_Toc222945013" w:history="1">
            <w:r w:rsidRPr="000F5F46">
              <w:rPr>
                <w:rStyle w:val="Hyperlink"/>
                <w:noProof/>
              </w:rPr>
              <w:t>4.2.4 Implications for TY Newport Hotel Operationally</w:t>
            </w:r>
            <w:r>
              <w:rPr>
                <w:noProof/>
                <w:webHidden/>
              </w:rPr>
              <w:tab/>
            </w:r>
            <w:r>
              <w:rPr>
                <w:noProof/>
                <w:webHidden/>
              </w:rPr>
              <w:fldChar w:fldCharType="begin"/>
            </w:r>
            <w:r>
              <w:rPr>
                <w:noProof/>
                <w:webHidden/>
              </w:rPr>
              <w:instrText xml:space="preserve"> PAGEREF _Toc222945013 \h </w:instrText>
            </w:r>
            <w:r>
              <w:rPr>
                <w:noProof/>
                <w:webHidden/>
              </w:rPr>
            </w:r>
            <w:r>
              <w:rPr>
                <w:noProof/>
                <w:webHidden/>
              </w:rPr>
              <w:fldChar w:fldCharType="separate"/>
            </w:r>
            <w:r>
              <w:rPr>
                <w:noProof/>
                <w:webHidden/>
              </w:rPr>
              <w:t>28</w:t>
            </w:r>
            <w:r>
              <w:rPr>
                <w:noProof/>
                <w:webHidden/>
              </w:rPr>
              <w:fldChar w:fldCharType="end"/>
            </w:r>
          </w:hyperlink>
        </w:p>
        <w:p w14:paraId="66388CF4" w14:textId="3F5466DC" w:rsidR="00682B72" w:rsidRDefault="00682B72">
          <w:pPr>
            <w:pStyle w:val="TOC3"/>
            <w:tabs>
              <w:tab w:val="right" w:leader="dot" w:pos="9016"/>
            </w:tabs>
            <w:rPr>
              <w:rFonts w:eastAsiaTheme="minorEastAsia"/>
              <w:noProof/>
              <w:sz w:val="24"/>
              <w:szCs w:val="24"/>
              <w:lang w:eastAsia="en-GB"/>
            </w:rPr>
          </w:pPr>
          <w:hyperlink w:anchor="_Toc222945014" w:history="1">
            <w:r w:rsidRPr="000F5F46">
              <w:rPr>
                <w:rStyle w:val="Hyperlink"/>
                <w:noProof/>
              </w:rPr>
              <w:t>4.2.5 Theoretical Advancement</w:t>
            </w:r>
            <w:r>
              <w:rPr>
                <w:noProof/>
                <w:webHidden/>
              </w:rPr>
              <w:tab/>
            </w:r>
            <w:r>
              <w:rPr>
                <w:noProof/>
                <w:webHidden/>
              </w:rPr>
              <w:fldChar w:fldCharType="begin"/>
            </w:r>
            <w:r>
              <w:rPr>
                <w:noProof/>
                <w:webHidden/>
              </w:rPr>
              <w:instrText xml:space="preserve"> PAGEREF _Toc222945014 \h </w:instrText>
            </w:r>
            <w:r>
              <w:rPr>
                <w:noProof/>
                <w:webHidden/>
              </w:rPr>
            </w:r>
            <w:r>
              <w:rPr>
                <w:noProof/>
                <w:webHidden/>
              </w:rPr>
              <w:fldChar w:fldCharType="separate"/>
            </w:r>
            <w:r>
              <w:rPr>
                <w:noProof/>
                <w:webHidden/>
              </w:rPr>
              <w:t>28</w:t>
            </w:r>
            <w:r>
              <w:rPr>
                <w:noProof/>
                <w:webHidden/>
              </w:rPr>
              <w:fldChar w:fldCharType="end"/>
            </w:r>
          </w:hyperlink>
        </w:p>
        <w:p w14:paraId="22845CCF" w14:textId="67D4CB20" w:rsidR="00682B72" w:rsidRDefault="00682B72">
          <w:pPr>
            <w:pStyle w:val="TOC3"/>
            <w:tabs>
              <w:tab w:val="right" w:leader="dot" w:pos="9016"/>
            </w:tabs>
            <w:rPr>
              <w:rFonts w:eastAsiaTheme="minorEastAsia"/>
              <w:noProof/>
              <w:sz w:val="24"/>
              <w:szCs w:val="24"/>
              <w:lang w:eastAsia="en-GB"/>
            </w:rPr>
          </w:pPr>
          <w:hyperlink w:anchor="_Toc222945015" w:history="1">
            <w:r w:rsidRPr="000F5F46">
              <w:rPr>
                <w:rStyle w:val="Hyperlink"/>
                <w:noProof/>
              </w:rPr>
              <w:t>4.2.6 Limitations and Future Research Directions</w:t>
            </w:r>
            <w:r>
              <w:rPr>
                <w:noProof/>
                <w:webHidden/>
              </w:rPr>
              <w:tab/>
            </w:r>
            <w:r>
              <w:rPr>
                <w:noProof/>
                <w:webHidden/>
              </w:rPr>
              <w:fldChar w:fldCharType="begin"/>
            </w:r>
            <w:r>
              <w:rPr>
                <w:noProof/>
                <w:webHidden/>
              </w:rPr>
              <w:instrText xml:space="preserve"> PAGEREF _Toc222945015 \h </w:instrText>
            </w:r>
            <w:r>
              <w:rPr>
                <w:noProof/>
                <w:webHidden/>
              </w:rPr>
            </w:r>
            <w:r>
              <w:rPr>
                <w:noProof/>
                <w:webHidden/>
              </w:rPr>
              <w:fldChar w:fldCharType="separate"/>
            </w:r>
            <w:r>
              <w:rPr>
                <w:noProof/>
                <w:webHidden/>
              </w:rPr>
              <w:t>29</w:t>
            </w:r>
            <w:r>
              <w:rPr>
                <w:noProof/>
                <w:webHidden/>
              </w:rPr>
              <w:fldChar w:fldCharType="end"/>
            </w:r>
          </w:hyperlink>
        </w:p>
        <w:p w14:paraId="4AE947D1" w14:textId="275933FA" w:rsidR="00682B72" w:rsidRDefault="00682B72">
          <w:pPr>
            <w:pStyle w:val="TOC1"/>
            <w:tabs>
              <w:tab w:val="right" w:leader="dot" w:pos="9016"/>
            </w:tabs>
            <w:rPr>
              <w:rFonts w:eastAsiaTheme="minorEastAsia"/>
              <w:noProof/>
              <w:sz w:val="24"/>
              <w:szCs w:val="24"/>
              <w:lang w:eastAsia="en-GB"/>
            </w:rPr>
          </w:pPr>
          <w:hyperlink w:anchor="_Toc222945016" w:history="1">
            <w:r w:rsidRPr="000F5F46">
              <w:rPr>
                <w:rStyle w:val="Hyperlink"/>
                <w:noProof/>
              </w:rPr>
              <w:t>CHAPTER 5: Conclusion and Recommendations</w:t>
            </w:r>
            <w:r>
              <w:rPr>
                <w:noProof/>
                <w:webHidden/>
              </w:rPr>
              <w:tab/>
            </w:r>
            <w:r>
              <w:rPr>
                <w:noProof/>
                <w:webHidden/>
              </w:rPr>
              <w:fldChar w:fldCharType="begin"/>
            </w:r>
            <w:r>
              <w:rPr>
                <w:noProof/>
                <w:webHidden/>
              </w:rPr>
              <w:instrText xml:space="preserve"> PAGEREF _Toc222945016 \h </w:instrText>
            </w:r>
            <w:r>
              <w:rPr>
                <w:noProof/>
                <w:webHidden/>
              </w:rPr>
            </w:r>
            <w:r>
              <w:rPr>
                <w:noProof/>
                <w:webHidden/>
              </w:rPr>
              <w:fldChar w:fldCharType="separate"/>
            </w:r>
            <w:r>
              <w:rPr>
                <w:noProof/>
                <w:webHidden/>
              </w:rPr>
              <w:t>29</w:t>
            </w:r>
            <w:r>
              <w:rPr>
                <w:noProof/>
                <w:webHidden/>
              </w:rPr>
              <w:fldChar w:fldCharType="end"/>
            </w:r>
          </w:hyperlink>
        </w:p>
        <w:p w14:paraId="7274F5DD" w14:textId="3F0076F5" w:rsidR="00682B72" w:rsidRDefault="00682B72">
          <w:pPr>
            <w:pStyle w:val="TOC2"/>
            <w:tabs>
              <w:tab w:val="right" w:leader="dot" w:pos="9016"/>
            </w:tabs>
            <w:rPr>
              <w:rFonts w:eastAsiaTheme="minorEastAsia"/>
              <w:noProof/>
              <w:sz w:val="24"/>
              <w:szCs w:val="24"/>
              <w:lang w:eastAsia="en-GB"/>
            </w:rPr>
          </w:pPr>
          <w:hyperlink w:anchor="_Toc222945017" w:history="1">
            <w:r w:rsidRPr="000F5F46">
              <w:rPr>
                <w:rStyle w:val="Hyperlink"/>
                <w:noProof/>
              </w:rPr>
              <w:t>5.1 Conclusion</w:t>
            </w:r>
            <w:r>
              <w:rPr>
                <w:noProof/>
                <w:webHidden/>
              </w:rPr>
              <w:tab/>
            </w:r>
            <w:r>
              <w:rPr>
                <w:noProof/>
                <w:webHidden/>
              </w:rPr>
              <w:fldChar w:fldCharType="begin"/>
            </w:r>
            <w:r>
              <w:rPr>
                <w:noProof/>
                <w:webHidden/>
              </w:rPr>
              <w:instrText xml:space="preserve"> PAGEREF _Toc222945017 \h </w:instrText>
            </w:r>
            <w:r>
              <w:rPr>
                <w:noProof/>
                <w:webHidden/>
              </w:rPr>
            </w:r>
            <w:r>
              <w:rPr>
                <w:noProof/>
                <w:webHidden/>
              </w:rPr>
              <w:fldChar w:fldCharType="separate"/>
            </w:r>
            <w:r>
              <w:rPr>
                <w:noProof/>
                <w:webHidden/>
              </w:rPr>
              <w:t>29</w:t>
            </w:r>
            <w:r>
              <w:rPr>
                <w:noProof/>
                <w:webHidden/>
              </w:rPr>
              <w:fldChar w:fldCharType="end"/>
            </w:r>
          </w:hyperlink>
        </w:p>
        <w:p w14:paraId="0C09106E" w14:textId="300C0603" w:rsidR="00682B72" w:rsidRDefault="00682B72">
          <w:pPr>
            <w:pStyle w:val="TOC2"/>
            <w:tabs>
              <w:tab w:val="right" w:leader="dot" w:pos="9016"/>
            </w:tabs>
            <w:rPr>
              <w:rFonts w:eastAsiaTheme="minorEastAsia"/>
              <w:noProof/>
              <w:sz w:val="24"/>
              <w:szCs w:val="24"/>
              <w:lang w:eastAsia="en-GB"/>
            </w:rPr>
          </w:pPr>
          <w:hyperlink w:anchor="_Toc222945018" w:history="1">
            <w:r w:rsidRPr="000F5F46">
              <w:rPr>
                <w:rStyle w:val="Hyperlink"/>
                <w:noProof/>
              </w:rPr>
              <w:t>5.2 Recommendations and Practical Strategies</w:t>
            </w:r>
            <w:r>
              <w:rPr>
                <w:noProof/>
                <w:webHidden/>
              </w:rPr>
              <w:tab/>
            </w:r>
            <w:r>
              <w:rPr>
                <w:noProof/>
                <w:webHidden/>
              </w:rPr>
              <w:fldChar w:fldCharType="begin"/>
            </w:r>
            <w:r>
              <w:rPr>
                <w:noProof/>
                <w:webHidden/>
              </w:rPr>
              <w:instrText xml:space="preserve"> PAGEREF _Toc222945018 \h </w:instrText>
            </w:r>
            <w:r>
              <w:rPr>
                <w:noProof/>
                <w:webHidden/>
              </w:rPr>
            </w:r>
            <w:r>
              <w:rPr>
                <w:noProof/>
                <w:webHidden/>
              </w:rPr>
              <w:fldChar w:fldCharType="separate"/>
            </w:r>
            <w:r>
              <w:rPr>
                <w:noProof/>
                <w:webHidden/>
              </w:rPr>
              <w:t>31</w:t>
            </w:r>
            <w:r>
              <w:rPr>
                <w:noProof/>
                <w:webHidden/>
              </w:rPr>
              <w:fldChar w:fldCharType="end"/>
            </w:r>
          </w:hyperlink>
        </w:p>
        <w:p w14:paraId="52C80A3A" w14:textId="7B7C7605" w:rsidR="00682B72" w:rsidRDefault="00682B72">
          <w:pPr>
            <w:pStyle w:val="TOC3"/>
            <w:tabs>
              <w:tab w:val="right" w:leader="dot" w:pos="9016"/>
            </w:tabs>
            <w:rPr>
              <w:rFonts w:eastAsiaTheme="minorEastAsia"/>
              <w:noProof/>
              <w:sz w:val="24"/>
              <w:szCs w:val="24"/>
              <w:lang w:eastAsia="en-GB"/>
            </w:rPr>
          </w:pPr>
          <w:hyperlink w:anchor="_Toc222945019" w:history="1">
            <w:r w:rsidRPr="000F5F46">
              <w:rPr>
                <w:rStyle w:val="Hyperlink"/>
                <w:noProof/>
              </w:rPr>
              <w:t>5.2.1 Treat Staffing Adequacy as a Service Quality Variable</w:t>
            </w:r>
            <w:r>
              <w:rPr>
                <w:noProof/>
                <w:webHidden/>
              </w:rPr>
              <w:tab/>
            </w:r>
            <w:r>
              <w:rPr>
                <w:noProof/>
                <w:webHidden/>
              </w:rPr>
              <w:fldChar w:fldCharType="begin"/>
            </w:r>
            <w:r>
              <w:rPr>
                <w:noProof/>
                <w:webHidden/>
              </w:rPr>
              <w:instrText xml:space="preserve"> PAGEREF _Toc222945019 \h </w:instrText>
            </w:r>
            <w:r>
              <w:rPr>
                <w:noProof/>
                <w:webHidden/>
              </w:rPr>
            </w:r>
            <w:r>
              <w:rPr>
                <w:noProof/>
                <w:webHidden/>
              </w:rPr>
              <w:fldChar w:fldCharType="separate"/>
            </w:r>
            <w:r>
              <w:rPr>
                <w:noProof/>
                <w:webHidden/>
              </w:rPr>
              <w:t>31</w:t>
            </w:r>
            <w:r>
              <w:rPr>
                <w:noProof/>
                <w:webHidden/>
              </w:rPr>
              <w:fldChar w:fldCharType="end"/>
            </w:r>
          </w:hyperlink>
        </w:p>
        <w:p w14:paraId="5F3D2ABC" w14:textId="58BF75E1" w:rsidR="00682B72" w:rsidRDefault="00682B72">
          <w:pPr>
            <w:pStyle w:val="TOC3"/>
            <w:tabs>
              <w:tab w:val="right" w:leader="dot" w:pos="9016"/>
            </w:tabs>
            <w:rPr>
              <w:rFonts w:eastAsiaTheme="minorEastAsia"/>
              <w:noProof/>
              <w:sz w:val="24"/>
              <w:szCs w:val="24"/>
              <w:lang w:eastAsia="en-GB"/>
            </w:rPr>
          </w:pPr>
          <w:hyperlink w:anchor="_Toc222945020" w:history="1">
            <w:r w:rsidRPr="000F5F46">
              <w:rPr>
                <w:rStyle w:val="Hyperlink"/>
                <w:noProof/>
              </w:rPr>
              <w:t>5.2.2 Implement Structured Workload Review Mechanisms</w:t>
            </w:r>
            <w:r>
              <w:rPr>
                <w:noProof/>
                <w:webHidden/>
              </w:rPr>
              <w:tab/>
            </w:r>
            <w:r>
              <w:rPr>
                <w:noProof/>
                <w:webHidden/>
              </w:rPr>
              <w:fldChar w:fldCharType="begin"/>
            </w:r>
            <w:r>
              <w:rPr>
                <w:noProof/>
                <w:webHidden/>
              </w:rPr>
              <w:instrText xml:space="preserve"> PAGEREF _Toc222945020 \h </w:instrText>
            </w:r>
            <w:r>
              <w:rPr>
                <w:noProof/>
                <w:webHidden/>
              </w:rPr>
            </w:r>
            <w:r>
              <w:rPr>
                <w:noProof/>
                <w:webHidden/>
              </w:rPr>
              <w:fldChar w:fldCharType="separate"/>
            </w:r>
            <w:r>
              <w:rPr>
                <w:noProof/>
                <w:webHidden/>
              </w:rPr>
              <w:t>32</w:t>
            </w:r>
            <w:r>
              <w:rPr>
                <w:noProof/>
                <w:webHidden/>
              </w:rPr>
              <w:fldChar w:fldCharType="end"/>
            </w:r>
          </w:hyperlink>
        </w:p>
        <w:p w14:paraId="489D5C11" w14:textId="38A079EB" w:rsidR="00682B72" w:rsidRDefault="00682B72">
          <w:pPr>
            <w:pStyle w:val="TOC3"/>
            <w:tabs>
              <w:tab w:val="right" w:leader="dot" w:pos="9016"/>
            </w:tabs>
            <w:rPr>
              <w:rFonts w:eastAsiaTheme="minorEastAsia"/>
              <w:noProof/>
              <w:sz w:val="24"/>
              <w:szCs w:val="24"/>
              <w:lang w:eastAsia="en-GB"/>
            </w:rPr>
          </w:pPr>
          <w:hyperlink w:anchor="_Toc222945021" w:history="1">
            <w:r w:rsidRPr="000F5F46">
              <w:rPr>
                <w:rStyle w:val="Hyperlink"/>
                <w:noProof/>
              </w:rPr>
              <w:t>5.2.3 Align HR Practices with Operational Capacity</w:t>
            </w:r>
            <w:r>
              <w:rPr>
                <w:noProof/>
                <w:webHidden/>
              </w:rPr>
              <w:tab/>
            </w:r>
            <w:r>
              <w:rPr>
                <w:noProof/>
                <w:webHidden/>
              </w:rPr>
              <w:fldChar w:fldCharType="begin"/>
            </w:r>
            <w:r>
              <w:rPr>
                <w:noProof/>
                <w:webHidden/>
              </w:rPr>
              <w:instrText xml:space="preserve"> PAGEREF _Toc222945021 \h </w:instrText>
            </w:r>
            <w:r>
              <w:rPr>
                <w:noProof/>
                <w:webHidden/>
              </w:rPr>
            </w:r>
            <w:r>
              <w:rPr>
                <w:noProof/>
                <w:webHidden/>
              </w:rPr>
              <w:fldChar w:fldCharType="separate"/>
            </w:r>
            <w:r>
              <w:rPr>
                <w:noProof/>
                <w:webHidden/>
              </w:rPr>
              <w:t>32</w:t>
            </w:r>
            <w:r>
              <w:rPr>
                <w:noProof/>
                <w:webHidden/>
              </w:rPr>
              <w:fldChar w:fldCharType="end"/>
            </w:r>
          </w:hyperlink>
        </w:p>
        <w:p w14:paraId="57E1D5FC" w14:textId="54F4D0D2" w:rsidR="00682B72" w:rsidRDefault="00682B72">
          <w:pPr>
            <w:pStyle w:val="TOC3"/>
            <w:tabs>
              <w:tab w:val="right" w:leader="dot" w:pos="9016"/>
            </w:tabs>
            <w:rPr>
              <w:rFonts w:eastAsiaTheme="minorEastAsia"/>
              <w:noProof/>
              <w:sz w:val="24"/>
              <w:szCs w:val="24"/>
              <w:lang w:eastAsia="en-GB"/>
            </w:rPr>
          </w:pPr>
          <w:hyperlink w:anchor="_Toc222945022" w:history="1">
            <w:r w:rsidRPr="000F5F46">
              <w:rPr>
                <w:rStyle w:val="Hyperlink"/>
                <w:noProof/>
              </w:rPr>
              <w:t>5.2.4 Strengthen Service Recovery Resilience</w:t>
            </w:r>
            <w:r>
              <w:rPr>
                <w:noProof/>
                <w:webHidden/>
              </w:rPr>
              <w:tab/>
            </w:r>
            <w:r>
              <w:rPr>
                <w:noProof/>
                <w:webHidden/>
              </w:rPr>
              <w:fldChar w:fldCharType="begin"/>
            </w:r>
            <w:r>
              <w:rPr>
                <w:noProof/>
                <w:webHidden/>
              </w:rPr>
              <w:instrText xml:space="preserve"> PAGEREF _Toc222945022 \h </w:instrText>
            </w:r>
            <w:r>
              <w:rPr>
                <w:noProof/>
                <w:webHidden/>
              </w:rPr>
            </w:r>
            <w:r>
              <w:rPr>
                <w:noProof/>
                <w:webHidden/>
              </w:rPr>
              <w:fldChar w:fldCharType="separate"/>
            </w:r>
            <w:r>
              <w:rPr>
                <w:noProof/>
                <w:webHidden/>
              </w:rPr>
              <w:t>32</w:t>
            </w:r>
            <w:r>
              <w:rPr>
                <w:noProof/>
                <w:webHidden/>
              </w:rPr>
              <w:fldChar w:fldCharType="end"/>
            </w:r>
          </w:hyperlink>
        </w:p>
        <w:p w14:paraId="0DDB0E46" w14:textId="33AB34CB" w:rsidR="00682B72" w:rsidRDefault="00682B72">
          <w:pPr>
            <w:pStyle w:val="TOC3"/>
            <w:tabs>
              <w:tab w:val="right" w:leader="dot" w:pos="9016"/>
            </w:tabs>
            <w:rPr>
              <w:rFonts w:eastAsiaTheme="minorEastAsia"/>
              <w:noProof/>
              <w:sz w:val="24"/>
              <w:szCs w:val="24"/>
              <w:lang w:eastAsia="en-GB"/>
            </w:rPr>
          </w:pPr>
          <w:hyperlink w:anchor="_Toc222945023" w:history="1">
            <w:r w:rsidRPr="000F5F46">
              <w:rPr>
                <w:rStyle w:val="Hyperlink"/>
                <w:noProof/>
              </w:rPr>
              <w:t>5.2.5 Develop Long-Term Workforce Sustainability Planning</w:t>
            </w:r>
            <w:r>
              <w:rPr>
                <w:noProof/>
                <w:webHidden/>
              </w:rPr>
              <w:tab/>
            </w:r>
            <w:r>
              <w:rPr>
                <w:noProof/>
                <w:webHidden/>
              </w:rPr>
              <w:fldChar w:fldCharType="begin"/>
            </w:r>
            <w:r>
              <w:rPr>
                <w:noProof/>
                <w:webHidden/>
              </w:rPr>
              <w:instrText xml:space="preserve"> PAGEREF _Toc222945023 \h </w:instrText>
            </w:r>
            <w:r>
              <w:rPr>
                <w:noProof/>
                <w:webHidden/>
              </w:rPr>
            </w:r>
            <w:r>
              <w:rPr>
                <w:noProof/>
                <w:webHidden/>
              </w:rPr>
              <w:fldChar w:fldCharType="separate"/>
            </w:r>
            <w:r>
              <w:rPr>
                <w:noProof/>
                <w:webHidden/>
              </w:rPr>
              <w:t>33</w:t>
            </w:r>
            <w:r>
              <w:rPr>
                <w:noProof/>
                <w:webHidden/>
              </w:rPr>
              <w:fldChar w:fldCharType="end"/>
            </w:r>
          </w:hyperlink>
        </w:p>
        <w:p w14:paraId="27BF5239" w14:textId="29286E52" w:rsidR="00682B72" w:rsidRDefault="00682B72">
          <w:pPr>
            <w:pStyle w:val="TOC1"/>
            <w:tabs>
              <w:tab w:val="right" w:leader="dot" w:pos="9016"/>
            </w:tabs>
            <w:rPr>
              <w:rFonts w:eastAsiaTheme="minorEastAsia"/>
              <w:noProof/>
              <w:sz w:val="24"/>
              <w:szCs w:val="24"/>
              <w:lang w:eastAsia="en-GB"/>
            </w:rPr>
          </w:pPr>
          <w:hyperlink w:anchor="_Toc222945024" w:history="1">
            <w:r w:rsidRPr="000F5F46">
              <w:rPr>
                <w:rStyle w:val="Hyperlink"/>
                <w:noProof/>
              </w:rPr>
              <w:t>References</w:t>
            </w:r>
            <w:r>
              <w:rPr>
                <w:noProof/>
                <w:webHidden/>
              </w:rPr>
              <w:tab/>
            </w:r>
            <w:r>
              <w:rPr>
                <w:noProof/>
                <w:webHidden/>
              </w:rPr>
              <w:fldChar w:fldCharType="begin"/>
            </w:r>
            <w:r>
              <w:rPr>
                <w:noProof/>
                <w:webHidden/>
              </w:rPr>
              <w:instrText xml:space="preserve"> PAGEREF _Toc222945024 \h </w:instrText>
            </w:r>
            <w:r>
              <w:rPr>
                <w:noProof/>
                <w:webHidden/>
              </w:rPr>
            </w:r>
            <w:r>
              <w:rPr>
                <w:noProof/>
                <w:webHidden/>
              </w:rPr>
              <w:fldChar w:fldCharType="separate"/>
            </w:r>
            <w:r>
              <w:rPr>
                <w:noProof/>
                <w:webHidden/>
              </w:rPr>
              <w:t>34</w:t>
            </w:r>
            <w:r>
              <w:rPr>
                <w:noProof/>
                <w:webHidden/>
              </w:rPr>
              <w:fldChar w:fldCharType="end"/>
            </w:r>
          </w:hyperlink>
        </w:p>
        <w:p w14:paraId="6E5797E3" w14:textId="71C2106C" w:rsidR="00AE75F8" w:rsidRPr="00742921" w:rsidRDefault="00AE75F8">
          <w:r w:rsidRPr="00742921">
            <w:rPr>
              <w:b/>
              <w:bCs/>
            </w:rPr>
            <w:fldChar w:fldCharType="end"/>
          </w:r>
        </w:p>
      </w:sdtContent>
    </w:sdt>
    <w:p w14:paraId="7194AB25" w14:textId="77777777" w:rsidR="00AE75F8" w:rsidRPr="00742921" w:rsidRDefault="00AE75F8" w:rsidP="00B91A6F">
      <w:pPr>
        <w:spacing w:line="360" w:lineRule="auto"/>
        <w:jc w:val="both"/>
        <w:rPr>
          <w:rFonts w:ascii="Arial" w:hAnsi="Arial" w:cs="Arial"/>
          <w:sz w:val="24"/>
          <w:szCs w:val="24"/>
        </w:rPr>
      </w:pPr>
    </w:p>
    <w:p w14:paraId="36802D7C" w14:textId="77777777" w:rsidR="00AE75F8" w:rsidRPr="00742921" w:rsidRDefault="00AE75F8" w:rsidP="00B91A6F">
      <w:pPr>
        <w:spacing w:line="360" w:lineRule="auto"/>
        <w:jc w:val="both"/>
        <w:rPr>
          <w:rFonts w:ascii="Arial" w:hAnsi="Arial" w:cs="Arial"/>
          <w:sz w:val="24"/>
          <w:szCs w:val="24"/>
        </w:rPr>
      </w:pPr>
    </w:p>
    <w:p w14:paraId="1E1DA8E6" w14:textId="77777777" w:rsidR="00AE75F8" w:rsidRPr="00742921" w:rsidRDefault="00AE75F8" w:rsidP="00B91A6F">
      <w:pPr>
        <w:spacing w:line="360" w:lineRule="auto"/>
        <w:jc w:val="both"/>
        <w:rPr>
          <w:rFonts w:ascii="Arial" w:hAnsi="Arial" w:cs="Arial"/>
          <w:sz w:val="24"/>
          <w:szCs w:val="24"/>
        </w:rPr>
      </w:pPr>
    </w:p>
    <w:p w14:paraId="60676E9C" w14:textId="77777777" w:rsidR="00AE75F8" w:rsidRPr="00742921" w:rsidRDefault="00AE75F8" w:rsidP="00B91A6F">
      <w:pPr>
        <w:spacing w:line="360" w:lineRule="auto"/>
        <w:jc w:val="both"/>
        <w:rPr>
          <w:rFonts w:ascii="Arial" w:hAnsi="Arial" w:cs="Arial"/>
          <w:sz w:val="24"/>
          <w:szCs w:val="24"/>
        </w:rPr>
      </w:pPr>
    </w:p>
    <w:p w14:paraId="76E967EA" w14:textId="77777777" w:rsidR="00AE75F8" w:rsidRPr="00742921" w:rsidRDefault="00AE75F8" w:rsidP="00B91A6F">
      <w:pPr>
        <w:spacing w:line="360" w:lineRule="auto"/>
        <w:jc w:val="both"/>
        <w:rPr>
          <w:rFonts w:ascii="Arial" w:hAnsi="Arial" w:cs="Arial"/>
          <w:sz w:val="24"/>
          <w:szCs w:val="24"/>
        </w:rPr>
      </w:pPr>
    </w:p>
    <w:p w14:paraId="248EFEAD" w14:textId="77777777" w:rsidR="00AE75F8" w:rsidRDefault="00AE75F8" w:rsidP="00B91A6F">
      <w:pPr>
        <w:spacing w:line="360" w:lineRule="auto"/>
        <w:jc w:val="both"/>
        <w:rPr>
          <w:rFonts w:ascii="Arial" w:hAnsi="Arial" w:cs="Arial"/>
          <w:sz w:val="24"/>
          <w:szCs w:val="24"/>
        </w:rPr>
      </w:pPr>
    </w:p>
    <w:p w14:paraId="57536541" w14:textId="77777777" w:rsidR="00B771E3" w:rsidRDefault="00B771E3" w:rsidP="00B91A6F">
      <w:pPr>
        <w:spacing w:line="360" w:lineRule="auto"/>
        <w:jc w:val="both"/>
        <w:rPr>
          <w:rFonts w:ascii="Arial" w:hAnsi="Arial" w:cs="Arial"/>
          <w:sz w:val="24"/>
          <w:szCs w:val="24"/>
        </w:rPr>
      </w:pPr>
    </w:p>
    <w:p w14:paraId="4897A985" w14:textId="77777777" w:rsidR="00B771E3" w:rsidRDefault="00B771E3" w:rsidP="00B91A6F">
      <w:pPr>
        <w:spacing w:line="360" w:lineRule="auto"/>
        <w:jc w:val="both"/>
        <w:rPr>
          <w:rFonts w:ascii="Arial" w:hAnsi="Arial" w:cs="Arial"/>
          <w:sz w:val="24"/>
          <w:szCs w:val="24"/>
        </w:rPr>
      </w:pPr>
    </w:p>
    <w:p w14:paraId="63AC105F" w14:textId="77777777" w:rsidR="00B771E3" w:rsidRDefault="00B771E3" w:rsidP="00B91A6F">
      <w:pPr>
        <w:spacing w:line="360" w:lineRule="auto"/>
        <w:jc w:val="both"/>
        <w:rPr>
          <w:rFonts w:ascii="Arial" w:hAnsi="Arial" w:cs="Arial"/>
          <w:sz w:val="24"/>
          <w:szCs w:val="24"/>
        </w:rPr>
      </w:pPr>
    </w:p>
    <w:p w14:paraId="353A440E" w14:textId="77777777" w:rsidR="00B771E3" w:rsidRDefault="00B771E3" w:rsidP="00B91A6F">
      <w:pPr>
        <w:spacing w:line="360" w:lineRule="auto"/>
        <w:jc w:val="both"/>
        <w:rPr>
          <w:rFonts w:ascii="Arial" w:hAnsi="Arial" w:cs="Arial"/>
          <w:sz w:val="24"/>
          <w:szCs w:val="24"/>
        </w:rPr>
      </w:pPr>
    </w:p>
    <w:p w14:paraId="314CF17B" w14:textId="77777777" w:rsidR="00B771E3" w:rsidRDefault="00B771E3" w:rsidP="00B91A6F">
      <w:pPr>
        <w:spacing w:line="360" w:lineRule="auto"/>
        <w:jc w:val="both"/>
        <w:rPr>
          <w:rFonts w:ascii="Arial" w:hAnsi="Arial" w:cs="Arial"/>
          <w:sz w:val="24"/>
          <w:szCs w:val="24"/>
        </w:rPr>
      </w:pPr>
    </w:p>
    <w:p w14:paraId="68EC70BC" w14:textId="77777777" w:rsidR="00B771E3" w:rsidRDefault="00B771E3" w:rsidP="00B91A6F">
      <w:pPr>
        <w:spacing w:line="360" w:lineRule="auto"/>
        <w:jc w:val="both"/>
        <w:rPr>
          <w:rFonts w:ascii="Arial" w:hAnsi="Arial" w:cs="Arial"/>
          <w:sz w:val="24"/>
          <w:szCs w:val="24"/>
        </w:rPr>
      </w:pPr>
    </w:p>
    <w:p w14:paraId="124D9614" w14:textId="77777777" w:rsidR="00B771E3" w:rsidRDefault="00B771E3" w:rsidP="00B91A6F">
      <w:pPr>
        <w:spacing w:line="360" w:lineRule="auto"/>
        <w:jc w:val="both"/>
        <w:rPr>
          <w:rFonts w:ascii="Arial" w:hAnsi="Arial" w:cs="Arial"/>
          <w:sz w:val="24"/>
          <w:szCs w:val="24"/>
        </w:rPr>
      </w:pPr>
    </w:p>
    <w:p w14:paraId="53C10867" w14:textId="77777777" w:rsidR="00B771E3" w:rsidRPr="00742921" w:rsidRDefault="00B771E3" w:rsidP="00B91A6F">
      <w:pPr>
        <w:spacing w:line="360" w:lineRule="auto"/>
        <w:jc w:val="both"/>
        <w:rPr>
          <w:rFonts w:ascii="Arial" w:hAnsi="Arial" w:cs="Arial"/>
          <w:sz w:val="24"/>
          <w:szCs w:val="24"/>
        </w:rPr>
      </w:pPr>
    </w:p>
    <w:p w14:paraId="00E293D2" w14:textId="77777777" w:rsidR="00AE75F8" w:rsidRPr="00742921" w:rsidRDefault="00AE75F8" w:rsidP="00B91A6F">
      <w:pPr>
        <w:spacing w:line="360" w:lineRule="auto"/>
        <w:jc w:val="both"/>
        <w:rPr>
          <w:rFonts w:ascii="Arial" w:hAnsi="Arial" w:cs="Arial"/>
          <w:sz w:val="24"/>
          <w:szCs w:val="24"/>
        </w:rPr>
      </w:pPr>
    </w:p>
    <w:p w14:paraId="2CC86268" w14:textId="1CCD0918" w:rsidR="000F000B" w:rsidRPr="00742921" w:rsidRDefault="00E86A6D" w:rsidP="00AE75F8">
      <w:pPr>
        <w:pStyle w:val="Heading1"/>
      </w:pPr>
      <w:bookmarkStart w:id="0" w:name="_Toc222944977"/>
      <w:r w:rsidRPr="00742921">
        <w:lastRenderedPageBreak/>
        <w:t xml:space="preserve">Chapter 1: </w:t>
      </w:r>
      <w:r w:rsidR="00AB2AB1" w:rsidRPr="00742921">
        <w:t>Introduction</w:t>
      </w:r>
      <w:bookmarkEnd w:id="0"/>
    </w:p>
    <w:p w14:paraId="0B952ED2" w14:textId="1DEF6D51" w:rsidR="00B91A6F" w:rsidRPr="00742921" w:rsidRDefault="00AE75F8" w:rsidP="00787F6D">
      <w:pPr>
        <w:pStyle w:val="Heading2"/>
        <w:numPr>
          <w:ilvl w:val="1"/>
          <w:numId w:val="1"/>
        </w:numPr>
      </w:pPr>
      <w:bookmarkStart w:id="1" w:name="_Toc222944978"/>
      <w:r w:rsidRPr="00742921">
        <w:t>Background and Context</w:t>
      </w:r>
      <w:bookmarkEnd w:id="1"/>
    </w:p>
    <w:p w14:paraId="7CD2D2C7" w14:textId="6BC8BC6D" w:rsidR="000D522D" w:rsidRPr="00742921" w:rsidRDefault="008C338C" w:rsidP="000D522D">
      <w:pPr>
        <w:spacing w:line="360" w:lineRule="auto"/>
        <w:jc w:val="both"/>
        <w:rPr>
          <w:rFonts w:ascii="Arial" w:hAnsi="Arial" w:cs="Arial"/>
          <w:sz w:val="24"/>
          <w:szCs w:val="24"/>
        </w:rPr>
      </w:pPr>
      <w:r w:rsidRPr="00742921">
        <w:rPr>
          <w:rFonts w:ascii="Arial" w:hAnsi="Arial" w:cs="Arial"/>
          <w:sz w:val="24"/>
          <w:szCs w:val="24"/>
        </w:rPr>
        <w:t>Work–family conflict represents an important structural pressure within hospitality employment systems. O’Neill and Follmer (2020) demonstrate that hospitality roles are characterised by irregular hours, emotional demands and schedule unpredictability, all of which intensify work–family tension. Their multilevel review highlights how persistent job demands and limited organisational support can contribute to strain and reduced psychological sustainability among hospitality employees. Although their study does not directly measure service quality outcomes, it provides important evidence that sustained work pressure may undermine employee wellbeing, which in turn has implications for service consistency in labour-intensive hotel settings.</w:t>
      </w:r>
    </w:p>
    <w:p w14:paraId="282ED41C" w14:textId="2189036F" w:rsidR="000D522D" w:rsidRPr="00742921" w:rsidRDefault="00C41621" w:rsidP="000D522D">
      <w:pPr>
        <w:spacing w:line="360" w:lineRule="auto"/>
        <w:jc w:val="both"/>
        <w:rPr>
          <w:rFonts w:ascii="Arial" w:hAnsi="Arial" w:cs="Arial"/>
          <w:sz w:val="24"/>
          <w:szCs w:val="24"/>
        </w:rPr>
      </w:pPr>
      <w:r w:rsidRPr="00C41621">
        <w:rPr>
          <w:rFonts w:ascii="Arial" w:hAnsi="Arial" w:cs="Arial"/>
          <w:sz w:val="24"/>
          <w:szCs w:val="24"/>
        </w:rPr>
        <w:t>Recent labour market data indicate that workforce instability within accommodation and food service activities has persisted beyond the immediate post-pandemic recovery period. The Office for National Statistics (ONS, 2025) reports continued volatility in workforce jobs within the sector, while vacancy data demonstrate sustained recruitment pressure compared with pre-2020 benchmarks (ONS, 2026). These patterns suggest that staff shortages in hospitality are not merely temporary disruptions but may represent a structural workforce constraint.</w:t>
      </w:r>
    </w:p>
    <w:p w14:paraId="433AF5AB" w14:textId="2BA60575" w:rsidR="000D522D" w:rsidRDefault="00BE3DA5" w:rsidP="000D522D">
      <w:pPr>
        <w:spacing w:line="360" w:lineRule="auto"/>
        <w:jc w:val="both"/>
        <w:rPr>
          <w:rFonts w:ascii="Arial" w:hAnsi="Arial" w:cs="Arial"/>
          <w:sz w:val="24"/>
          <w:szCs w:val="24"/>
        </w:rPr>
      </w:pPr>
      <w:r w:rsidRPr="00BE3DA5">
        <w:rPr>
          <w:rFonts w:ascii="Arial" w:hAnsi="Arial" w:cs="Arial"/>
          <w:sz w:val="24"/>
          <w:szCs w:val="24"/>
        </w:rPr>
        <w:t>Sector bodies further confirm ongoing recruitment challenges. UKHospitality (2024) identifies workforce shortages as one of the primary operational risks facing UK hotels, particularly in customer-facing roles such as front office and food and beverage. Broader labour supply pressures, including migration policy changes and skills mismatches, have also contributed to staffing instability within service industries (CIPD, 2023).</w:t>
      </w:r>
    </w:p>
    <w:p w14:paraId="47CEB23D" w14:textId="6720F5A5" w:rsidR="000D522D" w:rsidRDefault="00C7086F" w:rsidP="000D522D">
      <w:pPr>
        <w:spacing w:line="360" w:lineRule="auto"/>
        <w:jc w:val="both"/>
        <w:rPr>
          <w:rFonts w:ascii="Arial" w:hAnsi="Arial" w:cs="Arial"/>
          <w:sz w:val="24"/>
          <w:szCs w:val="24"/>
        </w:rPr>
      </w:pPr>
      <w:r w:rsidRPr="00C7086F">
        <w:rPr>
          <w:rFonts w:ascii="Arial" w:hAnsi="Arial" w:cs="Arial"/>
          <w:sz w:val="24"/>
          <w:szCs w:val="24"/>
        </w:rPr>
        <w:t>In labour-intensive service settings such as hotels, staffing shortages not only increase operational pressure but also influence employee workload, emotional labour and discretionary service behaviour.</w:t>
      </w:r>
      <w:r w:rsidR="004E354B">
        <w:rPr>
          <w:rFonts w:ascii="Arial" w:hAnsi="Arial" w:cs="Arial"/>
          <w:sz w:val="24"/>
          <w:szCs w:val="24"/>
        </w:rPr>
        <w:t xml:space="preserve"> </w:t>
      </w:r>
      <w:r w:rsidR="00482B5A">
        <w:rPr>
          <w:rFonts w:ascii="Arial" w:hAnsi="Arial" w:cs="Arial"/>
          <w:sz w:val="24"/>
          <w:szCs w:val="24"/>
        </w:rPr>
        <w:t>Empirical</w:t>
      </w:r>
      <w:r w:rsidR="004E354B" w:rsidRPr="004E354B">
        <w:rPr>
          <w:rFonts w:ascii="Arial" w:hAnsi="Arial" w:cs="Arial"/>
          <w:sz w:val="24"/>
          <w:szCs w:val="24"/>
        </w:rPr>
        <w:t xml:space="preserve"> research in hotel contexts demonstrates that emotional labour strategies and workload are associated with service quality outcomes: surface acting tends to increase emotional exhaustion and reduce perceived service quality, whereas deep acting positively contributes to engagement and quality delivery in service interactions (Wang, 2020; Grobelna, 2021). </w:t>
      </w:r>
      <w:r w:rsidR="004E354B" w:rsidRPr="004E354B">
        <w:rPr>
          <w:rFonts w:ascii="Arial" w:hAnsi="Arial" w:cs="Arial"/>
          <w:sz w:val="24"/>
          <w:szCs w:val="24"/>
        </w:rPr>
        <w:lastRenderedPageBreak/>
        <w:t>Consequently, staffing adequacy is closely linked to the sustainability of service quality within hotel operations.</w:t>
      </w:r>
    </w:p>
    <w:p w14:paraId="067AC7FD" w14:textId="77777777" w:rsidR="0092664A" w:rsidRDefault="0092664A" w:rsidP="000D522D">
      <w:pPr>
        <w:spacing w:line="360" w:lineRule="auto"/>
        <w:jc w:val="both"/>
        <w:rPr>
          <w:rFonts w:ascii="Arial" w:hAnsi="Arial" w:cs="Arial"/>
          <w:sz w:val="24"/>
          <w:szCs w:val="24"/>
        </w:rPr>
      </w:pPr>
    </w:p>
    <w:p w14:paraId="6F87E101" w14:textId="6410D74D" w:rsidR="0092664A" w:rsidRPr="0092664A" w:rsidRDefault="0092664A" w:rsidP="0092664A">
      <w:pPr>
        <w:pStyle w:val="Heading2"/>
      </w:pPr>
      <w:bookmarkStart w:id="2" w:name="_Toc222944979"/>
      <w:r w:rsidRPr="0092664A">
        <w:t>1.2 Rationale</w:t>
      </w:r>
      <w:bookmarkEnd w:id="2"/>
    </w:p>
    <w:p w14:paraId="2473F943" w14:textId="5705D5AB" w:rsidR="0092664A" w:rsidRPr="0092664A" w:rsidRDefault="0092664A" w:rsidP="0092664A">
      <w:pPr>
        <w:spacing w:line="360" w:lineRule="auto"/>
        <w:jc w:val="both"/>
        <w:rPr>
          <w:rFonts w:ascii="Arial" w:hAnsi="Arial" w:cs="Arial"/>
          <w:sz w:val="24"/>
          <w:szCs w:val="24"/>
        </w:rPr>
      </w:pPr>
      <w:r w:rsidRPr="0092664A">
        <w:rPr>
          <w:rFonts w:ascii="Arial" w:hAnsi="Arial" w:cs="Arial"/>
          <w:sz w:val="24"/>
          <w:szCs w:val="24"/>
        </w:rPr>
        <w:t>Service quality remains central to competitive positioning within the UK hotel industry. Guest satisfaction, repeat visitation and brand reputation are strongly influenced by the consistency and quality of frontline service interactions. While previous research has examined staff shortages and service quality independently, there is comparatively less work synthesising how sustained workforce constraints influence service delivery mechanisms within a specific hotel case context.</w:t>
      </w:r>
    </w:p>
    <w:p w14:paraId="06803F04" w14:textId="102E57E9" w:rsidR="00B368F9" w:rsidRDefault="0092664A" w:rsidP="0092664A">
      <w:pPr>
        <w:spacing w:line="360" w:lineRule="auto"/>
        <w:jc w:val="both"/>
        <w:rPr>
          <w:rFonts w:ascii="Arial" w:hAnsi="Arial" w:cs="Arial"/>
          <w:sz w:val="24"/>
          <w:szCs w:val="24"/>
        </w:rPr>
      </w:pPr>
      <w:r w:rsidRPr="0092664A">
        <w:rPr>
          <w:rFonts w:ascii="Arial" w:hAnsi="Arial" w:cs="Arial"/>
          <w:sz w:val="24"/>
          <w:szCs w:val="24"/>
        </w:rPr>
        <w:t>Given the ongoing workforce pressures evidenced in UK labour market statistics (ONS, 2026) and sector commentary (UKHospitality, 2024), there is a clear need to examine how staffing shortages translate into operational consequences for hotel service systems. This study therefore seeks to connect macro-level workforce trends with micro-level service delivery implications, using TY Newport Hotel as a secondary case study.</w:t>
      </w:r>
    </w:p>
    <w:p w14:paraId="66D269D1" w14:textId="77777777" w:rsidR="00B771E3" w:rsidRPr="00742921" w:rsidRDefault="00B771E3" w:rsidP="0092664A">
      <w:pPr>
        <w:spacing w:line="360" w:lineRule="auto"/>
        <w:jc w:val="both"/>
        <w:rPr>
          <w:rFonts w:ascii="Arial" w:hAnsi="Arial" w:cs="Arial"/>
          <w:sz w:val="24"/>
          <w:szCs w:val="24"/>
        </w:rPr>
      </w:pPr>
    </w:p>
    <w:p w14:paraId="1FAD84F4" w14:textId="6064ACB1" w:rsidR="009E1FE1" w:rsidRPr="009E1FE1" w:rsidRDefault="009E1FE1" w:rsidP="009E1FE1">
      <w:pPr>
        <w:pStyle w:val="Heading2"/>
      </w:pPr>
      <w:bookmarkStart w:id="3" w:name="_Toc222944980"/>
      <w:r w:rsidRPr="009E1FE1">
        <w:t>1.3 Aim</w:t>
      </w:r>
      <w:bookmarkEnd w:id="3"/>
    </w:p>
    <w:p w14:paraId="00072771" w14:textId="5ED24514" w:rsidR="000D522D" w:rsidRPr="00742921" w:rsidRDefault="009E1FE1" w:rsidP="009E1FE1">
      <w:pPr>
        <w:spacing w:line="360" w:lineRule="auto"/>
        <w:jc w:val="both"/>
        <w:rPr>
          <w:rFonts w:ascii="Arial" w:hAnsi="Arial" w:cs="Arial"/>
          <w:sz w:val="24"/>
          <w:szCs w:val="24"/>
        </w:rPr>
      </w:pPr>
      <w:r w:rsidRPr="009E1FE1">
        <w:rPr>
          <w:rFonts w:ascii="Arial" w:hAnsi="Arial" w:cs="Arial"/>
          <w:sz w:val="24"/>
          <w:szCs w:val="24"/>
        </w:rPr>
        <w:t>The aim of this research is to critically evaluate the impact of staff shortages on service quality within the UK hotel industry, using TY Newport Hotel (The Celtic Collection) as a secondary case study.</w:t>
      </w:r>
    </w:p>
    <w:p w14:paraId="4070B031" w14:textId="77777777" w:rsidR="000D522D" w:rsidRPr="00742921" w:rsidRDefault="000D522D" w:rsidP="000D522D">
      <w:pPr>
        <w:spacing w:line="360" w:lineRule="auto"/>
        <w:jc w:val="both"/>
        <w:rPr>
          <w:rFonts w:ascii="Arial" w:hAnsi="Arial" w:cs="Arial"/>
          <w:sz w:val="24"/>
          <w:szCs w:val="24"/>
        </w:rPr>
      </w:pPr>
    </w:p>
    <w:p w14:paraId="5DFAC694" w14:textId="65C37C00" w:rsidR="00F93B69" w:rsidRPr="00F93B69" w:rsidRDefault="00F93B69" w:rsidP="00F93B69">
      <w:pPr>
        <w:pStyle w:val="Heading2"/>
      </w:pPr>
      <w:bookmarkStart w:id="4" w:name="_Toc222944981"/>
      <w:r w:rsidRPr="00F93B69">
        <w:t>1.4 Objectives</w:t>
      </w:r>
      <w:bookmarkEnd w:id="4"/>
    </w:p>
    <w:p w14:paraId="70C8F7C6" w14:textId="77777777" w:rsidR="00F93B69" w:rsidRDefault="00F93B69" w:rsidP="00F93B69">
      <w:pPr>
        <w:pStyle w:val="ListParagraph"/>
        <w:numPr>
          <w:ilvl w:val="0"/>
          <w:numId w:val="5"/>
        </w:numPr>
        <w:spacing w:line="360" w:lineRule="auto"/>
        <w:jc w:val="both"/>
        <w:rPr>
          <w:rFonts w:ascii="Arial" w:hAnsi="Arial" w:cs="Arial"/>
          <w:sz w:val="24"/>
          <w:szCs w:val="24"/>
        </w:rPr>
      </w:pPr>
      <w:r w:rsidRPr="00F93B69">
        <w:rPr>
          <w:rFonts w:ascii="Arial" w:hAnsi="Arial" w:cs="Arial"/>
          <w:sz w:val="24"/>
          <w:szCs w:val="24"/>
        </w:rPr>
        <w:t>To examine the structural drivers of staff shortages within the UK hospitality sector.</w:t>
      </w:r>
    </w:p>
    <w:p w14:paraId="0A6F030D" w14:textId="77777777" w:rsidR="00F93B69" w:rsidRDefault="00F93B69" w:rsidP="00F93B69">
      <w:pPr>
        <w:pStyle w:val="ListParagraph"/>
        <w:numPr>
          <w:ilvl w:val="0"/>
          <w:numId w:val="5"/>
        </w:numPr>
        <w:spacing w:line="360" w:lineRule="auto"/>
        <w:jc w:val="both"/>
        <w:rPr>
          <w:rFonts w:ascii="Arial" w:hAnsi="Arial" w:cs="Arial"/>
          <w:sz w:val="24"/>
          <w:szCs w:val="24"/>
        </w:rPr>
      </w:pPr>
      <w:r w:rsidRPr="00F93B69">
        <w:rPr>
          <w:rFonts w:ascii="Arial" w:hAnsi="Arial" w:cs="Arial"/>
          <w:sz w:val="24"/>
          <w:szCs w:val="24"/>
        </w:rPr>
        <w:t>To analyse how staffing constraints influence service quality dimensions within hotel operations.</w:t>
      </w:r>
    </w:p>
    <w:p w14:paraId="0B6D7F47" w14:textId="7ABEF2A1" w:rsidR="000D522D" w:rsidRPr="00F93B69" w:rsidRDefault="00F93B69" w:rsidP="00F93B69">
      <w:pPr>
        <w:pStyle w:val="ListParagraph"/>
        <w:numPr>
          <w:ilvl w:val="0"/>
          <w:numId w:val="5"/>
        </w:numPr>
        <w:spacing w:line="360" w:lineRule="auto"/>
        <w:jc w:val="both"/>
        <w:rPr>
          <w:rFonts w:ascii="Arial" w:hAnsi="Arial" w:cs="Arial"/>
          <w:sz w:val="24"/>
          <w:szCs w:val="24"/>
        </w:rPr>
      </w:pPr>
      <w:r w:rsidRPr="00F93B69">
        <w:rPr>
          <w:rFonts w:ascii="Arial" w:hAnsi="Arial" w:cs="Arial"/>
          <w:sz w:val="24"/>
          <w:szCs w:val="24"/>
        </w:rPr>
        <w:t>To evaluate organisational responses to staffing shortages and their implications for service sustainability.</w:t>
      </w:r>
    </w:p>
    <w:p w14:paraId="7D313877" w14:textId="77777777" w:rsidR="000D522D" w:rsidRDefault="000D522D" w:rsidP="000D522D">
      <w:pPr>
        <w:spacing w:line="360" w:lineRule="auto"/>
        <w:jc w:val="both"/>
        <w:rPr>
          <w:rFonts w:ascii="Arial" w:hAnsi="Arial" w:cs="Arial"/>
          <w:sz w:val="24"/>
          <w:szCs w:val="24"/>
        </w:rPr>
      </w:pPr>
    </w:p>
    <w:p w14:paraId="51926FE5" w14:textId="40B8768E" w:rsidR="000458D4" w:rsidRPr="000458D4" w:rsidRDefault="000458D4" w:rsidP="000458D4">
      <w:pPr>
        <w:pStyle w:val="Heading2"/>
      </w:pPr>
      <w:bookmarkStart w:id="5" w:name="_Toc222944982"/>
      <w:r w:rsidRPr="000458D4">
        <w:lastRenderedPageBreak/>
        <w:t>1.5 Structure of the Study</w:t>
      </w:r>
      <w:bookmarkEnd w:id="5"/>
    </w:p>
    <w:p w14:paraId="13EB440F" w14:textId="79DB7808" w:rsidR="000458D4" w:rsidRDefault="000458D4" w:rsidP="000458D4">
      <w:pPr>
        <w:spacing w:line="360" w:lineRule="auto"/>
        <w:jc w:val="both"/>
        <w:rPr>
          <w:rFonts w:ascii="Arial" w:hAnsi="Arial" w:cs="Arial"/>
          <w:sz w:val="24"/>
          <w:szCs w:val="24"/>
        </w:rPr>
      </w:pPr>
      <w:r w:rsidRPr="000458D4">
        <w:rPr>
          <w:rFonts w:ascii="Arial" w:hAnsi="Arial" w:cs="Arial"/>
          <w:sz w:val="24"/>
          <w:szCs w:val="24"/>
        </w:rPr>
        <w:t>This research is organised into five chapters. Chapter One introduces the context, rationale, aim and objectives. Chapter Two critically reviews the literature relating to staff shortages, workload, emotional labour and service quality within hospitality settings. Chapter Three outlines the qualitative secondary research methodology. Chapter Four presents and discusses the thematic findings. Chapter Five concludes and provides evidence-based recommendations relevant to the placement hotel.</w:t>
      </w:r>
    </w:p>
    <w:p w14:paraId="60241D02" w14:textId="77777777" w:rsidR="00B45FEC" w:rsidRDefault="00B45FEC" w:rsidP="000458D4">
      <w:pPr>
        <w:spacing w:line="360" w:lineRule="auto"/>
        <w:jc w:val="both"/>
        <w:rPr>
          <w:rFonts w:ascii="Arial" w:hAnsi="Arial" w:cs="Arial"/>
          <w:sz w:val="24"/>
          <w:szCs w:val="24"/>
        </w:rPr>
      </w:pPr>
    </w:p>
    <w:p w14:paraId="532DFB68" w14:textId="77777777" w:rsidR="00B874A1" w:rsidRPr="00B874A1" w:rsidRDefault="00B874A1" w:rsidP="00B874A1">
      <w:pPr>
        <w:pStyle w:val="Heading1"/>
      </w:pPr>
      <w:bookmarkStart w:id="6" w:name="_Toc222944983"/>
      <w:r w:rsidRPr="00B874A1">
        <w:t>Chapter 2: Literature Review</w:t>
      </w:r>
      <w:bookmarkEnd w:id="6"/>
    </w:p>
    <w:p w14:paraId="352516DF" w14:textId="395873C9" w:rsidR="00B874A1" w:rsidRPr="00B874A1" w:rsidRDefault="00B874A1" w:rsidP="00B874A1">
      <w:pPr>
        <w:pStyle w:val="Heading2"/>
      </w:pPr>
      <w:bookmarkStart w:id="7" w:name="_Toc222944984"/>
      <w:r w:rsidRPr="00B874A1">
        <w:t>2.1 Introduction</w:t>
      </w:r>
      <w:bookmarkEnd w:id="7"/>
    </w:p>
    <w:p w14:paraId="2ED4D6DF" w14:textId="1D3E3F2D" w:rsidR="00B45FEC" w:rsidRDefault="00B874A1" w:rsidP="00B874A1">
      <w:pPr>
        <w:spacing w:line="360" w:lineRule="auto"/>
        <w:jc w:val="both"/>
        <w:rPr>
          <w:rFonts w:ascii="Arial" w:hAnsi="Arial" w:cs="Arial"/>
          <w:sz w:val="24"/>
          <w:szCs w:val="24"/>
        </w:rPr>
      </w:pPr>
      <w:r w:rsidRPr="00B874A1">
        <w:rPr>
          <w:rFonts w:ascii="Arial" w:hAnsi="Arial" w:cs="Arial"/>
          <w:sz w:val="24"/>
          <w:szCs w:val="24"/>
        </w:rPr>
        <w:t xml:space="preserve">Staff shortages within the hospitality industry have increasingly been conceptualised as structural rather than temporary phenomena. While early post-pandemic analyses framed labour deficits as short-term disruptions, more recent research suggests that workforce instability reflects deeper employment design challenges within hospitality, including high turnover, emotional labour demands, irregular hours and limited perceived career progression (Baum et al, 2020; </w:t>
      </w:r>
      <w:r w:rsidR="002F2085">
        <w:rPr>
          <w:rFonts w:ascii="Arial" w:hAnsi="Arial" w:cs="Arial"/>
          <w:sz w:val="24"/>
          <w:szCs w:val="24"/>
        </w:rPr>
        <w:t>Hom et al</w:t>
      </w:r>
      <w:r w:rsidR="00D4394C">
        <w:rPr>
          <w:rFonts w:ascii="Arial" w:hAnsi="Arial" w:cs="Arial"/>
          <w:sz w:val="24"/>
          <w:szCs w:val="24"/>
        </w:rPr>
        <w:t xml:space="preserve">, 2017; </w:t>
      </w:r>
      <w:r w:rsidRPr="00B874A1">
        <w:rPr>
          <w:rFonts w:ascii="Arial" w:hAnsi="Arial" w:cs="Arial"/>
          <w:sz w:val="24"/>
          <w:szCs w:val="24"/>
        </w:rPr>
        <w:t>Karatepe and Olugbade, 2009).</w:t>
      </w:r>
    </w:p>
    <w:p w14:paraId="20A6BB15" w14:textId="76649721" w:rsidR="008C20C4" w:rsidRPr="008C20C4" w:rsidRDefault="008C20C4" w:rsidP="008C20C4">
      <w:pPr>
        <w:spacing w:line="360" w:lineRule="auto"/>
        <w:jc w:val="both"/>
        <w:rPr>
          <w:rFonts w:ascii="Arial" w:hAnsi="Arial" w:cs="Arial"/>
          <w:sz w:val="24"/>
          <w:szCs w:val="24"/>
        </w:rPr>
      </w:pPr>
      <w:r>
        <w:rPr>
          <w:rFonts w:ascii="Arial" w:hAnsi="Arial" w:cs="Arial"/>
          <w:sz w:val="24"/>
          <w:szCs w:val="24"/>
        </w:rPr>
        <w:t>U</w:t>
      </w:r>
      <w:r w:rsidRPr="008C20C4">
        <w:rPr>
          <w:rFonts w:ascii="Arial" w:hAnsi="Arial" w:cs="Arial"/>
          <w:sz w:val="24"/>
          <w:szCs w:val="24"/>
        </w:rPr>
        <w:t>K labour market evidence further supports this structural interpretation. Workforce participation shifts and sector-specific vacancy pressures have persisted beyond the immediate COVID-19 recovery phase (Blundell et al, 202</w:t>
      </w:r>
      <w:r w:rsidR="008D3F1E">
        <w:rPr>
          <w:rFonts w:ascii="Arial" w:hAnsi="Arial" w:cs="Arial"/>
          <w:sz w:val="24"/>
          <w:szCs w:val="24"/>
        </w:rPr>
        <w:t>0</w:t>
      </w:r>
      <w:r w:rsidRPr="008C20C4">
        <w:rPr>
          <w:rFonts w:ascii="Arial" w:hAnsi="Arial" w:cs="Arial"/>
          <w:sz w:val="24"/>
          <w:szCs w:val="24"/>
        </w:rPr>
        <w:t>; CIPD, 2023). Reduced EU labour mobility following Brexit has intensified recruitment constraints within accommodation and food service occupations (Migration Observatory, 2023). These macro-level pressures interact with micro-level job design features to produce cumulative workforce instability.</w:t>
      </w:r>
    </w:p>
    <w:p w14:paraId="0B64F573" w14:textId="0AB8CC87" w:rsidR="008C20C4" w:rsidRPr="008C20C4" w:rsidRDefault="008C20C4" w:rsidP="008C20C4">
      <w:pPr>
        <w:spacing w:line="360" w:lineRule="auto"/>
        <w:jc w:val="both"/>
        <w:rPr>
          <w:rFonts w:ascii="Arial" w:hAnsi="Arial" w:cs="Arial"/>
          <w:sz w:val="24"/>
          <w:szCs w:val="24"/>
        </w:rPr>
      </w:pPr>
      <w:r w:rsidRPr="008C20C4">
        <w:rPr>
          <w:rFonts w:ascii="Arial" w:hAnsi="Arial" w:cs="Arial"/>
          <w:sz w:val="24"/>
          <w:szCs w:val="24"/>
        </w:rPr>
        <w:t>Given the labour-intensive nature of hotel operations, staffing adequacy functions not only as an operational variable but as a core structural resource underpinning service system performance. This chapter critically synthesises literature across four interrelated domains:</w:t>
      </w:r>
    </w:p>
    <w:p w14:paraId="2AAD1546" w14:textId="45339846" w:rsidR="008C20C4" w:rsidRPr="00D74A4A" w:rsidRDefault="008C20C4" w:rsidP="008C20C4">
      <w:pPr>
        <w:pStyle w:val="ListParagraph"/>
        <w:numPr>
          <w:ilvl w:val="0"/>
          <w:numId w:val="16"/>
        </w:numPr>
        <w:spacing w:line="360" w:lineRule="auto"/>
        <w:jc w:val="both"/>
        <w:rPr>
          <w:rFonts w:ascii="Arial" w:hAnsi="Arial" w:cs="Arial"/>
          <w:sz w:val="24"/>
          <w:szCs w:val="24"/>
        </w:rPr>
      </w:pPr>
      <w:r w:rsidRPr="00D74A4A">
        <w:rPr>
          <w:rFonts w:ascii="Arial" w:hAnsi="Arial" w:cs="Arial"/>
          <w:sz w:val="24"/>
          <w:szCs w:val="24"/>
        </w:rPr>
        <w:t>Structural drivers of hospitality workforce instability</w:t>
      </w:r>
    </w:p>
    <w:p w14:paraId="4D15DB7F" w14:textId="77777777" w:rsidR="008C20C4" w:rsidRPr="00D74A4A" w:rsidRDefault="008C20C4" w:rsidP="00D74A4A">
      <w:pPr>
        <w:pStyle w:val="ListParagraph"/>
        <w:numPr>
          <w:ilvl w:val="0"/>
          <w:numId w:val="16"/>
        </w:numPr>
        <w:spacing w:line="360" w:lineRule="auto"/>
        <w:jc w:val="both"/>
        <w:rPr>
          <w:rFonts w:ascii="Arial" w:hAnsi="Arial" w:cs="Arial"/>
          <w:sz w:val="24"/>
          <w:szCs w:val="24"/>
        </w:rPr>
      </w:pPr>
      <w:r w:rsidRPr="00D74A4A">
        <w:rPr>
          <w:rFonts w:ascii="Arial" w:hAnsi="Arial" w:cs="Arial"/>
          <w:sz w:val="24"/>
          <w:szCs w:val="24"/>
        </w:rPr>
        <w:t>Theoretical frameworks explaining demand–resource imbalance</w:t>
      </w:r>
    </w:p>
    <w:p w14:paraId="3F3B9609" w14:textId="77777777" w:rsidR="008C20C4" w:rsidRPr="00D74A4A" w:rsidRDefault="008C20C4" w:rsidP="00D74A4A">
      <w:pPr>
        <w:pStyle w:val="ListParagraph"/>
        <w:numPr>
          <w:ilvl w:val="0"/>
          <w:numId w:val="16"/>
        </w:numPr>
        <w:spacing w:line="360" w:lineRule="auto"/>
        <w:jc w:val="both"/>
        <w:rPr>
          <w:rFonts w:ascii="Arial" w:hAnsi="Arial" w:cs="Arial"/>
          <w:sz w:val="24"/>
          <w:szCs w:val="24"/>
        </w:rPr>
      </w:pPr>
      <w:r w:rsidRPr="00D74A4A">
        <w:rPr>
          <w:rFonts w:ascii="Arial" w:hAnsi="Arial" w:cs="Arial"/>
          <w:sz w:val="24"/>
          <w:szCs w:val="24"/>
        </w:rPr>
        <w:lastRenderedPageBreak/>
        <w:t>Conceptualisations of service quality in labour-intensive settings</w:t>
      </w:r>
    </w:p>
    <w:p w14:paraId="07871CE4" w14:textId="229DE0E3" w:rsidR="008C20C4" w:rsidRPr="00D74A4A" w:rsidRDefault="008C20C4" w:rsidP="008C20C4">
      <w:pPr>
        <w:pStyle w:val="ListParagraph"/>
        <w:numPr>
          <w:ilvl w:val="0"/>
          <w:numId w:val="16"/>
        </w:numPr>
        <w:spacing w:line="360" w:lineRule="auto"/>
        <w:jc w:val="both"/>
        <w:rPr>
          <w:rFonts w:ascii="Arial" w:hAnsi="Arial" w:cs="Arial"/>
          <w:sz w:val="24"/>
          <w:szCs w:val="24"/>
        </w:rPr>
      </w:pPr>
      <w:r w:rsidRPr="00D74A4A">
        <w:rPr>
          <w:rFonts w:ascii="Arial" w:hAnsi="Arial" w:cs="Arial"/>
          <w:sz w:val="24"/>
          <w:szCs w:val="24"/>
        </w:rPr>
        <w:t>Organisational responses to staffing constraints</w:t>
      </w:r>
    </w:p>
    <w:p w14:paraId="5A1155D1" w14:textId="656BFB8B" w:rsidR="00784C46" w:rsidRDefault="008C20C4" w:rsidP="008C20C4">
      <w:pPr>
        <w:spacing w:line="360" w:lineRule="auto"/>
        <w:jc w:val="both"/>
        <w:rPr>
          <w:rFonts w:ascii="Arial" w:hAnsi="Arial" w:cs="Arial"/>
          <w:sz w:val="24"/>
          <w:szCs w:val="24"/>
        </w:rPr>
      </w:pPr>
      <w:r w:rsidRPr="008C20C4">
        <w:rPr>
          <w:rFonts w:ascii="Arial" w:hAnsi="Arial" w:cs="Arial"/>
          <w:sz w:val="24"/>
          <w:szCs w:val="24"/>
        </w:rPr>
        <w:t>The review integrates psychological, organisational and strategic perspectives to establish staffing shortages as a systemic risk to service sustainability.</w:t>
      </w:r>
    </w:p>
    <w:p w14:paraId="47E47BFF" w14:textId="77777777" w:rsidR="00D74A4A" w:rsidRDefault="00D74A4A" w:rsidP="008C20C4">
      <w:pPr>
        <w:spacing w:line="360" w:lineRule="auto"/>
        <w:jc w:val="both"/>
        <w:rPr>
          <w:rFonts w:ascii="Arial" w:hAnsi="Arial" w:cs="Arial"/>
          <w:sz w:val="24"/>
          <w:szCs w:val="24"/>
        </w:rPr>
      </w:pPr>
    </w:p>
    <w:p w14:paraId="4938533F" w14:textId="76FA901E" w:rsidR="00784C46" w:rsidRPr="00784C46" w:rsidRDefault="00784C46" w:rsidP="00784C46">
      <w:pPr>
        <w:pStyle w:val="Heading2"/>
      </w:pPr>
      <w:bookmarkStart w:id="8" w:name="_Toc222944985"/>
      <w:r w:rsidRPr="00784C46">
        <w:t>2.2 Structural Drivers of Staff Shortages in Hospitality</w:t>
      </w:r>
      <w:bookmarkEnd w:id="8"/>
    </w:p>
    <w:p w14:paraId="018ACA3A" w14:textId="58FEC882" w:rsidR="001178A0" w:rsidRDefault="001178A0" w:rsidP="00784C46">
      <w:pPr>
        <w:spacing w:line="360" w:lineRule="auto"/>
        <w:jc w:val="both"/>
        <w:rPr>
          <w:rFonts w:ascii="Arial" w:hAnsi="Arial" w:cs="Arial"/>
          <w:sz w:val="24"/>
          <w:szCs w:val="24"/>
        </w:rPr>
      </w:pPr>
      <w:r w:rsidRPr="001178A0">
        <w:rPr>
          <w:rFonts w:ascii="Arial" w:hAnsi="Arial" w:cs="Arial"/>
          <w:sz w:val="24"/>
          <w:szCs w:val="24"/>
        </w:rPr>
        <w:t>Hospitality employment has historically been characterised by relatively high turnover rates compared with other sectors. Baum (2015) argues that persistent workforce challenges within tourism and hospitality reflect long-standing reliance on flexible labour structures and limited professionalisation pathways, contributing to cyclical instability. Expanding this perspective, Baum et al (2020) contend that cost-sensitive employment models have reinforced structural workforce fragility across the sector. Employment instability, unsociable working hours and sustained emotional demands are consistently identified as factors influencing employee exit and weakened organisational attachment</w:t>
      </w:r>
      <w:r w:rsidR="00C77D54">
        <w:rPr>
          <w:rFonts w:ascii="Arial" w:hAnsi="Arial" w:cs="Arial"/>
          <w:sz w:val="24"/>
          <w:szCs w:val="24"/>
        </w:rPr>
        <w:t xml:space="preserve"> (</w:t>
      </w:r>
      <w:r w:rsidR="00C77D54" w:rsidRPr="00C77D54">
        <w:rPr>
          <w:rFonts w:ascii="Arial" w:hAnsi="Arial" w:cs="Arial"/>
          <w:sz w:val="24"/>
          <w:szCs w:val="24"/>
        </w:rPr>
        <w:t>Karatepe and Olugbade, 2009)</w:t>
      </w:r>
      <w:r w:rsidR="00C77D54">
        <w:rPr>
          <w:rFonts w:ascii="Arial" w:hAnsi="Arial" w:cs="Arial"/>
          <w:sz w:val="24"/>
          <w:szCs w:val="24"/>
        </w:rPr>
        <w:t>.</w:t>
      </w:r>
    </w:p>
    <w:p w14:paraId="0054A103" w14:textId="0D5158F8" w:rsidR="00784C46" w:rsidRDefault="00A52041" w:rsidP="00784C46">
      <w:pPr>
        <w:spacing w:line="360" w:lineRule="auto"/>
        <w:jc w:val="both"/>
        <w:rPr>
          <w:rFonts w:ascii="Arial" w:hAnsi="Arial" w:cs="Arial"/>
          <w:sz w:val="24"/>
          <w:szCs w:val="24"/>
        </w:rPr>
      </w:pPr>
      <w:r w:rsidRPr="00A52041">
        <w:rPr>
          <w:rFonts w:ascii="Arial" w:hAnsi="Arial" w:cs="Arial"/>
          <w:sz w:val="24"/>
          <w:szCs w:val="24"/>
        </w:rPr>
        <w:t>Drawing on Hochschild (1983), emotional labour can be understood as the organisationally prescribed management of emotional expression during service encounters, requiring employees to align outward displays with institutional service norms</w:t>
      </w:r>
      <w:r w:rsidR="00923132" w:rsidRPr="00923132">
        <w:rPr>
          <w:rFonts w:ascii="Arial" w:hAnsi="Arial" w:cs="Arial"/>
          <w:sz w:val="24"/>
          <w:szCs w:val="24"/>
        </w:rPr>
        <w:t>.</w:t>
      </w:r>
      <w:r w:rsidR="00F50D6B">
        <w:rPr>
          <w:rFonts w:ascii="Arial" w:hAnsi="Arial" w:cs="Arial"/>
          <w:sz w:val="24"/>
          <w:szCs w:val="24"/>
        </w:rPr>
        <w:t xml:space="preserve"> </w:t>
      </w:r>
      <w:r w:rsidR="00F50D6B" w:rsidRPr="00F50D6B">
        <w:rPr>
          <w:rFonts w:ascii="Arial" w:hAnsi="Arial" w:cs="Arial"/>
          <w:sz w:val="24"/>
          <w:szCs w:val="24"/>
        </w:rPr>
        <w:t>Grandey (2000) conceptualises emotional labour as a form of emotion regulation that requires sustained cognitive effort, suggesting that when employees lack adequate recovery time due to understaffing, emotional resource depletion becomes more likely.</w:t>
      </w:r>
      <w:r w:rsidR="00923132" w:rsidRPr="00923132">
        <w:rPr>
          <w:rFonts w:ascii="Arial" w:hAnsi="Arial" w:cs="Arial"/>
          <w:sz w:val="24"/>
          <w:szCs w:val="24"/>
        </w:rPr>
        <w:t xml:space="preserve"> Sustained emotional regulation, particularly under conditions of work overload, has been shown to increase exhaustion and reduce job satisfaction in hotel contexts (Karatepe and Olugbade, 2009).</w:t>
      </w:r>
    </w:p>
    <w:p w14:paraId="25D40CAC" w14:textId="16FC5FFA" w:rsidR="00D0545B" w:rsidRPr="00D0545B" w:rsidRDefault="00D0545B" w:rsidP="00D0545B">
      <w:pPr>
        <w:spacing w:line="360" w:lineRule="auto"/>
        <w:jc w:val="both"/>
        <w:rPr>
          <w:rFonts w:ascii="Arial" w:hAnsi="Arial" w:cs="Arial"/>
          <w:sz w:val="24"/>
          <w:szCs w:val="24"/>
        </w:rPr>
      </w:pPr>
      <w:r w:rsidRPr="00D0545B">
        <w:rPr>
          <w:rFonts w:ascii="Arial" w:hAnsi="Arial" w:cs="Arial"/>
          <w:sz w:val="24"/>
          <w:szCs w:val="24"/>
        </w:rPr>
        <w:t>Recent hotel-based research reinforces this structural interpretation. Wang et al (2020) demonstrate that elevated job demands and emotional strain directly affect service performance quality in hospitality settings. Similarly, Jin</w:t>
      </w:r>
      <w:r w:rsidR="00DE70BB">
        <w:rPr>
          <w:rFonts w:ascii="Arial" w:hAnsi="Arial" w:cs="Arial"/>
          <w:sz w:val="24"/>
          <w:szCs w:val="24"/>
        </w:rPr>
        <w:t xml:space="preserve"> et al</w:t>
      </w:r>
      <w:r w:rsidRPr="00D0545B">
        <w:rPr>
          <w:rFonts w:ascii="Arial" w:hAnsi="Arial" w:cs="Arial"/>
          <w:sz w:val="24"/>
          <w:szCs w:val="24"/>
        </w:rPr>
        <w:t xml:space="preserve"> (2021) find that role stress in hotels reduces prosocial service behaviour, which is critical for maintaining responsiveness and discretionary service excellence.</w:t>
      </w:r>
    </w:p>
    <w:p w14:paraId="379F0D78" w14:textId="52F6F940" w:rsidR="000458D4" w:rsidRDefault="00D0545B" w:rsidP="00D0545B">
      <w:pPr>
        <w:spacing w:line="360" w:lineRule="auto"/>
        <w:jc w:val="both"/>
        <w:rPr>
          <w:rFonts w:ascii="Arial" w:hAnsi="Arial" w:cs="Arial"/>
          <w:sz w:val="24"/>
          <w:szCs w:val="24"/>
        </w:rPr>
      </w:pPr>
      <w:r w:rsidRPr="00D0545B">
        <w:rPr>
          <w:rFonts w:ascii="Arial" w:hAnsi="Arial" w:cs="Arial"/>
          <w:sz w:val="24"/>
          <w:szCs w:val="24"/>
        </w:rPr>
        <w:lastRenderedPageBreak/>
        <w:t>These findings suggest that staffing shortages are not simply numerical gaps in workforce supply, but are linked to deeper organisational and psychological factors affecting employee engagement and retention.</w:t>
      </w:r>
    </w:p>
    <w:p w14:paraId="7E00B895" w14:textId="73D1F05E" w:rsidR="0072687D" w:rsidRDefault="0072687D" w:rsidP="00D0545B">
      <w:pPr>
        <w:spacing w:line="360" w:lineRule="auto"/>
        <w:jc w:val="both"/>
        <w:rPr>
          <w:rFonts w:ascii="Arial" w:hAnsi="Arial" w:cs="Arial"/>
          <w:sz w:val="24"/>
          <w:szCs w:val="24"/>
        </w:rPr>
      </w:pPr>
      <w:r w:rsidRPr="0072687D">
        <w:rPr>
          <w:rFonts w:ascii="Arial" w:hAnsi="Arial" w:cs="Arial"/>
          <w:sz w:val="24"/>
          <w:szCs w:val="24"/>
        </w:rPr>
        <w:t>Kim, Leong and Lee (2005) further support this perspective by demonstrating that service orientation and organisational commitment significantly reduce turnover intention within hospitality settings, underscoring the relational foundations of workforce stability.</w:t>
      </w:r>
    </w:p>
    <w:p w14:paraId="38A0F972" w14:textId="77777777" w:rsidR="00B36746" w:rsidRDefault="00B36746" w:rsidP="00D0545B">
      <w:pPr>
        <w:spacing w:line="360" w:lineRule="auto"/>
        <w:jc w:val="both"/>
        <w:rPr>
          <w:rFonts w:ascii="Arial" w:hAnsi="Arial" w:cs="Arial"/>
          <w:sz w:val="24"/>
          <w:szCs w:val="24"/>
        </w:rPr>
      </w:pPr>
    </w:p>
    <w:p w14:paraId="7CE3DCA1" w14:textId="501E4ACD" w:rsidR="00B36746" w:rsidRPr="00B36746" w:rsidRDefault="00B36746" w:rsidP="00B36746">
      <w:pPr>
        <w:pStyle w:val="Heading3"/>
      </w:pPr>
      <w:bookmarkStart w:id="9" w:name="_Toc222944986"/>
      <w:r w:rsidRPr="00B36746">
        <w:t>2.2.1 Job Demands–Resources Perspective</w:t>
      </w:r>
      <w:bookmarkEnd w:id="9"/>
    </w:p>
    <w:p w14:paraId="0D1725B8" w14:textId="4D8F22F7" w:rsidR="00B36746" w:rsidRDefault="007A2BBF" w:rsidP="00B36746">
      <w:pPr>
        <w:spacing w:line="360" w:lineRule="auto"/>
        <w:jc w:val="both"/>
        <w:rPr>
          <w:rFonts w:ascii="Arial" w:hAnsi="Arial" w:cs="Arial"/>
          <w:sz w:val="24"/>
          <w:szCs w:val="24"/>
        </w:rPr>
      </w:pPr>
      <w:r w:rsidRPr="007A2BBF">
        <w:rPr>
          <w:rFonts w:ascii="Arial" w:hAnsi="Arial" w:cs="Arial"/>
          <w:sz w:val="24"/>
          <w:szCs w:val="24"/>
        </w:rPr>
        <w:t>Within the Job Demands–Resources framework, workload intensity, emotional strain and time pressure are conceptualised as demands that deplete psychological capacity when not balanced by sufficient organisational resources, thereby increasing strain and weakening engagement (Demerouti et al, 2001).</w:t>
      </w:r>
      <w:r>
        <w:rPr>
          <w:rFonts w:ascii="Arial" w:hAnsi="Arial" w:cs="Arial"/>
          <w:sz w:val="24"/>
          <w:szCs w:val="24"/>
        </w:rPr>
        <w:t xml:space="preserve"> </w:t>
      </w:r>
      <w:r w:rsidR="00B36746" w:rsidRPr="00B36746">
        <w:rPr>
          <w:rFonts w:ascii="Arial" w:hAnsi="Arial" w:cs="Arial"/>
          <w:sz w:val="24"/>
          <w:szCs w:val="24"/>
        </w:rPr>
        <w:t>Within hotel contexts, job demands are often amplified by occupancy volatility and guest expectations, making staffing adequacy a critical structural resource.</w:t>
      </w:r>
    </w:p>
    <w:p w14:paraId="58DF288F" w14:textId="6A418910" w:rsidR="005E4FB0" w:rsidRDefault="00032B35" w:rsidP="00B36746">
      <w:pPr>
        <w:spacing w:line="360" w:lineRule="auto"/>
        <w:jc w:val="both"/>
        <w:rPr>
          <w:rFonts w:ascii="Arial" w:hAnsi="Arial" w:cs="Arial"/>
          <w:sz w:val="24"/>
          <w:szCs w:val="24"/>
        </w:rPr>
      </w:pPr>
      <w:r w:rsidRPr="00032B35">
        <w:rPr>
          <w:rFonts w:ascii="Arial" w:hAnsi="Arial" w:cs="Arial"/>
          <w:sz w:val="24"/>
          <w:szCs w:val="24"/>
        </w:rPr>
        <w:t>Karatepe (2013) applies the JD–R model to hotel employees and finds that insufficient resources exacerbate emotional exhaustion, which subsequently reduces service performance and organisational commitment. This theoretical framing supports the argument that staff shortages are not merely operational inconveniences but structural imbalances within the demand–resource system of hotel work.</w:t>
      </w:r>
    </w:p>
    <w:p w14:paraId="34FCDF87" w14:textId="5E41A023" w:rsidR="00E07DD2" w:rsidRDefault="00E07DD2" w:rsidP="00B36746">
      <w:pPr>
        <w:spacing w:line="360" w:lineRule="auto"/>
        <w:jc w:val="both"/>
        <w:rPr>
          <w:rFonts w:ascii="Arial" w:hAnsi="Arial" w:cs="Arial"/>
          <w:sz w:val="24"/>
          <w:szCs w:val="24"/>
        </w:rPr>
      </w:pPr>
      <w:r w:rsidRPr="00E07DD2">
        <w:rPr>
          <w:rFonts w:ascii="Arial" w:hAnsi="Arial" w:cs="Arial"/>
          <w:sz w:val="24"/>
          <w:szCs w:val="24"/>
        </w:rPr>
        <w:t>By situating staffing shortages within the JD–R framework, the relationship between workload intensity and service quality becomes conceptually clearer: when demand exceeds available human resources, behavioural and psychological strain undermine consistent service enactment.</w:t>
      </w:r>
    </w:p>
    <w:p w14:paraId="092C20A4" w14:textId="77777777" w:rsidR="00197942" w:rsidRDefault="00197942" w:rsidP="00B36746">
      <w:pPr>
        <w:spacing w:line="360" w:lineRule="auto"/>
        <w:jc w:val="both"/>
        <w:rPr>
          <w:rFonts w:ascii="Arial" w:hAnsi="Arial" w:cs="Arial"/>
          <w:sz w:val="24"/>
          <w:szCs w:val="24"/>
        </w:rPr>
      </w:pPr>
    </w:p>
    <w:p w14:paraId="3AABD523" w14:textId="4D50BE62" w:rsidR="00F11DD4" w:rsidRPr="00F11DD4" w:rsidRDefault="00F11DD4" w:rsidP="00F11DD4">
      <w:pPr>
        <w:pStyle w:val="Heading3"/>
      </w:pPr>
      <w:bookmarkStart w:id="10" w:name="_Toc222944987"/>
      <w:r w:rsidRPr="00F11DD4">
        <w:t>2.2.2 Structural Labour Market Context in the UK Hospitality Sector</w:t>
      </w:r>
      <w:bookmarkEnd w:id="10"/>
    </w:p>
    <w:p w14:paraId="751494EC" w14:textId="5633AE82" w:rsidR="00F11DD4" w:rsidRPr="00F11DD4" w:rsidRDefault="00F11DD4" w:rsidP="00F11DD4">
      <w:pPr>
        <w:spacing w:line="360" w:lineRule="auto"/>
        <w:jc w:val="both"/>
        <w:rPr>
          <w:rFonts w:ascii="Arial" w:hAnsi="Arial" w:cs="Arial"/>
          <w:sz w:val="24"/>
          <w:szCs w:val="24"/>
        </w:rPr>
      </w:pPr>
      <w:r w:rsidRPr="00F11DD4">
        <w:rPr>
          <w:rFonts w:ascii="Arial" w:hAnsi="Arial" w:cs="Arial"/>
          <w:sz w:val="24"/>
          <w:szCs w:val="24"/>
        </w:rPr>
        <w:t xml:space="preserve">While staffing shortages in hospitality are frequently discussed in operational terms, labour economics literature suggests that workforce instability reflects structural characteristics of the sector. Human capital theory (Becker, 1964) posits that employees invest in skills when expected returns outweigh costs. However, hospitality roles are often characterised by relatively low wage progression and limited perceived </w:t>
      </w:r>
      <w:r w:rsidRPr="00F11DD4">
        <w:rPr>
          <w:rFonts w:ascii="Arial" w:hAnsi="Arial" w:cs="Arial"/>
          <w:sz w:val="24"/>
          <w:szCs w:val="24"/>
        </w:rPr>
        <w:lastRenderedPageBreak/>
        <w:t>long-term career security, reducing incentives for sustained investment in firm-specific human capital.</w:t>
      </w:r>
    </w:p>
    <w:p w14:paraId="349DBEB1" w14:textId="2EF9CDB5" w:rsidR="00F11DD4" w:rsidRPr="00F11DD4" w:rsidRDefault="00F11DD4" w:rsidP="00F11DD4">
      <w:pPr>
        <w:spacing w:line="360" w:lineRule="auto"/>
        <w:jc w:val="both"/>
        <w:rPr>
          <w:rFonts w:ascii="Arial" w:hAnsi="Arial" w:cs="Arial"/>
          <w:sz w:val="24"/>
          <w:szCs w:val="24"/>
        </w:rPr>
      </w:pPr>
      <w:r w:rsidRPr="00F11DD4">
        <w:rPr>
          <w:rFonts w:ascii="Arial" w:hAnsi="Arial" w:cs="Arial"/>
          <w:sz w:val="24"/>
          <w:szCs w:val="24"/>
        </w:rPr>
        <w:t>Dual labour market theory further differentiates between primary and secondary labour markets (Doeringer and Piore, 1971). Hospitality employment has historically exhibited features associated with secondary labour markets, including high turnover, flexible contracts and limited internal mobility. Such characteristics contribute to cyclical workforce instability, particularly under external shocks such as Brexit-related migration constraints and post-pandemic labour participation shifts.</w:t>
      </w:r>
    </w:p>
    <w:p w14:paraId="58A35A88" w14:textId="2AED3298" w:rsidR="00F11DD4" w:rsidRPr="00F11DD4" w:rsidRDefault="00F11DD4" w:rsidP="00F11DD4">
      <w:pPr>
        <w:spacing w:line="360" w:lineRule="auto"/>
        <w:jc w:val="both"/>
        <w:rPr>
          <w:rFonts w:ascii="Arial" w:hAnsi="Arial" w:cs="Arial"/>
          <w:sz w:val="24"/>
          <w:szCs w:val="24"/>
        </w:rPr>
      </w:pPr>
      <w:r w:rsidRPr="00F11DD4">
        <w:rPr>
          <w:rFonts w:ascii="Arial" w:hAnsi="Arial" w:cs="Arial"/>
          <w:sz w:val="24"/>
          <w:szCs w:val="24"/>
        </w:rPr>
        <w:t>From a strategic perspective, the Resource-Based View (RBV) conceptualises human capital as a source of sustained competitive advantage when it is valuable, rare and difficult to imitate (Barney, 1991). Persistent staffing shortages therefore represent not only an operational disruption but a potential erosion of strategic resource capacity. Within hotel environments such as TY Newport Hotel, where service differentiation depends heavily on relational consistency and experiential quality, labour stability constitutes a foundational organisational asset.</w:t>
      </w:r>
    </w:p>
    <w:p w14:paraId="27603626" w14:textId="0DD50081" w:rsidR="00197942" w:rsidRDefault="00F11DD4" w:rsidP="00F11DD4">
      <w:pPr>
        <w:spacing w:line="360" w:lineRule="auto"/>
        <w:jc w:val="both"/>
        <w:rPr>
          <w:rFonts w:ascii="Arial" w:hAnsi="Arial" w:cs="Arial"/>
          <w:sz w:val="24"/>
          <w:szCs w:val="24"/>
        </w:rPr>
      </w:pPr>
      <w:r w:rsidRPr="00F11DD4">
        <w:rPr>
          <w:rFonts w:ascii="Arial" w:hAnsi="Arial" w:cs="Arial"/>
          <w:sz w:val="24"/>
          <w:szCs w:val="24"/>
        </w:rPr>
        <w:t>Integrating labour market theory with hospitality research reframes staff shortages as structural employment design challenges rather than temporary cyclical fluctuations.</w:t>
      </w:r>
    </w:p>
    <w:p w14:paraId="54AB2705" w14:textId="77777777" w:rsidR="000458D4" w:rsidRDefault="000458D4" w:rsidP="000D522D">
      <w:pPr>
        <w:spacing w:line="360" w:lineRule="auto"/>
        <w:jc w:val="both"/>
        <w:rPr>
          <w:rFonts w:ascii="Arial" w:hAnsi="Arial" w:cs="Arial"/>
          <w:sz w:val="24"/>
          <w:szCs w:val="24"/>
        </w:rPr>
      </w:pPr>
    </w:p>
    <w:p w14:paraId="14D4DCE7" w14:textId="4739E673" w:rsidR="006742A5" w:rsidRPr="006742A5" w:rsidRDefault="006742A5" w:rsidP="006742A5">
      <w:pPr>
        <w:pStyle w:val="Heading2"/>
      </w:pPr>
      <w:bookmarkStart w:id="11" w:name="_Toc222944988"/>
      <w:r w:rsidRPr="006742A5">
        <w:t>2.3 Conceptualising Service Quality in Hotels</w:t>
      </w:r>
      <w:bookmarkEnd w:id="11"/>
    </w:p>
    <w:p w14:paraId="65F5D04D" w14:textId="2485503D" w:rsidR="000458D4" w:rsidRDefault="00C43E28" w:rsidP="006742A5">
      <w:pPr>
        <w:spacing w:line="360" w:lineRule="auto"/>
        <w:jc w:val="both"/>
        <w:rPr>
          <w:rFonts w:ascii="Arial" w:hAnsi="Arial" w:cs="Arial"/>
          <w:sz w:val="24"/>
          <w:szCs w:val="24"/>
        </w:rPr>
      </w:pPr>
      <w:r w:rsidRPr="00C43E28">
        <w:rPr>
          <w:rFonts w:ascii="Arial" w:hAnsi="Arial" w:cs="Arial"/>
          <w:sz w:val="24"/>
          <w:szCs w:val="24"/>
        </w:rPr>
        <w:t>Parasuraman et al (1988) frame service quality as a multidimensional evaluation process incorporating delivery reliability, responsiveness to guest needs, competence-based assurance, relational empathy and the tangible cues shaping customer perceptions.</w:t>
      </w:r>
      <w:r>
        <w:rPr>
          <w:rFonts w:ascii="Arial" w:hAnsi="Arial" w:cs="Arial"/>
          <w:sz w:val="24"/>
          <w:szCs w:val="24"/>
        </w:rPr>
        <w:t xml:space="preserve"> </w:t>
      </w:r>
      <w:r w:rsidR="006742A5" w:rsidRPr="006742A5">
        <w:rPr>
          <w:rFonts w:ascii="Arial" w:hAnsi="Arial" w:cs="Arial"/>
          <w:sz w:val="24"/>
          <w:szCs w:val="24"/>
        </w:rPr>
        <w:t>In hotel environments, these dimensions are operationalised primarily through frontline employee behaviour.</w:t>
      </w:r>
    </w:p>
    <w:p w14:paraId="4CABA8D1" w14:textId="5481F9EC" w:rsidR="000458D4" w:rsidRDefault="007D7D4D" w:rsidP="000D522D">
      <w:pPr>
        <w:spacing w:line="360" w:lineRule="auto"/>
        <w:jc w:val="both"/>
        <w:rPr>
          <w:rFonts w:ascii="Arial" w:hAnsi="Arial" w:cs="Arial"/>
          <w:sz w:val="24"/>
          <w:szCs w:val="24"/>
        </w:rPr>
      </w:pPr>
      <w:r w:rsidRPr="007D7D4D">
        <w:rPr>
          <w:rFonts w:ascii="Arial" w:hAnsi="Arial" w:cs="Arial"/>
          <w:sz w:val="24"/>
          <w:szCs w:val="24"/>
        </w:rPr>
        <w:t xml:space="preserve">Unlike standardised service systems, hotel service encounters are highly interactive and relational. O’Neill and </w:t>
      </w:r>
      <w:r w:rsidR="005C5837">
        <w:rPr>
          <w:rFonts w:ascii="Arial" w:hAnsi="Arial" w:cs="Arial"/>
          <w:sz w:val="24"/>
          <w:szCs w:val="24"/>
        </w:rPr>
        <w:t>Follmer</w:t>
      </w:r>
      <w:r w:rsidRPr="007D7D4D">
        <w:rPr>
          <w:rFonts w:ascii="Arial" w:hAnsi="Arial" w:cs="Arial"/>
          <w:sz w:val="24"/>
          <w:szCs w:val="24"/>
        </w:rPr>
        <w:t xml:space="preserve"> (2020) emphasise that service quality in hospitality is embedded in ongoing interpersonal exchanges, making employee engagement central to quality consistency. Discretionary effort, emotional display and service recovery behaviours are especially important during peak demand periods.</w:t>
      </w:r>
    </w:p>
    <w:p w14:paraId="7F5112E8" w14:textId="4EFAD963" w:rsidR="001B4010" w:rsidRPr="001B4010" w:rsidRDefault="001B4010" w:rsidP="001B4010">
      <w:pPr>
        <w:spacing w:line="360" w:lineRule="auto"/>
        <w:jc w:val="both"/>
        <w:rPr>
          <w:rFonts w:ascii="Arial" w:hAnsi="Arial" w:cs="Arial"/>
          <w:sz w:val="24"/>
          <w:szCs w:val="24"/>
        </w:rPr>
      </w:pPr>
      <w:r w:rsidRPr="001B4010">
        <w:rPr>
          <w:rFonts w:ascii="Arial" w:hAnsi="Arial" w:cs="Arial"/>
          <w:sz w:val="24"/>
          <w:szCs w:val="24"/>
        </w:rPr>
        <w:t xml:space="preserve">Recent empirical work in hotel settings confirms that workload and emotional strain influence service quality outcomes. Wang et al (2020) show that emotional labour </w:t>
      </w:r>
      <w:r w:rsidRPr="001B4010">
        <w:rPr>
          <w:rFonts w:ascii="Arial" w:hAnsi="Arial" w:cs="Arial"/>
          <w:sz w:val="24"/>
          <w:szCs w:val="24"/>
        </w:rPr>
        <w:lastRenderedPageBreak/>
        <w:t>strategies affect perceived service quality through their impact on employee well-being and behavioural consistency. Jin et al (2021) similarly identify job stress as a predictor of reduced extra-role service behaviour in hotels.</w:t>
      </w:r>
    </w:p>
    <w:p w14:paraId="4FA2E9A6" w14:textId="644F39E0" w:rsidR="000458D4" w:rsidRDefault="001B4010" w:rsidP="001B4010">
      <w:pPr>
        <w:spacing w:line="360" w:lineRule="auto"/>
        <w:jc w:val="both"/>
        <w:rPr>
          <w:rFonts w:ascii="Arial" w:hAnsi="Arial" w:cs="Arial"/>
          <w:sz w:val="24"/>
          <w:szCs w:val="24"/>
        </w:rPr>
      </w:pPr>
      <w:r w:rsidRPr="001B4010">
        <w:rPr>
          <w:rFonts w:ascii="Arial" w:hAnsi="Arial" w:cs="Arial"/>
          <w:sz w:val="24"/>
          <w:szCs w:val="24"/>
        </w:rPr>
        <w:t>Therefore, staffing adequacy is not merely an operational efficiency issue; it is structurally connected to the behavioural mechanisms through which service quality is enacted.</w:t>
      </w:r>
    </w:p>
    <w:p w14:paraId="0850A3C5" w14:textId="2F33A21C" w:rsidR="005B0F76" w:rsidRDefault="005B0F76" w:rsidP="001B4010">
      <w:pPr>
        <w:spacing w:line="360" w:lineRule="auto"/>
        <w:jc w:val="both"/>
        <w:rPr>
          <w:rFonts w:ascii="Arial" w:hAnsi="Arial" w:cs="Arial"/>
          <w:sz w:val="24"/>
          <w:szCs w:val="24"/>
        </w:rPr>
      </w:pPr>
      <w:r w:rsidRPr="005B0F76">
        <w:rPr>
          <w:rFonts w:ascii="Arial" w:hAnsi="Arial" w:cs="Arial"/>
          <w:sz w:val="24"/>
          <w:szCs w:val="24"/>
        </w:rPr>
        <w:t>Yoon and Suh (2003) demonstrate that organisational citizenship behaviours among frontline service employees are positively associated with perceived service quality, indicating that discretionary behaviours—often constrained under staffing shortages—are central to customer evaluations.</w:t>
      </w:r>
    </w:p>
    <w:p w14:paraId="2579DB1A" w14:textId="77777777" w:rsidR="0010209F" w:rsidRDefault="0010209F" w:rsidP="001B4010">
      <w:pPr>
        <w:spacing w:line="360" w:lineRule="auto"/>
        <w:jc w:val="both"/>
        <w:rPr>
          <w:rFonts w:ascii="Arial" w:hAnsi="Arial" w:cs="Arial"/>
          <w:sz w:val="24"/>
          <w:szCs w:val="24"/>
        </w:rPr>
      </w:pPr>
    </w:p>
    <w:p w14:paraId="0C9983B5" w14:textId="24E26938" w:rsidR="0010209F" w:rsidRPr="0010209F" w:rsidRDefault="0010209F" w:rsidP="0010209F">
      <w:pPr>
        <w:pStyle w:val="Heading3"/>
      </w:pPr>
      <w:bookmarkStart w:id="12" w:name="_Toc222944989"/>
      <w:r w:rsidRPr="0010209F">
        <w:t>2.3.1 Service Recovery and Frontline Discretion</w:t>
      </w:r>
      <w:bookmarkEnd w:id="12"/>
    </w:p>
    <w:p w14:paraId="7B203098" w14:textId="1399B1D8" w:rsidR="00D54A31" w:rsidRDefault="00D54A31" w:rsidP="0010209F">
      <w:pPr>
        <w:spacing w:line="360" w:lineRule="auto"/>
        <w:jc w:val="both"/>
        <w:rPr>
          <w:rFonts w:ascii="Arial" w:hAnsi="Arial" w:cs="Arial"/>
          <w:sz w:val="24"/>
          <w:szCs w:val="24"/>
        </w:rPr>
      </w:pPr>
      <w:r w:rsidRPr="00D54A31">
        <w:rPr>
          <w:rFonts w:ascii="Arial" w:hAnsi="Arial" w:cs="Arial"/>
          <w:sz w:val="24"/>
          <w:szCs w:val="24"/>
        </w:rPr>
        <w:t xml:space="preserve">Empirical hotel research indicates that effective service recovery contributes significantly to perceived service quality. </w:t>
      </w:r>
      <w:r w:rsidR="00050555" w:rsidRPr="00050555">
        <w:rPr>
          <w:rFonts w:ascii="Arial" w:hAnsi="Arial" w:cs="Arial"/>
          <w:sz w:val="24"/>
          <w:szCs w:val="24"/>
        </w:rPr>
        <w:t>Boshoff and Allen (2000) further identify that frontline employees’ perceptions of service recovery performance are strongly influenced by organisational support and resource availability, reinforcing the importance of adequate staffing in recovery contexts.</w:t>
      </w:r>
      <w:r w:rsidR="00050555">
        <w:rPr>
          <w:rFonts w:ascii="Arial" w:hAnsi="Arial" w:cs="Arial"/>
          <w:sz w:val="24"/>
          <w:szCs w:val="24"/>
        </w:rPr>
        <w:t xml:space="preserve"> </w:t>
      </w:r>
      <w:r w:rsidRPr="00D54A31">
        <w:rPr>
          <w:rFonts w:ascii="Arial" w:hAnsi="Arial" w:cs="Arial"/>
          <w:sz w:val="24"/>
          <w:szCs w:val="24"/>
        </w:rPr>
        <w:t>Moreno-Gil, Hudson and Aguiar-Quintana (2006) found that recovery efforts such as promptness, empathy and corrective actions improve customer perceptions of non-tangible service quality, demonstrating the importance of service recovery performance for overall guest evaluations.</w:t>
      </w:r>
    </w:p>
    <w:p w14:paraId="4A9E23DF" w14:textId="130F8F2C" w:rsidR="00D07552" w:rsidRDefault="00B32913" w:rsidP="000D522D">
      <w:pPr>
        <w:spacing w:line="360" w:lineRule="auto"/>
        <w:jc w:val="both"/>
        <w:rPr>
          <w:rFonts w:ascii="Arial" w:hAnsi="Arial" w:cs="Arial"/>
          <w:sz w:val="24"/>
          <w:szCs w:val="24"/>
        </w:rPr>
      </w:pPr>
      <w:r w:rsidRPr="00B32913">
        <w:rPr>
          <w:rFonts w:ascii="Arial" w:hAnsi="Arial" w:cs="Arial"/>
          <w:sz w:val="24"/>
          <w:szCs w:val="24"/>
        </w:rPr>
        <w:t>Evidence from hotel settings indicates that workload pressure and emotional exhaustion reduce employees’ capacity to engage in effective service recovery behaviours (Grobelna, 2021; Wang et al, 2020). When staffing levels are insufficient, frontline employees have reduced temporal and psychological resources to address service failures, limiting discretionary effort during peak occupancy periods. This suggests that staff shortages may compromise not only routine service delivery but also the system’s resilience during service breakdowns — an issue particularly significant for branded and upscale hotel operations where service differentiation is central to competitive positioning.</w:t>
      </w:r>
    </w:p>
    <w:p w14:paraId="2FAB2861" w14:textId="77777777" w:rsidR="00172368" w:rsidRDefault="00172368" w:rsidP="000D522D">
      <w:pPr>
        <w:spacing w:line="360" w:lineRule="auto"/>
        <w:jc w:val="both"/>
        <w:rPr>
          <w:rFonts w:ascii="Arial" w:hAnsi="Arial" w:cs="Arial"/>
          <w:sz w:val="24"/>
          <w:szCs w:val="24"/>
        </w:rPr>
      </w:pPr>
    </w:p>
    <w:p w14:paraId="66DD5D86" w14:textId="38A39EC7" w:rsidR="00CD125F" w:rsidRPr="00CD125F" w:rsidRDefault="00CD125F" w:rsidP="00CD125F">
      <w:pPr>
        <w:pStyle w:val="Heading3"/>
      </w:pPr>
      <w:bookmarkStart w:id="13" w:name="_Toc222944990"/>
      <w:r w:rsidRPr="00CD125F">
        <w:lastRenderedPageBreak/>
        <w:t>2.3.2 Service-Dominant Logic and Value Co-Creation</w:t>
      </w:r>
      <w:bookmarkEnd w:id="13"/>
    </w:p>
    <w:p w14:paraId="6EE7E638" w14:textId="5D6F1AEB" w:rsidR="00CD125F" w:rsidRPr="00CD125F" w:rsidRDefault="00CD125F" w:rsidP="00CD125F">
      <w:pPr>
        <w:spacing w:line="360" w:lineRule="auto"/>
        <w:jc w:val="both"/>
        <w:rPr>
          <w:rFonts w:ascii="Arial" w:hAnsi="Arial" w:cs="Arial"/>
          <w:sz w:val="24"/>
          <w:szCs w:val="24"/>
        </w:rPr>
      </w:pPr>
      <w:r w:rsidRPr="00CD125F">
        <w:rPr>
          <w:rFonts w:ascii="Arial" w:hAnsi="Arial" w:cs="Arial"/>
          <w:sz w:val="24"/>
          <w:szCs w:val="24"/>
        </w:rPr>
        <w:t>Contemporary service theory further strengthens the conceptual linkage between staffing adequacy and service quality. Service-Dominant Logic (SDL) proposes that value is co-created through interactions between providers and customers rather than embedded solely in tangible outputs (Vargo and Lusch, 2004; 2008). Within hotel environments, service encounters are inherently relational, and value emerges through frontline employee engagement, emotional display and discretionary effort.</w:t>
      </w:r>
    </w:p>
    <w:p w14:paraId="017E382A" w14:textId="0640D6A8" w:rsidR="00CD125F" w:rsidRPr="00CD125F" w:rsidRDefault="00CD125F" w:rsidP="00CD125F">
      <w:pPr>
        <w:spacing w:line="360" w:lineRule="auto"/>
        <w:jc w:val="both"/>
        <w:rPr>
          <w:rFonts w:ascii="Arial" w:hAnsi="Arial" w:cs="Arial"/>
          <w:sz w:val="24"/>
          <w:szCs w:val="24"/>
        </w:rPr>
      </w:pPr>
      <w:r w:rsidRPr="00CD125F">
        <w:rPr>
          <w:rFonts w:ascii="Arial" w:hAnsi="Arial" w:cs="Arial"/>
          <w:sz w:val="24"/>
          <w:szCs w:val="24"/>
        </w:rPr>
        <w:t>Grönroos (2008) extends this perspective by arguing that service logic positions customers as active participants in value formation processes. In this context, employee responsiveness, empathy and service recovery behaviours directly influence perceived value. When staffing levels are insufficient, temporal and psychological constraints may weaken employees’ capacity to engage in value co-creation, reducing relational depth and experiential differentiation.</w:t>
      </w:r>
    </w:p>
    <w:p w14:paraId="22580136" w14:textId="623D41FA" w:rsidR="00172368" w:rsidRDefault="00CD125F" w:rsidP="00CD125F">
      <w:pPr>
        <w:spacing w:line="360" w:lineRule="auto"/>
        <w:jc w:val="both"/>
        <w:rPr>
          <w:rFonts w:ascii="Arial" w:hAnsi="Arial" w:cs="Arial"/>
          <w:sz w:val="24"/>
          <w:szCs w:val="24"/>
        </w:rPr>
      </w:pPr>
      <w:r w:rsidRPr="00CD125F">
        <w:rPr>
          <w:rFonts w:ascii="Arial" w:hAnsi="Arial" w:cs="Arial"/>
          <w:sz w:val="24"/>
          <w:szCs w:val="24"/>
        </w:rPr>
        <w:t>Additionally, the servicescape framework (Bitner, 1992) highlights how physical and social environments shape service perceptions. While physical elements may remain constant, social interaction quality—largely determined by employee capacity—can deteriorate under work intensification. Thus, staffing adequacy functions not merely as an operational variable but as a core enabler of value co-creation within hotel service systems.</w:t>
      </w:r>
    </w:p>
    <w:p w14:paraId="498FFD95" w14:textId="77777777" w:rsidR="00B54525" w:rsidRDefault="00B54525" w:rsidP="00CD125F">
      <w:pPr>
        <w:spacing w:line="360" w:lineRule="auto"/>
        <w:jc w:val="both"/>
        <w:rPr>
          <w:rFonts w:ascii="Arial" w:hAnsi="Arial" w:cs="Arial"/>
          <w:sz w:val="24"/>
          <w:szCs w:val="24"/>
        </w:rPr>
      </w:pPr>
    </w:p>
    <w:p w14:paraId="053F18E2" w14:textId="3488BEAA" w:rsidR="00B54525" w:rsidRPr="00B54525" w:rsidRDefault="00B54525" w:rsidP="00B54525">
      <w:pPr>
        <w:pStyle w:val="Heading3"/>
      </w:pPr>
      <w:bookmarkStart w:id="14" w:name="_Toc222944991"/>
      <w:r w:rsidRPr="00B54525">
        <w:t>2.3.3 Psychological Safety and Service Climate</w:t>
      </w:r>
      <w:bookmarkEnd w:id="14"/>
    </w:p>
    <w:p w14:paraId="0037400B" w14:textId="2036F231" w:rsidR="00B54525" w:rsidRPr="00B54525" w:rsidRDefault="00B54525" w:rsidP="00B54525">
      <w:pPr>
        <w:spacing w:line="360" w:lineRule="auto"/>
        <w:jc w:val="both"/>
        <w:rPr>
          <w:rFonts w:ascii="Arial" w:hAnsi="Arial" w:cs="Arial"/>
          <w:sz w:val="24"/>
          <w:szCs w:val="24"/>
        </w:rPr>
      </w:pPr>
      <w:r w:rsidRPr="00B54525">
        <w:rPr>
          <w:rFonts w:ascii="Arial" w:hAnsi="Arial" w:cs="Arial"/>
          <w:sz w:val="24"/>
          <w:szCs w:val="24"/>
        </w:rPr>
        <w:t>Organisational climate literature further supports the structural importance of staffing adequacy. Service climate theory demonstrates that organisational support for service excellence predicts customer satisfaction and performance outcomes (Schneider et al, 200</w:t>
      </w:r>
      <w:r w:rsidR="009C39FE">
        <w:rPr>
          <w:rFonts w:ascii="Arial" w:hAnsi="Arial" w:cs="Arial"/>
          <w:sz w:val="24"/>
          <w:szCs w:val="24"/>
        </w:rPr>
        <w:t>5</w:t>
      </w:r>
      <w:r w:rsidRPr="00B54525">
        <w:rPr>
          <w:rFonts w:ascii="Arial" w:hAnsi="Arial" w:cs="Arial"/>
          <w:sz w:val="24"/>
          <w:szCs w:val="24"/>
        </w:rPr>
        <w:t>).</w:t>
      </w:r>
      <w:r w:rsidR="003621D7">
        <w:rPr>
          <w:rFonts w:ascii="Arial" w:hAnsi="Arial" w:cs="Arial"/>
          <w:sz w:val="24"/>
          <w:szCs w:val="24"/>
        </w:rPr>
        <w:t xml:space="preserve"> </w:t>
      </w:r>
      <w:r w:rsidR="003621D7" w:rsidRPr="003621D7">
        <w:rPr>
          <w:rFonts w:ascii="Arial" w:hAnsi="Arial" w:cs="Arial"/>
          <w:sz w:val="24"/>
          <w:szCs w:val="24"/>
        </w:rPr>
        <w:t>Subsequent multilevel analysis confirms that service climate functions as a strategic driver of customer satisfaction outcomes, linking internal workforce conditions with external performance indicators (Schneider et al, 2009).</w:t>
      </w:r>
      <w:r w:rsidRPr="00B54525">
        <w:rPr>
          <w:rFonts w:ascii="Arial" w:hAnsi="Arial" w:cs="Arial"/>
          <w:sz w:val="24"/>
          <w:szCs w:val="24"/>
        </w:rPr>
        <w:t xml:space="preserve"> When employees perceive strong internal support structures, service behaviours are more consistent and proactive.</w:t>
      </w:r>
    </w:p>
    <w:p w14:paraId="00D76CC8" w14:textId="2CBEC8E7" w:rsidR="00B54525" w:rsidRDefault="004808AA" w:rsidP="00B54525">
      <w:pPr>
        <w:spacing w:line="360" w:lineRule="auto"/>
        <w:jc w:val="both"/>
        <w:rPr>
          <w:rFonts w:ascii="Arial" w:hAnsi="Arial" w:cs="Arial"/>
          <w:sz w:val="24"/>
          <w:szCs w:val="24"/>
        </w:rPr>
      </w:pPr>
      <w:r w:rsidRPr="004808AA">
        <w:rPr>
          <w:rFonts w:ascii="Arial" w:hAnsi="Arial" w:cs="Arial"/>
          <w:sz w:val="24"/>
          <w:szCs w:val="24"/>
        </w:rPr>
        <w:t xml:space="preserve">Psychological safety describes a shared team-level belief that interpersonal risk-taking will not result in embarrassment or punishment, thereby enabling proactive service </w:t>
      </w:r>
      <w:r w:rsidRPr="004808AA">
        <w:rPr>
          <w:rFonts w:ascii="Arial" w:hAnsi="Arial" w:cs="Arial"/>
          <w:sz w:val="24"/>
          <w:szCs w:val="24"/>
        </w:rPr>
        <w:lastRenderedPageBreak/>
        <w:t>behaviours (Edmondson, 1999).</w:t>
      </w:r>
      <w:r w:rsidR="00B54525" w:rsidRPr="00B54525">
        <w:rPr>
          <w:rFonts w:ascii="Arial" w:hAnsi="Arial" w:cs="Arial"/>
          <w:sz w:val="24"/>
          <w:szCs w:val="24"/>
        </w:rPr>
        <w:t xml:space="preserve"> Under staffing pressure, employees may experience reduced supervisory availability and limited peer support, potentially weakening psychological safety. This can diminish discretionary behaviours such as proactive service recovery and guest engagement. Consequently, staffing shortages may indirectly affect service climate by altering internal relational dynamics.</w:t>
      </w:r>
    </w:p>
    <w:p w14:paraId="38B1D0E9" w14:textId="77777777" w:rsidR="00B32913" w:rsidRDefault="00B32913" w:rsidP="000D522D">
      <w:pPr>
        <w:spacing w:line="360" w:lineRule="auto"/>
        <w:jc w:val="both"/>
        <w:rPr>
          <w:rFonts w:ascii="Arial" w:hAnsi="Arial" w:cs="Arial"/>
          <w:sz w:val="24"/>
          <w:szCs w:val="24"/>
        </w:rPr>
      </w:pPr>
    </w:p>
    <w:p w14:paraId="7C0869F4" w14:textId="3F177572" w:rsidR="00B97EE0" w:rsidRPr="00B97EE0" w:rsidRDefault="00B97EE0" w:rsidP="00B97EE0">
      <w:pPr>
        <w:pStyle w:val="Heading2"/>
      </w:pPr>
      <w:bookmarkStart w:id="15" w:name="_Toc222944992"/>
      <w:r w:rsidRPr="00B97EE0">
        <w:t>2.4 Workload, Understaffing and Service Performance</w:t>
      </w:r>
      <w:bookmarkEnd w:id="15"/>
    </w:p>
    <w:p w14:paraId="469CB1FE" w14:textId="06CB095E" w:rsidR="00B97EE0" w:rsidRPr="00B97EE0" w:rsidRDefault="00B97EE0" w:rsidP="00B97EE0">
      <w:pPr>
        <w:spacing w:line="360" w:lineRule="auto"/>
        <w:jc w:val="both"/>
        <w:rPr>
          <w:rFonts w:ascii="Arial" w:hAnsi="Arial" w:cs="Arial"/>
          <w:sz w:val="24"/>
          <w:szCs w:val="24"/>
        </w:rPr>
      </w:pPr>
      <w:r w:rsidRPr="00B97EE0">
        <w:rPr>
          <w:rFonts w:ascii="Arial" w:hAnsi="Arial" w:cs="Arial"/>
          <w:sz w:val="24"/>
          <w:szCs w:val="24"/>
        </w:rPr>
        <w:t>Understaffing increases workload intensity, role breadth and time pressure. In hotel contexts, this often translates into reduced opportunity for personalised interaction and constrained service recovery capacity.</w:t>
      </w:r>
    </w:p>
    <w:p w14:paraId="32823607" w14:textId="4D74CD6C" w:rsidR="000458D4" w:rsidRPr="00742921" w:rsidRDefault="00F6550B" w:rsidP="000D522D">
      <w:pPr>
        <w:spacing w:line="360" w:lineRule="auto"/>
        <w:jc w:val="both"/>
        <w:rPr>
          <w:rFonts w:ascii="Arial" w:hAnsi="Arial" w:cs="Arial"/>
          <w:sz w:val="24"/>
          <w:szCs w:val="24"/>
        </w:rPr>
      </w:pPr>
      <w:r w:rsidRPr="00F6550B">
        <w:rPr>
          <w:rFonts w:ascii="Arial" w:hAnsi="Arial" w:cs="Arial"/>
          <w:sz w:val="24"/>
          <w:szCs w:val="24"/>
        </w:rPr>
        <w:t>Emotional exhaustion represents the progressive depletion of psychological energy arising from sustained interpersonal and performance demands within service roles (Grobelna, 2020).</w:t>
      </w:r>
      <w:r>
        <w:rPr>
          <w:rFonts w:ascii="Arial" w:hAnsi="Arial" w:cs="Arial"/>
          <w:sz w:val="24"/>
          <w:szCs w:val="24"/>
        </w:rPr>
        <w:t xml:space="preserve"> </w:t>
      </w:r>
      <w:r w:rsidR="00B97EE0" w:rsidRPr="00B97EE0">
        <w:rPr>
          <w:rFonts w:ascii="Arial" w:hAnsi="Arial" w:cs="Arial"/>
          <w:sz w:val="24"/>
          <w:szCs w:val="24"/>
        </w:rPr>
        <w:t xml:space="preserve">Employees experiencing sustained pressure are more likely to demonstrate reduced attentiveness and lower discretionary service behaviour. </w:t>
      </w:r>
      <w:r w:rsidR="00331F2E" w:rsidRPr="00331F2E">
        <w:rPr>
          <w:rFonts w:ascii="Arial" w:hAnsi="Arial" w:cs="Arial"/>
          <w:sz w:val="24"/>
          <w:szCs w:val="24"/>
        </w:rPr>
        <w:t>Similarly, Rescalvo-Martin, Gutierrez and Llorens-Montes (2022) demonstrate that performance pressure negatively affects extra-role service behaviour among frontline hospitality employees, indicating that sustained workload intensity can reduce discretionary service effort that supports high-quality guest experiences.</w:t>
      </w:r>
      <w:r w:rsidR="00CD7001">
        <w:rPr>
          <w:rFonts w:ascii="Arial" w:hAnsi="Arial" w:cs="Arial"/>
          <w:sz w:val="24"/>
          <w:szCs w:val="24"/>
        </w:rPr>
        <w:t xml:space="preserve"> </w:t>
      </w:r>
    </w:p>
    <w:p w14:paraId="702BA3C2" w14:textId="0B90871B" w:rsidR="000D522D" w:rsidRDefault="008C7F2A" w:rsidP="000D522D">
      <w:pPr>
        <w:spacing w:line="360" w:lineRule="auto"/>
        <w:jc w:val="both"/>
        <w:rPr>
          <w:rFonts w:ascii="Arial" w:hAnsi="Arial" w:cs="Arial"/>
          <w:sz w:val="24"/>
          <w:szCs w:val="24"/>
        </w:rPr>
      </w:pPr>
      <w:r w:rsidRPr="008C7F2A">
        <w:rPr>
          <w:rFonts w:ascii="Arial" w:hAnsi="Arial" w:cs="Arial"/>
          <w:sz w:val="24"/>
          <w:szCs w:val="24"/>
        </w:rPr>
        <w:t>This suggests that service quality deterioration under staffing shortages may occur gradually. Rather than immediate system collapse, hotels may maintain basic service delivery through work intensification, while relational and discretionary components of quality decline over time. This cumulative erosion poses strategic risks, particularly for upscale and branded hotels that compete on service excellence.</w:t>
      </w:r>
    </w:p>
    <w:p w14:paraId="1EF5F0BD" w14:textId="5E66BD18" w:rsidR="009923CD" w:rsidRPr="009923CD" w:rsidRDefault="009923CD" w:rsidP="009923CD">
      <w:pPr>
        <w:spacing w:line="360" w:lineRule="auto"/>
        <w:jc w:val="both"/>
        <w:rPr>
          <w:rFonts w:ascii="Arial" w:hAnsi="Arial" w:cs="Arial"/>
          <w:sz w:val="24"/>
          <w:szCs w:val="24"/>
        </w:rPr>
      </w:pPr>
      <w:r w:rsidRPr="009923CD">
        <w:rPr>
          <w:rFonts w:ascii="Arial" w:hAnsi="Arial" w:cs="Arial"/>
          <w:sz w:val="24"/>
          <w:szCs w:val="24"/>
        </w:rPr>
        <w:t>Recent hospitality research indicates that adverse working conditions and reduced organisational support are associated with increased turnover intention among frontline hotel employees (Karatepe and Shahriari, 2014). Although this work focuses on organisational justice and job embeddedness, it highlights how unfavourable employment conditions can weaken retention, thereby destabilising workforce continuity. High turnover disrupts service consistency through the loss of organisational knowledge, skill accumulation and team cohesion, reinforcing the structural vulnerability of labour-intensive hotel operations.</w:t>
      </w:r>
    </w:p>
    <w:p w14:paraId="03939275" w14:textId="31D6FEE4" w:rsidR="009923CD" w:rsidRPr="009923CD" w:rsidRDefault="009923CD" w:rsidP="009923CD">
      <w:pPr>
        <w:spacing w:line="360" w:lineRule="auto"/>
        <w:jc w:val="both"/>
        <w:rPr>
          <w:rFonts w:ascii="Arial" w:hAnsi="Arial" w:cs="Arial"/>
          <w:sz w:val="24"/>
          <w:szCs w:val="24"/>
        </w:rPr>
      </w:pPr>
      <w:r w:rsidRPr="009923CD">
        <w:rPr>
          <w:rFonts w:ascii="Arial" w:hAnsi="Arial" w:cs="Arial"/>
          <w:sz w:val="24"/>
          <w:szCs w:val="24"/>
        </w:rPr>
        <w:lastRenderedPageBreak/>
        <w:t>Furthermore, hospitality studies show that employee engagement plays a significant role in shaping service performance outcomes. Lu</w:t>
      </w:r>
      <w:r w:rsidR="00CC6E6C">
        <w:rPr>
          <w:rFonts w:ascii="Arial" w:hAnsi="Arial" w:cs="Arial"/>
          <w:sz w:val="24"/>
          <w:szCs w:val="24"/>
        </w:rPr>
        <w:t xml:space="preserve"> et al</w:t>
      </w:r>
      <w:r w:rsidRPr="009923CD">
        <w:rPr>
          <w:rFonts w:ascii="Arial" w:hAnsi="Arial" w:cs="Arial"/>
          <w:sz w:val="24"/>
          <w:szCs w:val="24"/>
        </w:rPr>
        <w:t xml:space="preserve"> (2016) demonstrate that work engagement is positively associated with job satisfaction and reduced turnover intentions in hotel settings. Because engagement supports consistent service behaviour and discretionary effort, staffing adequacy can indirectly influence service delivery through its impact on employee motivation and retention. When staffing levels support engagement, service performance is more sustainable; when employees experience strain and disengagement, service consistency is more likely to deteriorate.</w:t>
      </w:r>
    </w:p>
    <w:p w14:paraId="13293A32" w14:textId="4F663DBD" w:rsidR="008C7F2A" w:rsidRDefault="009923CD" w:rsidP="009923CD">
      <w:pPr>
        <w:spacing w:line="360" w:lineRule="auto"/>
        <w:jc w:val="both"/>
        <w:rPr>
          <w:rFonts w:ascii="Arial" w:hAnsi="Arial" w:cs="Arial"/>
          <w:sz w:val="24"/>
          <w:szCs w:val="24"/>
        </w:rPr>
      </w:pPr>
      <w:r w:rsidRPr="009923CD">
        <w:rPr>
          <w:rFonts w:ascii="Arial" w:hAnsi="Arial" w:cs="Arial"/>
          <w:sz w:val="24"/>
          <w:szCs w:val="24"/>
        </w:rPr>
        <w:t>Collectively, this evidence suggests that service quality decline under staffing pressure is not merely episodic but systemic, emerging from cumulative workforce instability and weakened employee engagement mechanisms.</w:t>
      </w:r>
    </w:p>
    <w:p w14:paraId="7098C05E" w14:textId="77777777" w:rsidR="009923CD" w:rsidRDefault="009923CD" w:rsidP="000D522D">
      <w:pPr>
        <w:spacing w:line="360" w:lineRule="auto"/>
        <w:jc w:val="both"/>
        <w:rPr>
          <w:rFonts w:ascii="Arial" w:hAnsi="Arial" w:cs="Arial"/>
          <w:sz w:val="24"/>
          <w:szCs w:val="24"/>
        </w:rPr>
      </w:pPr>
    </w:p>
    <w:p w14:paraId="0451D38D" w14:textId="1B92161C" w:rsidR="000F382F" w:rsidRPr="000F382F" w:rsidRDefault="000F382F" w:rsidP="000F382F">
      <w:pPr>
        <w:pStyle w:val="Heading2"/>
      </w:pPr>
      <w:bookmarkStart w:id="16" w:name="_Toc222944993"/>
      <w:r w:rsidRPr="000F382F">
        <w:t>2.5 Organisational Responses to Staffing Constraints</w:t>
      </w:r>
      <w:bookmarkEnd w:id="16"/>
    </w:p>
    <w:p w14:paraId="31E91CA4" w14:textId="4EE943D2" w:rsidR="008C7F2A" w:rsidRDefault="000F382F" w:rsidP="000F382F">
      <w:pPr>
        <w:spacing w:line="360" w:lineRule="auto"/>
        <w:jc w:val="both"/>
        <w:rPr>
          <w:rFonts w:ascii="Arial" w:hAnsi="Arial" w:cs="Arial"/>
          <w:sz w:val="24"/>
          <w:szCs w:val="24"/>
        </w:rPr>
      </w:pPr>
      <w:r w:rsidRPr="000F382F">
        <w:rPr>
          <w:rFonts w:ascii="Arial" w:hAnsi="Arial" w:cs="Arial"/>
          <w:sz w:val="24"/>
          <w:szCs w:val="24"/>
        </w:rPr>
        <w:t>Human resource management (HRM) practices have been identified as potential moderating mechanisms between staffing pressure and service quality outcomes. Sustainable HRM approaches, including supervisor support and organisational recognition, may buffer negative effects of workload (Jin et al, 2021).</w:t>
      </w:r>
      <w:r w:rsidR="00D96065">
        <w:rPr>
          <w:rFonts w:ascii="Arial" w:hAnsi="Arial" w:cs="Arial"/>
          <w:sz w:val="24"/>
          <w:szCs w:val="24"/>
        </w:rPr>
        <w:t xml:space="preserve"> </w:t>
      </w:r>
    </w:p>
    <w:p w14:paraId="32EF0B3C" w14:textId="1CAC740B" w:rsidR="00D96065" w:rsidRDefault="005D126B" w:rsidP="000F382F">
      <w:pPr>
        <w:spacing w:line="360" w:lineRule="auto"/>
        <w:jc w:val="both"/>
        <w:rPr>
          <w:rFonts w:ascii="Arial" w:hAnsi="Arial" w:cs="Arial"/>
          <w:sz w:val="24"/>
          <w:szCs w:val="24"/>
        </w:rPr>
      </w:pPr>
      <w:r w:rsidRPr="005D126B">
        <w:rPr>
          <w:rFonts w:ascii="Arial" w:hAnsi="Arial" w:cs="Arial"/>
          <w:sz w:val="24"/>
          <w:szCs w:val="24"/>
        </w:rPr>
        <w:t>Recent hotel-focused research directly addresses understaffing contexts. Cheng, Chen and Chu (2026) examine perceived organisational support in understaffed hotels and find that supportive climates can mitigate performance decline under labour shortages. However, such interventions do not eliminate workload pressure; rather, they moderate its impact.</w:t>
      </w:r>
    </w:p>
    <w:p w14:paraId="0851ACF7" w14:textId="24D75531" w:rsidR="009B0ABB" w:rsidRPr="009B0ABB" w:rsidRDefault="009B0ABB" w:rsidP="009B0ABB">
      <w:pPr>
        <w:spacing w:line="360" w:lineRule="auto"/>
        <w:jc w:val="both"/>
        <w:rPr>
          <w:rFonts w:ascii="Arial" w:hAnsi="Arial" w:cs="Arial"/>
          <w:sz w:val="24"/>
          <w:szCs w:val="24"/>
        </w:rPr>
      </w:pPr>
      <w:r w:rsidRPr="009B0ABB">
        <w:rPr>
          <w:rFonts w:ascii="Arial" w:hAnsi="Arial" w:cs="Arial"/>
          <w:sz w:val="24"/>
          <w:szCs w:val="24"/>
        </w:rPr>
        <w:t>Walker</w:t>
      </w:r>
      <w:r w:rsidR="00F01BE4">
        <w:rPr>
          <w:rFonts w:ascii="Arial" w:hAnsi="Arial" w:cs="Arial"/>
          <w:sz w:val="24"/>
          <w:szCs w:val="24"/>
        </w:rPr>
        <w:t xml:space="preserve"> </w:t>
      </w:r>
      <w:r w:rsidR="00F01BE4" w:rsidRPr="00F01BE4">
        <w:rPr>
          <w:rFonts w:ascii="Arial" w:hAnsi="Arial" w:cs="Arial"/>
          <w:sz w:val="24"/>
          <w:szCs w:val="24"/>
        </w:rPr>
        <w:t>and Nickson</w:t>
      </w:r>
      <w:r w:rsidRPr="009B0ABB">
        <w:rPr>
          <w:rFonts w:ascii="Arial" w:hAnsi="Arial" w:cs="Arial"/>
          <w:sz w:val="24"/>
          <w:szCs w:val="24"/>
        </w:rPr>
        <w:t xml:space="preserve"> (2025) further </w:t>
      </w:r>
      <w:r w:rsidR="002210E0">
        <w:rPr>
          <w:rFonts w:ascii="Arial" w:hAnsi="Arial" w:cs="Arial"/>
          <w:sz w:val="24"/>
          <w:szCs w:val="24"/>
        </w:rPr>
        <w:t>highlight</w:t>
      </w:r>
      <w:r w:rsidRPr="009B0ABB">
        <w:rPr>
          <w:rFonts w:ascii="Arial" w:hAnsi="Arial" w:cs="Arial"/>
          <w:sz w:val="24"/>
          <w:szCs w:val="24"/>
        </w:rPr>
        <w:t xml:space="preserve"> risks associated with cost-driven HR models in UK hotels, arguing that socially irresponsible HR practices can intensify staff dissatisfaction and undermine long-term service sustainability.</w:t>
      </w:r>
    </w:p>
    <w:p w14:paraId="4852368C" w14:textId="40653F45" w:rsidR="00CD11FF" w:rsidRDefault="009B0ABB" w:rsidP="009B0ABB">
      <w:pPr>
        <w:spacing w:line="360" w:lineRule="auto"/>
        <w:jc w:val="both"/>
        <w:rPr>
          <w:rFonts w:ascii="Arial" w:hAnsi="Arial" w:cs="Arial"/>
          <w:sz w:val="24"/>
          <w:szCs w:val="24"/>
        </w:rPr>
      </w:pPr>
      <w:r w:rsidRPr="009B0ABB">
        <w:rPr>
          <w:rFonts w:ascii="Arial" w:hAnsi="Arial" w:cs="Arial"/>
          <w:sz w:val="24"/>
          <w:szCs w:val="24"/>
        </w:rPr>
        <w:t>Overall, organisational responses may stabilise short-term service delivery, but without structural workforce alignment, service quality sustainability remains vulnerable.</w:t>
      </w:r>
    </w:p>
    <w:p w14:paraId="68900081" w14:textId="77777777" w:rsidR="00F561B1" w:rsidRDefault="00F561B1" w:rsidP="000D522D">
      <w:pPr>
        <w:spacing w:line="360" w:lineRule="auto"/>
        <w:jc w:val="both"/>
        <w:rPr>
          <w:rFonts w:ascii="Arial" w:hAnsi="Arial" w:cs="Arial"/>
          <w:sz w:val="24"/>
          <w:szCs w:val="24"/>
        </w:rPr>
      </w:pPr>
    </w:p>
    <w:p w14:paraId="3EB351CE" w14:textId="74D5327B" w:rsidR="009F409E" w:rsidRPr="009F409E" w:rsidRDefault="009F409E" w:rsidP="009F409E">
      <w:pPr>
        <w:pStyle w:val="Heading2"/>
      </w:pPr>
      <w:bookmarkStart w:id="17" w:name="_Toc222944994"/>
      <w:r w:rsidRPr="009F409E">
        <w:lastRenderedPageBreak/>
        <w:t>2.6 Research Gap</w:t>
      </w:r>
      <w:bookmarkEnd w:id="17"/>
    </w:p>
    <w:p w14:paraId="278012EF" w14:textId="524CDDAE" w:rsidR="00AB48A6" w:rsidRPr="00AB48A6" w:rsidRDefault="00AB48A6" w:rsidP="00AB48A6">
      <w:pPr>
        <w:spacing w:line="360" w:lineRule="auto"/>
        <w:jc w:val="both"/>
        <w:rPr>
          <w:rFonts w:ascii="Arial" w:hAnsi="Arial" w:cs="Arial"/>
          <w:sz w:val="24"/>
          <w:szCs w:val="24"/>
        </w:rPr>
      </w:pPr>
      <w:r w:rsidRPr="00AB48A6">
        <w:rPr>
          <w:rFonts w:ascii="Arial" w:hAnsi="Arial" w:cs="Arial"/>
          <w:sz w:val="24"/>
          <w:szCs w:val="24"/>
        </w:rPr>
        <w:t>While hospitality literature robustly links workload, emotional labour and service performance, most studies isolate specific constructs such as burnout, prosocial behaviour or engagement. Fewer studies position staffing shortages themselves as structural organisational conditions influencing service sustainability over time.</w:t>
      </w:r>
    </w:p>
    <w:p w14:paraId="305058D1" w14:textId="0C04E77F" w:rsidR="00AB48A6" w:rsidRPr="00AB48A6" w:rsidRDefault="00AB48A6" w:rsidP="00AB48A6">
      <w:pPr>
        <w:spacing w:line="360" w:lineRule="auto"/>
        <w:jc w:val="both"/>
        <w:rPr>
          <w:rFonts w:ascii="Arial" w:hAnsi="Arial" w:cs="Arial"/>
          <w:sz w:val="24"/>
          <w:szCs w:val="24"/>
        </w:rPr>
      </w:pPr>
      <w:r w:rsidRPr="00AB48A6">
        <w:rPr>
          <w:rFonts w:ascii="Arial" w:hAnsi="Arial" w:cs="Arial"/>
          <w:sz w:val="24"/>
          <w:szCs w:val="24"/>
        </w:rPr>
        <w:t>Additionally, there remains limited UK-specific hotel research integrating national labour market volatility with micro-level service behaviour dynamics. Existing work tends to examine individual psychological outcomes rather than examining how persistent understaffing reshapes service systems.</w:t>
      </w:r>
    </w:p>
    <w:p w14:paraId="0095BECD" w14:textId="1151383E" w:rsidR="009F409E" w:rsidRDefault="000543DC" w:rsidP="000D522D">
      <w:pPr>
        <w:spacing w:line="360" w:lineRule="auto"/>
        <w:jc w:val="both"/>
        <w:rPr>
          <w:rFonts w:ascii="Arial" w:hAnsi="Arial" w:cs="Arial"/>
          <w:sz w:val="24"/>
          <w:szCs w:val="24"/>
        </w:rPr>
      </w:pPr>
      <w:r w:rsidRPr="000543DC">
        <w:rPr>
          <w:rFonts w:ascii="Arial" w:hAnsi="Arial" w:cs="Arial"/>
          <w:sz w:val="24"/>
          <w:szCs w:val="24"/>
        </w:rPr>
        <w:t>This study extends existing hospitality workforce research by explicitly conceptualising staff shortages as a structural condition affecting long-term service sustainability within a UK hotel case context.</w:t>
      </w:r>
    </w:p>
    <w:p w14:paraId="30834B05" w14:textId="77777777" w:rsidR="009F409E" w:rsidRDefault="009F409E" w:rsidP="000D522D">
      <w:pPr>
        <w:spacing w:line="360" w:lineRule="auto"/>
        <w:jc w:val="both"/>
        <w:rPr>
          <w:rFonts w:ascii="Arial" w:hAnsi="Arial" w:cs="Arial"/>
          <w:sz w:val="24"/>
          <w:szCs w:val="24"/>
        </w:rPr>
      </w:pPr>
    </w:p>
    <w:p w14:paraId="7906AA02" w14:textId="77777777" w:rsidR="005E6370" w:rsidRPr="005E6370" w:rsidRDefault="005E6370" w:rsidP="005E6370">
      <w:pPr>
        <w:pStyle w:val="Heading1"/>
      </w:pPr>
      <w:bookmarkStart w:id="18" w:name="_Toc222944995"/>
      <w:r w:rsidRPr="005E6370">
        <w:t>Chapter 3: Methodology</w:t>
      </w:r>
      <w:bookmarkEnd w:id="18"/>
    </w:p>
    <w:p w14:paraId="3138648E" w14:textId="7DEA6A13" w:rsidR="005E6370" w:rsidRPr="005E6370" w:rsidRDefault="005E6370" w:rsidP="005E6370">
      <w:pPr>
        <w:pStyle w:val="Heading2"/>
      </w:pPr>
      <w:bookmarkStart w:id="19" w:name="_Toc222944996"/>
      <w:r w:rsidRPr="005E6370">
        <w:t>3.1 Introduction</w:t>
      </w:r>
      <w:bookmarkEnd w:id="19"/>
    </w:p>
    <w:p w14:paraId="68D75B89" w14:textId="7C97E3FF" w:rsidR="005E6370" w:rsidRPr="005E6370" w:rsidRDefault="005E6370" w:rsidP="005E6370">
      <w:pPr>
        <w:spacing w:line="360" w:lineRule="auto"/>
        <w:jc w:val="both"/>
        <w:rPr>
          <w:rFonts w:ascii="Arial" w:hAnsi="Arial" w:cs="Arial"/>
          <w:sz w:val="24"/>
          <w:szCs w:val="24"/>
        </w:rPr>
      </w:pPr>
      <w:r w:rsidRPr="005E6370">
        <w:rPr>
          <w:rFonts w:ascii="Arial" w:hAnsi="Arial" w:cs="Arial"/>
          <w:sz w:val="24"/>
          <w:szCs w:val="24"/>
        </w:rPr>
        <w:t>This study adopts a qualitative secondary research design to examine the impact of staff shortages on service quality within the UK hotel sector, using TY Newport Hotel (The Celtic Collection) as a secondary case study. The methodological approach is interpretivist in orientation, seeking to understand how structural workforce conditions influence behavioural and service performance outcomes within hospitality contexts.</w:t>
      </w:r>
    </w:p>
    <w:p w14:paraId="6E4B863F" w14:textId="28DF96C0" w:rsidR="009F409E" w:rsidRDefault="005E6370" w:rsidP="005E6370">
      <w:pPr>
        <w:spacing w:line="360" w:lineRule="auto"/>
        <w:jc w:val="both"/>
        <w:rPr>
          <w:rFonts w:ascii="Arial" w:hAnsi="Arial" w:cs="Arial"/>
          <w:sz w:val="24"/>
          <w:szCs w:val="24"/>
        </w:rPr>
      </w:pPr>
      <w:r w:rsidRPr="005E6370">
        <w:rPr>
          <w:rFonts w:ascii="Arial" w:hAnsi="Arial" w:cs="Arial"/>
          <w:sz w:val="24"/>
          <w:szCs w:val="24"/>
        </w:rPr>
        <w:t>The decision to employ secondary research aligns with the exploratory and synthesising nature of the research objectives. Rather than generating primary data, the study critically integrates existing empirical hospitality research with industry and labour market evidence to construct a theoretically informed analysis of staffing-related service dynamics.</w:t>
      </w:r>
    </w:p>
    <w:p w14:paraId="1CDB5FA9" w14:textId="77777777" w:rsidR="009F409E" w:rsidRDefault="009F409E" w:rsidP="000D522D">
      <w:pPr>
        <w:spacing w:line="360" w:lineRule="auto"/>
        <w:jc w:val="both"/>
        <w:rPr>
          <w:rFonts w:ascii="Arial" w:hAnsi="Arial" w:cs="Arial"/>
          <w:sz w:val="24"/>
          <w:szCs w:val="24"/>
        </w:rPr>
      </w:pPr>
    </w:p>
    <w:p w14:paraId="25EE8AF1" w14:textId="344A3B4D" w:rsidR="00711ACD" w:rsidRPr="00711ACD" w:rsidRDefault="00711ACD" w:rsidP="00711ACD">
      <w:pPr>
        <w:pStyle w:val="Heading2"/>
      </w:pPr>
      <w:bookmarkStart w:id="20" w:name="_Toc222944997"/>
      <w:r w:rsidRPr="00711ACD">
        <w:t>3.2 Research Philosophy and Approach</w:t>
      </w:r>
      <w:bookmarkEnd w:id="20"/>
    </w:p>
    <w:p w14:paraId="19A7EF6B" w14:textId="244A5685" w:rsidR="00711ACD" w:rsidRPr="00711ACD" w:rsidRDefault="00E6686D" w:rsidP="00711ACD">
      <w:pPr>
        <w:spacing w:line="360" w:lineRule="auto"/>
        <w:jc w:val="both"/>
        <w:rPr>
          <w:rFonts w:ascii="Arial" w:hAnsi="Arial" w:cs="Arial"/>
          <w:sz w:val="24"/>
          <w:szCs w:val="24"/>
        </w:rPr>
      </w:pPr>
      <w:r w:rsidRPr="00E6686D">
        <w:rPr>
          <w:rFonts w:ascii="Arial" w:hAnsi="Arial" w:cs="Arial"/>
          <w:sz w:val="24"/>
          <w:szCs w:val="24"/>
        </w:rPr>
        <w:t xml:space="preserve">An interpretivist epistemological stance is adopted to examine how service quality and workforce dynamics are socially constructed through organisational interaction and </w:t>
      </w:r>
      <w:r w:rsidRPr="00E6686D">
        <w:rPr>
          <w:rFonts w:ascii="Arial" w:hAnsi="Arial" w:cs="Arial"/>
          <w:sz w:val="24"/>
          <w:szCs w:val="24"/>
        </w:rPr>
        <w:lastRenderedPageBreak/>
        <w:t>context (Saunders, Lewis and Thornhill, 2019).</w:t>
      </w:r>
      <w:r>
        <w:rPr>
          <w:rFonts w:ascii="Arial" w:hAnsi="Arial" w:cs="Arial"/>
          <w:sz w:val="24"/>
          <w:szCs w:val="24"/>
        </w:rPr>
        <w:t xml:space="preserve"> </w:t>
      </w:r>
      <w:r w:rsidR="00711ACD" w:rsidRPr="00711ACD">
        <w:rPr>
          <w:rFonts w:ascii="Arial" w:hAnsi="Arial" w:cs="Arial"/>
          <w:sz w:val="24"/>
          <w:szCs w:val="24"/>
        </w:rPr>
        <w:t>Within hospitality research, interpretivist approaches are particularly relevant due to the relational and experiential nature of service encounters.</w:t>
      </w:r>
    </w:p>
    <w:p w14:paraId="1A7CAA9C" w14:textId="5A989AE2" w:rsidR="009F409E" w:rsidRDefault="00711ACD" w:rsidP="00711ACD">
      <w:pPr>
        <w:spacing w:line="360" w:lineRule="auto"/>
        <w:jc w:val="both"/>
        <w:rPr>
          <w:rFonts w:ascii="Arial" w:hAnsi="Arial" w:cs="Arial"/>
          <w:sz w:val="24"/>
          <w:szCs w:val="24"/>
        </w:rPr>
      </w:pPr>
      <w:r w:rsidRPr="00711ACD">
        <w:rPr>
          <w:rFonts w:ascii="Arial" w:hAnsi="Arial" w:cs="Arial"/>
          <w:sz w:val="24"/>
          <w:szCs w:val="24"/>
        </w:rPr>
        <w:t>The study follows an abductive logic. Abductive reasoning allows the researcher to move iteratively between theory and empirical evidence, refining conceptual understanding through comparison and synthesis (Timmermans and Tavory, 2012). This is appropriate given that the study integrates established workforce theories (e.g., JD–R, emotional labour) with contemporary hospitality staffing research.</w:t>
      </w:r>
    </w:p>
    <w:p w14:paraId="66DB863B" w14:textId="77777777" w:rsidR="002C0E41" w:rsidRDefault="002C0E41" w:rsidP="00711ACD">
      <w:pPr>
        <w:spacing w:line="360" w:lineRule="auto"/>
        <w:jc w:val="both"/>
        <w:rPr>
          <w:rFonts w:ascii="Arial" w:hAnsi="Arial" w:cs="Arial"/>
          <w:sz w:val="24"/>
          <w:szCs w:val="24"/>
        </w:rPr>
      </w:pPr>
    </w:p>
    <w:p w14:paraId="65FF1276" w14:textId="5C4A4BD9" w:rsidR="00110A43" w:rsidRPr="00110A43" w:rsidRDefault="00110A43" w:rsidP="00110A43">
      <w:pPr>
        <w:pStyle w:val="Heading2"/>
      </w:pPr>
      <w:bookmarkStart w:id="21" w:name="_Toc222944998"/>
      <w:r w:rsidRPr="00110A43">
        <w:t>3.3 Case Study Strategy</w:t>
      </w:r>
      <w:bookmarkEnd w:id="21"/>
    </w:p>
    <w:p w14:paraId="544185D1" w14:textId="0543848C" w:rsidR="00110A43" w:rsidRPr="00110A43" w:rsidRDefault="00110A43" w:rsidP="00110A43">
      <w:pPr>
        <w:spacing w:line="360" w:lineRule="auto"/>
        <w:jc w:val="both"/>
        <w:rPr>
          <w:rFonts w:ascii="Arial" w:hAnsi="Arial" w:cs="Arial"/>
          <w:sz w:val="24"/>
          <w:szCs w:val="24"/>
        </w:rPr>
      </w:pPr>
      <w:r w:rsidRPr="00110A43">
        <w:rPr>
          <w:rFonts w:ascii="Arial" w:hAnsi="Arial" w:cs="Arial"/>
          <w:sz w:val="24"/>
          <w:szCs w:val="24"/>
        </w:rPr>
        <w:t>A single embedded secondary case study strategy was adopted. Case study methodology enables in-depth contextual analysis of contemporary organisational phenomena within real-life settings (Yin, 2018). Although primary data collection was not conducted, TY Newport Hotel serves as a contextual anchor through which broader hospitality staffing literature is interpreted.</w:t>
      </w:r>
    </w:p>
    <w:p w14:paraId="4E33CF18" w14:textId="7831F966" w:rsidR="00110A43" w:rsidRPr="00110A43" w:rsidRDefault="00110A43" w:rsidP="00110A43">
      <w:pPr>
        <w:spacing w:line="360" w:lineRule="auto"/>
        <w:jc w:val="both"/>
        <w:rPr>
          <w:rFonts w:ascii="Arial" w:hAnsi="Arial" w:cs="Arial"/>
          <w:sz w:val="24"/>
          <w:szCs w:val="24"/>
        </w:rPr>
      </w:pPr>
      <w:r w:rsidRPr="00110A43">
        <w:rPr>
          <w:rFonts w:ascii="Arial" w:hAnsi="Arial" w:cs="Arial"/>
          <w:sz w:val="24"/>
          <w:szCs w:val="24"/>
        </w:rPr>
        <w:t>The use of a secondary case study approach is justified for three reasons:</w:t>
      </w:r>
    </w:p>
    <w:p w14:paraId="349CA40F" w14:textId="77777777" w:rsidR="00110A43" w:rsidRPr="00110A43" w:rsidRDefault="00110A43" w:rsidP="00110A43">
      <w:pPr>
        <w:pStyle w:val="ListParagraph"/>
        <w:numPr>
          <w:ilvl w:val="0"/>
          <w:numId w:val="6"/>
        </w:numPr>
        <w:spacing w:line="360" w:lineRule="auto"/>
        <w:jc w:val="both"/>
        <w:rPr>
          <w:rFonts w:ascii="Arial" w:hAnsi="Arial" w:cs="Arial"/>
          <w:sz w:val="24"/>
          <w:szCs w:val="24"/>
        </w:rPr>
      </w:pPr>
      <w:r w:rsidRPr="00110A43">
        <w:rPr>
          <w:rFonts w:ascii="Arial" w:hAnsi="Arial" w:cs="Arial"/>
          <w:sz w:val="24"/>
          <w:szCs w:val="24"/>
        </w:rPr>
        <w:t>Staff shortages are sector-wide structural issues rather than isolated organisational anomalies.</w:t>
      </w:r>
    </w:p>
    <w:p w14:paraId="7E3DD756" w14:textId="77777777" w:rsidR="00110A43" w:rsidRPr="000829CB" w:rsidRDefault="00110A43" w:rsidP="000829CB">
      <w:pPr>
        <w:pStyle w:val="ListParagraph"/>
        <w:numPr>
          <w:ilvl w:val="0"/>
          <w:numId w:val="6"/>
        </w:numPr>
        <w:spacing w:line="360" w:lineRule="auto"/>
        <w:jc w:val="both"/>
        <w:rPr>
          <w:rFonts w:ascii="Arial" w:hAnsi="Arial" w:cs="Arial"/>
          <w:sz w:val="24"/>
          <w:szCs w:val="24"/>
        </w:rPr>
      </w:pPr>
      <w:r w:rsidRPr="000829CB">
        <w:rPr>
          <w:rFonts w:ascii="Arial" w:hAnsi="Arial" w:cs="Arial"/>
          <w:sz w:val="24"/>
          <w:szCs w:val="24"/>
        </w:rPr>
        <w:t>The research objective is explanatory rather than predictive.</w:t>
      </w:r>
    </w:p>
    <w:p w14:paraId="7FD686F6" w14:textId="7E7510F8" w:rsidR="009F409E" w:rsidRDefault="00110A43" w:rsidP="000D522D">
      <w:pPr>
        <w:pStyle w:val="ListParagraph"/>
        <w:numPr>
          <w:ilvl w:val="0"/>
          <w:numId w:val="6"/>
        </w:numPr>
        <w:spacing w:line="360" w:lineRule="auto"/>
        <w:jc w:val="both"/>
        <w:rPr>
          <w:rFonts w:ascii="Arial" w:hAnsi="Arial" w:cs="Arial"/>
          <w:sz w:val="24"/>
          <w:szCs w:val="24"/>
        </w:rPr>
      </w:pPr>
      <w:r w:rsidRPr="000829CB">
        <w:rPr>
          <w:rFonts w:ascii="Arial" w:hAnsi="Arial" w:cs="Arial"/>
          <w:sz w:val="24"/>
          <w:szCs w:val="24"/>
        </w:rPr>
        <w:t>Secondary data allow access to broader empirical findings beyond the constraints of one organisational dataset.</w:t>
      </w:r>
    </w:p>
    <w:p w14:paraId="147530E0" w14:textId="12EE823A" w:rsidR="00291523" w:rsidRDefault="00A572F4" w:rsidP="00291523">
      <w:pPr>
        <w:spacing w:line="360" w:lineRule="auto"/>
        <w:jc w:val="both"/>
        <w:rPr>
          <w:rFonts w:ascii="Arial" w:hAnsi="Arial" w:cs="Arial"/>
          <w:sz w:val="24"/>
          <w:szCs w:val="24"/>
        </w:rPr>
      </w:pPr>
      <w:r w:rsidRPr="00A572F4">
        <w:rPr>
          <w:rFonts w:ascii="Arial" w:hAnsi="Arial" w:cs="Arial"/>
          <w:sz w:val="24"/>
          <w:szCs w:val="24"/>
        </w:rPr>
        <w:t>A case study design is appropriate where organisational dynamics must be examined within their real-world setting, particularly when the boundaries between phenomenon and context are intertwined (Yin, 2018)</w:t>
      </w:r>
      <w:r w:rsidR="00291523" w:rsidRPr="00291523">
        <w:rPr>
          <w:rFonts w:ascii="Arial" w:hAnsi="Arial" w:cs="Arial"/>
          <w:sz w:val="24"/>
          <w:szCs w:val="24"/>
        </w:rPr>
        <w:t>. Flyvbjerg (2006) argues that case studies generate deep contextual insight that cannot be captured through abstract generalisation alone. In this study, TY Newport Hotel functions as an embedded contextual unit within the wider UK hospitality labour system. The purpose is not statistical generalisation but analytical generalisation — applying established workforce theories to a specific organisational context to refine conceptual understanding. This strengthens the explanatory depth of the research while maintaining theoretical coherence (Siggelkow, 2007; Veal, 2018).</w:t>
      </w:r>
    </w:p>
    <w:p w14:paraId="3AF5863B" w14:textId="77777777" w:rsidR="00291523" w:rsidRPr="00291523" w:rsidRDefault="00291523" w:rsidP="00291523">
      <w:pPr>
        <w:spacing w:line="360" w:lineRule="auto"/>
        <w:jc w:val="both"/>
        <w:rPr>
          <w:rFonts w:ascii="Arial" w:hAnsi="Arial" w:cs="Arial"/>
          <w:sz w:val="24"/>
          <w:szCs w:val="24"/>
        </w:rPr>
      </w:pPr>
    </w:p>
    <w:p w14:paraId="22723A75" w14:textId="2046E6F1" w:rsidR="002647E2" w:rsidRPr="00977C38" w:rsidRDefault="002647E2" w:rsidP="00977C38">
      <w:pPr>
        <w:pStyle w:val="Heading2"/>
      </w:pPr>
      <w:bookmarkStart w:id="22" w:name="_Toc222944999"/>
      <w:r w:rsidRPr="002647E2">
        <w:t>3.4 Data Sources and Selection Criteria</w:t>
      </w:r>
      <w:bookmarkEnd w:id="22"/>
    </w:p>
    <w:p w14:paraId="1CB5B6B7" w14:textId="08FA9E4F" w:rsidR="002647E2" w:rsidRPr="002647E2" w:rsidRDefault="002647E2" w:rsidP="002647E2">
      <w:pPr>
        <w:spacing w:line="360" w:lineRule="auto"/>
        <w:jc w:val="both"/>
        <w:rPr>
          <w:rFonts w:ascii="Arial" w:hAnsi="Arial" w:cs="Arial"/>
          <w:sz w:val="24"/>
          <w:szCs w:val="24"/>
        </w:rPr>
      </w:pPr>
      <w:r w:rsidRPr="002647E2">
        <w:rPr>
          <w:rFonts w:ascii="Arial" w:hAnsi="Arial" w:cs="Arial"/>
          <w:sz w:val="24"/>
          <w:szCs w:val="24"/>
        </w:rPr>
        <w:t>The study relies exclusively on secondary data sources, including:</w:t>
      </w:r>
    </w:p>
    <w:p w14:paraId="022F4467" w14:textId="77777777" w:rsidR="002647E2" w:rsidRPr="002647E2" w:rsidRDefault="002647E2" w:rsidP="002647E2">
      <w:pPr>
        <w:pStyle w:val="ListParagraph"/>
        <w:numPr>
          <w:ilvl w:val="0"/>
          <w:numId w:val="7"/>
        </w:numPr>
        <w:spacing w:line="360" w:lineRule="auto"/>
        <w:jc w:val="both"/>
        <w:rPr>
          <w:rFonts w:ascii="Arial" w:hAnsi="Arial" w:cs="Arial"/>
          <w:sz w:val="24"/>
          <w:szCs w:val="24"/>
        </w:rPr>
      </w:pPr>
      <w:r w:rsidRPr="002647E2">
        <w:rPr>
          <w:rFonts w:ascii="Arial" w:hAnsi="Arial" w:cs="Arial"/>
          <w:sz w:val="24"/>
          <w:szCs w:val="24"/>
        </w:rPr>
        <w:t>Peer-reviewed hospitality journal articles</w:t>
      </w:r>
    </w:p>
    <w:p w14:paraId="7C1CA5D5" w14:textId="77777777" w:rsidR="002647E2" w:rsidRPr="002647E2" w:rsidRDefault="002647E2" w:rsidP="002647E2">
      <w:pPr>
        <w:pStyle w:val="ListParagraph"/>
        <w:numPr>
          <w:ilvl w:val="0"/>
          <w:numId w:val="7"/>
        </w:numPr>
        <w:spacing w:line="360" w:lineRule="auto"/>
        <w:jc w:val="both"/>
        <w:rPr>
          <w:rFonts w:ascii="Arial" w:hAnsi="Arial" w:cs="Arial"/>
          <w:sz w:val="24"/>
          <w:szCs w:val="24"/>
        </w:rPr>
      </w:pPr>
      <w:r w:rsidRPr="002647E2">
        <w:rPr>
          <w:rFonts w:ascii="Arial" w:hAnsi="Arial" w:cs="Arial"/>
          <w:sz w:val="24"/>
          <w:szCs w:val="24"/>
        </w:rPr>
        <w:t>Industry reports (e.g., UKHospitality)</w:t>
      </w:r>
    </w:p>
    <w:p w14:paraId="596E48D2" w14:textId="77777777" w:rsidR="002647E2" w:rsidRPr="002647E2" w:rsidRDefault="002647E2" w:rsidP="002647E2">
      <w:pPr>
        <w:pStyle w:val="ListParagraph"/>
        <w:numPr>
          <w:ilvl w:val="0"/>
          <w:numId w:val="7"/>
        </w:numPr>
        <w:spacing w:line="360" w:lineRule="auto"/>
        <w:jc w:val="both"/>
        <w:rPr>
          <w:rFonts w:ascii="Arial" w:hAnsi="Arial" w:cs="Arial"/>
          <w:sz w:val="24"/>
          <w:szCs w:val="24"/>
        </w:rPr>
      </w:pPr>
      <w:r w:rsidRPr="002647E2">
        <w:rPr>
          <w:rFonts w:ascii="Arial" w:hAnsi="Arial" w:cs="Arial"/>
          <w:sz w:val="24"/>
          <w:szCs w:val="24"/>
        </w:rPr>
        <w:t>UK labour market statistics (ONS)</w:t>
      </w:r>
    </w:p>
    <w:p w14:paraId="6F27F543" w14:textId="5016BB66" w:rsidR="002647E2" w:rsidRPr="002647E2" w:rsidRDefault="002647E2" w:rsidP="002647E2">
      <w:pPr>
        <w:pStyle w:val="ListParagraph"/>
        <w:numPr>
          <w:ilvl w:val="0"/>
          <w:numId w:val="7"/>
        </w:numPr>
        <w:spacing w:line="360" w:lineRule="auto"/>
        <w:jc w:val="both"/>
        <w:rPr>
          <w:rFonts w:ascii="Arial" w:hAnsi="Arial" w:cs="Arial"/>
          <w:sz w:val="24"/>
          <w:szCs w:val="24"/>
        </w:rPr>
      </w:pPr>
      <w:r w:rsidRPr="002647E2">
        <w:rPr>
          <w:rFonts w:ascii="Arial" w:hAnsi="Arial" w:cs="Arial"/>
          <w:sz w:val="24"/>
          <w:szCs w:val="24"/>
        </w:rPr>
        <w:t>Foundational theoretical literature</w:t>
      </w:r>
    </w:p>
    <w:p w14:paraId="6F0327D4" w14:textId="22E0E72E" w:rsidR="002647E2" w:rsidRPr="002647E2" w:rsidRDefault="002647E2" w:rsidP="002647E2">
      <w:pPr>
        <w:spacing w:line="360" w:lineRule="auto"/>
        <w:jc w:val="both"/>
        <w:rPr>
          <w:rFonts w:ascii="Arial" w:hAnsi="Arial" w:cs="Arial"/>
          <w:sz w:val="24"/>
          <w:szCs w:val="24"/>
        </w:rPr>
      </w:pPr>
      <w:r w:rsidRPr="002647E2">
        <w:rPr>
          <w:rFonts w:ascii="Arial" w:hAnsi="Arial" w:cs="Arial"/>
          <w:sz w:val="24"/>
          <w:szCs w:val="24"/>
        </w:rPr>
        <w:t>To enhance methodological transparency, a structured literature identification process was employed. Searches were conducted using combinations of the following keywords:</w:t>
      </w:r>
    </w:p>
    <w:p w14:paraId="671BD624" w14:textId="77777777" w:rsidR="002647E2" w:rsidRPr="00DA0585" w:rsidRDefault="002647E2" w:rsidP="00DA0585">
      <w:pPr>
        <w:pStyle w:val="ListParagraph"/>
        <w:numPr>
          <w:ilvl w:val="0"/>
          <w:numId w:val="8"/>
        </w:numPr>
        <w:spacing w:line="360" w:lineRule="auto"/>
        <w:jc w:val="both"/>
        <w:rPr>
          <w:rFonts w:ascii="Arial" w:hAnsi="Arial" w:cs="Arial"/>
          <w:sz w:val="24"/>
          <w:szCs w:val="24"/>
        </w:rPr>
      </w:pPr>
      <w:r w:rsidRPr="00DA0585">
        <w:rPr>
          <w:rFonts w:ascii="Arial" w:hAnsi="Arial" w:cs="Arial"/>
          <w:sz w:val="24"/>
          <w:szCs w:val="24"/>
        </w:rPr>
        <w:t>“hotel” OR “hospitality”</w:t>
      </w:r>
    </w:p>
    <w:p w14:paraId="55306EC3" w14:textId="77777777" w:rsidR="002647E2" w:rsidRPr="00DA0585" w:rsidRDefault="002647E2" w:rsidP="00DA0585">
      <w:pPr>
        <w:pStyle w:val="ListParagraph"/>
        <w:numPr>
          <w:ilvl w:val="0"/>
          <w:numId w:val="8"/>
        </w:numPr>
        <w:spacing w:line="360" w:lineRule="auto"/>
        <w:jc w:val="both"/>
        <w:rPr>
          <w:rFonts w:ascii="Arial" w:hAnsi="Arial" w:cs="Arial"/>
          <w:sz w:val="24"/>
          <w:szCs w:val="24"/>
        </w:rPr>
      </w:pPr>
      <w:r w:rsidRPr="00DA0585">
        <w:rPr>
          <w:rFonts w:ascii="Arial" w:hAnsi="Arial" w:cs="Arial"/>
          <w:sz w:val="24"/>
          <w:szCs w:val="24"/>
        </w:rPr>
        <w:t>“staff shortage” OR “understaffing” OR “work overload”</w:t>
      </w:r>
    </w:p>
    <w:p w14:paraId="6F718035" w14:textId="77777777" w:rsidR="002647E2" w:rsidRPr="00DA0585" w:rsidRDefault="002647E2" w:rsidP="00DA0585">
      <w:pPr>
        <w:pStyle w:val="ListParagraph"/>
        <w:numPr>
          <w:ilvl w:val="0"/>
          <w:numId w:val="8"/>
        </w:numPr>
        <w:spacing w:line="360" w:lineRule="auto"/>
        <w:jc w:val="both"/>
        <w:rPr>
          <w:rFonts w:ascii="Arial" w:hAnsi="Arial" w:cs="Arial"/>
          <w:sz w:val="24"/>
          <w:szCs w:val="24"/>
        </w:rPr>
      </w:pPr>
      <w:r w:rsidRPr="00DA0585">
        <w:rPr>
          <w:rFonts w:ascii="Arial" w:hAnsi="Arial" w:cs="Arial"/>
          <w:sz w:val="24"/>
          <w:szCs w:val="24"/>
        </w:rPr>
        <w:t>“service quality” OR “service performance” OR “service recovery”</w:t>
      </w:r>
    </w:p>
    <w:p w14:paraId="7424B8DB" w14:textId="251F645B" w:rsidR="002647E2" w:rsidRPr="00DA0585" w:rsidRDefault="002647E2" w:rsidP="002647E2">
      <w:pPr>
        <w:pStyle w:val="ListParagraph"/>
        <w:numPr>
          <w:ilvl w:val="0"/>
          <w:numId w:val="8"/>
        </w:numPr>
        <w:spacing w:line="360" w:lineRule="auto"/>
        <w:jc w:val="both"/>
        <w:rPr>
          <w:rFonts w:ascii="Arial" w:hAnsi="Arial" w:cs="Arial"/>
          <w:sz w:val="24"/>
          <w:szCs w:val="24"/>
        </w:rPr>
      </w:pPr>
      <w:r w:rsidRPr="00DA0585">
        <w:rPr>
          <w:rFonts w:ascii="Arial" w:hAnsi="Arial" w:cs="Arial"/>
          <w:sz w:val="24"/>
          <w:szCs w:val="24"/>
        </w:rPr>
        <w:t>“emotional labour” OR “engagement” OR “prosocial behaviour”</w:t>
      </w:r>
    </w:p>
    <w:p w14:paraId="5CF18A9E" w14:textId="0B9267A7" w:rsidR="002647E2" w:rsidRPr="002647E2" w:rsidRDefault="002647E2" w:rsidP="002647E2">
      <w:pPr>
        <w:spacing w:line="360" w:lineRule="auto"/>
        <w:jc w:val="both"/>
        <w:rPr>
          <w:rFonts w:ascii="Arial" w:hAnsi="Arial" w:cs="Arial"/>
          <w:sz w:val="24"/>
          <w:szCs w:val="24"/>
        </w:rPr>
      </w:pPr>
      <w:r w:rsidRPr="002647E2">
        <w:rPr>
          <w:rFonts w:ascii="Arial" w:hAnsi="Arial" w:cs="Arial"/>
          <w:sz w:val="24"/>
          <w:szCs w:val="24"/>
        </w:rPr>
        <w:t>Databases consulted included Google Scholar and major academic publishers (Emerald, Elsevier/ScienceDirect, Wiley, Frontiers). Only peer-reviewed journal articles and authoritative institutional sources were included.</w:t>
      </w:r>
    </w:p>
    <w:p w14:paraId="26DAF01A" w14:textId="2AE0F42F" w:rsidR="002647E2" w:rsidRPr="002647E2" w:rsidRDefault="002647E2" w:rsidP="002647E2">
      <w:pPr>
        <w:spacing w:line="360" w:lineRule="auto"/>
        <w:jc w:val="both"/>
        <w:rPr>
          <w:rFonts w:ascii="Arial" w:hAnsi="Arial" w:cs="Arial"/>
          <w:sz w:val="24"/>
          <w:szCs w:val="24"/>
        </w:rPr>
      </w:pPr>
      <w:r w:rsidRPr="002647E2">
        <w:rPr>
          <w:rFonts w:ascii="Arial" w:hAnsi="Arial" w:cs="Arial"/>
          <w:sz w:val="24"/>
          <w:szCs w:val="24"/>
        </w:rPr>
        <w:t>Inclusion criteria:</w:t>
      </w:r>
    </w:p>
    <w:p w14:paraId="3839CBB2" w14:textId="77777777" w:rsidR="002647E2" w:rsidRPr="00DA0585" w:rsidRDefault="002647E2" w:rsidP="00DA0585">
      <w:pPr>
        <w:pStyle w:val="ListParagraph"/>
        <w:numPr>
          <w:ilvl w:val="0"/>
          <w:numId w:val="9"/>
        </w:numPr>
        <w:spacing w:line="360" w:lineRule="auto"/>
        <w:jc w:val="both"/>
        <w:rPr>
          <w:rFonts w:ascii="Arial" w:hAnsi="Arial" w:cs="Arial"/>
          <w:sz w:val="24"/>
          <w:szCs w:val="24"/>
        </w:rPr>
      </w:pPr>
      <w:r w:rsidRPr="00DA0585">
        <w:rPr>
          <w:rFonts w:ascii="Arial" w:hAnsi="Arial" w:cs="Arial"/>
          <w:sz w:val="24"/>
          <w:szCs w:val="24"/>
        </w:rPr>
        <w:t>Published in English</w:t>
      </w:r>
    </w:p>
    <w:p w14:paraId="18CAD821" w14:textId="77777777" w:rsidR="002647E2" w:rsidRPr="00DA0585" w:rsidRDefault="002647E2" w:rsidP="00DA0585">
      <w:pPr>
        <w:pStyle w:val="ListParagraph"/>
        <w:numPr>
          <w:ilvl w:val="0"/>
          <w:numId w:val="9"/>
        </w:numPr>
        <w:spacing w:line="360" w:lineRule="auto"/>
        <w:jc w:val="both"/>
        <w:rPr>
          <w:rFonts w:ascii="Arial" w:hAnsi="Arial" w:cs="Arial"/>
          <w:sz w:val="24"/>
          <w:szCs w:val="24"/>
        </w:rPr>
      </w:pPr>
      <w:r w:rsidRPr="00DA0585">
        <w:rPr>
          <w:rFonts w:ascii="Arial" w:hAnsi="Arial" w:cs="Arial"/>
          <w:sz w:val="24"/>
          <w:szCs w:val="24"/>
        </w:rPr>
        <w:t>Hospitality or hotel-specific empirical context</w:t>
      </w:r>
    </w:p>
    <w:p w14:paraId="70176C05" w14:textId="77777777" w:rsidR="002647E2" w:rsidRPr="00DA0585" w:rsidRDefault="002647E2" w:rsidP="00DA0585">
      <w:pPr>
        <w:pStyle w:val="ListParagraph"/>
        <w:numPr>
          <w:ilvl w:val="0"/>
          <w:numId w:val="9"/>
        </w:numPr>
        <w:spacing w:line="360" w:lineRule="auto"/>
        <w:jc w:val="both"/>
        <w:rPr>
          <w:rFonts w:ascii="Arial" w:hAnsi="Arial" w:cs="Arial"/>
          <w:sz w:val="24"/>
          <w:szCs w:val="24"/>
        </w:rPr>
      </w:pPr>
      <w:r w:rsidRPr="00DA0585">
        <w:rPr>
          <w:rFonts w:ascii="Arial" w:hAnsi="Arial" w:cs="Arial"/>
          <w:sz w:val="24"/>
          <w:szCs w:val="24"/>
        </w:rPr>
        <w:t>Directly linked to staffing, workload, engagement or service performance</w:t>
      </w:r>
    </w:p>
    <w:p w14:paraId="66F55ACA" w14:textId="26758A43" w:rsidR="002647E2" w:rsidRPr="00DA0585" w:rsidRDefault="002647E2" w:rsidP="002647E2">
      <w:pPr>
        <w:pStyle w:val="ListParagraph"/>
        <w:numPr>
          <w:ilvl w:val="0"/>
          <w:numId w:val="9"/>
        </w:numPr>
        <w:spacing w:line="360" w:lineRule="auto"/>
        <w:jc w:val="both"/>
        <w:rPr>
          <w:rFonts w:ascii="Arial" w:hAnsi="Arial" w:cs="Arial"/>
          <w:sz w:val="24"/>
          <w:szCs w:val="24"/>
        </w:rPr>
      </w:pPr>
      <w:r w:rsidRPr="00DA0585">
        <w:rPr>
          <w:rFonts w:ascii="Arial" w:hAnsi="Arial" w:cs="Arial"/>
          <w:sz w:val="24"/>
          <w:szCs w:val="24"/>
        </w:rPr>
        <w:t>Empirically grounded or theoretically foundational</w:t>
      </w:r>
    </w:p>
    <w:p w14:paraId="02D66DB5" w14:textId="0A44BEDA" w:rsidR="002647E2" w:rsidRPr="002647E2" w:rsidRDefault="002647E2" w:rsidP="002647E2">
      <w:pPr>
        <w:spacing w:line="360" w:lineRule="auto"/>
        <w:jc w:val="both"/>
        <w:rPr>
          <w:rFonts w:ascii="Arial" w:hAnsi="Arial" w:cs="Arial"/>
          <w:sz w:val="24"/>
          <w:szCs w:val="24"/>
        </w:rPr>
      </w:pPr>
      <w:r w:rsidRPr="002647E2">
        <w:rPr>
          <w:rFonts w:ascii="Arial" w:hAnsi="Arial" w:cs="Arial"/>
          <w:sz w:val="24"/>
          <w:szCs w:val="24"/>
        </w:rPr>
        <w:t>Exclusion criteria:</w:t>
      </w:r>
    </w:p>
    <w:p w14:paraId="773B6C3A" w14:textId="77777777" w:rsidR="002647E2" w:rsidRPr="00DA0585" w:rsidRDefault="002647E2" w:rsidP="00DA0585">
      <w:pPr>
        <w:pStyle w:val="ListParagraph"/>
        <w:numPr>
          <w:ilvl w:val="0"/>
          <w:numId w:val="10"/>
        </w:numPr>
        <w:spacing w:line="360" w:lineRule="auto"/>
        <w:jc w:val="both"/>
        <w:rPr>
          <w:rFonts w:ascii="Arial" w:hAnsi="Arial" w:cs="Arial"/>
          <w:sz w:val="24"/>
          <w:szCs w:val="24"/>
        </w:rPr>
      </w:pPr>
      <w:r w:rsidRPr="00DA0585">
        <w:rPr>
          <w:rFonts w:ascii="Arial" w:hAnsi="Arial" w:cs="Arial"/>
          <w:sz w:val="24"/>
          <w:szCs w:val="24"/>
        </w:rPr>
        <w:t>Non-hospitality sector studies (unless foundational theory)</w:t>
      </w:r>
    </w:p>
    <w:p w14:paraId="39692D47" w14:textId="77777777" w:rsidR="002647E2" w:rsidRPr="00DA0585" w:rsidRDefault="002647E2" w:rsidP="00DA0585">
      <w:pPr>
        <w:pStyle w:val="ListParagraph"/>
        <w:numPr>
          <w:ilvl w:val="0"/>
          <w:numId w:val="10"/>
        </w:numPr>
        <w:spacing w:line="360" w:lineRule="auto"/>
        <w:jc w:val="both"/>
        <w:rPr>
          <w:rFonts w:ascii="Arial" w:hAnsi="Arial" w:cs="Arial"/>
          <w:sz w:val="24"/>
          <w:szCs w:val="24"/>
        </w:rPr>
      </w:pPr>
      <w:r w:rsidRPr="00DA0585">
        <w:rPr>
          <w:rFonts w:ascii="Arial" w:hAnsi="Arial" w:cs="Arial"/>
          <w:sz w:val="24"/>
          <w:szCs w:val="24"/>
        </w:rPr>
        <w:t>Purely technological or non-workforce-related research</w:t>
      </w:r>
    </w:p>
    <w:p w14:paraId="65C4FA13" w14:textId="5307B990" w:rsidR="002647E2" w:rsidRPr="00DA0585" w:rsidRDefault="002647E2" w:rsidP="002647E2">
      <w:pPr>
        <w:pStyle w:val="ListParagraph"/>
        <w:numPr>
          <w:ilvl w:val="0"/>
          <w:numId w:val="10"/>
        </w:numPr>
        <w:spacing w:line="360" w:lineRule="auto"/>
        <w:jc w:val="both"/>
        <w:rPr>
          <w:rFonts w:ascii="Arial" w:hAnsi="Arial" w:cs="Arial"/>
          <w:sz w:val="24"/>
          <w:szCs w:val="24"/>
        </w:rPr>
      </w:pPr>
      <w:r w:rsidRPr="00DA0585">
        <w:rPr>
          <w:rFonts w:ascii="Arial" w:hAnsi="Arial" w:cs="Arial"/>
          <w:sz w:val="24"/>
          <w:szCs w:val="24"/>
        </w:rPr>
        <w:t>Opinion pieces lacking empirical basis</w:t>
      </w:r>
    </w:p>
    <w:p w14:paraId="1D3A5410" w14:textId="31F6ADC4" w:rsidR="009F409E" w:rsidRDefault="007C4DA4" w:rsidP="000D522D">
      <w:pPr>
        <w:spacing w:line="360" w:lineRule="auto"/>
        <w:jc w:val="both"/>
        <w:rPr>
          <w:rFonts w:ascii="Arial" w:hAnsi="Arial" w:cs="Arial"/>
          <w:sz w:val="24"/>
          <w:szCs w:val="24"/>
        </w:rPr>
      </w:pPr>
      <w:r w:rsidRPr="007C4DA4">
        <w:rPr>
          <w:rFonts w:ascii="Arial" w:hAnsi="Arial" w:cs="Arial"/>
          <w:sz w:val="24"/>
          <w:szCs w:val="24"/>
        </w:rPr>
        <w:t xml:space="preserve">The literature search prioritised studies published between 2005 and 2024, with particular emphasis on research produced within the last decade to ensure contemporary relevance. Studies were screened at title and abstract level for </w:t>
      </w:r>
      <w:r w:rsidRPr="007C4DA4">
        <w:rPr>
          <w:rFonts w:ascii="Arial" w:hAnsi="Arial" w:cs="Arial"/>
          <w:sz w:val="24"/>
          <w:szCs w:val="24"/>
        </w:rPr>
        <w:lastRenderedPageBreak/>
        <w:t>theoretical alignment and empirical robustness before inclusion in the final analysis. Preference was given to peer-reviewed hospitality journals with established academic credibility, including International Journal of Hospitality Management, International Journal of Contemporary Hospitality Management and Cornell Hospitality Quarterly. This structured approach enhances transparency and reduces potential selection bias (Page et al, 2021).</w:t>
      </w:r>
    </w:p>
    <w:p w14:paraId="5BB7B70F" w14:textId="77777777" w:rsidR="007C4DA4" w:rsidRDefault="007C4DA4" w:rsidP="000D522D">
      <w:pPr>
        <w:spacing w:line="360" w:lineRule="auto"/>
        <w:jc w:val="both"/>
        <w:rPr>
          <w:rFonts w:ascii="Arial" w:hAnsi="Arial" w:cs="Arial"/>
          <w:sz w:val="24"/>
          <w:szCs w:val="24"/>
        </w:rPr>
      </w:pPr>
    </w:p>
    <w:p w14:paraId="5429AA17" w14:textId="23FC871A" w:rsidR="001227F5" w:rsidRPr="001227F5" w:rsidRDefault="001227F5" w:rsidP="001227F5">
      <w:pPr>
        <w:pStyle w:val="Heading2"/>
      </w:pPr>
      <w:bookmarkStart w:id="23" w:name="_Toc222945000"/>
      <w:r w:rsidRPr="001227F5">
        <w:t>3.5 Data Analysis</w:t>
      </w:r>
      <w:bookmarkEnd w:id="23"/>
    </w:p>
    <w:p w14:paraId="088065D7" w14:textId="306689A6" w:rsidR="001227F5" w:rsidRPr="001227F5" w:rsidRDefault="001227F5" w:rsidP="001227F5">
      <w:pPr>
        <w:spacing w:line="360" w:lineRule="auto"/>
        <w:jc w:val="both"/>
        <w:rPr>
          <w:rFonts w:ascii="Arial" w:hAnsi="Arial" w:cs="Arial"/>
          <w:sz w:val="24"/>
          <w:szCs w:val="24"/>
        </w:rPr>
      </w:pPr>
      <w:r w:rsidRPr="001227F5">
        <w:rPr>
          <w:rFonts w:ascii="Arial" w:hAnsi="Arial" w:cs="Arial"/>
          <w:sz w:val="24"/>
          <w:szCs w:val="24"/>
        </w:rPr>
        <w:t>The study employed thematic synthesis as an analytical strategy. Thematic analysis allows identification of recurring conceptual patterns across qualitative and quantitative hospitality studies (Braun and Clarke, 2006; 2021).</w:t>
      </w:r>
    </w:p>
    <w:p w14:paraId="77A59293" w14:textId="2EFEF692" w:rsidR="001227F5" w:rsidRPr="001227F5" w:rsidRDefault="001227F5" w:rsidP="001227F5">
      <w:pPr>
        <w:spacing w:line="360" w:lineRule="auto"/>
        <w:jc w:val="both"/>
        <w:rPr>
          <w:rFonts w:ascii="Arial" w:hAnsi="Arial" w:cs="Arial"/>
          <w:sz w:val="24"/>
          <w:szCs w:val="24"/>
        </w:rPr>
      </w:pPr>
      <w:r w:rsidRPr="001227F5">
        <w:rPr>
          <w:rFonts w:ascii="Arial" w:hAnsi="Arial" w:cs="Arial"/>
          <w:sz w:val="24"/>
          <w:szCs w:val="24"/>
        </w:rPr>
        <w:t>The analysis followed six stages:</w:t>
      </w:r>
    </w:p>
    <w:p w14:paraId="25F50385" w14:textId="77777777" w:rsidR="001227F5" w:rsidRPr="000762B5" w:rsidRDefault="001227F5" w:rsidP="000762B5">
      <w:pPr>
        <w:pStyle w:val="ListParagraph"/>
        <w:numPr>
          <w:ilvl w:val="0"/>
          <w:numId w:val="11"/>
        </w:numPr>
        <w:spacing w:line="360" w:lineRule="auto"/>
        <w:jc w:val="both"/>
        <w:rPr>
          <w:rFonts w:ascii="Arial" w:hAnsi="Arial" w:cs="Arial"/>
          <w:sz w:val="24"/>
          <w:szCs w:val="24"/>
        </w:rPr>
      </w:pPr>
      <w:r w:rsidRPr="000762B5">
        <w:rPr>
          <w:rFonts w:ascii="Arial" w:hAnsi="Arial" w:cs="Arial"/>
          <w:sz w:val="24"/>
          <w:szCs w:val="24"/>
        </w:rPr>
        <w:t>Familiarisation with literature</w:t>
      </w:r>
    </w:p>
    <w:p w14:paraId="3F30EB00" w14:textId="77777777" w:rsidR="001227F5" w:rsidRPr="000762B5" w:rsidRDefault="001227F5" w:rsidP="000762B5">
      <w:pPr>
        <w:pStyle w:val="ListParagraph"/>
        <w:numPr>
          <w:ilvl w:val="0"/>
          <w:numId w:val="11"/>
        </w:numPr>
        <w:spacing w:line="360" w:lineRule="auto"/>
        <w:jc w:val="both"/>
        <w:rPr>
          <w:rFonts w:ascii="Arial" w:hAnsi="Arial" w:cs="Arial"/>
          <w:sz w:val="24"/>
          <w:szCs w:val="24"/>
        </w:rPr>
      </w:pPr>
      <w:r w:rsidRPr="000762B5">
        <w:rPr>
          <w:rFonts w:ascii="Arial" w:hAnsi="Arial" w:cs="Arial"/>
          <w:sz w:val="24"/>
          <w:szCs w:val="24"/>
        </w:rPr>
        <w:t>Identification of recurring constructs</w:t>
      </w:r>
    </w:p>
    <w:p w14:paraId="658B3212" w14:textId="77777777" w:rsidR="001227F5" w:rsidRPr="000762B5" w:rsidRDefault="001227F5" w:rsidP="000762B5">
      <w:pPr>
        <w:pStyle w:val="ListParagraph"/>
        <w:numPr>
          <w:ilvl w:val="0"/>
          <w:numId w:val="11"/>
        </w:numPr>
        <w:spacing w:line="360" w:lineRule="auto"/>
        <w:jc w:val="both"/>
        <w:rPr>
          <w:rFonts w:ascii="Arial" w:hAnsi="Arial" w:cs="Arial"/>
          <w:sz w:val="24"/>
          <w:szCs w:val="24"/>
        </w:rPr>
      </w:pPr>
      <w:r w:rsidRPr="000762B5">
        <w:rPr>
          <w:rFonts w:ascii="Arial" w:hAnsi="Arial" w:cs="Arial"/>
          <w:sz w:val="24"/>
          <w:szCs w:val="24"/>
        </w:rPr>
        <w:t>Coding of workforce-related mechanisms</w:t>
      </w:r>
    </w:p>
    <w:p w14:paraId="0DBFD641" w14:textId="77777777" w:rsidR="001227F5" w:rsidRPr="000762B5" w:rsidRDefault="001227F5" w:rsidP="000762B5">
      <w:pPr>
        <w:pStyle w:val="ListParagraph"/>
        <w:numPr>
          <w:ilvl w:val="0"/>
          <w:numId w:val="11"/>
        </w:numPr>
        <w:spacing w:line="360" w:lineRule="auto"/>
        <w:jc w:val="both"/>
        <w:rPr>
          <w:rFonts w:ascii="Arial" w:hAnsi="Arial" w:cs="Arial"/>
          <w:sz w:val="24"/>
          <w:szCs w:val="24"/>
        </w:rPr>
      </w:pPr>
      <w:r w:rsidRPr="000762B5">
        <w:rPr>
          <w:rFonts w:ascii="Arial" w:hAnsi="Arial" w:cs="Arial"/>
          <w:sz w:val="24"/>
          <w:szCs w:val="24"/>
        </w:rPr>
        <w:t>Categorisation into thematic clusters</w:t>
      </w:r>
    </w:p>
    <w:p w14:paraId="5EBF89D6" w14:textId="77777777" w:rsidR="001227F5" w:rsidRPr="000762B5" w:rsidRDefault="001227F5" w:rsidP="000762B5">
      <w:pPr>
        <w:pStyle w:val="ListParagraph"/>
        <w:numPr>
          <w:ilvl w:val="0"/>
          <w:numId w:val="11"/>
        </w:numPr>
        <w:spacing w:line="360" w:lineRule="auto"/>
        <w:jc w:val="both"/>
        <w:rPr>
          <w:rFonts w:ascii="Arial" w:hAnsi="Arial" w:cs="Arial"/>
          <w:sz w:val="24"/>
          <w:szCs w:val="24"/>
        </w:rPr>
      </w:pPr>
      <w:r w:rsidRPr="000762B5">
        <w:rPr>
          <w:rFonts w:ascii="Arial" w:hAnsi="Arial" w:cs="Arial"/>
          <w:sz w:val="24"/>
          <w:szCs w:val="24"/>
        </w:rPr>
        <w:t>Interpretation through theoretical frameworks (JD–R, emotional labour)</w:t>
      </w:r>
    </w:p>
    <w:p w14:paraId="4F5DD143" w14:textId="0B58D2F0" w:rsidR="001227F5" w:rsidRPr="000762B5" w:rsidRDefault="001227F5" w:rsidP="001227F5">
      <w:pPr>
        <w:pStyle w:val="ListParagraph"/>
        <w:numPr>
          <w:ilvl w:val="0"/>
          <w:numId w:val="11"/>
        </w:numPr>
        <w:spacing w:line="360" w:lineRule="auto"/>
        <w:jc w:val="both"/>
        <w:rPr>
          <w:rFonts w:ascii="Arial" w:hAnsi="Arial" w:cs="Arial"/>
          <w:sz w:val="24"/>
          <w:szCs w:val="24"/>
        </w:rPr>
      </w:pPr>
      <w:r w:rsidRPr="000762B5">
        <w:rPr>
          <w:rFonts w:ascii="Arial" w:hAnsi="Arial" w:cs="Arial"/>
          <w:sz w:val="24"/>
          <w:szCs w:val="24"/>
        </w:rPr>
        <w:t>Integration with UK labour market context</w:t>
      </w:r>
    </w:p>
    <w:p w14:paraId="2A4C367A" w14:textId="4EBBCF16" w:rsidR="00011DD6" w:rsidRDefault="00011DD6" w:rsidP="001227F5">
      <w:pPr>
        <w:spacing w:line="360" w:lineRule="auto"/>
        <w:jc w:val="both"/>
        <w:rPr>
          <w:rFonts w:ascii="Arial" w:hAnsi="Arial" w:cs="Arial"/>
          <w:sz w:val="24"/>
          <w:szCs w:val="24"/>
        </w:rPr>
      </w:pPr>
      <w:r w:rsidRPr="00011DD6">
        <w:rPr>
          <w:rFonts w:ascii="Arial" w:hAnsi="Arial" w:cs="Arial"/>
          <w:sz w:val="24"/>
          <w:szCs w:val="24"/>
        </w:rPr>
        <w:t>Thematic synthesis was employed to systematically integrate recurring conceptual patterns across diverse empirical studies, enabling interpretive comparison while maintaining analytical structure (Thomas and Harden, 2008).</w:t>
      </w:r>
    </w:p>
    <w:p w14:paraId="12930802" w14:textId="5846AC48" w:rsidR="001227F5" w:rsidRPr="001227F5" w:rsidRDefault="001227F5" w:rsidP="001227F5">
      <w:pPr>
        <w:spacing w:line="360" w:lineRule="auto"/>
        <w:jc w:val="both"/>
        <w:rPr>
          <w:rFonts w:ascii="Arial" w:hAnsi="Arial" w:cs="Arial"/>
          <w:sz w:val="24"/>
          <w:szCs w:val="24"/>
        </w:rPr>
      </w:pPr>
      <w:r w:rsidRPr="001227F5">
        <w:rPr>
          <w:rFonts w:ascii="Arial" w:hAnsi="Arial" w:cs="Arial"/>
          <w:sz w:val="24"/>
          <w:szCs w:val="24"/>
        </w:rPr>
        <w:t>Four primary themes emerged:</w:t>
      </w:r>
    </w:p>
    <w:p w14:paraId="2DA6F936" w14:textId="77777777" w:rsidR="001227F5" w:rsidRPr="000762B5" w:rsidRDefault="001227F5" w:rsidP="000762B5">
      <w:pPr>
        <w:pStyle w:val="ListParagraph"/>
        <w:numPr>
          <w:ilvl w:val="0"/>
          <w:numId w:val="12"/>
        </w:numPr>
        <w:spacing w:line="360" w:lineRule="auto"/>
        <w:jc w:val="both"/>
        <w:rPr>
          <w:rFonts w:ascii="Arial" w:hAnsi="Arial" w:cs="Arial"/>
          <w:sz w:val="24"/>
          <w:szCs w:val="24"/>
        </w:rPr>
      </w:pPr>
      <w:r w:rsidRPr="000762B5">
        <w:rPr>
          <w:rFonts w:ascii="Arial" w:hAnsi="Arial" w:cs="Arial"/>
          <w:sz w:val="24"/>
          <w:szCs w:val="24"/>
        </w:rPr>
        <w:t>Structural workforce instability</w:t>
      </w:r>
    </w:p>
    <w:p w14:paraId="728B26E1" w14:textId="77777777" w:rsidR="001227F5" w:rsidRPr="000762B5" w:rsidRDefault="001227F5" w:rsidP="000762B5">
      <w:pPr>
        <w:pStyle w:val="ListParagraph"/>
        <w:numPr>
          <w:ilvl w:val="0"/>
          <w:numId w:val="12"/>
        </w:numPr>
        <w:spacing w:line="360" w:lineRule="auto"/>
        <w:jc w:val="both"/>
        <w:rPr>
          <w:rFonts w:ascii="Arial" w:hAnsi="Arial" w:cs="Arial"/>
          <w:sz w:val="24"/>
          <w:szCs w:val="24"/>
        </w:rPr>
      </w:pPr>
      <w:r w:rsidRPr="000762B5">
        <w:rPr>
          <w:rFonts w:ascii="Arial" w:hAnsi="Arial" w:cs="Arial"/>
          <w:sz w:val="24"/>
          <w:szCs w:val="24"/>
        </w:rPr>
        <w:t>Behavioural strain mechanisms</w:t>
      </w:r>
    </w:p>
    <w:p w14:paraId="6E23C5FC" w14:textId="77777777" w:rsidR="001227F5" w:rsidRPr="000762B5" w:rsidRDefault="001227F5" w:rsidP="000762B5">
      <w:pPr>
        <w:pStyle w:val="ListParagraph"/>
        <w:numPr>
          <w:ilvl w:val="0"/>
          <w:numId w:val="12"/>
        </w:numPr>
        <w:spacing w:line="360" w:lineRule="auto"/>
        <w:jc w:val="both"/>
        <w:rPr>
          <w:rFonts w:ascii="Arial" w:hAnsi="Arial" w:cs="Arial"/>
          <w:sz w:val="24"/>
          <w:szCs w:val="24"/>
        </w:rPr>
      </w:pPr>
      <w:r w:rsidRPr="000762B5">
        <w:rPr>
          <w:rFonts w:ascii="Arial" w:hAnsi="Arial" w:cs="Arial"/>
          <w:sz w:val="24"/>
          <w:szCs w:val="24"/>
        </w:rPr>
        <w:t>Service delivery degradation</w:t>
      </w:r>
    </w:p>
    <w:p w14:paraId="6E760B57" w14:textId="627AC26D" w:rsidR="00977C38" w:rsidRPr="000762B5" w:rsidRDefault="001227F5" w:rsidP="000762B5">
      <w:pPr>
        <w:pStyle w:val="ListParagraph"/>
        <w:numPr>
          <w:ilvl w:val="0"/>
          <w:numId w:val="12"/>
        </w:numPr>
        <w:spacing w:line="360" w:lineRule="auto"/>
        <w:jc w:val="both"/>
        <w:rPr>
          <w:rFonts w:ascii="Arial" w:hAnsi="Arial" w:cs="Arial"/>
          <w:sz w:val="24"/>
          <w:szCs w:val="24"/>
        </w:rPr>
      </w:pPr>
      <w:r w:rsidRPr="000762B5">
        <w:rPr>
          <w:rFonts w:ascii="Arial" w:hAnsi="Arial" w:cs="Arial"/>
          <w:sz w:val="24"/>
          <w:szCs w:val="24"/>
        </w:rPr>
        <w:t>Organisational buffering responses</w:t>
      </w:r>
    </w:p>
    <w:p w14:paraId="639183E0" w14:textId="02397A09" w:rsidR="00977C38" w:rsidRDefault="00710C97" w:rsidP="000D522D">
      <w:pPr>
        <w:spacing w:line="360" w:lineRule="auto"/>
        <w:jc w:val="both"/>
        <w:rPr>
          <w:rFonts w:ascii="Arial" w:hAnsi="Arial" w:cs="Arial"/>
          <w:sz w:val="24"/>
          <w:szCs w:val="24"/>
        </w:rPr>
      </w:pPr>
      <w:r w:rsidRPr="00710C97">
        <w:rPr>
          <w:rFonts w:ascii="Arial" w:hAnsi="Arial" w:cs="Arial"/>
          <w:sz w:val="24"/>
          <w:szCs w:val="24"/>
        </w:rPr>
        <w:t xml:space="preserve">While thematic synthesis involves interpretive judgement, efforts were made to maintain analytical consistency by aligning coding decisions with established theoretical frameworks (JD–R, emotional labour and service quality theory). This </w:t>
      </w:r>
      <w:r w:rsidRPr="00710C97">
        <w:rPr>
          <w:rFonts w:ascii="Arial" w:hAnsi="Arial" w:cs="Arial"/>
          <w:sz w:val="24"/>
          <w:szCs w:val="24"/>
        </w:rPr>
        <w:lastRenderedPageBreak/>
        <w:t>theory-informed coding reduces subjective bias and enhances conceptual coherence across heterogeneous studies.</w:t>
      </w:r>
    </w:p>
    <w:p w14:paraId="2F1DB8F3" w14:textId="77777777" w:rsidR="00710C97" w:rsidRDefault="00710C97" w:rsidP="000D522D">
      <w:pPr>
        <w:spacing w:line="360" w:lineRule="auto"/>
        <w:jc w:val="both"/>
        <w:rPr>
          <w:rFonts w:ascii="Arial" w:hAnsi="Arial" w:cs="Arial"/>
          <w:sz w:val="24"/>
          <w:szCs w:val="24"/>
        </w:rPr>
      </w:pPr>
    </w:p>
    <w:p w14:paraId="7EC032DC" w14:textId="0122B26D" w:rsidR="00BC6370" w:rsidRPr="00BC6370" w:rsidRDefault="00BC6370" w:rsidP="00BC6370">
      <w:pPr>
        <w:pStyle w:val="Heading2"/>
      </w:pPr>
      <w:bookmarkStart w:id="24" w:name="_Toc222945001"/>
      <w:r w:rsidRPr="00BC6370">
        <w:t>3.6 Ethical Considerations</w:t>
      </w:r>
      <w:bookmarkEnd w:id="24"/>
    </w:p>
    <w:p w14:paraId="06A22926" w14:textId="21EAB5CF" w:rsidR="00BC6370" w:rsidRPr="00BC6370" w:rsidRDefault="00BC6370" w:rsidP="00BC6370">
      <w:pPr>
        <w:spacing w:line="360" w:lineRule="auto"/>
        <w:jc w:val="both"/>
        <w:rPr>
          <w:rFonts w:ascii="Arial" w:hAnsi="Arial" w:cs="Arial"/>
          <w:sz w:val="24"/>
          <w:szCs w:val="24"/>
        </w:rPr>
      </w:pPr>
      <w:r w:rsidRPr="00BC6370">
        <w:rPr>
          <w:rFonts w:ascii="Arial" w:hAnsi="Arial" w:cs="Arial"/>
          <w:sz w:val="24"/>
          <w:szCs w:val="24"/>
        </w:rPr>
        <w:t>No primary data were collected. The study does not involve human participants, personal data or confidential organisational materials. Ethical risk is therefore minimal.</w:t>
      </w:r>
    </w:p>
    <w:p w14:paraId="3C59A9A3" w14:textId="161157D8" w:rsidR="00977C38" w:rsidRDefault="00BC6370" w:rsidP="00BC6370">
      <w:pPr>
        <w:spacing w:line="360" w:lineRule="auto"/>
        <w:jc w:val="both"/>
        <w:rPr>
          <w:rFonts w:ascii="Arial" w:hAnsi="Arial" w:cs="Arial"/>
          <w:sz w:val="24"/>
          <w:szCs w:val="24"/>
        </w:rPr>
      </w:pPr>
      <w:r w:rsidRPr="00BC6370">
        <w:rPr>
          <w:rFonts w:ascii="Arial" w:hAnsi="Arial" w:cs="Arial"/>
          <w:sz w:val="24"/>
          <w:szCs w:val="24"/>
        </w:rPr>
        <w:t>All secondary sources were appropriately cited in accordance with Harvard referencing conventions. The research adheres to principles of academic integrity and transparency in source attribution.</w:t>
      </w:r>
    </w:p>
    <w:p w14:paraId="2A3D530C" w14:textId="77777777" w:rsidR="00977C38" w:rsidRDefault="00977C38" w:rsidP="000D522D">
      <w:pPr>
        <w:spacing w:line="360" w:lineRule="auto"/>
        <w:jc w:val="both"/>
        <w:rPr>
          <w:rFonts w:ascii="Arial" w:hAnsi="Arial" w:cs="Arial"/>
          <w:sz w:val="24"/>
          <w:szCs w:val="24"/>
        </w:rPr>
      </w:pPr>
    </w:p>
    <w:p w14:paraId="0AEF0CDB" w14:textId="3A7D504F" w:rsidR="00BC6370" w:rsidRPr="00BC6370" w:rsidRDefault="00BC6370" w:rsidP="00BC6370">
      <w:pPr>
        <w:pStyle w:val="Heading2"/>
      </w:pPr>
      <w:bookmarkStart w:id="25" w:name="_Toc222945002"/>
      <w:r w:rsidRPr="00BC6370">
        <w:t>3.7 Limitations</w:t>
      </w:r>
      <w:bookmarkEnd w:id="25"/>
    </w:p>
    <w:p w14:paraId="40FED229" w14:textId="0D7FFAB1" w:rsidR="00BC6370" w:rsidRPr="00BC6370" w:rsidRDefault="00BC6370" w:rsidP="00BC6370">
      <w:pPr>
        <w:spacing w:line="360" w:lineRule="auto"/>
        <w:jc w:val="both"/>
        <w:rPr>
          <w:rFonts w:ascii="Arial" w:hAnsi="Arial" w:cs="Arial"/>
          <w:sz w:val="24"/>
          <w:szCs w:val="24"/>
        </w:rPr>
      </w:pPr>
      <w:r w:rsidRPr="00BC6370">
        <w:rPr>
          <w:rFonts w:ascii="Arial" w:hAnsi="Arial" w:cs="Arial"/>
          <w:sz w:val="24"/>
          <w:szCs w:val="24"/>
        </w:rPr>
        <w:t>The use of secondary data limits the ability to make causal claims specific to TY Newport Hotel. The findings rely on theoretical synthesis rather than direct measurement of local performance indicators.</w:t>
      </w:r>
    </w:p>
    <w:p w14:paraId="16DAE8C3" w14:textId="5CCB076B" w:rsidR="00BC6370" w:rsidRPr="00BC6370" w:rsidRDefault="00BC6370" w:rsidP="00BC6370">
      <w:pPr>
        <w:spacing w:line="360" w:lineRule="auto"/>
        <w:jc w:val="both"/>
        <w:rPr>
          <w:rFonts w:ascii="Arial" w:hAnsi="Arial" w:cs="Arial"/>
          <w:sz w:val="24"/>
          <w:szCs w:val="24"/>
        </w:rPr>
      </w:pPr>
      <w:r w:rsidRPr="00BC6370">
        <w:rPr>
          <w:rFonts w:ascii="Arial" w:hAnsi="Arial" w:cs="Arial"/>
          <w:sz w:val="24"/>
          <w:szCs w:val="24"/>
        </w:rPr>
        <w:t>Additionally, secondary literature may reflect contextual variations across countries and hotel categories. While care was taken to prioritise hospitality-specific research, some general workforce theories were included to strengthen conceptual grounding.</w:t>
      </w:r>
    </w:p>
    <w:p w14:paraId="74D4C49C" w14:textId="67202FE5" w:rsidR="00977C38" w:rsidRDefault="00BC6370" w:rsidP="00BC6370">
      <w:pPr>
        <w:spacing w:line="360" w:lineRule="auto"/>
        <w:jc w:val="both"/>
        <w:rPr>
          <w:rFonts w:ascii="Arial" w:hAnsi="Arial" w:cs="Arial"/>
          <w:sz w:val="24"/>
          <w:szCs w:val="24"/>
        </w:rPr>
      </w:pPr>
      <w:r w:rsidRPr="00BC6370">
        <w:rPr>
          <w:rFonts w:ascii="Arial" w:hAnsi="Arial" w:cs="Arial"/>
          <w:sz w:val="24"/>
          <w:szCs w:val="24"/>
        </w:rPr>
        <w:t>Despite these limitations, the methodology provides a robust framework for analysing staffing shortages as structural influences on service systems.</w:t>
      </w:r>
    </w:p>
    <w:p w14:paraId="7EF82DB6" w14:textId="77777777" w:rsidR="00710C97" w:rsidRDefault="00710C97" w:rsidP="00BC6370">
      <w:pPr>
        <w:spacing w:line="360" w:lineRule="auto"/>
        <w:jc w:val="both"/>
        <w:rPr>
          <w:rFonts w:ascii="Arial" w:hAnsi="Arial" w:cs="Arial"/>
          <w:sz w:val="24"/>
          <w:szCs w:val="24"/>
        </w:rPr>
      </w:pPr>
    </w:p>
    <w:p w14:paraId="12AC331A" w14:textId="60573AEB" w:rsidR="0059660B" w:rsidRPr="0059660B" w:rsidRDefault="0059660B" w:rsidP="0059660B">
      <w:pPr>
        <w:pStyle w:val="Heading2"/>
      </w:pPr>
      <w:bookmarkStart w:id="26" w:name="_Toc222945003"/>
      <w:r w:rsidRPr="0059660B">
        <w:t>3.8 Research Rigour and Trustworthiness</w:t>
      </w:r>
      <w:bookmarkEnd w:id="26"/>
    </w:p>
    <w:p w14:paraId="413A7488" w14:textId="475A1BD1" w:rsidR="0059660B" w:rsidRPr="0059660B" w:rsidRDefault="0059660B" w:rsidP="0059660B">
      <w:pPr>
        <w:spacing w:line="360" w:lineRule="auto"/>
        <w:jc w:val="both"/>
        <w:rPr>
          <w:rFonts w:ascii="Arial" w:hAnsi="Arial" w:cs="Arial"/>
          <w:sz w:val="24"/>
          <w:szCs w:val="24"/>
        </w:rPr>
      </w:pPr>
      <w:r w:rsidRPr="0059660B">
        <w:rPr>
          <w:rFonts w:ascii="Arial" w:hAnsi="Arial" w:cs="Arial"/>
          <w:sz w:val="24"/>
          <w:szCs w:val="24"/>
        </w:rPr>
        <w:t>To enhance methodological robustness, the study draws upon established criteria for qualitative trustworthiness. Lincoln and Guba (1985) propose four evaluative principles: credibility, transferability, dependability and confirmability. Credibility was strengthened through systematic cross-referencing of empirical findings across multiple hospitality studies, ensuring thematic consistency. Transferability is supported through detailed contextualisation of TY Newport Hotel, allowing readers to assess applicability to comparable full-service UK hotel environments.</w:t>
      </w:r>
    </w:p>
    <w:p w14:paraId="507679EB" w14:textId="39EB5345" w:rsidR="0059660B" w:rsidRPr="0059660B" w:rsidRDefault="0059660B" w:rsidP="0059660B">
      <w:pPr>
        <w:spacing w:line="360" w:lineRule="auto"/>
        <w:jc w:val="both"/>
        <w:rPr>
          <w:rFonts w:ascii="Arial" w:hAnsi="Arial" w:cs="Arial"/>
          <w:sz w:val="24"/>
          <w:szCs w:val="24"/>
        </w:rPr>
      </w:pPr>
      <w:r w:rsidRPr="0059660B">
        <w:rPr>
          <w:rFonts w:ascii="Arial" w:hAnsi="Arial" w:cs="Arial"/>
          <w:sz w:val="24"/>
          <w:szCs w:val="24"/>
        </w:rPr>
        <w:lastRenderedPageBreak/>
        <w:t>Dependability was addressed through transparent documentation of search criteria, inclusion thresholds and analytical stages. Confirmability was enhanced through reliance on peer-reviewed empirical evidence rather than anecdotal interpretation. While the study does not claim statistical generalisability, its structured analytical approach supports analytical generalisation within hospitality workforce research (Flyvbjerg, 2006).</w:t>
      </w:r>
    </w:p>
    <w:p w14:paraId="4D9EFCFD" w14:textId="6C30127F" w:rsidR="00710C97" w:rsidRDefault="0059660B" w:rsidP="0059660B">
      <w:pPr>
        <w:spacing w:line="360" w:lineRule="auto"/>
        <w:jc w:val="both"/>
        <w:rPr>
          <w:rFonts w:ascii="Arial" w:hAnsi="Arial" w:cs="Arial"/>
          <w:sz w:val="24"/>
          <w:szCs w:val="24"/>
        </w:rPr>
      </w:pPr>
      <w:r w:rsidRPr="0059660B">
        <w:rPr>
          <w:rFonts w:ascii="Arial" w:hAnsi="Arial" w:cs="Arial"/>
          <w:sz w:val="24"/>
          <w:szCs w:val="24"/>
        </w:rPr>
        <w:t>These measures collectively enhance research integrity and strengthen confidence in the conclusions drawn.</w:t>
      </w:r>
    </w:p>
    <w:p w14:paraId="5D1F85C9" w14:textId="77777777" w:rsidR="009F409E" w:rsidRDefault="009F409E" w:rsidP="000D522D">
      <w:pPr>
        <w:spacing w:line="360" w:lineRule="auto"/>
        <w:jc w:val="both"/>
        <w:rPr>
          <w:rFonts w:ascii="Arial" w:hAnsi="Arial" w:cs="Arial"/>
          <w:sz w:val="24"/>
          <w:szCs w:val="24"/>
        </w:rPr>
      </w:pPr>
    </w:p>
    <w:p w14:paraId="547E344F" w14:textId="5284F0CE" w:rsidR="000B52C1" w:rsidRPr="000B52C1" w:rsidRDefault="000B52C1" w:rsidP="000B52C1">
      <w:pPr>
        <w:pStyle w:val="Heading1"/>
      </w:pPr>
      <w:bookmarkStart w:id="27" w:name="_Toc222945004"/>
      <w:r w:rsidRPr="000B52C1">
        <w:t>CHAPTER 4</w:t>
      </w:r>
      <w:r>
        <w:t xml:space="preserve">: </w:t>
      </w:r>
      <w:r w:rsidRPr="000B52C1">
        <w:t>Findings and Discussion</w:t>
      </w:r>
      <w:bookmarkEnd w:id="27"/>
    </w:p>
    <w:p w14:paraId="08A9A94C" w14:textId="77777777" w:rsidR="000B52C1" w:rsidRPr="000B52C1" w:rsidRDefault="000B52C1" w:rsidP="000B52C1">
      <w:pPr>
        <w:pStyle w:val="Heading2"/>
      </w:pPr>
      <w:bookmarkStart w:id="28" w:name="_Toc222945005"/>
      <w:r w:rsidRPr="000B52C1">
        <w:t>4.1 Findings</w:t>
      </w:r>
      <w:bookmarkEnd w:id="28"/>
    </w:p>
    <w:p w14:paraId="374CCAB6" w14:textId="6FD07FFB" w:rsidR="00BC6370" w:rsidRDefault="000B52C1" w:rsidP="000B52C1">
      <w:pPr>
        <w:pStyle w:val="Heading3"/>
      </w:pPr>
      <w:bookmarkStart w:id="29" w:name="_Toc222945006"/>
      <w:r w:rsidRPr="000B52C1">
        <w:t>4.1.1 Objective 1: Structural Drivers of Staff Shortages in the UK Hotel Sector</w:t>
      </w:r>
      <w:bookmarkEnd w:id="29"/>
    </w:p>
    <w:p w14:paraId="272359B4" w14:textId="0D2F1ABF" w:rsidR="00BC6370" w:rsidRDefault="00C1742A" w:rsidP="000D522D">
      <w:pPr>
        <w:spacing w:line="360" w:lineRule="auto"/>
        <w:jc w:val="both"/>
        <w:rPr>
          <w:rFonts w:ascii="Arial" w:hAnsi="Arial" w:cs="Arial"/>
          <w:sz w:val="24"/>
          <w:szCs w:val="24"/>
        </w:rPr>
      </w:pPr>
      <w:r w:rsidRPr="00C1742A">
        <w:rPr>
          <w:rFonts w:ascii="Arial" w:hAnsi="Arial" w:cs="Arial"/>
          <w:sz w:val="24"/>
          <w:szCs w:val="24"/>
        </w:rPr>
        <w:t>The analysis of secondary academic and industry literature demonstrates that staff shortages in the UK hotel sector represent structural workforce instability rather than temporary recruitment gaps. Workforce data published by the Office for National Statistics (2025) show that Accommodation and Food Service Activities (SIC 55–56) continue to experience elevated vacancy levels relative to several other sectors of the UK economy. Industry commentary from UKHospitality (2024) similarly identifies labour shortages as a sustained strategic concern affecting service delivery capacity across hotels, restaurants and event venues.</w:t>
      </w:r>
    </w:p>
    <w:p w14:paraId="1BC57793" w14:textId="0BE0539B" w:rsidR="00BC6370" w:rsidRDefault="00C25A3D" w:rsidP="000D522D">
      <w:pPr>
        <w:spacing w:line="360" w:lineRule="auto"/>
        <w:jc w:val="both"/>
        <w:rPr>
          <w:rFonts w:ascii="Arial" w:hAnsi="Arial" w:cs="Arial"/>
          <w:sz w:val="24"/>
          <w:szCs w:val="24"/>
        </w:rPr>
      </w:pPr>
      <w:r w:rsidRPr="00C25A3D">
        <w:rPr>
          <w:rFonts w:ascii="Arial" w:hAnsi="Arial" w:cs="Arial"/>
          <w:sz w:val="24"/>
          <w:szCs w:val="24"/>
        </w:rPr>
        <w:t>Baum et al (2020) argue that labour fragility in hospitality predates the COVID-19 pandemic and reflects embedded employment characteristics</w:t>
      </w:r>
      <w:r w:rsidR="00E97349">
        <w:rPr>
          <w:rFonts w:ascii="Arial" w:hAnsi="Arial" w:cs="Arial"/>
          <w:sz w:val="24"/>
          <w:szCs w:val="24"/>
        </w:rPr>
        <w:t>,</w:t>
      </w:r>
      <w:r w:rsidRPr="00C25A3D">
        <w:rPr>
          <w:rFonts w:ascii="Arial" w:hAnsi="Arial" w:cs="Arial"/>
          <w:sz w:val="24"/>
          <w:szCs w:val="24"/>
        </w:rPr>
        <w:t xml:space="preserve"> including relatively high turnover, dependence on flexible labour scheduling and constrained career progression structures. Rather than creating workforce instability, the pandemic exposed and intensified pre-existing vulnerabilities. Birdir</w:t>
      </w:r>
      <w:r w:rsidR="00EE6A8D">
        <w:rPr>
          <w:rFonts w:ascii="Arial" w:hAnsi="Arial" w:cs="Arial"/>
          <w:sz w:val="24"/>
          <w:szCs w:val="24"/>
        </w:rPr>
        <w:t xml:space="preserve"> and </w:t>
      </w:r>
      <w:r w:rsidR="007320F8">
        <w:rPr>
          <w:rFonts w:ascii="Arial" w:hAnsi="Arial" w:cs="Arial"/>
          <w:sz w:val="24"/>
          <w:szCs w:val="24"/>
        </w:rPr>
        <w:t xml:space="preserve">Birdir </w:t>
      </w:r>
      <w:r w:rsidRPr="00C25A3D">
        <w:rPr>
          <w:rFonts w:ascii="Arial" w:hAnsi="Arial" w:cs="Arial"/>
          <w:sz w:val="24"/>
          <w:szCs w:val="24"/>
        </w:rPr>
        <w:t xml:space="preserve">(2024) </w:t>
      </w:r>
      <w:r w:rsidR="007320F8">
        <w:rPr>
          <w:rFonts w:ascii="Arial" w:hAnsi="Arial" w:cs="Arial"/>
          <w:sz w:val="24"/>
          <w:szCs w:val="24"/>
        </w:rPr>
        <w:t>support</w:t>
      </w:r>
      <w:r w:rsidRPr="00C25A3D">
        <w:rPr>
          <w:rFonts w:ascii="Arial" w:hAnsi="Arial" w:cs="Arial"/>
          <w:sz w:val="24"/>
          <w:szCs w:val="24"/>
        </w:rPr>
        <w:t xml:space="preserve"> this structural interpretation, suggesting that staffing shortages in hospitality are deeply connected to job design challenges, including high emotional demands and comparatively limited job security.</w:t>
      </w:r>
      <w:r w:rsidR="00F17FCF">
        <w:rPr>
          <w:rFonts w:ascii="Arial" w:hAnsi="Arial" w:cs="Arial"/>
          <w:sz w:val="24"/>
          <w:szCs w:val="24"/>
        </w:rPr>
        <w:t xml:space="preserve"> </w:t>
      </w:r>
      <w:r w:rsidR="00F17FCF" w:rsidRPr="00F17FCF">
        <w:rPr>
          <w:rFonts w:ascii="Arial" w:hAnsi="Arial" w:cs="Arial"/>
          <w:sz w:val="24"/>
          <w:szCs w:val="24"/>
        </w:rPr>
        <w:t xml:space="preserve">Magnini et al (2024) identify misalignment between hospitality career expectations and perceived employment realities as a significant </w:t>
      </w:r>
      <w:r w:rsidR="00F17FCF" w:rsidRPr="00F17FCF">
        <w:rPr>
          <w:rFonts w:ascii="Arial" w:hAnsi="Arial" w:cs="Arial"/>
          <w:sz w:val="24"/>
          <w:szCs w:val="24"/>
        </w:rPr>
        <w:lastRenderedPageBreak/>
        <w:t>contributor to labour supply constraints, highlighting the importance of career preference drivers in understanding ongoing recruitment challenges.</w:t>
      </w:r>
    </w:p>
    <w:p w14:paraId="005E729E" w14:textId="5E4C48D2" w:rsidR="00BC6370" w:rsidRDefault="0090388D" w:rsidP="000D522D">
      <w:pPr>
        <w:spacing w:line="360" w:lineRule="auto"/>
        <w:jc w:val="both"/>
        <w:rPr>
          <w:rFonts w:ascii="Arial" w:hAnsi="Arial" w:cs="Arial"/>
          <w:sz w:val="24"/>
          <w:szCs w:val="24"/>
        </w:rPr>
      </w:pPr>
      <w:r w:rsidRPr="0090388D">
        <w:rPr>
          <w:rFonts w:ascii="Arial" w:hAnsi="Arial" w:cs="Arial"/>
          <w:sz w:val="24"/>
          <w:szCs w:val="24"/>
        </w:rPr>
        <w:t>The Job Demands–Resources (JD–R) model provides a coherent explanatory framework for understanding these structural pressures (Demerouti et al, 2001; Bakker and Demerouti, 2007). Within hotel environments, job demands include emotional labour, guest interaction intensity, time pressure, multitasking and service recovery expectations. Staffing levels function as a core organisational resource that moderates these demands. When staffing is insufficient, resources such as time, managerial support and recovery opportunities are reduced, intensifying emotional strain.</w:t>
      </w:r>
    </w:p>
    <w:p w14:paraId="36740935" w14:textId="1DC55348" w:rsidR="00282AB7" w:rsidRPr="00282AB7" w:rsidRDefault="00282AB7" w:rsidP="00282AB7">
      <w:pPr>
        <w:spacing w:line="360" w:lineRule="auto"/>
        <w:jc w:val="both"/>
        <w:rPr>
          <w:rFonts w:ascii="Arial" w:hAnsi="Arial" w:cs="Arial"/>
          <w:sz w:val="24"/>
          <w:szCs w:val="24"/>
        </w:rPr>
      </w:pPr>
      <w:r>
        <w:rPr>
          <w:rFonts w:ascii="Arial" w:hAnsi="Arial" w:cs="Arial"/>
          <w:sz w:val="24"/>
          <w:szCs w:val="24"/>
        </w:rPr>
        <w:t>Empirical</w:t>
      </w:r>
      <w:r w:rsidRPr="00282AB7">
        <w:rPr>
          <w:rFonts w:ascii="Arial" w:hAnsi="Arial" w:cs="Arial"/>
          <w:sz w:val="24"/>
          <w:szCs w:val="24"/>
        </w:rPr>
        <w:t xml:space="preserve"> evidence within hospitality contexts supports this mechanism. Karatepe and Aleshinloye (2009) demonstrate that emotional dissonance and overload significantly predict emotional exhaustion among hotel employees. Kim (2008) finds that emotional labour in hotel settings contributes to burnout, particularly when organisational support is insufficient.</w:t>
      </w:r>
      <w:r w:rsidR="001F4F0A">
        <w:rPr>
          <w:rFonts w:ascii="Arial" w:hAnsi="Arial" w:cs="Arial"/>
          <w:sz w:val="24"/>
          <w:szCs w:val="24"/>
        </w:rPr>
        <w:t xml:space="preserve"> </w:t>
      </w:r>
      <w:r w:rsidR="001F4F0A" w:rsidRPr="001F4F0A">
        <w:rPr>
          <w:rFonts w:ascii="Arial" w:hAnsi="Arial" w:cs="Arial"/>
          <w:sz w:val="24"/>
          <w:szCs w:val="24"/>
        </w:rPr>
        <w:t>Zientara et al (2023) find, in a UK hospitality employee sample, that job stress and dissatisfaction are positively associated with turnover intention, indicating that adverse job attitudes contribute to employees’ likelihood of quitting</w:t>
      </w:r>
      <w:r w:rsidRPr="00282AB7">
        <w:rPr>
          <w:rFonts w:ascii="Arial" w:hAnsi="Arial" w:cs="Arial"/>
          <w:sz w:val="24"/>
          <w:szCs w:val="24"/>
        </w:rPr>
        <w:t>. Akgunduz and Eryilmaz (2018) further confirm that job insecurity within hospitality settings significantly increases withdrawal behaviours and turnover intention.</w:t>
      </w:r>
    </w:p>
    <w:p w14:paraId="1CBFC31D" w14:textId="477BDBF7" w:rsidR="00DB6530" w:rsidRDefault="00DB6530" w:rsidP="00DB6530">
      <w:pPr>
        <w:spacing w:line="360" w:lineRule="auto"/>
        <w:jc w:val="both"/>
        <w:rPr>
          <w:rFonts w:ascii="Arial" w:hAnsi="Arial" w:cs="Arial"/>
          <w:sz w:val="24"/>
          <w:szCs w:val="24"/>
        </w:rPr>
      </w:pPr>
      <w:r w:rsidRPr="00DB6530">
        <w:rPr>
          <w:rFonts w:ascii="Arial" w:hAnsi="Arial" w:cs="Arial"/>
          <w:sz w:val="24"/>
          <w:szCs w:val="24"/>
        </w:rPr>
        <w:t>Park and Min’s (2020) meta-analysis of turnover intention in hospitality confirms burnout as one of the most consistent antecedents of employee exit. These studies collectively indicate that structural workforce imbalance generates cyclical instability: insufficient staffing intensifies job demands, increases burnout and accelerates turnover, thereby reinforcing labour shortages.</w:t>
      </w:r>
    </w:p>
    <w:p w14:paraId="769650D5" w14:textId="3A2B9E33" w:rsidR="00AA23AA" w:rsidRPr="00DB6530" w:rsidRDefault="006259D1" w:rsidP="00DB6530">
      <w:pPr>
        <w:spacing w:line="360" w:lineRule="auto"/>
        <w:jc w:val="both"/>
        <w:rPr>
          <w:rFonts w:ascii="Arial" w:hAnsi="Arial" w:cs="Arial"/>
          <w:sz w:val="24"/>
          <w:szCs w:val="24"/>
        </w:rPr>
      </w:pPr>
      <w:r w:rsidRPr="006259D1">
        <w:rPr>
          <w:rFonts w:ascii="Arial" w:hAnsi="Arial" w:cs="Arial"/>
          <w:sz w:val="24"/>
          <w:szCs w:val="24"/>
        </w:rPr>
        <w:t xml:space="preserve">Additional hospitality research reinforces the structural nature of burnout within hotel environments. Babakus et al (2008) demonstrate that frontline hotel employees experiencing high job demands report significantly lower service recovery performance. </w:t>
      </w:r>
      <w:r w:rsidR="00664607" w:rsidRPr="00664607">
        <w:rPr>
          <w:rFonts w:ascii="Arial" w:hAnsi="Arial" w:cs="Arial"/>
          <w:sz w:val="24"/>
          <w:szCs w:val="24"/>
        </w:rPr>
        <w:t>This finding reinforces the argument that burnout mechanisms extend beyond individual wellbeing outcomes to directly influence frontline recovery effectiveness and guest satisfaction under conditions of sustained workload pressure (Babakus et al, 2008).</w:t>
      </w:r>
      <w:r w:rsidR="00664607">
        <w:rPr>
          <w:rFonts w:ascii="Arial" w:hAnsi="Arial" w:cs="Arial"/>
          <w:sz w:val="24"/>
          <w:szCs w:val="24"/>
        </w:rPr>
        <w:t xml:space="preserve"> </w:t>
      </w:r>
      <w:r w:rsidRPr="006259D1">
        <w:rPr>
          <w:rFonts w:ascii="Arial" w:hAnsi="Arial" w:cs="Arial"/>
          <w:sz w:val="24"/>
          <w:szCs w:val="24"/>
        </w:rPr>
        <w:t xml:space="preserve">Similarly, Hwang et al (2014) find that work–family conflict in hotel settings contributes to emotional exhaustion and reduced job performance. </w:t>
      </w:r>
      <w:r w:rsidRPr="006259D1">
        <w:rPr>
          <w:rFonts w:ascii="Arial" w:hAnsi="Arial" w:cs="Arial"/>
          <w:sz w:val="24"/>
          <w:szCs w:val="24"/>
        </w:rPr>
        <w:lastRenderedPageBreak/>
        <w:t>These findings further support the cyclical instability model identified in the present study.</w:t>
      </w:r>
    </w:p>
    <w:p w14:paraId="667E9EC5" w14:textId="03ACFE83" w:rsidR="00C1742A" w:rsidRDefault="00DB6530" w:rsidP="00DB6530">
      <w:pPr>
        <w:spacing w:line="360" w:lineRule="auto"/>
        <w:jc w:val="both"/>
        <w:rPr>
          <w:rFonts w:ascii="Arial" w:hAnsi="Arial" w:cs="Arial"/>
          <w:sz w:val="24"/>
          <w:szCs w:val="24"/>
        </w:rPr>
      </w:pPr>
      <w:r w:rsidRPr="00DB6530">
        <w:rPr>
          <w:rFonts w:ascii="Arial" w:hAnsi="Arial" w:cs="Arial"/>
          <w:sz w:val="24"/>
          <w:szCs w:val="24"/>
        </w:rPr>
        <w:t>The findings therefore support the interpretation that staffing shortages are systemic features embedded within hospitality employment architecture rather than isolated operational incidents.</w:t>
      </w:r>
    </w:p>
    <w:p w14:paraId="1B266762" w14:textId="77777777" w:rsidR="00C1742A" w:rsidRDefault="00C1742A" w:rsidP="000D522D">
      <w:pPr>
        <w:spacing w:line="360" w:lineRule="auto"/>
        <w:jc w:val="both"/>
        <w:rPr>
          <w:rFonts w:ascii="Arial" w:hAnsi="Arial" w:cs="Arial"/>
          <w:sz w:val="24"/>
          <w:szCs w:val="24"/>
        </w:rPr>
      </w:pPr>
    </w:p>
    <w:p w14:paraId="15370B07" w14:textId="227CF884" w:rsidR="0098464C" w:rsidRPr="0098464C" w:rsidRDefault="0098464C" w:rsidP="0098464C">
      <w:pPr>
        <w:pStyle w:val="Heading3"/>
      </w:pPr>
      <w:bookmarkStart w:id="30" w:name="_Toc222945007"/>
      <w:r w:rsidRPr="0098464C">
        <w:t>4.1.2 Objective 2: To evaluate the impact of staffing shortages on service quality</w:t>
      </w:r>
      <w:bookmarkEnd w:id="30"/>
    </w:p>
    <w:p w14:paraId="7BC5DEC2" w14:textId="7EC0B3EA" w:rsidR="0098464C" w:rsidRPr="0098464C" w:rsidRDefault="0098464C" w:rsidP="0098464C">
      <w:pPr>
        <w:spacing w:line="360" w:lineRule="auto"/>
        <w:jc w:val="both"/>
        <w:rPr>
          <w:rFonts w:ascii="Arial" w:hAnsi="Arial" w:cs="Arial"/>
          <w:sz w:val="24"/>
          <w:szCs w:val="24"/>
        </w:rPr>
      </w:pPr>
      <w:r w:rsidRPr="0098464C">
        <w:rPr>
          <w:rFonts w:ascii="Arial" w:hAnsi="Arial" w:cs="Arial"/>
          <w:sz w:val="24"/>
          <w:szCs w:val="24"/>
        </w:rPr>
        <w:t>The second thematic area concerns the operational and experiential consequences of staffing shortages for service quality.</w:t>
      </w:r>
    </w:p>
    <w:p w14:paraId="0D8CB166" w14:textId="3B3F38D8" w:rsidR="00C1742A" w:rsidRDefault="0098464C" w:rsidP="0098464C">
      <w:pPr>
        <w:spacing w:line="360" w:lineRule="auto"/>
        <w:jc w:val="both"/>
        <w:rPr>
          <w:rFonts w:ascii="Arial" w:hAnsi="Arial" w:cs="Arial"/>
          <w:sz w:val="24"/>
          <w:szCs w:val="24"/>
        </w:rPr>
      </w:pPr>
      <w:r w:rsidRPr="0098464C">
        <w:rPr>
          <w:rFonts w:ascii="Arial" w:hAnsi="Arial" w:cs="Arial"/>
          <w:sz w:val="24"/>
          <w:szCs w:val="24"/>
        </w:rPr>
        <w:t>Across the literature, work intensification emerges as the central mediating mechanism linking staffing levels to service performance. Reduced staffing requires employees to assume broader task responsibilities and operate under compressed service timelines (Baum et al, 2020; Magnini, 2024). According to JD–R theory, increased job demands without proportional resource augmentation predict emotional exhaustion and reduced engagement (Bakker and Demerouti, 2007).</w:t>
      </w:r>
    </w:p>
    <w:p w14:paraId="3BC5F37B" w14:textId="07E76335" w:rsidR="004C2EE4" w:rsidRDefault="004C2EE4" w:rsidP="004C2EE4">
      <w:pPr>
        <w:spacing w:line="360" w:lineRule="auto"/>
        <w:jc w:val="both"/>
        <w:rPr>
          <w:rFonts w:ascii="Arial" w:hAnsi="Arial" w:cs="Arial"/>
          <w:sz w:val="24"/>
          <w:szCs w:val="24"/>
        </w:rPr>
      </w:pPr>
      <w:r w:rsidRPr="004C2EE4">
        <w:rPr>
          <w:rFonts w:ascii="Arial" w:hAnsi="Arial" w:cs="Arial"/>
          <w:sz w:val="24"/>
          <w:szCs w:val="24"/>
        </w:rPr>
        <w:t>Karatepe (2013) demonstrates that work overload significantly reduces job performance in hotel settings, particularly when work–family conflict is present. Wang (2020) finds that emotional labour under workload pressure negatively affects service performance consistency. Grobelna (2021) confirms that workload and exhaustion undermine service quality delivery in hospitality environments.</w:t>
      </w:r>
    </w:p>
    <w:p w14:paraId="2C3CE787" w14:textId="23C184D5" w:rsidR="00A6031E" w:rsidRPr="004C2EE4" w:rsidRDefault="000640E8" w:rsidP="004C2EE4">
      <w:pPr>
        <w:spacing w:line="360" w:lineRule="auto"/>
        <w:jc w:val="both"/>
        <w:rPr>
          <w:rFonts w:ascii="Arial" w:hAnsi="Arial" w:cs="Arial"/>
          <w:sz w:val="24"/>
          <w:szCs w:val="24"/>
        </w:rPr>
      </w:pPr>
      <w:r w:rsidRPr="000640E8">
        <w:rPr>
          <w:rFonts w:ascii="Arial" w:hAnsi="Arial" w:cs="Arial"/>
          <w:sz w:val="24"/>
          <w:szCs w:val="24"/>
        </w:rPr>
        <w:t>Chi and Gursoy (2009) demonstrate that employee satisfaction significantly influences service quality perceptions and customer satisfaction in hotel environments, suggesting that staffing adequacy indirectly affects guest outcomes. Additionally, Salanova et al (2005) show that employee engagement positively predicts service climate and customer loyalty, reinforcing the importance of psychological resource availability under staffing pressure. Jung and Yoon (2014) further identify emotional exhaustion as a mediator between job stress and service performance in hospitality contexts.</w:t>
      </w:r>
    </w:p>
    <w:p w14:paraId="29F656B1" w14:textId="3373A002" w:rsidR="00786115" w:rsidRDefault="004C2EE4" w:rsidP="004C2EE4">
      <w:pPr>
        <w:spacing w:line="360" w:lineRule="auto"/>
        <w:jc w:val="both"/>
        <w:rPr>
          <w:rFonts w:ascii="Arial" w:hAnsi="Arial" w:cs="Arial"/>
          <w:sz w:val="24"/>
          <w:szCs w:val="24"/>
        </w:rPr>
      </w:pPr>
      <w:r w:rsidRPr="004C2EE4">
        <w:rPr>
          <w:rFonts w:ascii="Arial" w:hAnsi="Arial" w:cs="Arial"/>
          <w:sz w:val="24"/>
          <w:szCs w:val="24"/>
        </w:rPr>
        <w:t>Using the SERVQUAL framework (Parasuraman et al, 1988), staffing shortages can be seen to influence multiple service quality dimensions.</w:t>
      </w:r>
    </w:p>
    <w:p w14:paraId="633AC25A" w14:textId="77777777" w:rsidR="00CF7484" w:rsidRPr="00CF7484" w:rsidRDefault="00CF7484" w:rsidP="00CF7484">
      <w:pPr>
        <w:spacing w:line="360" w:lineRule="auto"/>
        <w:jc w:val="both"/>
        <w:rPr>
          <w:rFonts w:ascii="Arial" w:hAnsi="Arial" w:cs="Arial"/>
          <w:b/>
          <w:bCs/>
          <w:sz w:val="24"/>
          <w:szCs w:val="24"/>
        </w:rPr>
      </w:pPr>
      <w:r w:rsidRPr="00CF7484">
        <w:rPr>
          <w:rFonts w:ascii="Arial" w:hAnsi="Arial" w:cs="Arial"/>
          <w:b/>
          <w:bCs/>
          <w:sz w:val="24"/>
          <w:szCs w:val="24"/>
        </w:rPr>
        <w:lastRenderedPageBreak/>
        <w:t>Responsiveness:</w:t>
      </w:r>
    </w:p>
    <w:p w14:paraId="2FCE95F0" w14:textId="603ED973" w:rsidR="00C1742A" w:rsidRDefault="00CF7484" w:rsidP="00CF7484">
      <w:pPr>
        <w:spacing w:line="360" w:lineRule="auto"/>
        <w:jc w:val="both"/>
        <w:rPr>
          <w:rFonts w:ascii="Arial" w:hAnsi="Arial" w:cs="Arial"/>
          <w:sz w:val="24"/>
          <w:szCs w:val="24"/>
        </w:rPr>
      </w:pPr>
      <w:r w:rsidRPr="00CF7484">
        <w:rPr>
          <w:rFonts w:ascii="Arial" w:hAnsi="Arial" w:cs="Arial"/>
          <w:sz w:val="24"/>
          <w:szCs w:val="24"/>
        </w:rPr>
        <w:t>Understaffed front-of-house environments are associated with longer response times and delayed service recovery (Wang, 2020). When employees are required to manage multiple concurrent service demands, the speed and attentiveness of guest interaction are compromised.</w:t>
      </w:r>
    </w:p>
    <w:p w14:paraId="2ACDF31A" w14:textId="77777777" w:rsidR="005C561E" w:rsidRPr="005C561E" w:rsidRDefault="005C561E" w:rsidP="005C561E">
      <w:pPr>
        <w:spacing w:line="360" w:lineRule="auto"/>
        <w:jc w:val="both"/>
        <w:rPr>
          <w:rFonts w:ascii="Arial" w:hAnsi="Arial" w:cs="Arial"/>
          <w:b/>
          <w:bCs/>
          <w:sz w:val="24"/>
          <w:szCs w:val="24"/>
        </w:rPr>
      </w:pPr>
      <w:r w:rsidRPr="005C561E">
        <w:rPr>
          <w:rFonts w:ascii="Arial" w:hAnsi="Arial" w:cs="Arial"/>
          <w:b/>
          <w:bCs/>
          <w:sz w:val="24"/>
          <w:szCs w:val="24"/>
        </w:rPr>
        <w:t>Reliability:</w:t>
      </w:r>
    </w:p>
    <w:p w14:paraId="68D25A72" w14:textId="39F3F8F3" w:rsidR="004C2EE4" w:rsidRDefault="005C561E" w:rsidP="005C561E">
      <w:pPr>
        <w:spacing w:line="360" w:lineRule="auto"/>
        <w:jc w:val="both"/>
        <w:rPr>
          <w:rFonts w:ascii="Arial" w:hAnsi="Arial" w:cs="Arial"/>
          <w:sz w:val="24"/>
          <w:szCs w:val="24"/>
        </w:rPr>
      </w:pPr>
      <w:r w:rsidRPr="005C561E">
        <w:rPr>
          <w:rFonts w:ascii="Arial" w:hAnsi="Arial" w:cs="Arial"/>
          <w:sz w:val="24"/>
          <w:szCs w:val="24"/>
        </w:rPr>
        <w:t>Karatepe (2013) demonstrates that overload increases procedural inconsistency and error likelihood. In hotel environments, such inconsistencies may manifest as delayed room readiness, incomplete service delivery or inconsistent information provision.</w:t>
      </w:r>
    </w:p>
    <w:p w14:paraId="33FA4C44" w14:textId="77777777" w:rsidR="005C561E" w:rsidRPr="005C561E" w:rsidRDefault="005C561E" w:rsidP="005C561E">
      <w:pPr>
        <w:spacing w:line="360" w:lineRule="auto"/>
        <w:jc w:val="both"/>
        <w:rPr>
          <w:rFonts w:ascii="Arial" w:hAnsi="Arial" w:cs="Arial"/>
          <w:b/>
          <w:bCs/>
          <w:sz w:val="24"/>
          <w:szCs w:val="24"/>
        </w:rPr>
      </w:pPr>
      <w:r w:rsidRPr="005C561E">
        <w:rPr>
          <w:rFonts w:ascii="Arial" w:hAnsi="Arial" w:cs="Arial"/>
          <w:b/>
          <w:bCs/>
          <w:sz w:val="24"/>
          <w:szCs w:val="24"/>
        </w:rPr>
        <w:t>Empathy and personalisation:</w:t>
      </w:r>
    </w:p>
    <w:p w14:paraId="2B29D150" w14:textId="0CC7399B" w:rsidR="004C2EE4" w:rsidRDefault="005C561E" w:rsidP="005C561E">
      <w:pPr>
        <w:spacing w:line="360" w:lineRule="auto"/>
        <w:jc w:val="both"/>
        <w:rPr>
          <w:rFonts w:ascii="Arial" w:hAnsi="Arial" w:cs="Arial"/>
          <w:sz w:val="24"/>
          <w:szCs w:val="24"/>
        </w:rPr>
      </w:pPr>
      <w:r w:rsidRPr="005C561E">
        <w:rPr>
          <w:rFonts w:ascii="Arial" w:hAnsi="Arial" w:cs="Arial"/>
          <w:sz w:val="24"/>
          <w:szCs w:val="24"/>
        </w:rPr>
        <w:t>Emotional exhaustion diminishes employees’ capacity for authentic relational engagement (Kim, 2008; Karatepe and Aleshinloye, 2009). Lin et al (2021) identify weakened internal service climate as a key factor reducing discretionary service behaviours central to personalised guest interaction.</w:t>
      </w:r>
    </w:p>
    <w:p w14:paraId="73428926" w14:textId="77777777" w:rsidR="00177750" w:rsidRPr="00177750" w:rsidRDefault="00177750" w:rsidP="00177750">
      <w:pPr>
        <w:spacing w:line="360" w:lineRule="auto"/>
        <w:jc w:val="both"/>
        <w:rPr>
          <w:rFonts w:ascii="Arial" w:hAnsi="Arial" w:cs="Arial"/>
          <w:b/>
          <w:bCs/>
          <w:sz w:val="24"/>
          <w:szCs w:val="24"/>
        </w:rPr>
      </w:pPr>
      <w:r w:rsidRPr="00177750">
        <w:rPr>
          <w:rFonts w:ascii="Arial" w:hAnsi="Arial" w:cs="Arial"/>
          <w:b/>
          <w:bCs/>
          <w:sz w:val="24"/>
          <w:szCs w:val="24"/>
        </w:rPr>
        <w:t>Service recovery:</w:t>
      </w:r>
    </w:p>
    <w:p w14:paraId="0DBD2CDB" w14:textId="37C9E6E3" w:rsidR="00177750" w:rsidRPr="00177750" w:rsidRDefault="00177750" w:rsidP="00177750">
      <w:pPr>
        <w:spacing w:line="360" w:lineRule="auto"/>
        <w:jc w:val="both"/>
        <w:rPr>
          <w:rFonts w:ascii="Arial" w:hAnsi="Arial" w:cs="Arial"/>
          <w:sz w:val="24"/>
          <w:szCs w:val="24"/>
        </w:rPr>
      </w:pPr>
      <w:r w:rsidRPr="00177750">
        <w:rPr>
          <w:rFonts w:ascii="Arial" w:hAnsi="Arial" w:cs="Arial"/>
          <w:sz w:val="24"/>
          <w:szCs w:val="24"/>
        </w:rPr>
        <w:t>Moreno-Gil et al (2006) show that effective service recovery significantly shapes perceived service quality and customer loyalty. Under staffing constraints, time and emotional capacity for recovery interactions are reduced, limiting the effectiveness of complaint resolution.</w:t>
      </w:r>
    </w:p>
    <w:p w14:paraId="069D8250" w14:textId="57AB609D" w:rsidR="00177750" w:rsidRPr="00177750" w:rsidRDefault="00177750" w:rsidP="00177750">
      <w:pPr>
        <w:spacing w:line="360" w:lineRule="auto"/>
        <w:jc w:val="both"/>
        <w:rPr>
          <w:rFonts w:ascii="Arial" w:hAnsi="Arial" w:cs="Arial"/>
          <w:sz w:val="24"/>
          <w:szCs w:val="24"/>
        </w:rPr>
      </w:pPr>
      <w:r w:rsidRPr="00177750">
        <w:rPr>
          <w:rFonts w:ascii="Arial" w:hAnsi="Arial" w:cs="Arial"/>
          <w:sz w:val="24"/>
          <w:szCs w:val="24"/>
        </w:rPr>
        <w:t>Importantly, the literature indicates that service degradation is often gradual and cumulative. Rather than immediate operational collapse, hotels frequently preserve transactional elements of service while relational and experiential dimensions deteriorate incrementally (Lin et al, 2021). This incremental erosion may not be immediately visible in performance dashboards but may weaken brand differentiation over time.</w:t>
      </w:r>
    </w:p>
    <w:p w14:paraId="55210655" w14:textId="639CE01F" w:rsidR="004C2EE4" w:rsidRDefault="00177750" w:rsidP="00177750">
      <w:pPr>
        <w:spacing w:line="360" w:lineRule="auto"/>
        <w:jc w:val="both"/>
        <w:rPr>
          <w:rFonts w:ascii="Arial" w:hAnsi="Arial" w:cs="Arial"/>
          <w:sz w:val="24"/>
          <w:szCs w:val="24"/>
        </w:rPr>
      </w:pPr>
      <w:r w:rsidRPr="00177750">
        <w:rPr>
          <w:rFonts w:ascii="Arial" w:hAnsi="Arial" w:cs="Arial"/>
          <w:sz w:val="24"/>
          <w:szCs w:val="24"/>
        </w:rPr>
        <w:t>Within TY Newport Hotel, which operates within a branded portfolio emphasising guest experience consistency, such gradual relational erosion may pose strategic risk even if occupancy and revenue indicators remain stable.</w:t>
      </w:r>
    </w:p>
    <w:p w14:paraId="5BABA52C" w14:textId="77777777" w:rsidR="00177750" w:rsidRDefault="00177750" w:rsidP="00177750">
      <w:pPr>
        <w:spacing w:line="360" w:lineRule="auto"/>
        <w:jc w:val="both"/>
        <w:rPr>
          <w:rFonts w:ascii="Arial" w:hAnsi="Arial" w:cs="Arial"/>
          <w:sz w:val="24"/>
          <w:szCs w:val="24"/>
        </w:rPr>
      </w:pPr>
    </w:p>
    <w:p w14:paraId="2D5DA889" w14:textId="4EFCBA51" w:rsidR="00D86B51" w:rsidRPr="00D86B51" w:rsidRDefault="00D86B51" w:rsidP="00D86B51">
      <w:pPr>
        <w:pStyle w:val="Heading3"/>
      </w:pPr>
      <w:bookmarkStart w:id="31" w:name="_Toc222945008"/>
      <w:r w:rsidRPr="00D86B51">
        <w:lastRenderedPageBreak/>
        <w:t>4.1.3 Objective 3: To assess organisational responses to staffing constraints</w:t>
      </w:r>
      <w:bookmarkEnd w:id="31"/>
    </w:p>
    <w:p w14:paraId="05B71D4C" w14:textId="5C077066" w:rsidR="00D86B51" w:rsidRPr="00D86B51" w:rsidRDefault="00D86B51" w:rsidP="00D86B51">
      <w:pPr>
        <w:spacing w:line="360" w:lineRule="auto"/>
        <w:jc w:val="both"/>
        <w:rPr>
          <w:rFonts w:ascii="Arial" w:hAnsi="Arial" w:cs="Arial"/>
          <w:sz w:val="24"/>
          <w:szCs w:val="24"/>
        </w:rPr>
      </w:pPr>
      <w:r w:rsidRPr="00D86B51">
        <w:rPr>
          <w:rFonts w:ascii="Arial" w:hAnsi="Arial" w:cs="Arial"/>
          <w:sz w:val="24"/>
          <w:szCs w:val="24"/>
        </w:rPr>
        <w:t>The literature identifies a range of organisational responses to staffing shortages.</w:t>
      </w:r>
    </w:p>
    <w:p w14:paraId="2297DED1" w14:textId="246FDD76" w:rsidR="00177750" w:rsidRDefault="00D86B51" w:rsidP="00D86B51">
      <w:pPr>
        <w:spacing w:line="360" w:lineRule="auto"/>
        <w:jc w:val="both"/>
        <w:rPr>
          <w:rFonts w:ascii="Arial" w:hAnsi="Arial" w:cs="Arial"/>
          <w:sz w:val="24"/>
          <w:szCs w:val="24"/>
        </w:rPr>
      </w:pPr>
      <w:r w:rsidRPr="00D86B51">
        <w:rPr>
          <w:rFonts w:ascii="Arial" w:hAnsi="Arial" w:cs="Arial"/>
          <w:sz w:val="24"/>
          <w:szCs w:val="24"/>
        </w:rPr>
        <w:t>Cross-training and role flexibility are widely implemented to enhance operational resilience (Birdir, 2024). Choi et al (2009) demonstrate that labour scheduling optimisation can balance cost efficiency with service quality requirements; however, scheduling efficiency assumes adequate baseline staffing levels.</w:t>
      </w:r>
    </w:p>
    <w:p w14:paraId="6F70E3C4" w14:textId="6C67D450" w:rsidR="00177750" w:rsidRPr="00742921" w:rsidRDefault="00A6647B" w:rsidP="00177750">
      <w:pPr>
        <w:spacing w:line="360" w:lineRule="auto"/>
        <w:jc w:val="both"/>
        <w:rPr>
          <w:rFonts w:ascii="Arial" w:hAnsi="Arial" w:cs="Arial"/>
          <w:sz w:val="24"/>
          <w:szCs w:val="24"/>
        </w:rPr>
      </w:pPr>
      <w:r w:rsidRPr="00A6647B">
        <w:rPr>
          <w:rFonts w:ascii="Arial" w:hAnsi="Arial" w:cs="Arial"/>
          <w:sz w:val="24"/>
          <w:szCs w:val="24"/>
        </w:rPr>
        <w:t>High-performance work systems (HPWS) are proposed as mechanisms to enhance service climate and engagement. Kloutsiniotis and Mihail (2020) show that HPWS positively influence service-oriented organisational citizenship behaviour among hotel employees. However, HPWS rely upon employees having sufficient psychological and temporal capacity to enact trained behaviours.</w:t>
      </w:r>
    </w:p>
    <w:p w14:paraId="14917D2F" w14:textId="77777777" w:rsidR="00AB194C" w:rsidRDefault="00AB194C" w:rsidP="00AB194C">
      <w:pPr>
        <w:spacing w:line="360" w:lineRule="auto"/>
        <w:jc w:val="both"/>
        <w:rPr>
          <w:rFonts w:ascii="Arial" w:hAnsi="Arial" w:cs="Arial"/>
          <w:sz w:val="24"/>
          <w:szCs w:val="24"/>
        </w:rPr>
      </w:pPr>
      <w:r w:rsidRPr="00AB194C">
        <w:rPr>
          <w:rFonts w:ascii="Arial" w:hAnsi="Arial" w:cs="Arial"/>
          <w:sz w:val="24"/>
          <w:szCs w:val="24"/>
        </w:rPr>
        <w:t>Han (2022) emphasises that turnover intention in hospitality remains strongly associated with stress and workload imbalance. Park and Min (2020) confirm that burnout is a consistent antecedent of turnover intention across hospitality studies. Thus, organisational reliance on employee resilience may temporarily stabilise operations but simultaneously increase exit risk.</w:t>
      </w:r>
    </w:p>
    <w:p w14:paraId="53D67FDA" w14:textId="23725789" w:rsidR="00152F9D" w:rsidRPr="00AB194C" w:rsidRDefault="00152F9D" w:rsidP="00AB194C">
      <w:pPr>
        <w:spacing w:line="360" w:lineRule="auto"/>
        <w:jc w:val="both"/>
        <w:rPr>
          <w:rFonts w:ascii="Arial" w:hAnsi="Arial" w:cs="Arial"/>
          <w:sz w:val="24"/>
          <w:szCs w:val="24"/>
        </w:rPr>
      </w:pPr>
      <w:r w:rsidRPr="00152F9D">
        <w:rPr>
          <w:rFonts w:ascii="Arial" w:hAnsi="Arial" w:cs="Arial"/>
          <w:sz w:val="24"/>
          <w:szCs w:val="24"/>
        </w:rPr>
        <w:t>Research by Kehoe and Wright (2013) indicates that high-commitment HR systems improve performance outcomes; however, their effectiveness depends upon sufficient resource capacity. Alfes et al (2013) further demonstrate that engagement mediates the relationship between HR practices and service performance, suggesting that sustained overload may undermine the intended benefits of HR interventions.</w:t>
      </w:r>
    </w:p>
    <w:p w14:paraId="1A687B6B" w14:textId="7C80C551" w:rsidR="000D522D" w:rsidRDefault="00AB194C" w:rsidP="00AB194C">
      <w:pPr>
        <w:spacing w:line="360" w:lineRule="auto"/>
        <w:jc w:val="both"/>
        <w:rPr>
          <w:rFonts w:ascii="Arial" w:hAnsi="Arial" w:cs="Arial"/>
          <w:sz w:val="24"/>
          <w:szCs w:val="24"/>
        </w:rPr>
      </w:pPr>
      <w:r w:rsidRPr="00AB194C">
        <w:rPr>
          <w:rFonts w:ascii="Arial" w:hAnsi="Arial" w:cs="Arial"/>
          <w:sz w:val="24"/>
          <w:szCs w:val="24"/>
        </w:rPr>
        <w:t>The findings</w:t>
      </w:r>
      <w:r w:rsidR="00A57A84">
        <w:rPr>
          <w:rFonts w:ascii="Arial" w:hAnsi="Arial" w:cs="Arial"/>
          <w:sz w:val="24"/>
          <w:szCs w:val="24"/>
        </w:rPr>
        <w:t>,</w:t>
      </w:r>
      <w:r w:rsidRPr="00AB194C">
        <w:rPr>
          <w:rFonts w:ascii="Arial" w:hAnsi="Arial" w:cs="Arial"/>
          <w:sz w:val="24"/>
          <w:szCs w:val="24"/>
        </w:rPr>
        <w:t xml:space="preserve"> therefore</w:t>
      </w:r>
      <w:r w:rsidR="00A57A84">
        <w:rPr>
          <w:rFonts w:ascii="Arial" w:hAnsi="Arial" w:cs="Arial"/>
          <w:sz w:val="24"/>
          <w:szCs w:val="24"/>
        </w:rPr>
        <w:t>,</w:t>
      </w:r>
      <w:r w:rsidRPr="00AB194C">
        <w:rPr>
          <w:rFonts w:ascii="Arial" w:hAnsi="Arial" w:cs="Arial"/>
          <w:sz w:val="24"/>
          <w:szCs w:val="24"/>
        </w:rPr>
        <w:t xml:space="preserve"> indicate that operational and HR adaptations function as buffering mechanisms rather than structural solutions. Workforce adequacy remains foundational to sustainable service quality.</w:t>
      </w:r>
    </w:p>
    <w:p w14:paraId="3778862A" w14:textId="77777777" w:rsidR="00A57A84" w:rsidRDefault="00A57A84" w:rsidP="00AB194C">
      <w:pPr>
        <w:spacing w:line="360" w:lineRule="auto"/>
        <w:jc w:val="both"/>
        <w:rPr>
          <w:rFonts w:ascii="Arial" w:hAnsi="Arial" w:cs="Arial"/>
          <w:sz w:val="24"/>
          <w:szCs w:val="24"/>
        </w:rPr>
      </w:pPr>
    </w:p>
    <w:p w14:paraId="0563A42A" w14:textId="77777777" w:rsidR="00A6774E" w:rsidRPr="00A6774E" w:rsidRDefault="00A6774E" w:rsidP="00A6774E">
      <w:pPr>
        <w:pStyle w:val="Heading2"/>
      </w:pPr>
      <w:bookmarkStart w:id="32" w:name="_Toc222945009"/>
      <w:r w:rsidRPr="00A6774E">
        <w:t>4.2 Discussion</w:t>
      </w:r>
      <w:bookmarkEnd w:id="32"/>
    </w:p>
    <w:p w14:paraId="693B71AA" w14:textId="1B732006" w:rsidR="00A6774E" w:rsidRPr="00A6774E" w:rsidRDefault="00A6774E" w:rsidP="00A6774E">
      <w:pPr>
        <w:pStyle w:val="Heading3"/>
      </w:pPr>
      <w:bookmarkStart w:id="33" w:name="_Toc222945010"/>
      <w:r w:rsidRPr="00A6774E">
        <w:t>4.2.1 Structural Workforce Instability as a Service Sustainability Risk</w:t>
      </w:r>
      <w:bookmarkEnd w:id="33"/>
    </w:p>
    <w:p w14:paraId="4A62DFA4" w14:textId="4CD526DE" w:rsidR="00A57A84" w:rsidRDefault="00A6774E" w:rsidP="00A6774E">
      <w:pPr>
        <w:spacing w:line="360" w:lineRule="auto"/>
        <w:jc w:val="both"/>
        <w:rPr>
          <w:rFonts w:ascii="Arial" w:hAnsi="Arial" w:cs="Arial"/>
          <w:sz w:val="24"/>
          <w:szCs w:val="24"/>
        </w:rPr>
      </w:pPr>
      <w:r w:rsidRPr="00A6774E">
        <w:rPr>
          <w:rFonts w:ascii="Arial" w:hAnsi="Arial" w:cs="Arial"/>
          <w:sz w:val="24"/>
          <w:szCs w:val="24"/>
        </w:rPr>
        <w:t xml:space="preserve">The findings </w:t>
      </w:r>
      <w:r w:rsidR="001B6245">
        <w:rPr>
          <w:rFonts w:ascii="Arial" w:hAnsi="Arial" w:cs="Arial"/>
          <w:sz w:val="24"/>
          <w:szCs w:val="24"/>
        </w:rPr>
        <w:t>strongly indicate</w:t>
      </w:r>
      <w:r w:rsidRPr="00A6774E">
        <w:rPr>
          <w:rFonts w:ascii="Arial" w:hAnsi="Arial" w:cs="Arial"/>
          <w:sz w:val="24"/>
          <w:szCs w:val="24"/>
        </w:rPr>
        <w:t xml:space="preserve"> that staffing shortages within the UK hotel industry are not temporary recruitment challenges but reflect structural employment fragility embedded within hospitality labour architecture. While earlier literature frequently </w:t>
      </w:r>
      <w:r w:rsidRPr="00A6774E">
        <w:rPr>
          <w:rFonts w:ascii="Arial" w:hAnsi="Arial" w:cs="Arial"/>
          <w:sz w:val="24"/>
          <w:szCs w:val="24"/>
        </w:rPr>
        <w:lastRenderedPageBreak/>
        <w:t>positioned turnover as an outcome of poor management or individual dissatisfaction (Han, 2022), the integration of workforce statistics and hospitality burnout research suggests a deeper systemic cycle.</w:t>
      </w:r>
    </w:p>
    <w:p w14:paraId="6C9566C0" w14:textId="68A9DAC3" w:rsidR="00A57A84" w:rsidRDefault="0001627F" w:rsidP="00AB194C">
      <w:pPr>
        <w:spacing w:line="360" w:lineRule="auto"/>
        <w:jc w:val="both"/>
        <w:rPr>
          <w:rFonts w:ascii="Arial" w:hAnsi="Arial" w:cs="Arial"/>
          <w:sz w:val="24"/>
          <w:szCs w:val="24"/>
        </w:rPr>
      </w:pPr>
      <w:r w:rsidRPr="0001627F">
        <w:rPr>
          <w:rFonts w:ascii="Arial" w:hAnsi="Arial" w:cs="Arial"/>
          <w:sz w:val="24"/>
          <w:szCs w:val="24"/>
        </w:rPr>
        <w:t>Baum et al (2020) argue that labour precarity, high mobility and emotional intensity are endemic features of hospitality employment. This interpretation is reinforced by Zientara et al (2023), who demonstrate that stress and dissatisfaction in UK hospitality employees are strongly associated with turnover intention. Park and Min’s (2020) meta-analysis further confirms that burnout is one of the most consistent predictors of turnover across hospitality contexts.</w:t>
      </w:r>
    </w:p>
    <w:p w14:paraId="1BBA84E6" w14:textId="2A48DF4E" w:rsidR="00236FBC" w:rsidRDefault="00236FBC" w:rsidP="00AB194C">
      <w:pPr>
        <w:spacing w:line="360" w:lineRule="auto"/>
        <w:jc w:val="both"/>
        <w:rPr>
          <w:rFonts w:ascii="Arial" w:hAnsi="Arial" w:cs="Arial"/>
          <w:sz w:val="24"/>
          <w:szCs w:val="24"/>
        </w:rPr>
      </w:pPr>
      <w:r w:rsidRPr="00236FBC">
        <w:rPr>
          <w:rFonts w:ascii="Arial" w:hAnsi="Arial" w:cs="Arial"/>
          <w:sz w:val="24"/>
          <w:szCs w:val="24"/>
        </w:rPr>
        <w:t>However, while these studies establish the burnout–turnover relationship, they rarely extend the analysis to service sustainability implications. The present research advances this discussion by conceptualising staffing adequacy not simply as an HR variable but as a foundational service resource. When staffing levels fall below operational demand thresholds, the demand–resource imbalance predicted by the JD–R model intensifies (Demerouti et al, 2001; Bakker and Demerouti, 2007). The resulting emotional exhaustion undermines discretionary service behaviours that differentiate hospitality experiences from transactional service exchanges.</w:t>
      </w:r>
    </w:p>
    <w:p w14:paraId="0C55264E" w14:textId="42099FAA" w:rsidR="0098665A" w:rsidRDefault="00B742EA" w:rsidP="00AB194C">
      <w:pPr>
        <w:spacing w:line="360" w:lineRule="auto"/>
        <w:jc w:val="both"/>
        <w:rPr>
          <w:rFonts w:ascii="Arial" w:hAnsi="Arial" w:cs="Arial"/>
          <w:sz w:val="24"/>
          <w:szCs w:val="24"/>
        </w:rPr>
      </w:pPr>
      <w:r w:rsidRPr="00B742EA">
        <w:rPr>
          <w:rFonts w:ascii="Arial" w:hAnsi="Arial" w:cs="Arial"/>
          <w:sz w:val="24"/>
          <w:szCs w:val="24"/>
        </w:rPr>
        <w:t>Thus, the contribution of this study lies in reframing staffing shortages as a service sustainability risk rather than solely a workforce management issue.</w:t>
      </w:r>
    </w:p>
    <w:p w14:paraId="69AB20DA" w14:textId="77777777" w:rsidR="00DD6D38" w:rsidRDefault="00DD6D38" w:rsidP="00AB194C">
      <w:pPr>
        <w:spacing w:line="360" w:lineRule="auto"/>
        <w:jc w:val="both"/>
        <w:rPr>
          <w:rFonts w:ascii="Arial" w:hAnsi="Arial" w:cs="Arial"/>
          <w:sz w:val="24"/>
          <w:szCs w:val="24"/>
        </w:rPr>
      </w:pPr>
    </w:p>
    <w:p w14:paraId="0108178D" w14:textId="52DBB013" w:rsidR="00B742EA" w:rsidRPr="00B742EA" w:rsidRDefault="00B742EA" w:rsidP="00B742EA">
      <w:pPr>
        <w:pStyle w:val="Heading3"/>
      </w:pPr>
      <w:bookmarkStart w:id="34" w:name="_Toc222945011"/>
      <w:r w:rsidRPr="00B742EA">
        <w:t>4.2.2 Cumulative Service Quality Erosion: Beyond Immediate Performance Indicators</w:t>
      </w:r>
      <w:bookmarkEnd w:id="34"/>
    </w:p>
    <w:p w14:paraId="43728DF1" w14:textId="50FEA716" w:rsidR="00B742EA" w:rsidRDefault="00B742EA" w:rsidP="00B742EA">
      <w:pPr>
        <w:spacing w:line="360" w:lineRule="auto"/>
        <w:jc w:val="both"/>
        <w:rPr>
          <w:rFonts w:ascii="Arial" w:hAnsi="Arial" w:cs="Arial"/>
          <w:sz w:val="24"/>
          <w:szCs w:val="24"/>
        </w:rPr>
      </w:pPr>
      <w:r w:rsidRPr="00B742EA">
        <w:rPr>
          <w:rFonts w:ascii="Arial" w:hAnsi="Arial" w:cs="Arial"/>
          <w:sz w:val="24"/>
          <w:szCs w:val="24"/>
        </w:rPr>
        <w:t>A critical insight emerging from the findings is that service quality deterioration under staffing shortages is incremental rather than catastrophic. Existing hospitality literature often examines service failure through discrete events such as complaint incidents or recovery breakdowns (Moreno-Gil et al, 2006). However, the analysis here suggests that staffing shortages generate gradual relational erosion that may not immediately trigger service failure indicators.</w:t>
      </w:r>
    </w:p>
    <w:p w14:paraId="6FC9A95E" w14:textId="7B78E57C" w:rsidR="00DD6D38" w:rsidRDefault="00B84396" w:rsidP="00B742EA">
      <w:pPr>
        <w:spacing w:line="360" w:lineRule="auto"/>
        <w:jc w:val="both"/>
        <w:rPr>
          <w:rFonts w:ascii="Arial" w:hAnsi="Arial" w:cs="Arial"/>
          <w:sz w:val="24"/>
          <w:szCs w:val="24"/>
        </w:rPr>
      </w:pPr>
      <w:r w:rsidRPr="00B84396">
        <w:rPr>
          <w:rFonts w:ascii="Arial" w:hAnsi="Arial" w:cs="Arial"/>
          <w:sz w:val="24"/>
          <w:szCs w:val="24"/>
        </w:rPr>
        <w:t xml:space="preserve">Liao and Chuang (2004) demonstrate that service climate significantly shapes frontline employee service performance and customer outcomes. Building on this multilevel evidence, it can be inferred that sustained relational strain under staffing constraints </w:t>
      </w:r>
      <w:r w:rsidRPr="00B84396">
        <w:rPr>
          <w:rFonts w:ascii="Arial" w:hAnsi="Arial" w:cs="Arial"/>
          <w:sz w:val="24"/>
          <w:szCs w:val="24"/>
        </w:rPr>
        <w:lastRenderedPageBreak/>
        <w:t>may weaken service climate perceptions over time.</w:t>
      </w:r>
      <w:r>
        <w:rPr>
          <w:rFonts w:ascii="Arial" w:hAnsi="Arial" w:cs="Arial"/>
          <w:sz w:val="24"/>
          <w:szCs w:val="24"/>
        </w:rPr>
        <w:t xml:space="preserve"> </w:t>
      </w:r>
      <w:r w:rsidR="00DD6D38" w:rsidRPr="00DD6D38">
        <w:rPr>
          <w:rFonts w:ascii="Arial" w:hAnsi="Arial" w:cs="Arial"/>
          <w:sz w:val="24"/>
          <w:szCs w:val="24"/>
        </w:rPr>
        <w:t>Schneider et al (200</w:t>
      </w:r>
      <w:r w:rsidR="009C39FE">
        <w:rPr>
          <w:rFonts w:ascii="Arial" w:hAnsi="Arial" w:cs="Arial"/>
          <w:sz w:val="24"/>
          <w:szCs w:val="24"/>
        </w:rPr>
        <w:t>5</w:t>
      </w:r>
      <w:r w:rsidR="00DD6D38" w:rsidRPr="00DD6D38">
        <w:rPr>
          <w:rFonts w:ascii="Arial" w:hAnsi="Arial" w:cs="Arial"/>
          <w:sz w:val="24"/>
          <w:szCs w:val="24"/>
        </w:rPr>
        <w:t>) further argue that climate consistency is central to sustained service excellence, reinforcing the strategic risk of incremental relational decline.</w:t>
      </w:r>
    </w:p>
    <w:p w14:paraId="3ABD9B00" w14:textId="5ADACAFE" w:rsidR="009A62B8" w:rsidRDefault="009A62B8" w:rsidP="00B742EA">
      <w:pPr>
        <w:spacing w:line="360" w:lineRule="auto"/>
        <w:jc w:val="both"/>
        <w:rPr>
          <w:rFonts w:ascii="Arial" w:hAnsi="Arial" w:cs="Arial"/>
          <w:sz w:val="24"/>
          <w:szCs w:val="24"/>
        </w:rPr>
      </w:pPr>
      <w:r w:rsidRPr="009A62B8">
        <w:rPr>
          <w:rFonts w:ascii="Arial" w:hAnsi="Arial" w:cs="Arial"/>
          <w:sz w:val="24"/>
          <w:szCs w:val="24"/>
        </w:rPr>
        <w:t>Karatepe (2013) identifies work overload as negatively affecting job performance, yet performance measures in many hotel contexts focus on task completion rather than relational quality. Similarly, Wang (2020) demonstrates that emotional labour intensity influences service performance consistency. Lin et al (2021) extend this by linking weakened internal service climate to reduced discretionary service behaviours.</w:t>
      </w:r>
    </w:p>
    <w:p w14:paraId="4B5706E2" w14:textId="7E59100D" w:rsidR="00E23C3B" w:rsidRPr="00E23C3B" w:rsidRDefault="00E23C3B" w:rsidP="00E23C3B">
      <w:pPr>
        <w:spacing w:line="360" w:lineRule="auto"/>
        <w:jc w:val="both"/>
        <w:rPr>
          <w:rFonts w:ascii="Arial" w:hAnsi="Arial" w:cs="Arial"/>
          <w:sz w:val="24"/>
          <w:szCs w:val="24"/>
        </w:rPr>
      </w:pPr>
      <w:r w:rsidRPr="00E23C3B">
        <w:rPr>
          <w:rFonts w:ascii="Arial" w:hAnsi="Arial" w:cs="Arial"/>
          <w:sz w:val="24"/>
          <w:szCs w:val="24"/>
        </w:rPr>
        <w:t>The present study synthesises these findings to argue that service degradation may occur through subtle reduction in empathy, attentiveness and personalised engagement before manifesting in measurable complaint rates. This distinction is strategically important for TY Newport Hotel. As a branded property within a competitive regional market, differentiation relies on consistent relational engagement rather than minimum operational compliance. If staffing constraints gradually erode relational dimensions, the brand promise may weaken even if occupancy and revenue metrics remain stable.</w:t>
      </w:r>
    </w:p>
    <w:p w14:paraId="06DFDBF3" w14:textId="64AFEE08" w:rsidR="009A62B8" w:rsidRDefault="00E23C3B" w:rsidP="00E23C3B">
      <w:pPr>
        <w:spacing w:line="360" w:lineRule="auto"/>
        <w:jc w:val="both"/>
        <w:rPr>
          <w:rFonts w:ascii="Arial" w:hAnsi="Arial" w:cs="Arial"/>
          <w:sz w:val="24"/>
          <w:szCs w:val="24"/>
        </w:rPr>
      </w:pPr>
      <w:r w:rsidRPr="00E23C3B">
        <w:rPr>
          <w:rFonts w:ascii="Arial" w:hAnsi="Arial" w:cs="Arial"/>
          <w:sz w:val="24"/>
          <w:szCs w:val="24"/>
        </w:rPr>
        <w:t>This cumulative erosion perspective addresses a gap in existing hospitality scholarship, which tends to treat service failure as episodic rather than structurally cumulative.</w:t>
      </w:r>
    </w:p>
    <w:p w14:paraId="0A4546EC" w14:textId="77777777" w:rsidR="00E23C3B" w:rsidRDefault="00E23C3B" w:rsidP="00E23C3B">
      <w:pPr>
        <w:spacing w:line="360" w:lineRule="auto"/>
        <w:jc w:val="both"/>
        <w:rPr>
          <w:rFonts w:ascii="Arial" w:hAnsi="Arial" w:cs="Arial"/>
          <w:sz w:val="24"/>
          <w:szCs w:val="24"/>
        </w:rPr>
      </w:pPr>
    </w:p>
    <w:p w14:paraId="2342DDD2" w14:textId="362FF941" w:rsidR="007938FE" w:rsidRPr="007938FE" w:rsidRDefault="007938FE" w:rsidP="007938FE">
      <w:pPr>
        <w:pStyle w:val="Heading3"/>
      </w:pPr>
      <w:bookmarkStart w:id="35" w:name="_Toc222945012"/>
      <w:r w:rsidRPr="007938FE">
        <w:t>4.2.3 Organisational Adaptation Versus Structural Resolution</w:t>
      </w:r>
      <w:bookmarkEnd w:id="35"/>
    </w:p>
    <w:p w14:paraId="0E621DF0" w14:textId="697A12D2" w:rsidR="00E23C3B" w:rsidRDefault="007938FE" w:rsidP="007938FE">
      <w:pPr>
        <w:spacing w:line="360" w:lineRule="auto"/>
        <w:jc w:val="both"/>
        <w:rPr>
          <w:rFonts w:ascii="Arial" w:hAnsi="Arial" w:cs="Arial"/>
          <w:sz w:val="24"/>
          <w:szCs w:val="24"/>
        </w:rPr>
      </w:pPr>
      <w:r w:rsidRPr="007938FE">
        <w:rPr>
          <w:rFonts w:ascii="Arial" w:hAnsi="Arial" w:cs="Arial"/>
          <w:sz w:val="24"/>
          <w:szCs w:val="24"/>
        </w:rPr>
        <w:t>The literature identifies various organisational adaptation strategies</w:t>
      </w:r>
      <w:r>
        <w:rPr>
          <w:rFonts w:ascii="Arial" w:hAnsi="Arial" w:cs="Arial"/>
          <w:sz w:val="24"/>
          <w:szCs w:val="24"/>
        </w:rPr>
        <w:t>,</w:t>
      </w:r>
      <w:r w:rsidRPr="007938FE">
        <w:rPr>
          <w:rFonts w:ascii="Arial" w:hAnsi="Arial" w:cs="Arial"/>
          <w:sz w:val="24"/>
          <w:szCs w:val="24"/>
        </w:rPr>
        <w:t xml:space="preserve"> including cross-training, flexible scheduling and HPWS implementation (Birdir, 2024; Kloutsiniotis and Mihail, 2020). While these interventions enhance operational resilience, the findings indicate that they do not eliminate underlying demand–resource imbalance.</w:t>
      </w:r>
    </w:p>
    <w:p w14:paraId="12E0AE2A" w14:textId="10BAA777" w:rsidR="00E23C3B" w:rsidRDefault="00AD4F9D" w:rsidP="00E23C3B">
      <w:pPr>
        <w:spacing w:line="360" w:lineRule="auto"/>
        <w:jc w:val="both"/>
        <w:rPr>
          <w:rFonts w:ascii="Arial" w:hAnsi="Arial" w:cs="Arial"/>
          <w:sz w:val="24"/>
          <w:szCs w:val="24"/>
        </w:rPr>
      </w:pPr>
      <w:r w:rsidRPr="00AD4F9D">
        <w:rPr>
          <w:rFonts w:ascii="Arial" w:hAnsi="Arial" w:cs="Arial"/>
          <w:sz w:val="24"/>
          <w:szCs w:val="24"/>
        </w:rPr>
        <w:t>Choi et al (2009) demonstrate that labour scheduling optimisation can support cost control while preserving service standards. However, scheduling efficiency presupposes sufficient staffing volume. When baseline staffing falls below functional thresholds, optimisation strategies redistribute strain rather than remove it.</w:t>
      </w:r>
    </w:p>
    <w:p w14:paraId="0A1A898B" w14:textId="3C01CF34" w:rsidR="00AD4F9D" w:rsidRPr="00AD4F9D" w:rsidRDefault="00AD4F9D" w:rsidP="00AD4F9D">
      <w:pPr>
        <w:spacing w:line="360" w:lineRule="auto"/>
        <w:jc w:val="both"/>
        <w:rPr>
          <w:rFonts w:ascii="Arial" w:hAnsi="Arial" w:cs="Arial"/>
          <w:sz w:val="24"/>
          <w:szCs w:val="24"/>
        </w:rPr>
      </w:pPr>
      <w:r w:rsidRPr="00AD4F9D">
        <w:rPr>
          <w:rFonts w:ascii="Arial" w:hAnsi="Arial" w:cs="Arial"/>
          <w:sz w:val="24"/>
          <w:szCs w:val="24"/>
        </w:rPr>
        <w:t xml:space="preserve">HPWS literature similarly emphasises engagement as a pathway to improved service behaviour (Kloutsiniotis and Mihail, 2020). Yet engagement cannot sustainably </w:t>
      </w:r>
      <w:r w:rsidRPr="00AD4F9D">
        <w:rPr>
          <w:rFonts w:ascii="Arial" w:hAnsi="Arial" w:cs="Arial"/>
          <w:sz w:val="24"/>
          <w:szCs w:val="24"/>
        </w:rPr>
        <w:lastRenderedPageBreak/>
        <w:t>compensate for chronic overload. Karatepe and Aleshinloye (2009) show that emotional dissonance and overload predict exhaustion even in supportive environments. Park and Min (2020) further demonstrate that burnout remains a consistent turnover antecedent regardless of contextual variation.</w:t>
      </w:r>
    </w:p>
    <w:p w14:paraId="4A2E649D" w14:textId="371B4A46" w:rsidR="00E23C3B" w:rsidRDefault="00AD4F9D" w:rsidP="00AD4F9D">
      <w:pPr>
        <w:spacing w:line="360" w:lineRule="auto"/>
        <w:jc w:val="both"/>
        <w:rPr>
          <w:rFonts w:ascii="Arial" w:hAnsi="Arial" w:cs="Arial"/>
          <w:sz w:val="24"/>
          <w:szCs w:val="24"/>
        </w:rPr>
      </w:pPr>
      <w:r w:rsidRPr="00AD4F9D">
        <w:rPr>
          <w:rFonts w:ascii="Arial" w:hAnsi="Arial" w:cs="Arial"/>
          <w:sz w:val="24"/>
          <w:szCs w:val="24"/>
        </w:rPr>
        <w:t>This suggests that managerial strategies premised solely on employee resilience risk intensifying burnout cycles. For TY Newport Hotel, strategic workforce planning must therefore address structural staffing adequacy rather than relying exclusively on performance optimisation mechanisms.</w:t>
      </w:r>
    </w:p>
    <w:p w14:paraId="759E414C" w14:textId="77777777" w:rsidR="00E23C3B" w:rsidRDefault="00E23C3B" w:rsidP="00E23C3B">
      <w:pPr>
        <w:spacing w:line="360" w:lineRule="auto"/>
        <w:jc w:val="both"/>
        <w:rPr>
          <w:rFonts w:ascii="Arial" w:hAnsi="Arial" w:cs="Arial"/>
          <w:sz w:val="24"/>
          <w:szCs w:val="24"/>
        </w:rPr>
      </w:pPr>
    </w:p>
    <w:p w14:paraId="33F8C0EE" w14:textId="64AE397F" w:rsidR="00321BDF" w:rsidRPr="00321BDF" w:rsidRDefault="00321BDF" w:rsidP="00321BDF">
      <w:pPr>
        <w:pStyle w:val="Heading3"/>
      </w:pPr>
      <w:bookmarkStart w:id="36" w:name="_Toc222945013"/>
      <w:r w:rsidRPr="00321BDF">
        <w:t>4.2.4 Implications for TY Newport Hotel Operationally</w:t>
      </w:r>
      <w:bookmarkEnd w:id="36"/>
    </w:p>
    <w:p w14:paraId="62849979" w14:textId="2A41DC5B" w:rsidR="00321BDF" w:rsidRPr="00321BDF" w:rsidRDefault="00321BDF" w:rsidP="00321BDF">
      <w:pPr>
        <w:spacing w:line="360" w:lineRule="auto"/>
        <w:jc w:val="both"/>
        <w:rPr>
          <w:rFonts w:ascii="Arial" w:hAnsi="Arial" w:cs="Arial"/>
          <w:sz w:val="24"/>
          <w:szCs w:val="24"/>
        </w:rPr>
      </w:pPr>
      <w:r w:rsidRPr="00321BDF">
        <w:rPr>
          <w:rFonts w:ascii="Arial" w:hAnsi="Arial" w:cs="Arial"/>
          <w:sz w:val="24"/>
          <w:szCs w:val="24"/>
        </w:rPr>
        <w:t>Applying the findings to TY Newport Hotel generates several operational implications.</w:t>
      </w:r>
    </w:p>
    <w:p w14:paraId="3EBA6E65" w14:textId="140096A5" w:rsidR="00321BDF" w:rsidRDefault="00321BDF" w:rsidP="00321BDF">
      <w:pPr>
        <w:spacing w:line="360" w:lineRule="auto"/>
        <w:jc w:val="both"/>
        <w:rPr>
          <w:rFonts w:ascii="Arial" w:hAnsi="Arial" w:cs="Arial"/>
          <w:sz w:val="24"/>
          <w:szCs w:val="24"/>
        </w:rPr>
      </w:pPr>
      <w:r w:rsidRPr="00321BDF">
        <w:rPr>
          <w:rFonts w:ascii="Arial" w:hAnsi="Arial" w:cs="Arial"/>
          <w:sz w:val="24"/>
          <w:szCs w:val="24"/>
        </w:rPr>
        <w:t>First, front-of-house departments are particularly vulnerable to relational erosion under staffing constraints. Emotional labour intensity is highest in direct guest interaction roles (Kim, 2008). Sustained workload pressure may reduce attentiveness and proactive engagement at reception and guest services.</w:t>
      </w:r>
    </w:p>
    <w:p w14:paraId="2B7F63A3" w14:textId="1538797A" w:rsidR="002F1FBD" w:rsidRPr="002F1FBD" w:rsidRDefault="002F1FBD" w:rsidP="002F1FBD">
      <w:pPr>
        <w:spacing w:line="360" w:lineRule="auto"/>
        <w:jc w:val="both"/>
        <w:rPr>
          <w:rFonts w:ascii="Arial" w:hAnsi="Arial" w:cs="Arial"/>
          <w:sz w:val="24"/>
          <w:szCs w:val="24"/>
        </w:rPr>
      </w:pPr>
      <w:r w:rsidRPr="002F1FBD">
        <w:rPr>
          <w:rFonts w:ascii="Arial" w:hAnsi="Arial" w:cs="Arial"/>
          <w:sz w:val="24"/>
          <w:szCs w:val="24"/>
        </w:rPr>
        <w:t>Second, food and beverage operations may experience increased variability in service consistency during peak occupancy. Work overload has been linked to reduced reliability and procedural consistency (Karatepe, 2013).</w:t>
      </w:r>
    </w:p>
    <w:p w14:paraId="4E006F09" w14:textId="32990900" w:rsidR="00A57A84" w:rsidRDefault="002F1FBD" w:rsidP="002F1FBD">
      <w:pPr>
        <w:spacing w:line="360" w:lineRule="auto"/>
        <w:jc w:val="both"/>
        <w:rPr>
          <w:rFonts w:ascii="Arial" w:hAnsi="Arial" w:cs="Arial"/>
          <w:sz w:val="24"/>
          <w:szCs w:val="24"/>
        </w:rPr>
      </w:pPr>
      <w:r w:rsidRPr="002F1FBD">
        <w:rPr>
          <w:rFonts w:ascii="Arial" w:hAnsi="Arial" w:cs="Arial"/>
          <w:sz w:val="24"/>
          <w:szCs w:val="24"/>
        </w:rPr>
        <w:t>Third, service recovery capacity may decline under staffing constraints. Effective recovery requires time and emotional resources (Moreno-Gil et al, 2006). Understaffed shifts may prioritise throughput over recovery depth, limiting guest satisfaction repair.</w:t>
      </w:r>
    </w:p>
    <w:p w14:paraId="533BF9DB" w14:textId="0930BA19" w:rsidR="002F1FBD" w:rsidRPr="002F1FBD" w:rsidRDefault="002F1FBD" w:rsidP="002F1FBD">
      <w:pPr>
        <w:spacing w:line="360" w:lineRule="auto"/>
        <w:jc w:val="both"/>
        <w:rPr>
          <w:rFonts w:ascii="Arial" w:hAnsi="Arial" w:cs="Arial"/>
          <w:sz w:val="24"/>
          <w:szCs w:val="24"/>
        </w:rPr>
      </w:pPr>
      <w:r w:rsidRPr="002F1FBD">
        <w:rPr>
          <w:rFonts w:ascii="Arial" w:hAnsi="Arial" w:cs="Arial"/>
          <w:sz w:val="24"/>
          <w:szCs w:val="24"/>
        </w:rPr>
        <w:t>Fourth, long-term retention risk may increase if sustained overload is not addressed. Zientara et al (2023) demonstrate that stress and dissatisfaction significantly influence turnover intention in UK hospitality contexts.</w:t>
      </w:r>
    </w:p>
    <w:p w14:paraId="45CFA44B" w14:textId="3EED360D" w:rsidR="00A57A84" w:rsidRDefault="002F1FBD" w:rsidP="002F1FBD">
      <w:pPr>
        <w:spacing w:line="360" w:lineRule="auto"/>
        <w:jc w:val="both"/>
        <w:rPr>
          <w:rFonts w:ascii="Arial" w:hAnsi="Arial" w:cs="Arial"/>
          <w:sz w:val="24"/>
          <w:szCs w:val="24"/>
        </w:rPr>
      </w:pPr>
      <w:r w:rsidRPr="002F1FBD">
        <w:rPr>
          <w:rFonts w:ascii="Arial" w:hAnsi="Arial" w:cs="Arial"/>
          <w:sz w:val="24"/>
          <w:szCs w:val="24"/>
        </w:rPr>
        <w:t>These implications highlight the need for TY Newport Hotel to integrate workforce sustainability into service quality strategy rather than treating staffing as a purely administrative function.</w:t>
      </w:r>
    </w:p>
    <w:p w14:paraId="7A29DCD0" w14:textId="77777777" w:rsidR="00A57A84" w:rsidRDefault="00A57A84" w:rsidP="00AB194C">
      <w:pPr>
        <w:spacing w:line="360" w:lineRule="auto"/>
        <w:jc w:val="both"/>
        <w:rPr>
          <w:rFonts w:ascii="Arial" w:hAnsi="Arial" w:cs="Arial"/>
          <w:sz w:val="24"/>
          <w:szCs w:val="24"/>
        </w:rPr>
      </w:pPr>
    </w:p>
    <w:p w14:paraId="1DCBA195" w14:textId="078E28E0" w:rsidR="005B2644" w:rsidRPr="005B2644" w:rsidRDefault="005B2644" w:rsidP="005B2644">
      <w:pPr>
        <w:pStyle w:val="Heading3"/>
      </w:pPr>
      <w:bookmarkStart w:id="37" w:name="_Toc222945014"/>
      <w:r w:rsidRPr="005B2644">
        <w:lastRenderedPageBreak/>
        <w:t>4.2.5 Theoretical Advancement</w:t>
      </w:r>
      <w:bookmarkEnd w:id="37"/>
    </w:p>
    <w:p w14:paraId="08A24690" w14:textId="134957A3" w:rsidR="005B2644" w:rsidRPr="005B2644" w:rsidRDefault="00D43F88" w:rsidP="005B2644">
      <w:pPr>
        <w:spacing w:line="360" w:lineRule="auto"/>
        <w:jc w:val="both"/>
        <w:rPr>
          <w:rFonts w:ascii="Arial" w:hAnsi="Arial" w:cs="Arial"/>
          <w:sz w:val="24"/>
          <w:szCs w:val="24"/>
        </w:rPr>
      </w:pPr>
      <w:r w:rsidRPr="00D43F88">
        <w:rPr>
          <w:rFonts w:ascii="Arial" w:hAnsi="Arial" w:cs="Arial"/>
          <w:sz w:val="24"/>
          <w:szCs w:val="24"/>
        </w:rPr>
        <w:t>This study contributes theoretically by proposing a cumulative service erosion model, integrating workforce instability, JD–R imbalance and service climate mechanisms within a unified explanatory framework.</w:t>
      </w:r>
      <w:r w:rsidR="000953D3">
        <w:rPr>
          <w:rFonts w:ascii="Arial" w:hAnsi="Arial" w:cs="Arial"/>
          <w:sz w:val="24"/>
          <w:szCs w:val="24"/>
        </w:rPr>
        <w:t xml:space="preserve"> </w:t>
      </w:r>
      <w:r w:rsidR="000953D3" w:rsidRPr="000953D3">
        <w:rPr>
          <w:rFonts w:ascii="Arial" w:hAnsi="Arial" w:cs="Arial"/>
          <w:sz w:val="24"/>
          <w:szCs w:val="24"/>
        </w:rPr>
        <w:t>By conceptualising staffing adequacy as a foundational service resource, the research extends existing hospitality workforce literature beyond turnover intention and burnout outcomes to include long-term service sustainability implications.</w:t>
      </w:r>
    </w:p>
    <w:p w14:paraId="5DEF04A7" w14:textId="41DCA91A" w:rsidR="005B2644" w:rsidRPr="005B2644" w:rsidRDefault="005B2644" w:rsidP="005B2644">
      <w:pPr>
        <w:pStyle w:val="ListParagraph"/>
        <w:numPr>
          <w:ilvl w:val="0"/>
          <w:numId w:val="13"/>
        </w:numPr>
        <w:spacing w:line="360" w:lineRule="auto"/>
        <w:jc w:val="both"/>
        <w:rPr>
          <w:rFonts w:ascii="Arial" w:hAnsi="Arial" w:cs="Arial"/>
          <w:sz w:val="24"/>
          <w:szCs w:val="24"/>
        </w:rPr>
      </w:pPr>
      <w:r w:rsidRPr="005B2644">
        <w:rPr>
          <w:rFonts w:ascii="Arial" w:hAnsi="Arial" w:cs="Arial"/>
          <w:sz w:val="24"/>
          <w:szCs w:val="24"/>
        </w:rPr>
        <w:t>It integrates JD–R theory with service quality frameworks to explain how staffing adequacy functions as a foundational service resource.</w:t>
      </w:r>
    </w:p>
    <w:p w14:paraId="4EC896F6" w14:textId="7611374A" w:rsidR="005B2644" w:rsidRPr="005B2644" w:rsidRDefault="005B2644" w:rsidP="005B2644">
      <w:pPr>
        <w:pStyle w:val="ListParagraph"/>
        <w:numPr>
          <w:ilvl w:val="0"/>
          <w:numId w:val="13"/>
        </w:numPr>
        <w:spacing w:line="360" w:lineRule="auto"/>
        <w:jc w:val="both"/>
        <w:rPr>
          <w:rFonts w:ascii="Arial" w:hAnsi="Arial" w:cs="Arial"/>
          <w:sz w:val="24"/>
          <w:szCs w:val="24"/>
        </w:rPr>
      </w:pPr>
      <w:r w:rsidRPr="005B2644">
        <w:rPr>
          <w:rFonts w:ascii="Arial" w:hAnsi="Arial" w:cs="Arial"/>
          <w:sz w:val="24"/>
          <w:szCs w:val="24"/>
        </w:rPr>
        <w:t>It reframes labour shortages as a cumulative service sustainability risk rather than episodic operational disruption.</w:t>
      </w:r>
    </w:p>
    <w:p w14:paraId="38C0CCFB" w14:textId="428A794D" w:rsidR="005B2644" w:rsidRPr="005B2644" w:rsidRDefault="005B2644" w:rsidP="005B2644">
      <w:pPr>
        <w:pStyle w:val="ListParagraph"/>
        <w:numPr>
          <w:ilvl w:val="0"/>
          <w:numId w:val="13"/>
        </w:numPr>
        <w:spacing w:line="360" w:lineRule="auto"/>
        <w:jc w:val="both"/>
        <w:rPr>
          <w:rFonts w:ascii="Arial" w:hAnsi="Arial" w:cs="Arial"/>
          <w:sz w:val="24"/>
          <w:szCs w:val="24"/>
        </w:rPr>
      </w:pPr>
      <w:r w:rsidRPr="005B2644">
        <w:rPr>
          <w:rFonts w:ascii="Arial" w:hAnsi="Arial" w:cs="Arial"/>
          <w:sz w:val="24"/>
          <w:szCs w:val="24"/>
        </w:rPr>
        <w:t>It bridges turnover and service quality literatures, which are frequently examined separately (Han, 2022).</w:t>
      </w:r>
    </w:p>
    <w:p w14:paraId="57EF26DD" w14:textId="57848024" w:rsidR="002F1FBD" w:rsidRDefault="005B2644" w:rsidP="005B2644">
      <w:pPr>
        <w:spacing w:line="360" w:lineRule="auto"/>
        <w:jc w:val="both"/>
        <w:rPr>
          <w:rFonts w:ascii="Arial" w:hAnsi="Arial" w:cs="Arial"/>
          <w:sz w:val="24"/>
          <w:szCs w:val="24"/>
        </w:rPr>
      </w:pPr>
      <w:r w:rsidRPr="005B2644">
        <w:rPr>
          <w:rFonts w:ascii="Arial" w:hAnsi="Arial" w:cs="Arial"/>
          <w:sz w:val="24"/>
          <w:szCs w:val="24"/>
        </w:rPr>
        <w:t>By positioning staffing adequacy as central to relational service delivery, this study contributes to understanding how workforce architecture shapes experiential service outcomes.</w:t>
      </w:r>
    </w:p>
    <w:p w14:paraId="42C7AB6B" w14:textId="77777777" w:rsidR="002F1FBD" w:rsidRDefault="002F1FBD" w:rsidP="00AB194C">
      <w:pPr>
        <w:spacing w:line="360" w:lineRule="auto"/>
        <w:jc w:val="both"/>
        <w:rPr>
          <w:rFonts w:ascii="Arial" w:hAnsi="Arial" w:cs="Arial"/>
          <w:sz w:val="24"/>
          <w:szCs w:val="24"/>
        </w:rPr>
      </w:pPr>
    </w:p>
    <w:p w14:paraId="09F928A8" w14:textId="060789EE" w:rsidR="00D83275" w:rsidRPr="00D83275" w:rsidRDefault="00D83275" w:rsidP="00D83275">
      <w:pPr>
        <w:pStyle w:val="Heading3"/>
      </w:pPr>
      <w:bookmarkStart w:id="38" w:name="_Toc222945015"/>
      <w:r w:rsidRPr="00D83275">
        <w:t>4.2.6 Limitations and Future Research Directions</w:t>
      </w:r>
      <w:bookmarkEnd w:id="38"/>
    </w:p>
    <w:p w14:paraId="38E5F6E5" w14:textId="7D028369" w:rsidR="00D83275" w:rsidRPr="00D83275" w:rsidRDefault="00D83275" w:rsidP="00D83275">
      <w:pPr>
        <w:spacing w:line="360" w:lineRule="auto"/>
        <w:jc w:val="both"/>
        <w:rPr>
          <w:rFonts w:ascii="Arial" w:hAnsi="Arial" w:cs="Arial"/>
          <w:sz w:val="24"/>
          <w:szCs w:val="24"/>
        </w:rPr>
      </w:pPr>
      <w:r w:rsidRPr="00D83275">
        <w:rPr>
          <w:rFonts w:ascii="Arial" w:hAnsi="Arial" w:cs="Arial"/>
          <w:sz w:val="24"/>
          <w:szCs w:val="24"/>
        </w:rPr>
        <w:t xml:space="preserve">This study is limited by its exclusive reliance on secondary literature and national workforce datasets. While triangulation across peer-reviewed hospitality research strengthens theoretical integration, </w:t>
      </w:r>
      <w:r>
        <w:rPr>
          <w:rFonts w:ascii="Arial" w:hAnsi="Arial" w:cs="Arial"/>
          <w:sz w:val="24"/>
          <w:szCs w:val="24"/>
        </w:rPr>
        <w:t xml:space="preserve">the </w:t>
      </w:r>
      <w:r w:rsidRPr="00D83275">
        <w:rPr>
          <w:rFonts w:ascii="Arial" w:hAnsi="Arial" w:cs="Arial"/>
          <w:sz w:val="24"/>
          <w:szCs w:val="24"/>
        </w:rPr>
        <w:t>absence of primary employee or guest data from TY Newport Hotel restricts contextual specificity.</w:t>
      </w:r>
    </w:p>
    <w:p w14:paraId="7920852E" w14:textId="4D32FF4A" w:rsidR="00D83275" w:rsidRPr="00D83275" w:rsidRDefault="00D83275" w:rsidP="00D83275">
      <w:pPr>
        <w:spacing w:line="360" w:lineRule="auto"/>
        <w:jc w:val="both"/>
        <w:rPr>
          <w:rFonts w:ascii="Arial" w:hAnsi="Arial" w:cs="Arial"/>
          <w:sz w:val="24"/>
          <w:szCs w:val="24"/>
        </w:rPr>
      </w:pPr>
      <w:r w:rsidRPr="00D83275">
        <w:rPr>
          <w:rFonts w:ascii="Arial" w:hAnsi="Arial" w:cs="Arial"/>
          <w:sz w:val="24"/>
          <w:szCs w:val="24"/>
        </w:rPr>
        <w:t>Furthermore, much burnout research relies on self-reported measures, potentially introducing response bias (Park and Min, 2020). Future research could incorporate mixed-method approaches combining employee workload metrics with guest experience data to test the cumulative erosion model proposed here.</w:t>
      </w:r>
    </w:p>
    <w:p w14:paraId="4F7F4FBA" w14:textId="6FA21C6F" w:rsidR="002F1FBD" w:rsidRDefault="00D83275" w:rsidP="00D83275">
      <w:pPr>
        <w:spacing w:line="360" w:lineRule="auto"/>
        <w:jc w:val="both"/>
        <w:rPr>
          <w:rFonts w:ascii="Arial" w:hAnsi="Arial" w:cs="Arial"/>
          <w:sz w:val="24"/>
          <w:szCs w:val="24"/>
        </w:rPr>
      </w:pPr>
      <w:r w:rsidRPr="00D83275">
        <w:rPr>
          <w:rFonts w:ascii="Arial" w:hAnsi="Arial" w:cs="Arial"/>
          <w:sz w:val="24"/>
          <w:szCs w:val="24"/>
        </w:rPr>
        <w:t>Longitudinal research would also help determine whether incremental relational erosion under staffing pressure produces measurable brand equity decline over time.</w:t>
      </w:r>
    </w:p>
    <w:p w14:paraId="2683B279" w14:textId="77777777" w:rsidR="002F1FBD" w:rsidRDefault="002F1FBD" w:rsidP="00AB194C">
      <w:pPr>
        <w:spacing w:line="360" w:lineRule="auto"/>
        <w:jc w:val="both"/>
        <w:rPr>
          <w:rFonts w:ascii="Arial" w:hAnsi="Arial" w:cs="Arial"/>
          <w:sz w:val="24"/>
          <w:szCs w:val="24"/>
        </w:rPr>
      </w:pPr>
    </w:p>
    <w:p w14:paraId="26E0A801" w14:textId="08814690" w:rsidR="00B526D3" w:rsidRPr="00B526D3" w:rsidRDefault="00B526D3" w:rsidP="00B526D3">
      <w:pPr>
        <w:pStyle w:val="Heading1"/>
      </w:pPr>
      <w:bookmarkStart w:id="39" w:name="_Toc222945016"/>
      <w:r w:rsidRPr="00B526D3">
        <w:lastRenderedPageBreak/>
        <w:t>CHAPTER 5</w:t>
      </w:r>
      <w:r>
        <w:t xml:space="preserve">: </w:t>
      </w:r>
      <w:r w:rsidRPr="00B526D3">
        <w:t>Conclusion and Recommendations</w:t>
      </w:r>
      <w:bookmarkEnd w:id="39"/>
    </w:p>
    <w:p w14:paraId="15AFB648" w14:textId="7F22E9AE" w:rsidR="00B526D3" w:rsidRPr="00B526D3" w:rsidRDefault="00B526D3" w:rsidP="00B526D3">
      <w:pPr>
        <w:pStyle w:val="Heading2"/>
      </w:pPr>
      <w:bookmarkStart w:id="40" w:name="_Toc222945017"/>
      <w:r w:rsidRPr="00B526D3">
        <w:t>5.1 Conclusion</w:t>
      </w:r>
      <w:bookmarkEnd w:id="40"/>
    </w:p>
    <w:p w14:paraId="76F7ECFB" w14:textId="16535D93" w:rsidR="002F1FBD" w:rsidRDefault="00B526D3" w:rsidP="00B526D3">
      <w:pPr>
        <w:spacing w:line="360" w:lineRule="auto"/>
        <w:jc w:val="both"/>
        <w:rPr>
          <w:rFonts w:ascii="Arial" w:hAnsi="Arial" w:cs="Arial"/>
          <w:sz w:val="24"/>
          <w:szCs w:val="24"/>
        </w:rPr>
      </w:pPr>
      <w:r w:rsidRPr="00B526D3">
        <w:rPr>
          <w:rFonts w:ascii="Arial" w:hAnsi="Arial" w:cs="Arial"/>
          <w:sz w:val="24"/>
          <w:szCs w:val="24"/>
        </w:rPr>
        <w:t xml:space="preserve">This study examined the impact of staff shortages on service quality within the UK hotel industry, using TY Newport Hotel as a contextual case lens and drawing exclusively on contemporary peer-reviewed hospitality research and UK workforce data. The findings </w:t>
      </w:r>
      <w:r w:rsidR="005A40A9">
        <w:rPr>
          <w:rFonts w:ascii="Arial" w:hAnsi="Arial" w:cs="Arial"/>
          <w:sz w:val="24"/>
          <w:szCs w:val="24"/>
        </w:rPr>
        <w:t>strongly indicate</w:t>
      </w:r>
      <w:r w:rsidRPr="00B526D3">
        <w:rPr>
          <w:rFonts w:ascii="Arial" w:hAnsi="Arial" w:cs="Arial"/>
          <w:sz w:val="24"/>
          <w:szCs w:val="24"/>
        </w:rPr>
        <w:t xml:space="preserve"> that staffing shortages represent a persistent structural feature of the sector rather than a temporary labour fluctuation (Baum et al, 2020; UKHospitality, 2024).</w:t>
      </w:r>
    </w:p>
    <w:p w14:paraId="68C69543" w14:textId="2368007F" w:rsidR="002F1FBD" w:rsidRDefault="00E244F9" w:rsidP="00AB194C">
      <w:pPr>
        <w:spacing w:line="360" w:lineRule="auto"/>
        <w:jc w:val="both"/>
        <w:rPr>
          <w:rFonts w:ascii="Arial" w:hAnsi="Arial" w:cs="Arial"/>
          <w:sz w:val="24"/>
          <w:szCs w:val="24"/>
        </w:rPr>
      </w:pPr>
      <w:r w:rsidRPr="00E244F9">
        <w:rPr>
          <w:rFonts w:ascii="Arial" w:hAnsi="Arial" w:cs="Arial"/>
          <w:sz w:val="24"/>
          <w:szCs w:val="24"/>
        </w:rPr>
        <w:t>The research demonstrated that staffing inadequacy influences service quality through cumulative and interrelated processes. Reduced staffing levels intensify job demands, increase work overload and limit the time and emotional resources available for guest interaction. Consistent with the Job Demands–Resources framework (Demerouti et al, 2001; Bakker and Demerouti, 2007), sustained imbalance between demands and resources produces predictable outcomes</w:t>
      </w:r>
      <w:r>
        <w:rPr>
          <w:rFonts w:ascii="Arial" w:hAnsi="Arial" w:cs="Arial"/>
          <w:sz w:val="24"/>
          <w:szCs w:val="24"/>
        </w:rPr>
        <w:t>,</w:t>
      </w:r>
      <w:r w:rsidRPr="00E244F9">
        <w:rPr>
          <w:rFonts w:ascii="Arial" w:hAnsi="Arial" w:cs="Arial"/>
          <w:sz w:val="24"/>
          <w:szCs w:val="24"/>
        </w:rPr>
        <w:t xml:space="preserve"> including emotional exhaustion, reduced discretionary effort and performance variability (Karatepe and Aleshinloye, 2009; Park and Min, 2020).</w:t>
      </w:r>
    </w:p>
    <w:p w14:paraId="29069CCF" w14:textId="7A30CBB0" w:rsidR="002F1FBD" w:rsidRDefault="00A32AC0" w:rsidP="00AB194C">
      <w:pPr>
        <w:spacing w:line="360" w:lineRule="auto"/>
        <w:jc w:val="both"/>
        <w:rPr>
          <w:rFonts w:ascii="Arial" w:hAnsi="Arial" w:cs="Arial"/>
          <w:sz w:val="24"/>
          <w:szCs w:val="24"/>
        </w:rPr>
      </w:pPr>
      <w:r w:rsidRPr="00A32AC0">
        <w:rPr>
          <w:rFonts w:ascii="Arial" w:hAnsi="Arial" w:cs="Arial"/>
          <w:sz w:val="24"/>
          <w:szCs w:val="24"/>
        </w:rPr>
        <w:t>A key finding is that service quality deterioration under staffing constraints is typically gradual rather than immediate. Empirical hospitality studies show that work overload reduces service reliability and relational engagement before triggering overt service failure (Karatepe, 2013; Wang, 2020). Emotional exhaustion has been shown to weaken frontline service behaviours central to guest satisfaction (Kim, 2008; Jung and Yoon, 2014).</w:t>
      </w:r>
    </w:p>
    <w:p w14:paraId="7DF25FF3" w14:textId="28D22465" w:rsidR="002F1FBD" w:rsidRDefault="00A32AC0" w:rsidP="00AB194C">
      <w:pPr>
        <w:spacing w:line="360" w:lineRule="auto"/>
        <w:jc w:val="both"/>
        <w:rPr>
          <w:rFonts w:ascii="Arial" w:hAnsi="Arial" w:cs="Arial"/>
          <w:sz w:val="24"/>
          <w:szCs w:val="24"/>
        </w:rPr>
      </w:pPr>
      <w:r w:rsidRPr="00A32AC0">
        <w:rPr>
          <w:rFonts w:ascii="Arial" w:hAnsi="Arial" w:cs="Arial"/>
          <w:sz w:val="24"/>
          <w:szCs w:val="24"/>
        </w:rPr>
        <w:t>The research</w:t>
      </w:r>
      <w:r>
        <w:rPr>
          <w:rFonts w:ascii="Arial" w:hAnsi="Arial" w:cs="Arial"/>
          <w:sz w:val="24"/>
          <w:szCs w:val="24"/>
        </w:rPr>
        <w:t>,</w:t>
      </w:r>
      <w:r w:rsidRPr="00A32AC0">
        <w:rPr>
          <w:rFonts w:ascii="Arial" w:hAnsi="Arial" w:cs="Arial"/>
          <w:sz w:val="24"/>
          <w:szCs w:val="24"/>
        </w:rPr>
        <w:t xml:space="preserve"> therefore</w:t>
      </w:r>
      <w:r>
        <w:rPr>
          <w:rFonts w:ascii="Arial" w:hAnsi="Arial" w:cs="Arial"/>
          <w:sz w:val="24"/>
          <w:szCs w:val="24"/>
        </w:rPr>
        <w:t>,</w:t>
      </w:r>
      <w:r w:rsidRPr="00A32AC0">
        <w:rPr>
          <w:rFonts w:ascii="Arial" w:hAnsi="Arial" w:cs="Arial"/>
          <w:sz w:val="24"/>
          <w:szCs w:val="24"/>
        </w:rPr>
        <w:t xml:space="preserve"> reinforces the argument developed in Chapter 4: staffing adequacy functions as a foundational service resource. When labour capacity falls below operational demand, relational service elements such as responsiveness, empathy and personalisation become progressively constrained. This is consistent with evidence linking employee wellbeing and service climate to customer outcomes (Chi and Gursoy, 2009; Salanova et al, 2005).</w:t>
      </w:r>
    </w:p>
    <w:p w14:paraId="31C07699" w14:textId="37BC3233" w:rsidR="002F1FBD" w:rsidRDefault="00D44FF4" w:rsidP="00AB194C">
      <w:pPr>
        <w:spacing w:line="360" w:lineRule="auto"/>
        <w:jc w:val="both"/>
        <w:rPr>
          <w:rFonts w:ascii="Arial" w:hAnsi="Arial" w:cs="Arial"/>
          <w:sz w:val="24"/>
          <w:szCs w:val="24"/>
        </w:rPr>
      </w:pPr>
      <w:r w:rsidRPr="00D44FF4">
        <w:rPr>
          <w:rFonts w:ascii="Arial" w:hAnsi="Arial" w:cs="Arial"/>
          <w:sz w:val="24"/>
          <w:szCs w:val="24"/>
        </w:rPr>
        <w:t xml:space="preserve">Another central conclusion concerns the masking effect of staffing shortages. Hotels often adapt to workforce constraints through increased role flexibility, service standardisation and informal redistribution of responsibilities (Birdir, 2024). While such </w:t>
      </w:r>
      <w:r w:rsidRPr="00D44FF4">
        <w:rPr>
          <w:rFonts w:ascii="Arial" w:hAnsi="Arial" w:cs="Arial"/>
          <w:sz w:val="24"/>
          <w:szCs w:val="24"/>
        </w:rPr>
        <w:lastRenderedPageBreak/>
        <w:t>adaptations may sustain basic operational continuity, research suggests that prolonged overload increases burnout risk and turnover intention (Hwang et al, 2014; Zientara et al, 2023). Consequently, workforce instability may be reinforced rather than resolved.</w:t>
      </w:r>
    </w:p>
    <w:p w14:paraId="2C2F3A98" w14:textId="4BD7F7FA" w:rsidR="002F1FBD" w:rsidRDefault="009D7626" w:rsidP="00AB194C">
      <w:pPr>
        <w:spacing w:line="360" w:lineRule="auto"/>
        <w:jc w:val="both"/>
        <w:rPr>
          <w:rFonts w:ascii="Arial" w:hAnsi="Arial" w:cs="Arial"/>
          <w:sz w:val="24"/>
          <w:szCs w:val="24"/>
        </w:rPr>
      </w:pPr>
      <w:r w:rsidRPr="009D7626">
        <w:rPr>
          <w:rFonts w:ascii="Arial" w:hAnsi="Arial" w:cs="Arial"/>
          <w:sz w:val="24"/>
          <w:szCs w:val="24"/>
        </w:rPr>
        <w:t>Importantly, the study does not argue that staffing shortages automatically produce immediate service collapse. Instead, the evidence indicates incremental relational erosion. Liao and Chuang (2004) demonstrate that service climate shapes frontline performance behaviours, and empirical hospitality research confirms that internal service conditions influence external service outcomes (Kim and Lee, 2009). Sustained workload pressure may therefore weaken climate perceptions and relational consistency over time.</w:t>
      </w:r>
    </w:p>
    <w:p w14:paraId="0A41CB37" w14:textId="4334E347" w:rsidR="001B2B4A" w:rsidRPr="001B2B4A" w:rsidRDefault="001B2B4A" w:rsidP="001B2B4A">
      <w:pPr>
        <w:spacing w:line="360" w:lineRule="auto"/>
        <w:jc w:val="both"/>
        <w:rPr>
          <w:rFonts w:ascii="Arial" w:hAnsi="Arial" w:cs="Arial"/>
          <w:sz w:val="24"/>
          <w:szCs w:val="24"/>
        </w:rPr>
      </w:pPr>
      <w:r w:rsidRPr="001B2B4A">
        <w:rPr>
          <w:rFonts w:ascii="Arial" w:hAnsi="Arial" w:cs="Arial"/>
          <w:sz w:val="24"/>
          <w:szCs w:val="24"/>
        </w:rPr>
        <w:t>Within the context of TY Newport Hotel, these findings imply that workforce adequacy is not merely an HR concern but a determinant of service sustainability. In business-oriented and branded hotel environments, relational engagement and consistent service recovery are central to competitive positioning. Staffing instability therefore poses strategic as well as operational risk.</w:t>
      </w:r>
    </w:p>
    <w:p w14:paraId="54EDFCB2" w14:textId="191DA78B" w:rsidR="002F1FBD" w:rsidRDefault="001B2B4A" w:rsidP="001B2B4A">
      <w:pPr>
        <w:spacing w:line="360" w:lineRule="auto"/>
        <w:jc w:val="both"/>
        <w:rPr>
          <w:rFonts w:ascii="Arial" w:hAnsi="Arial" w:cs="Arial"/>
          <w:sz w:val="24"/>
          <w:szCs w:val="24"/>
        </w:rPr>
      </w:pPr>
      <w:r w:rsidRPr="001B2B4A">
        <w:rPr>
          <w:rFonts w:ascii="Arial" w:hAnsi="Arial" w:cs="Arial"/>
          <w:sz w:val="24"/>
          <w:szCs w:val="24"/>
        </w:rPr>
        <w:t>Overall, this study contributes to hospitality scholarship by integrating staffing shortages and service quality within a single analytical framework. It reinforces that service quality deterioration under staffing pressure should be conceptualised as a predictable structural outcome rather than an isolated execution failure. By synthesising workforce, burnout and service performance literatures, the research advances understanding of how labour instability shapes experiential service outcomes within the UK hotel sector.</w:t>
      </w:r>
    </w:p>
    <w:p w14:paraId="1A87117A" w14:textId="77777777" w:rsidR="001B2B4A" w:rsidRDefault="001B2B4A" w:rsidP="001B2B4A">
      <w:pPr>
        <w:spacing w:line="360" w:lineRule="auto"/>
        <w:jc w:val="both"/>
        <w:rPr>
          <w:rFonts w:ascii="Arial" w:hAnsi="Arial" w:cs="Arial"/>
          <w:sz w:val="24"/>
          <w:szCs w:val="24"/>
        </w:rPr>
      </w:pPr>
    </w:p>
    <w:p w14:paraId="1BD97CCD" w14:textId="3E4760FC" w:rsidR="00CD2EE1" w:rsidRPr="00CD2EE1" w:rsidRDefault="00CD2EE1" w:rsidP="00CD2EE1">
      <w:pPr>
        <w:pStyle w:val="Heading2"/>
      </w:pPr>
      <w:bookmarkStart w:id="41" w:name="_Toc222945018"/>
      <w:r w:rsidRPr="00CD2EE1">
        <w:t>5.2 Recommendations and Practical Strategies</w:t>
      </w:r>
      <w:bookmarkEnd w:id="41"/>
    </w:p>
    <w:p w14:paraId="4B86D1EA" w14:textId="01957A33" w:rsidR="001B2B4A" w:rsidRDefault="00CD2EE1" w:rsidP="00CD2EE1">
      <w:pPr>
        <w:spacing w:line="360" w:lineRule="auto"/>
        <w:jc w:val="both"/>
        <w:rPr>
          <w:rFonts w:ascii="Arial" w:hAnsi="Arial" w:cs="Arial"/>
          <w:sz w:val="24"/>
          <w:szCs w:val="24"/>
        </w:rPr>
      </w:pPr>
      <w:r w:rsidRPr="00CD2EE1">
        <w:rPr>
          <w:rFonts w:ascii="Arial" w:hAnsi="Arial" w:cs="Arial"/>
          <w:sz w:val="24"/>
          <w:szCs w:val="24"/>
        </w:rPr>
        <w:t>Based on the findings and aligned strictly with the evidence discussed in earlier chapters, the following recommendations are proposed for TY Newport Hotel.</w:t>
      </w:r>
    </w:p>
    <w:p w14:paraId="1411B660" w14:textId="77777777" w:rsidR="00CD2EE1" w:rsidRDefault="00CD2EE1" w:rsidP="00CD2EE1">
      <w:pPr>
        <w:spacing w:line="360" w:lineRule="auto"/>
        <w:jc w:val="both"/>
        <w:rPr>
          <w:rFonts w:ascii="Arial" w:hAnsi="Arial" w:cs="Arial"/>
          <w:sz w:val="24"/>
          <w:szCs w:val="24"/>
        </w:rPr>
      </w:pPr>
    </w:p>
    <w:p w14:paraId="182D2439" w14:textId="195C71EB" w:rsidR="00CD2EE1" w:rsidRPr="00CD2EE1" w:rsidRDefault="00CD2EE1" w:rsidP="00CD2EE1">
      <w:pPr>
        <w:pStyle w:val="Heading3"/>
      </w:pPr>
      <w:bookmarkStart w:id="42" w:name="_Toc222945019"/>
      <w:r w:rsidRPr="00CD2EE1">
        <w:t>5.2.1 Treat Staffing Adequacy as a Service Quality Variable</w:t>
      </w:r>
      <w:bookmarkEnd w:id="42"/>
    </w:p>
    <w:p w14:paraId="46D90628" w14:textId="07A9876C" w:rsidR="00CD2EE1" w:rsidRPr="00CD2EE1" w:rsidRDefault="00CD2EE1" w:rsidP="00CD2EE1">
      <w:pPr>
        <w:spacing w:line="360" w:lineRule="auto"/>
        <w:jc w:val="both"/>
        <w:rPr>
          <w:rFonts w:ascii="Arial" w:hAnsi="Arial" w:cs="Arial"/>
          <w:sz w:val="24"/>
          <w:szCs w:val="24"/>
        </w:rPr>
      </w:pPr>
      <w:r w:rsidRPr="00CD2EE1">
        <w:rPr>
          <w:rFonts w:ascii="Arial" w:hAnsi="Arial" w:cs="Arial"/>
          <w:sz w:val="24"/>
          <w:szCs w:val="24"/>
        </w:rPr>
        <w:t xml:space="preserve">Research consistently demonstrates that employee wellbeing and service performance are interlinked (Karatepe and Uludag, 2008; Park and Min, 2020). TY </w:t>
      </w:r>
      <w:r w:rsidRPr="00CD2EE1">
        <w:rPr>
          <w:rFonts w:ascii="Arial" w:hAnsi="Arial" w:cs="Arial"/>
          <w:sz w:val="24"/>
          <w:szCs w:val="24"/>
        </w:rPr>
        <w:lastRenderedPageBreak/>
        <w:t>Newport Hotel should therefore treat staffing adequacy as a service quality determinant rather than solely a cost variable.</w:t>
      </w:r>
    </w:p>
    <w:p w14:paraId="1AC51F5F" w14:textId="0DBCEE33" w:rsidR="001B2B4A" w:rsidRDefault="00CD2EE1" w:rsidP="00CD2EE1">
      <w:pPr>
        <w:spacing w:line="360" w:lineRule="auto"/>
        <w:jc w:val="both"/>
        <w:rPr>
          <w:rFonts w:ascii="Arial" w:hAnsi="Arial" w:cs="Arial"/>
          <w:sz w:val="24"/>
          <w:szCs w:val="24"/>
        </w:rPr>
      </w:pPr>
      <w:r w:rsidRPr="00CD2EE1">
        <w:rPr>
          <w:rFonts w:ascii="Arial" w:hAnsi="Arial" w:cs="Arial"/>
          <w:sz w:val="24"/>
          <w:szCs w:val="24"/>
        </w:rPr>
        <w:t>Operational planning should incorporate minimum staffing thresholds aligned with occupancy forecasts and guest interaction intensity. Workforce planning models should consider not only task completion but also relational service time requirements. This approach aligns with research indicating that employee satisfaction and service climate influence guest outcomes (Chi and Gursoy, 2009; Salanova et al, 2005).</w:t>
      </w:r>
    </w:p>
    <w:p w14:paraId="44723064" w14:textId="77777777" w:rsidR="001B2B4A" w:rsidRDefault="001B2B4A" w:rsidP="001B2B4A">
      <w:pPr>
        <w:spacing w:line="360" w:lineRule="auto"/>
        <w:jc w:val="both"/>
        <w:rPr>
          <w:rFonts w:ascii="Arial" w:hAnsi="Arial" w:cs="Arial"/>
          <w:sz w:val="24"/>
          <w:szCs w:val="24"/>
        </w:rPr>
      </w:pPr>
    </w:p>
    <w:p w14:paraId="3B44DE63" w14:textId="13059CFE" w:rsidR="000D1B3F" w:rsidRPr="000D1B3F" w:rsidRDefault="000D1B3F" w:rsidP="000D1B3F">
      <w:pPr>
        <w:pStyle w:val="Heading3"/>
      </w:pPr>
      <w:bookmarkStart w:id="43" w:name="_Toc222945020"/>
      <w:r w:rsidRPr="000D1B3F">
        <w:t>5.2.2 Implement Structured Workload Review Mechanisms</w:t>
      </w:r>
      <w:bookmarkEnd w:id="43"/>
    </w:p>
    <w:p w14:paraId="0F8C1B49" w14:textId="0B01242B" w:rsidR="000D1B3F" w:rsidRPr="000D1B3F" w:rsidRDefault="000D1B3F" w:rsidP="000D1B3F">
      <w:pPr>
        <w:spacing w:line="360" w:lineRule="auto"/>
        <w:jc w:val="both"/>
        <w:rPr>
          <w:rFonts w:ascii="Arial" w:hAnsi="Arial" w:cs="Arial"/>
          <w:sz w:val="24"/>
          <w:szCs w:val="24"/>
        </w:rPr>
      </w:pPr>
      <w:r w:rsidRPr="000D1B3F">
        <w:rPr>
          <w:rFonts w:ascii="Arial" w:hAnsi="Arial" w:cs="Arial"/>
          <w:sz w:val="24"/>
          <w:szCs w:val="24"/>
        </w:rPr>
        <w:t>Given the identified role of work intensification in quality deterioration (Karatepe, 2013; Jung and Yoon, 2014), TY Newport Hotel should implement structured workload assessments in frontline departments. These may include:</w:t>
      </w:r>
    </w:p>
    <w:p w14:paraId="0CFF66EF" w14:textId="77777777" w:rsidR="000D1B3F" w:rsidRPr="002920D6" w:rsidRDefault="000D1B3F" w:rsidP="002920D6">
      <w:pPr>
        <w:pStyle w:val="ListParagraph"/>
        <w:numPr>
          <w:ilvl w:val="0"/>
          <w:numId w:val="14"/>
        </w:numPr>
        <w:spacing w:line="360" w:lineRule="auto"/>
        <w:jc w:val="both"/>
        <w:rPr>
          <w:rFonts w:ascii="Arial" w:hAnsi="Arial" w:cs="Arial"/>
          <w:sz w:val="24"/>
          <w:szCs w:val="24"/>
        </w:rPr>
      </w:pPr>
      <w:r w:rsidRPr="002920D6">
        <w:rPr>
          <w:rFonts w:ascii="Arial" w:hAnsi="Arial" w:cs="Arial"/>
          <w:sz w:val="24"/>
          <w:szCs w:val="24"/>
        </w:rPr>
        <w:t>Monitoring shift-based workload distribution</w:t>
      </w:r>
    </w:p>
    <w:p w14:paraId="0F4481B2" w14:textId="77777777" w:rsidR="000D1B3F" w:rsidRPr="002920D6" w:rsidRDefault="000D1B3F" w:rsidP="002920D6">
      <w:pPr>
        <w:pStyle w:val="ListParagraph"/>
        <w:numPr>
          <w:ilvl w:val="0"/>
          <w:numId w:val="14"/>
        </w:numPr>
        <w:spacing w:line="360" w:lineRule="auto"/>
        <w:jc w:val="both"/>
        <w:rPr>
          <w:rFonts w:ascii="Arial" w:hAnsi="Arial" w:cs="Arial"/>
          <w:sz w:val="24"/>
          <w:szCs w:val="24"/>
        </w:rPr>
      </w:pPr>
      <w:r w:rsidRPr="002920D6">
        <w:rPr>
          <w:rFonts w:ascii="Arial" w:hAnsi="Arial" w:cs="Arial"/>
          <w:sz w:val="24"/>
          <w:szCs w:val="24"/>
        </w:rPr>
        <w:t>Tracking overtime frequency</w:t>
      </w:r>
    </w:p>
    <w:p w14:paraId="205E577A" w14:textId="77777777" w:rsidR="000D1B3F" w:rsidRPr="002920D6" w:rsidRDefault="000D1B3F" w:rsidP="002920D6">
      <w:pPr>
        <w:pStyle w:val="ListParagraph"/>
        <w:numPr>
          <w:ilvl w:val="0"/>
          <w:numId w:val="14"/>
        </w:numPr>
        <w:spacing w:line="360" w:lineRule="auto"/>
        <w:jc w:val="both"/>
        <w:rPr>
          <w:rFonts w:ascii="Arial" w:hAnsi="Arial" w:cs="Arial"/>
          <w:sz w:val="24"/>
          <w:szCs w:val="24"/>
        </w:rPr>
      </w:pPr>
      <w:r w:rsidRPr="002920D6">
        <w:rPr>
          <w:rFonts w:ascii="Arial" w:hAnsi="Arial" w:cs="Arial"/>
          <w:sz w:val="24"/>
          <w:szCs w:val="24"/>
        </w:rPr>
        <w:t>Reviewing role overlap during peak business occupancy</w:t>
      </w:r>
    </w:p>
    <w:p w14:paraId="61058CB4" w14:textId="2AE48AF8" w:rsidR="000D1B3F" w:rsidRPr="002920D6" w:rsidRDefault="000D1B3F" w:rsidP="000D1B3F">
      <w:pPr>
        <w:pStyle w:val="ListParagraph"/>
        <w:numPr>
          <w:ilvl w:val="0"/>
          <w:numId w:val="14"/>
        </w:numPr>
        <w:spacing w:line="360" w:lineRule="auto"/>
        <w:jc w:val="both"/>
        <w:rPr>
          <w:rFonts w:ascii="Arial" w:hAnsi="Arial" w:cs="Arial"/>
          <w:sz w:val="24"/>
          <w:szCs w:val="24"/>
        </w:rPr>
      </w:pPr>
      <w:r w:rsidRPr="002920D6">
        <w:rPr>
          <w:rFonts w:ascii="Arial" w:hAnsi="Arial" w:cs="Arial"/>
          <w:sz w:val="24"/>
          <w:szCs w:val="24"/>
        </w:rPr>
        <w:t>Assessing time available for service recovery interactions</w:t>
      </w:r>
    </w:p>
    <w:p w14:paraId="04DB33EC" w14:textId="2CF3B959" w:rsidR="001B2B4A" w:rsidRDefault="000D1B3F" w:rsidP="000D1B3F">
      <w:pPr>
        <w:spacing w:line="360" w:lineRule="auto"/>
        <w:jc w:val="both"/>
        <w:rPr>
          <w:rFonts w:ascii="Arial" w:hAnsi="Arial" w:cs="Arial"/>
          <w:sz w:val="24"/>
          <w:szCs w:val="24"/>
        </w:rPr>
      </w:pPr>
      <w:r w:rsidRPr="000D1B3F">
        <w:rPr>
          <w:rFonts w:ascii="Arial" w:hAnsi="Arial" w:cs="Arial"/>
          <w:sz w:val="24"/>
          <w:szCs w:val="24"/>
        </w:rPr>
        <w:t>Regular review mechanisms would enable early detection of relational strain before it manifests in measurable quality decline.</w:t>
      </w:r>
    </w:p>
    <w:p w14:paraId="3F91BB38" w14:textId="77777777" w:rsidR="001B2B4A" w:rsidRDefault="001B2B4A" w:rsidP="001B2B4A">
      <w:pPr>
        <w:spacing w:line="360" w:lineRule="auto"/>
        <w:jc w:val="both"/>
        <w:rPr>
          <w:rFonts w:ascii="Arial" w:hAnsi="Arial" w:cs="Arial"/>
          <w:sz w:val="24"/>
          <w:szCs w:val="24"/>
        </w:rPr>
      </w:pPr>
    </w:p>
    <w:p w14:paraId="3593B177" w14:textId="140A6B58" w:rsidR="007120EB" w:rsidRPr="007120EB" w:rsidRDefault="007120EB" w:rsidP="007120EB">
      <w:pPr>
        <w:pStyle w:val="Heading3"/>
      </w:pPr>
      <w:bookmarkStart w:id="44" w:name="_Toc222945021"/>
      <w:r w:rsidRPr="007120EB">
        <w:t>5.2.3 Align HR Practices with Operational Capacity</w:t>
      </w:r>
      <w:bookmarkEnd w:id="44"/>
    </w:p>
    <w:p w14:paraId="294B78D2" w14:textId="410FC553" w:rsidR="007120EB" w:rsidRPr="007120EB" w:rsidRDefault="007120EB" w:rsidP="007120EB">
      <w:pPr>
        <w:spacing w:line="360" w:lineRule="auto"/>
        <w:jc w:val="both"/>
        <w:rPr>
          <w:rFonts w:ascii="Arial" w:hAnsi="Arial" w:cs="Arial"/>
          <w:sz w:val="24"/>
          <w:szCs w:val="24"/>
        </w:rPr>
      </w:pPr>
      <w:r w:rsidRPr="007120EB">
        <w:rPr>
          <w:rFonts w:ascii="Arial" w:hAnsi="Arial" w:cs="Arial"/>
          <w:sz w:val="24"/>
          <w:szCs w:val="24"/>
        </w:rPr>
        <w:t>The findings show that training and engagement initiatives have limited effectiveness when staffing shortages persist (Kloutsiniotis and Mihail, 2020). TY Newport Hotel should ensure that development initiatives coincide with sufficient staffing stability, enabling employees to apply learned behaviours consistently.</w:t>
      </w:r>
    </w:p>
    <w:p w14:paraId="3141AF7B" w14:textId="66AC8F3B" w:rsidR="001B2B4A" w:rsidRDefault="007120EB" w:rsidP="007120EB">
      <w:pPr>
        <w:spacing w:line="360" w:lineRule="auto"/>
        <w:jc w:val="both"/>
        <w:rPr>
          <w:rFonts w:ascii="Arial" w:hAnsi="Arial" w:cs="Arial"/>
          <w:sz w:val="24"/>
          <w:szCs w:val="24"/>
        </w:rPr>
      </w:pPr>
      <w:r w:rsidRPr="007120EB">
        <w:rPr>
          <w:rFonts w:ascii="Arial" w:hAnsi="Arial" w:cs="Arial"/>
          <w:sz w:val="24"/>
          <w:szCs w:val="24"/>
        </w:rPr>
        <w:t>Retention strategies aimed at reducing burnout risk — including predictable scheduling, supportive supervision and transparent workload allocation — may mitigate turnover cycles (Hwang et al, 2014; Zientara et al, 2023).</w:t>
      </w:r>
    </w:p>
    <w:p w14:paraId="6210D7C7" w14:textId="77777777" w:rsidR="007120EB" w:rsidRDefault="007120EB" w:rsidP="007120EB">
      <w:pPr>
        <w:spacing w:line="360" w:lineRule="auto"/>
        <w:jc w:val="both"/>
        <w:rPr>
          <w:rFonts w:ascii="Arial" w:hAnsi="Arial" w:cs="Arial"/>
          <w:sz w:val="24"/>
          <w:szCs w:val="24"/>
        </w:rPr>
      </w:pPr>
    </w:p>
    <w:p w14:paraId="1A9DEFC2" w14:textId="46B8D7DC" w:rsidR="00FC5285" w:rsidRPr="00FC5285" w:rsidRDefault="00FC5285" w:rsidP="00FC5285">
      <w:pPr>
        <w:pStyle w:val="Heading3"/>
      </w:pPr>
      <w:bookmarkStart w:id="45" w:name="_Toc222945022"/>
      <w:r w:rsidRPr="00FC5285">
        <w:lastRenderedPageBreak/>
        <w:t>5.2.4 Strengthen Service Recovery Resilience</w:t>
      </w:r>
      <w:bookmarkEnd w:id="45"/>
    </w:p>
    <w:p w14:paraId="212B36E9" w14:textId="1D95121A" w:rsidR="00FC5285" w:rsidRPr="00FC5285" w:rsidRDefault="00FC5285" w:rsidP="00FC5285">
      <w:pPr>
        <w:spacing w:line="360" w:lineRule="auto"/>
        <w:jc w:val="both"/>
        <w:rPr>
          <w:rFonts w:ascii="Arial" w:hAnsi="Arial" w:cs="Arial"/>
          <w:sz w:val="24"/>
          <w:szCs w:val="24"/>
        </w:rPr>
      </w:pPr>
      <w:r w:rsidRPr="00FC5285">
        <w:rPr>
          <w:rFonts w:ascii="Arial" w:hAnsi="Arial" w:cs="Arial"/>
          <w:sz w:val="24"/>
          <w:szCs w:val="24"/>
        </w:rPr>
        <w:t>Effective service recovery moderates the impact of service failure on guest satisfaction (Moreno-Gil et al, 2006). In staffing-constrained environments, empowering frontline employees with defined recovery authority can maintain responsiveness and reduce escalation delays.</w:t>
      </w:r>
    </w:p>
    <w:p w14:paraId="261114E5" w14:textId="6FE8EC79" w:rsidR="007120EB" w:rsidRDefault="00FC5285" w:rsidP="00FC5285">
      <w:pPr>
        <w:spacing w:line="360" w:lineRule="auto"/>
        <w:jc w:val="both"/>
        <w:rPr>
          <w:rFonts w:ascii="Arial" w:hAnsi="Arial" w:cs="Arial"/>
          <w:sz w:val="24"/>
          <w:szCs w:val="24"/>
        </w:rPr>
      </w:pPr>
      <w:r w:rsidRPr="00FC5285">
        <w:rPr>
          <w:rFonts w:ascii="Arial" w:hAnsi="Arial" w:cs="Arial"/>
          <w:sz w:val="24"/>
          <w:szCs w:val="24"/>
        </w:rPr>
        <w:t>Clear recovery guidelines and delegated decision-making parameters would enhance operational resilience without increasing managerial bottlenecks.</w:t>
      </w:r>
    </w:p>
    <w:p w14:paraId="5F8093DB" w14:textId="77777777" w:rsidR="001B2B4A" w:rsidRDefault="001B2B4A" w:rsidP="001B2B4A">
      <w:pPr>
        <w:spacing w:line="360" w:lineRule="auto"/>
        <w:jc w:val="both"/>
        <w:rPr>
          <w:rFonts w:ascii="Arial" w:hAnsi="Arial" w:cs="Arial"/>
          <w:sz w:val="24"/>
          <w:szCs w:val="24"/>
        </w:rPr>
      </w:pPr>
    </w:p>
    <w:p w14:paraId="49653FA5" w14:textId="7B6B8887" w:rsidR="00D41F13" w:rsidRPr="00D41F13" w:rsidRDefault="00D41F13" w:rsidP="00D41F13">
      <w:pPr>
        <w:pStyle w:val="Heading3"/>
      </w:pPr>
      <w:bookmarkStart w:id="46" w:name="_Toc222945023"/>
      <w:r w:rsidRPr="00D41F13">
        <w:t>5.2.5 Develop Long-Term Workforce Sustainability Planning</w:t>
      </w:r>
      <w:bookmarkEnd w:id="46"/>
    </w:p>
    <w:p w14:paraId="6E0ED808" w14:textId="1BC5C0B3" w:rsidR="00D41F13" w:rsidRPr="00D41F13" w:rsidRDefault="00D41F13" w:rsidP="00D41F13">
      <w:pPr>
        <w:spacing w:line="360" w:lineRule="auto"/>
        <w:jc w:val="both"/>
        <w:rPr>
          <w:rFonts w:ascii="Arial" w:hAnsi="Arial" w:cs="Arial"/>
          <w:sz w:val="24"/>
          <w:szCs w:val="24"/>
        </w:rPr>
      </w:pPr>
      <w:r w:rsidRPr="00D41F13">
        <w:rPr>
          <w:rFonts w:ascii="Arial" w:hAnsi="Arial" w:cs="Arial"/>
          <w:sz w:val="24"/>
          <w:szCs w:val="24"/>
        </w:rPr>
        <w:t>Finally, TY Newport Hotel should adopt a proactive workforce sustainability approach. This may include:</w:t>
      </w:r>
    </w:p>
    <w:p w14:paraId="0EC64722" w14:textId="3F399731" w:rsidR="00D41F13" w:rsidRPr="00D41F13" w:rsidRDefault="00D41F13" w:rsidP="00D41F13">
      <w:pPr>
        <w:pStyle w:val="ListParagraph"/>
        <w:numPr>
          <w:ilvl w:val="0"/>
          <w:numId w:val="15"/>
        </w:numPr>
        <w:spacing w:line="360" w:lineRule="auto"/>
        <w:jc w:val="both"/>
        <w:rPr>
          <w:rFonts w:ascii="Arial" w:hAnsi="Arial" w:cs="Arial"/>
          <w:sz w:val="24"/>
          <w:szCs w:val="24"/>
        </w:rPr>
      </w:pPr>
      <w:r w:rsidRPr="00D41F13">
        <w:rPr>
          <w:rFonts w:ascii="Arial" w:hAnsi="Arial" w:cs="Arial"/>
          <w:sz w:val="24"/>
          <w:szCs w:val="24"/>
        </w:rPr>
        <w:t>Forecast-based recruitment aligned with seasonal demand</w:t>
      </w:r>
    </w:p>
    <w:p w14:paraId="0B4B2444" w14:textId="6DE8AABE" w:rsidR="00D41F13" w:rsidRPr="00D41F13" w:rsidRDefault="00D41F13" w:rsidP="00D41F13">
      <w:pPr>
        <w:pStyle w:val="ListParagraph"/>
        <w:numPr>
          <w:ilvl w:val="0"/>
          <w:numId w:val="15"/>
        </w:numPr>
        <w:spacing w:line="360" w:lineRule="auto"/>
        <w:jc w:val="both"/>
        <w:rPr>
          <w:rFonts w:ascii="Arial" w:hAnsi="Arial" w:cs="Arial"/>
          <w:sz w:val="24"/>
          <w:szCs w:val="24"/>
        </w:rPr>
      </w:pPr>
      <w:r w:rsidRPr="00D41F13">
        <w:rPr>
          <w:rFonts w:ascii="Arial" w:hAnsi="Arial" w:cs="Arial"/>
          <w:sz w:val="24"/>
          <w:szCs w:val="24"/>
        </w:rPr>
        <w:t>Collaboration with local hospitality education providers</w:t>
      </w:r>
    </w:p>
    <w:p w14:paraId="0DCC977F" w14:textId="2D55FBC9" w:rsidR="00D41F13" w:rsidRPr="00D41F13" w:rsidRDefault="00D41F13" w:rsidP="00D41F13">
      <w:pPr>
        <w:pStyle w:val="ListParagraph"/>
        <w:numPr>
          <w:ilvl w:val="0"/>
          <w:numId w:val="15"/>
        </w:numPr>
        <w:spacing w:line="360" w:lineRule="auto"/>
        <w:jc w:val="both"/>
        <w:rPr>
          <w:rFonts w:ascii="Arial" w:hAnsi="Arial" w:cs="Arial"/>
          <w:sz w:val="24"/>
          <w:szCs w:val="24"/>
        </w:rPr>
      </w:pPr>
      <w:r w:rsidRPr="00D41F13">
        <w:rPr>
          <w:rFonts w:ascii="Arial" w:hAnsi="Arial" w:cs="Arial"/>
          <w:sz w:val="24"/>
          <w:szCs w:val="24"/>
        </w:rPr>
        <w:t>Clear career progression pathways to enhance retention</w:t>
      </w:r>
    </w:p>
    <w:p w14:paraId="35657864" w14:textId="42759613" w:rsidR="00D41F13" w:rsidRPr="00D41F13" w:rsidRDefault="00D41F13" w:rsidP="00D41F13">
      <w:pPr>
        <w:pStyle w:val="ListParagraph"/>
        <w:numPr>
          <w:ilvl w:val="0"/>
          <w:numId w:val="15"/>
        </w:numPr>
        <w:spacing w:line="360" w:lineRule="auto"/>
        <w:jc w:val="both"/>
        <w:rPr>
          <w:rFonts w:ascii="Arial" w:hAnsi="Arial" w:cs="Arial"/>
          <w:sz w:val="24"/>
          <w:szCs w:val="24"/>
        </w:rPr>
      </w:pPr>
      <w:r w:rsidRPr="00D41F13">
        <w:rPr>
          <w:rFonts w:ascii="Arial" w:hAnsi="Arial" w:cs="Arial"/>
          <w:sz w:val="24"/>
          <w:szCs w:val="24"/>
        </w:rPr>
        <w:t>Cross-department skill development to increase flexibility without intensifying overload</w:t>
      </w:r>
    </w:p>
    <w:p w14:paraId="213BD9C8" w14:textId="2F6DA069" w:rsidR="00D41F13" w:rsidRDefault="00D41F13" w:rsidP="001B2B4A">
      <w:pPr>
        <w:spacing w:line="360" w:lineRule="auto"/>
        <w:jc w:val="both"/>
        <w:rPr>
          <w:rFonts w:ascii="Arial" w:hAnsi="Arial" w:cs="Arial"/>
          <w:sz w:val="24"/>
          <w:szCs w:val="24"/>
        </w:rPr>
      </w:pPr>
      <w:r w:rsidRPr="00D41F13">
        <w:rPr>
          <w:rFonts w:ascii="Arial" w:hAnsi="Arial" w:cs="Arial"/>
          <w:sz w:val="24"/>
          <w:szCs w:val="24"/>
        </w:rPr>
        <w:t>Such measures align with broader industry calls for strategic workforce planning to stabilise service quality performance (Baum et al, 2020; UKHospitality, 2024).</w:t>
      </w:r>
    </w:p>
    <w:p w14:paraId="05F28CBE" w14:textId="77777777" w:rsidR="00D41F13" w:rsidRDefault="00D41F13" w:rsidP="001B2B4A">
      <w:pPr>
        <w:spacing w:line="360" w:lineRule="auto"/>
        <w:jc w:val="both"/>
        <w:rPr>
          <w:rFonts w:ascii="Arial" w:hAnsi="Arial" w:cs="Arial"/>
          <w:sz w:val="24"/>
          <w:szCs w:val="24"/>
        </w:rPr>
      </w:pPr>
    </w:p>
    <w:p w14:paraId="0C1B653F" w14:textId="77777777" w:rsidR="00697746" w:rsidRDefault="00697746" w:rsidP="001B2B4A">
      <w:pPr>
        <w:spacing w:line="360" w:lineRule="auto"/>
        <w:jc w:val="both"/>
        <w:rPr>
          <w:rFonts w:ascii="Arial" w:hAnsi="Arial" w:cs="Arial"/>
          <w:sz w:val="24"/>
          <w:szCs w:val="24"/>
        </w:rPr>
      </w:pPr>
    </w:p>
    <w:p w14:paraId="4FAE382F" w14:textId="77777777" w:rsidR="00697746" w:rsidRDefault="00697746" w:rsidP="001B2B4A">
      <w:pPr>
        <w:spacing w:line="360" w:lineRule="auto"/>
        <w:jc w:val="both"/>
        <w:rPr>
          <w:rFonts w:ascii="Arial" w:hAnsi="Arial" w:cs="Arial"/>
          <w:sz w:val="24"/>
          <w:szCs w:val="24"/>
        </w:rPr>
      </w:pPr>
    </w:p>
    <w:p w14:paraId="6E6AD4FA" w14:textId="77777777" w:rsidR="00697746" w:rsidRDefault="00697746" w:rsidP="001B2B4A">
      <w:pPr>
        <w:spacing w:line="360" w:lineRule="auto"/>
        <w:jc w:val="both"/>
        <w:rPr>
          <w:rFonts w:ascii="Arial" w:hAnsi="Arial" w:cs="Arial"/>
          <w:sz w:val="24"/>
          <w:szCs w:val="24"/>
        </w:rPr>
      </w:pPr>
    </w:p>
    <w:p w14:paraId="4ACDBC95" w14:textId="77777777" w:rsidR="00697746" w:rsidRDefault="00697746" w:rsidP="001B2B4A">
      <w:pPr>
        <w:spacing w:line="360" w:lineRule="auto"/>
        <w:jc w:val="both"/>
        <w:rPr>
          <w:rFonts w:ascii="Arial" w:hAnsi="Arial" w:cs="Arial"/>
          <w:sz w:val="24"/>
          <w:szCs w:val="24"/>
        </w:rPr>
      </w:pPr>
    </w:p>
    <w:p w14:paraId="6415C899" w14:textId="77777777" w:rsidR="00697746" w:rsidRDefault="00697746" w:rsidP="001B2B4A">
      <w:pPr>
        <w:spacing w:line="360" w:lineRule="auto"/>
        <w:jc w:val="both"/>
        <w:rPr>
          <w:rFonts w:ascii="Arial" w:hAnsi="Arial" w:cs="Arial"/>
          <w:sz w:val="24"/>
          <w:szCs w:val="24"/>
        </w:rPr>
      </w:pPr>
    </w:p>
    <w:p w14:paraId="44216D6D" w14:textId="77777777" w:rsidR="00697746" w:rsidRDefault="00697746" w:rsidP="001B2B4A">
      <w:pPr>
        <w:spacing w:line="360" w:lineRule="auto"/>
        <w:jc w:val="both"/>
        <w:rPr>
          <w:rFonts w:ascii="Arial" w:hAnsi="Arial" w:cs="Arial"/>
          <w:sz w:val="24"/>
          <w:szCs w:val="24"/>
        </w:rPr>
      </w:pPr>
    </w:p>
    <w:p w14:paraId="58CC8B84" w14:textId="77777777" w:rsidR="00697746" w:rsidRDefault="00697746" w:rsidP="001B2B4A">
      <w:pPr>
        <w:spacing w:line="360" w:lineRule="auto"/>
        <w:jc w:val="both"/>
        <w:rPr>
          <w:rFonts w:ascii="Arial" w:hAnsi="Arial" w:cs="Arial"/>
          <w:sz w:val="24"/>
          <w:szCs w:val="24"/>
        </w:rPr>
      </w:pPr>
    </w:p>
    <w:p w14:paraId="42ECD139" w14:textId="77777777" w:rsidR="00697746" w:rsidRDefault="00697746" w:rsidP="001B2B4A">
      <w:pPr>
        <w:spacing w:line="360" w:lineRule="auto"/>
        <w:jc w:val="both"/>
        <w:rPr>
          <w:rFonts w:ascii="Arial" w:hAnsi="Arial" w:cs="Arial"/>
          <w:sz w:val="24"/>
          <w:szCs w:val="24"/>
        </w:rPr>
      </w:pPr>
    </w:p>
    <w:p w14:paraId="015BDC8E" w14:textId="77777777" w:rsidR="00697746" w:rsidRDefault="00697746" w:rsidP="001B2B4A">
      <w:pPr>
        <w:spacing w:line="360" w:lineRule="auto"/>
        <w:jc w:val="both"/>
        <w:rPr>
          <w:rFonts w:ascii="Arial" w:hAnsi="Arial" w:cs="Arial"/>
          <w:sz w:val="24"/>
          <w:szCs w:val="24"/>
        </w:rPr>
      </w:pPr>
    </w:p>
    <w:p w14:paraId="5A520AEB" w14:textId="77777777" w:rsidR="00697746" w:rsidRPr="00742921" w:rsidRDefault="00697746" w:rsidP="001B2B4A">
      <w:pPr>
        <w:spacing w:line="360" w:lineRule="auto"/>
        <w:jc w:val="both"/>
        <w:rPr>
          <w:rFonts w:ascii="Arial" w:hAnsi="Arial" w:cs="Arial"/>
          <w:sz w:val="24"/>
          <w:szCs w:val="24"/>
        </w:rPr>
      </w:pPr>
    </w:p>
    <w:p w14:paraId="5D0A9E56" w14:textId="5DA2569E" w:rsidR="000D522D" w:rsidRPr="00742921" w:rsidRDefault="000D522D" w:rsidP="000D522D">
      <w:pPr>
        <w:pStyle w:val="Heading1"/>
      </w:pPr>
      <w:bookmarkStart w:id="47" w:name="_Toc222945024"/>
      <w:r w:rsidRPr="00742921">
        <w:t>References</w:t>
      </w:r>
      <w:bookmarkEnd w:id="47"/>
    </w:p>
    <w:p w14:paraId="050168AA" w14:textId="1FFF924A" w:rsidR="006457AB" w:rsidRDefault="006457AB" w:rsidP="007937F0">
      <w:pPr>
        <w:pStyle w:val="ListParagraph"/>
        <w:numPr>
          <w:ilvl w:val="0"/>
          <w:numId w:val="2"/>
        </w:numPr>
        <w:spacing w:line="360" w:lineRule="auto"/>
        <w:jc w:val="both"/>
        <w:rPr>
          <w:rFonts w:ascii="Arial" w:hAnsi="Arial" w:cs="Arial"/>
          <w:sz w:val="24"/>
          <w:szCs w:val="24"/>
        </w:rPr>
      </w:pPr>
      <w:r w:rsidRPr="006457AB">
        <w:rPr>
          <w:rFonts w:ascii="Arial" w:hAnsi="Arial" w:cs="Arial"/>
          <w:sz w:val="24"/>
          <w:szCs w:val="24"/>
        </w:rPr>
        <w:t>Akgunduz, Y. and Eryilmaz, G. (2018)</w:t>
      </w:r>
      <w:r>
        <w:rPr>
          <w:rFonts w:ascii="Arial" w:hAnsi="Arial" w:cs="Arial"/>
          <w:sz w:val="24"/>
          <w:szCs w:val="24"/>
        </w:rPr>
        <w:t xml:space="preserve">. </w:t>
      </w:r>
      <w:r w:rsidRPr="006457AB">
        <w:rPr>
          <w:rFonts w:ascii="Arial" w:hAnsi="Arial" w:cs="Arial"/>
          <w:sz w:val="24"/>
          <w:szCs w:val="24"/>
        </w:rPr>
        <w:t xml:space="preserve">Does turnover intention mediate the effects of job insecurity and co-worker support on social loafing?, </w:t>
      </w:r>
      <w:r w:rsidRPr="006457AB">
        <w:rPr>
          <w:rFonts w:ascii="Arial" w:hAnsi="Arial" w:cs="Arial"/>
          <w:i/>
          <w:iCs/>
          <w:sz w:val="24"/>
          <w:szCs w:val="24"/>
        </w:rPr>
        <w:t>International Journal of Hospitality Management</w:t>
      </w:r>
      <w:r w:rsidRPr="006457AB">
        <w:rPr>
          <w:rFonts w:ascii="Arial" w:hAnsi="Arial" w:cs="Arial"/>
          <w:sz w:val="24"/>
          <w:szCs w:val="24"/>
        </w:rPr>
        <w:t xml:space="preserve">, 68, pp. 41–49. </w:t>
      </w:r>
      <w:r>
        <w:rPr>
          <w:rFonts w:ascii="Arial" w:hAnsi="Arial" w:cs="Arial"/>
          <w:sz w:val="24"/>
          <w:szCs w:val="24"/>
        </w:rPr>
        <w:t xml:space="preserve">Available at: </w:t>
      </w:r>
      <w:hyperlink r:id="rId8" w:history="1">
        <w:r w:rsidRPr="00D42641">
          <w:rPr>
            <w:rStyle w:val="Hyperlink"/>
            <w:rFonts w:ascii="Arial" w:hAnsi="Arial" w:cs="Arial"/>
            <w:sz w:val="24"/>
            <w:szCs w:val="24"/>
          </w:rPr>
          <w:t>https://doi.org/10.1016/j.ijhm.2017.09.010</w:t>
        </w:r>
      </w:hyperlink>
      <w:r>
        <w:rPr>
          <w:rFonts w:ascii="Arial" w:hAnsi="Arial" w:cs="Arial"/>
          <w:sz w:val="24"/>
          <w:szCs w:val="24"/>
        </w:rPr>
        <w:t xml:space="preserve"> (Accessed 4 February 2026).</w:t>
      </w:r>
    </w:p>
    <w:p w14:paraId="06F0EB40" w14:textId="6D4EAB61" w:rsidR="00DC7062" w:rsidRDefault="00DC7062" w:rsidP="007937F0">
      <w:pPr>
        <w:pStyle w:val="ListParagraph"/>
        <w:numPr>
          <w:ilvl w:val="0"/>
          <w:numId w:val="2"/>
        </w:numPr>
        <w:spacing w:line="360" w:lineRule="auto"/>
        <w:jc w:val="both"/>
        <w:rPr>
          <w:rFonts w:ascii="Arial" w:hAnsi="Arial" w:cs="Arial"/>
          <w:sz w:val="24"/>
          <w:szCs w:val="24"/>
        </w:rPr>
      </w:pPr>
      <w:r w:rsidRPr="00DC7062">
        <w:rPr>
          <w:rFonts w:ascii="Arial" w:hAnsi="Arial" w:cs="Arial"/>
          <w:sz w:val="24"/>
          <w:szCs w:val="24"/>
        </w:rPr>
        <w:t>Alfes, K., Shantz, A.D., Truss, C. and Soane, E.C. (2013)</w:t>
      </w:r>
      <w:r>
        <w:rPr>
          <w:rFonts w:ascii="Arial" w:hAnsi="Arial" w:cs="Arial"/>
          <w:sz w:val="24"/>
          <w:szCs w:val="24"/>
        </w:rPr>
        <w:t xml:space="preserve">. </w:t>
      </w:r>
      <w:r w:rsidRPr="00DC7062">
        <w:rPr>
          <w:rFonts w:ascii="Arial" w:hAnsi="Arial" w:cs="Arial"/>
          <w:sz w:val="24"/>
          <w:szCs w:val="24"/>
        </w:rPr>
        <w:t xml:space="preserve">The link between perceived HRM practices, engagement and employee behaviour: A moderated mediation model, </w:t>
      </w:r>
      <w:r w:rsidRPr="00DC7062">
        <w:rPr>
          <w:rFonts w:ascii="Arial" w:hAnsi="Arial" w:cs="Arial"/>
          <w:i/>
          <w:iCs/>
          <w:sz w:val="24"/>
          <w:szCs w:val="24"/>
        </w:rPr>
        <w:t>International Journal of Human Resource Management</w:t>
      </w:r>
      <w:r w:rsidRPr="00DC7062">
        <w:rPr>
          <w:rFonts w:ascii="Arial" w:hAnsi="Arial" w:cs="Arial"/>
          <w:sz w:val="24"/>
          <w:szCs w:val="24"/>
        </w:rPr>
        <w:t>, 24(2), pp. 330–351.</w:t>
      </w:r>
      <w:r w:rsidR="00F0758F">
        <w:rPr>
          <w:rFonts w:ascii="Arial" w:hAnsi="Arial" w:cs="Arial"/>
          <w:sz w:val="24"/>
          <w:szCs w:val="24"/>
        </w:rPr>
        <w:t xml:space="preserve"> Available at: </w:t>
      </w:r>
      <w:hyperlink r:id="rId9" w:history="1">
        <w:r w:rsidR="00F0758F" w:rsidRPr="00E9005B">
          <w:rPr>
            <w:rStyle w:val="Hyperlink"/>
            <w:rFonts w:ascii="Arial" w:hAnsi="Arial" w:cs="Arial"/>
            <w:sz w:val="24"/>
            <w:szCs w:val="24"/>
          </w:rPr>
          <w:t>https://doi.org/10.1080/09585192.2012.679950</w:t>
        </w:r>
      </w:hyperlink>
      <w:r w:rsidR="00F0758F">
        <w:rPr>
          <w:rFonts w:ascii="Arial" w:hAnsi="Arial" w:cs="Arial"/>
          <w:sz w:val="24"/>
          <w:szCs w:val="24"/>
        </w:rPr>
        <w:t xml:space="preserve"> (Accessed 8 February 2026).</w:t>
      </w:r>
    </w:p>
    <w:p w14:paraId="1AB08562" w14:textId="0744D044" w:rsidR="00D26E2A" w:rsidRDefault="00D26E2A" w:rsidP="007937F0">
      <w:pPr>
        <w:pStyle w:val="ListParagraph"/>
        <w:numPr>
          <w:ilvl w:val="0"/>
          <w:numId w:val="2"/>
        </w:numPr>
        <w:spacing w:line="360" w:lineRule="auto"/>
        <w:jc w:val="both"/>
        <w:rPr>
          <w:rFonts w:ascii="Arial" w:hAnsi="Arial" w:cs="Arial"/>
          <w:sz w:val="24"/>
          <w:szCs w:val="24"/>
        </w:rPr>
      </w:pPr>
      <w:r w:rsidRPr="00D26E2A">
        <w:rPr>
          <w:rFonts w:ascii="Arial" w:hAnsi="Arial" w:cs="Arial"/>
          <w:sz w:val="24"/>
          <w:szCs w:val="24"/>
        </w:rPr>
        <w:t>Babakus, E., Yavas, U. and Karatepe, O.M. (2008)</w:t>
      </w:r>
      <w:r>
        <w:rPr>
          <w:rFonts w:ascii="Arial" w:hAnsi="Arial" w:cs="Arial"/>
          <w:sz w:val="24"/>
          <w:szCs w:val="24"/>
        </w:rPr>
        <w:t xml:space="preserve">. </w:t>
      </w:r>
      <w:r w:rsidRPr="00D26E2A">
        <w:rPr>
          <w:rFonts w:ascii="Arial" w:hAnsi="Arial" w:cs="Arial"/>
          <w:sz w:val="24"/>
          <w:szCs w:val="24"/>
        </w:rPr>
        <w:t xml:space="preserve">The Effects of Job Demands, Job Resources and Intrinsic Motivation on Emotional Exhaustion and Turnover Intentions: A Study in the Turkish Hotel Industry, </w:t>
      </w:r>
      <w:r w:rsidRPr="00D26E2A">
        <w:rPr>
          <w:rFonts w:ascii="Arial" w:hAnsi="Arial" w:cs="Arial"/>
          <w:i/>
          <w:iCs/>
          <w:sz w:val="24"/>
          <w:szCs w:val="24"/>
        </w:rPr>
        <w:t>International Journal of Hospitality &amp; Tourism Administration</w:t>
      </w:r>
      <w:r w:rsidRPr="00D26E2A">
        <w:rPr>
          <w:rFonts w:ascii="Arial" w:hAnsi="Arial" w:cs="Arial"/>
          <w:sz w:val="24"/>
          <w:szCs w:val="24"/>
        </w:rPr>
        <w:t xml:space="preserve">, 9(4), pp. 384–404. Available at: </w:t>
      </w:r>
      <w:hyperlink r:id="rId10" w:history="1">
        <w:r w:rsidRPr="00E9005B">
          <w:rPr>
            <w:rStyle w:val="Hyperlink"/>
            <w:rFonts w:ascii="Arial" w:hAnsi="Arial" w:cs="Arial"/>
            <w:sz w:val="24"/>
            <w:szCs w:val="24"/>
          </w:rPr>
          <w:t>https://doi.org/10.1080/15256480802427339</w:t>
        </w:r>
      </w:hyperlink>
      <w:r>
        <w:rPr>
          <w:rFonts w:ascii="Arial" w:hAnsi="Arial" w:cs="Arial"/>
          <w:sz w:val="24"/>
          <w:szCs w:val="24"/>
        </w:rPr>
        <w:t xml:space="preserve"> (Accessed 9 February 2026).</w:t>
      </w:r>
    </w:p>
    <w:p w14:paraId="170F6A82" w14:textId="17B876C1" w:rsidR="002331D1" w:rsidRDefault="002331D1" w:rsidP="007937F0">
      <w:pPr>
        <w:pStyle w:val="ListParagraph"/>
        <w:numPr>
          <w:ilvl w:val="0"/>
          <w:numId w:val="2"/>
        </w:numPr>
        <w:spacing w:line="360" w:lineRule="auto"/>
        <w:jc w:val="both"/>
        <w:rPr>
          <w:rFonts w:ascii="Arial" w:hAnsi="Arial" w:cs="Arial"/>
          <w:sz w:val="24"/>
          <w:szCs w:val="24"/>
        </w:rPr>
      </w:pPr>
      <w:r w:rsidRPr="002331D1">
        <w:rPr>
          <w:rFonts w:ascii="Arial" w:hAnsi="Arial" w:cs="Arial"/>
          <w:sz w:val="24"/>
          <w:szCs w:val="24"/>
        </w:rPr>
        <w:t>Bakker, A.B. and Demerouti, E. (2007)</w:t>
      </w:r>
      <w:r>
        <w:rPr>
          <w:rFonts w:ascii="Arial" w:hAnsi="Arial" w:cs="Arial"/>
          <w:sz w:val="24"/>
          <w:szCs w:val="24"/>
        </w:rPr>
        <w:t xml:space="preserve">. </w:t>
      </w:r>
      <w:r w:rsidRPr="002331D1">
        <w:rPr>
          <w:rFonts w:ascii="Arial" w:hAnsi="Arial" w:cs="Arial"/>
          <w:sz w:val="24"/>
          <w:szCs w:val="24"/>
        </w:rPr>
        <w:t xml:space="preserve">The Job Demands–Resources model: state of the art, </w:t>
      </w:r>
      <w:r w:rsidRPr="002331D1">
        <w:rPr>
          <w:rFonts w:ascii="Arial" w:hAnsi="Arial" w:cs="Arial"/>
          <w:i/>
          <w:iCs/>
          <w:sz w:val="24"/>
          <w:szCs w:val="24"/>
        </w:rPr>
        <w:t>Journal of Managerial Psychology</w:t>
      </w:r>
      <w:r w:rsidRPr="002331D1">
        <w:rPr>
          <w:rFonts w:ascii="Arial" w:hAnsi="Arial" w:cs="Arial"/>
          <w:sz w:val="24"/>
          <w:szCs w:val="24"/>
        </w:rPr>
        <w:t xml:space="preserve">, 22(3), pp. 309–328. </w:t>
      </w:r>
      <w:r>
        <w:rPr>
          <w:rFonts w:ascii="Arial" w:hAnsi="Arial" w:cs="Arial"/>
          <w:sz w:val="24"/>
          <w:szCs w:val="24"/>
        </w:rPr>
        <w:t xml:space="preserve">Available at: </w:t>
      </w:r>
      <w:hyperlink r:id="rId11" w:history="1">
        <w:r w:rsidRPr="00D42641">
          <w:rPr>
            <w:rStyle w:val="Hyperlink"/>
            <w:rFonts w:ascii="Arial" w:hAnsi="Arial" w:cs="Arial"/>
            <w:sz w:val="24"/>
            <w:szCs w:val="24"/>
          </w:rPr>
          <w:t>https://doi.org/10.1108/02683940710733115</w:t>
        </w:r>
      </w:hyperlink>
      <w:r>
        <w:rPr>
          <w:rFonts w:ascii="Arial" w:hAnsi="Arial" w:cs="Arial"/>
          <w:sz w:val="24"/>
          <w:szCs w:val="24"/>
        </w:rPr>
        <w:t xml:space="preserve"> (Accessed 1 February 2026).</w:t>
      </w:r>
    </w:p>
    <w:p w14:paraId="1FB815F0" w14:textId="58018997" w:rsidR="00172368" w:rsidRDefault="00172368" w:rsidP="007937F0">
      <w:pPr>
        <w:pStyle w:val="ListParagraph"/>
        <w:numPr>
          <w:ilvl w:val="0"/>
          <w:numId w:val="2"/>
        </w:numPr>
        <w:spacing w:line="360" w:lineRule="auto"/>
        <w:jc w:val="both"/>
        <w:rPr>
          <w:rFonts w:ascii="Arial" w:hAnsi="Arial" w:cs="Arial"/>
          <w:sz w:val="24"/>
          <w:szCs w:val="24"/>
        </w:rPr>
      </w:pPr>
      <w:r w:rsidRPr="00172368">
        <w:rPr>
          <w:rFonts w:ascii="Arial" w:hAnsi="Arial" w:cs="Arial"/>
          <w:sz w:val="24"/>
          <w:szCs w:val="24"/>
        </w:rPr>
        <w:t>Barney, J. (1991)</w:t>
      </w:r>
      <w:r>
        <w:rPr>
          <w:rFonts w:ascii="Arial" w:hAnsi="Arial" w:cs="Arial"/>
          <w:sz w:val="24"/>
          <w:szCs w:val="24"/>
        </w:rPr>
        <w:t xml:space="preserve">. </w:t>
      </w:r>
      <w:r w:rsidRPr="00172368">
        <w:rPr>
          <w:rFonts w:ascii="Arial" w:hAnsi="Arial" w:cs="Arial"/>
          <w:sz w:val="24"/>
          <w:szCs w:val="24"/>
        </w:rPr>
        <w:t xml:space="preserve">Firm resources and sustained competitive advantage, </w:t>
      </w:r>
      <w:r w:rsidRPr="00172368">
        <w:rPr>
          <w:rFonts w:ascii="Arial" w:hAnsi="Arial" w:cs="Arial"/>
          <w:i/>
          <w:iCs/>
          <w:sz w:val="24"/>
          <w:szCs w:val="24"/>
        </w:rPr>
        <w:t>Journal of Management</w:t>
      </w:r>
      <w:r w:rsidRPr="00172368">
        <w:rPr>
          <w:rFonts w:ascii="Arial" w:hAnsi="Arial" w:cs="Arial"/>
          <w:sz w:val="24"/>
          <w:szCs w:val="24"/>
        </w:rPr>
        <w:t xml:space="preserve">, 17(1), pp. 99–120. </w:t>
      </w:r>
      <w:r>
        <w:rPr>
          <w:rFonts w:ascii="Arial" w:hAnsi="Arial" w:cs="Arial"/>
          <w:sz w:val="24"/>
          <w:szCs w:val="24"/>
        </w:rPr>
        <w:t xml:space="preserve">Available at: </w:t>
      </w:r>
      <w:hyperlink r:id="rId12" w:history="1">
        <w:r w:rsidRPr="008832AC">
          <w:rPr>
            <w:rStyle w:val="Hyperlink"/>
            <w:rFonts w:ascii="Arial" w:hAnsi="Arial" w:cs="Arial"/>
            <w:sz w:val="24"/>
            <w:szCs w:val="24"/>
          </w:rPr>
          <w:t>https://doi.org/10.1177/014920639101700108</w:t>
        </w:r>
      </w:hyperlink>
      <w:r>
        <w:rPr>
          <w:rFonts w:ascii="Arial" w:hAnsi="Arial" w:cs="Arial"/>
          <w:sz w:val="24"/>
          <w:szCs w:val="24"/>
        </w:rPr>
        <w:t xml:space="preserve"> (Accessed 1 February 2026).</w:t>
      </w:r>
    </w:p>
    <w:p w14:paraId="6B83235D" w14:textId="7C52C464" w:rsidR="00C9749C" w:rsidRPr="00C9749C" w:rsidRDefault="00C9749C" w:rsidP="00C9749C">
      <w:pPr>
        <w:pStyle w:val="ListParagraph"/>
        <w:numPr>
          <w:ilvl w:val="0"/>
          <w:numId w:val="2"/>
        </w:numPr>
        <w:spacing w:line="360" w:lineRule="auto"/>
        <w:jc w:val="both"/>
        <w:rPr>
          <w:rFonts w:ascii="Arial" w:hAnsi="Arial" w:cs="Arial"/>
          <w:sz w:val="24"/>
          <w:szCs w:val="24"/>
        </w:rPr>
      </w:pPr>
      <w:r w:rsidRPr="00C9749C">
        <w:rPr>
          <w:rFonts w:ascii="Arial" w:hAnsi="Arial" w:cs="Arial"/>
          <w:sz w:val="24"/>
          <w:szCs w:val="24"/>
        </w:rPr>
        <w:t>Baum, T. (2015)</w:t>
      </w:r>
      <w:r>
        <w:rPr>
          <w:rFonts w:ascii="Arial" w:hAnsi="Arial" w:cs="Arial"/>
          <w:sz w:val="24"/>
          <w:szCs w:val="24"/>
        </w:rPr>
        <w:t xml:space="preserve">. </w:t>
      </w:r>
      <w:r w:rsidRPr="00C9749C">
        <w:rPr>
          <w:rFonts w:ascii="Arial" w:hAnsi="Arial" w:cs="Arial"/>
          <w:sz w:val="24"/>
          <w:szCs w:val="24"/>
        </w:rPr>
        <w:t xml:space="preserve">Human resources in tourism: Still waiting for change?, </w:t>
      </w:r>
      <w:r w:rsidRPr="00C9749C">
        <w:rPr>
          <w:rFonts w:ascii="Arial" w:hAnsi="Arial" w:cs="Arial"/>
          <w:i/>
          <w:iCs/>
          <w:sz w:val="24"/>
          <w:szCs w:val="24"/>
        </w:rPr>
        <w:t>Tourism Management</w:t>
      </w:r>
      <w:r w:rsidRPr="00C9749C">
        <w:rPr>
          <w:rFonts w:ascii="Arial" w:hAnsi="Arial" w:cs="Arial"/>
          <w:sz w:val="24"/>
          <w:szCs w:val="24"/>
        </w:rPr>
        <w:t>, 50, pp. 204–212.</w:t>
      </w:r>
      <w:r>
        <w:rPr>
          <w:rFonts w:ascii="Arial" w:hAnsi="Arial" w:cs="Arial"/>
          <w:sz w:val="24"/>
          <w:szCs w:val="24"/>
        </w:rPr>
        <w:t xml:space="preserve"> Available at: </w:t>
      </w:r>
      <w:hyperlink r:id="rId13" w:history="1">
        <w:r w:rsidRPr="00E416FD">
          <w:rPr>
            <w:rStyle w:val="Hyperlink"/>
            <w:rFonts w:ascii="Arial" w:hAnsi="Arial" w:cs="Arial"/>
            <w:sz w:val="24"/>
            <w:szCs w:val="24"/>
          </w:rPr>
          <w:t>https://doi.org/10.1016/j.tourman.2015.02.001</w:t>
        </w:r>
      </w:hyperlink>
      <w:r>
        <w:rPr>
          <w:rFonts w:ascii="Arial" w:hAnsi="Arial" w:cs="Arial"/>
          <w:sz w:val="24"/>
          <w:szCs w:val="24"/>
        </w:rPr>
        <w:t xml:space="preserve"> (Accessed</w:t>
      </w:r>
      <w:r w:rsidR="008D6EC1">
        <w:rPr>
          <w:rFonts w:ascii="Arial" w:hAnsi="Arial" w:cs="Arial"/>
          <w:sz w:val="24"/>
          <w:szCs w:val="24"/>
        </w:rPr>
        <w:t xml:space="preserve"> 16 January 2026).</w:t>
      </w:r>
    </w:p>
    <w:p w14:paraId="2DA1843E" w14:textId="5CA3E830" w:rsidR="00984C27" w:rsidRDefault="00984C27" w:rsidP="007937F0">
      <w:pPr>
        <w:pStyle w:val="ListParagraph"/>
        <w:numPr>
          <w:ilvl w:val="0"/>
          <w:numId w:val="2"/>
        </w:numPr>
        <w:spacing w:line="360" w:lineRule="auto"/>
        <w:jc w:val="both"/>
        <w:rPr>
          <w:rFonts w:ascii="Arial" w:hAnsi="Arial" w:cs="Arial"/>
          <w:sz w:val="24"/>
          <w:szCs w:val="24"/>
        </w:rPr>
      </w:pPr>
      <w:r w:rsidRPr="00984C27">
        <w:rPr>
          <w:rFonts w:ascii="Arial" w:hAnsi="Arial" w:cs="Arial"/>
          <w:sz w:val="24"/>
          <w:szCs w:val="24"/>
        </w:rPr>
        <w:t>Baum, T., Mooney, S.K.K., Robinson, R.N.S. and Solnet, D. (2020)</w:t>
      </w:r>
      <w:r>
        <w:rPr>
          <w:rFonts w:ascii="Arial" w:hAnsi="Arial" w:cs="Arial"/>
          <w:sz w:val="24"/>
          <w:szCs w:val="24"/>
        </w:rPr>
        <w:t xml:space="preserve">. </w:t>
      </w:r>
      <w:r w:rsidRPr="00984C27">
        <w:rPr>
          <w:rFonts w:ascii="Arial" w:hAnsi="Arial" w:cs="Arial"/>
          <w:sz w:val="24"/>
          <w:szCs w:val="24"/>
        </w:rPr>
        <w:t>COVID-19’s impact on the hospitality workforce: New crisis or amplification of the norm?</w:t>
      </w:r>
      <w:r>
        <w:rPr>
          <w:rFonts w:ascii="Arial" w:hAnsi="Arial" w:cs="Arial"/>
          <w:sz w:val="24"/>
          <w:szCs w:val="24"/>
        </w:rPr>
        <w:t xml:space="preserve"> </w:t>
      </w:r>
      <w:r w:rsidRPr="00984C27">
        <w:rPr>
          <w:rFonts w:ascii="Arial" w:hAnsi="Arial" w:cs="Arial"/>
          <w:i/>
          <w:iCs/>
          <w:sz w:val="24"/>
          <w:szCs w:val="24"/>
        </w:rPr>
        <w:t>International Journal of Contemporary Hospitality Management</w:t>
      </w:r>
      <w:r w:rsidRPr="00984C27">
        <w:rPr>
          <w:rFonts w:ascii="Arial" w:hAnsi="Arial" w:cs="Arial"/>
          <w:sz w:val="24"/>
          <w:szCs w:val="24"/>
        </w:rPr>
        <w:t xml:space="preserve">, 32(9), pp. 2813–2829. Available at: </w:t>
      </w:r>
      <w:hyperlink r:id="rId14" w:history="1">
        <w:r w:rsidRPr="00FB248E">
          <w:rPr>
            <w:rStyle w:val="Hyperlink"/>
            <w:rFonts w:ascii="Arial" w:hAnsi="Arial" w:cs="Arial"/>
            <w:sz w:val="24"/>
            <w:szCs w:val="24"/>
          </w:rPr>
          <w:t>https://doi.org/10.1108/IJCHM-04-2020-0314</w:t>
        </w:r>
      </w:hyperlink>
      <w:r>
        <w:rPr>
          <w:rFonts w:ascii="Arial" w:hAnsi="Arial" w:cs="Arial"/>
          <w:sz w:val="24"/>
          <w:szCs w:val="24"/>
        </w:rPr>
        <w:t xml:space="preserve"> (Accessed 16 January 2026).</w:t>
      </w:r>
    </w:p>
    <w:p w14:paraId="1D96C510" w14:textId="6999A801" w:rsidR="00B91BFB" w:rsidRDefault="00B91BFB" w:rsidP="007937F0">
      <w:pPr>
        <w:pStyle w:val="ListParagraph"/>
        <w:numPr>
          <w:ilvl w:val="0"/>
          <w:numId w:val="2"/>
        </w:numPr>
        <w:spacing w:line="360" w:lineRule="auto"/>
        <w:jc w:val="both"/>
        <w:rPr>
          <w:rFonts w:ascii="Arial" w:hAnsi="Arial" w:cs="Arial"/>
          <w:sz w:val="24"/>
          <w:szCs w:val="24"/>
        </w:rPr>
      </w:pPr>
      <w:r w:rsidRPr="00B91BFB">
        <w:rPr>
          <w:rFonts w:ascii="Arial" w:hAnsi="Arial" w:cs="Arial"/>
          <w:sz w:val="24"/>
          <w:szCs w:val="24"/>
        </w:rPr>
        <w:lastRenderedPageBreak/>
        <w:t>Becker, G.S. (1964)</w:t>
      </w:r>
      <w:r>
        <w:rPr>
          <w:rFonts w:ascii="Arial" w:hAnsi="Arial" w:cs="Arial"/>
          <w:sz w:val="24"/>
          <w:szCs w:val="24"/>
        </w:rPr>
        <w:t xml:space="preserve">. </w:t>
      </w:r>
      <w:r w:rsidRPr="00B91BFB">
        <w:rPr>
          <w:rFonts w:ascii="Arial" w:hAnsi="Arial" w:cs="Arial"/>
          <w:i/>
          <w:iCs/>
          <w:sz w:val="24"/>
          <w:szCs w:val="24"/>
        </w:rPr>
        <w:t>Human Capital</w:t>
      </w:r>
      <w:r w:rsidRPr="00B91BFB">
        <w:rPr>
          <w:rFonts w:ascii="Arial" w:hAnsi="Arial" w:cs="Arial"/>
          <w:sz w:val="24"/>
          <w:szCs w:val="24"/>
        </w:rPr>
        <w:t>. Chicago: University of Chicago Press.</w:t>
      </w:r>
    </w:p>
    <w:p w14:paraId="0323BA2C" w14:textId="3EFABE13" w:rsidR="00234185" w:rsidRDefault="00234185" w:rsidP="007937F0">
      <w:pPr>
        <w:pStyle w:val="ListParagraph"/>
        <w:numPr>
          <w:ilvl w:val="0"/>
          <w:numId w:val="2"/>
        </w:numPr>
        <w:spacing w:line="360" w:lineRule="auto"/>
        <w:jc w:val="both"/>
        <w:rPr>
          <w:rFonts w:ascii="Arial" w:hAnsi="Arial" w:cs="Arial"/>
          <w:sz w:val="24"/>
          <w:szCs w:val="24"/>
        </w:rPr>
      </w:pPr>
      <w:r w:rsidRPr="00234185">
        <w:rPr>
          <w:rFonts w:ascii="Arial" w:hAnsi="Arial" w:cs="Arial"/>
          <w:sz w:val="24"/>
          <w:szCs w:val="24"/>
        </w:rPr>
        <w:t>Birdir, K. and Sahilli Birdir, S. (2024)</w:t>
      </w:r>
      <w:r>
        <w:rPr>
          <w:rFonts w:ascii="Arial" w:hAnsi="Arial" w:cs="Arial"/>
          <w:sz w:val="24"/>
          <w:szCs w:val="24"/>
        </w:rPr>
        <w:t xml:space="preserve">. </w:t>
      </w:r>
      <w:r w:rsidRPr="00234185">
        <w:rPr>
          <w:rFonts w:ascii="Arial" w:hAnsi="Arial" w:cs="Arial"/>
          <w:sz w:val="24"/>
          <w:szCs w:val="24"/>
        </w:rPr>
        <w:t>Staff shortages in hospitality and tourism industries: how technology influences?</w:t>
      </w:r>
      <w:r w:rsidR="00F66514">
        <w:rPr>
          <w:rFonts w:ascii="Arial" w:hAnsi="Arial" w:cs="Arial"/>
          <w:sz w:val="24"/>
          <w:szCs w:val="24"/>
        </w:rPr>
        <w:t>,</w:t>
      </w:r>
      <w:r w:rsidRPr="00234185">
        <w:rPr>
          <w:rFonts w:ascii="Arial" w:hAnsi="Arial" w:cs="Arial"/>
          <w:sz w:val="24"/>
          <w:szCs w:val="24"/>
        </w:rPr>
        <w:t xml:space="preserve"> </w:t>
      </w:r>
      <w:r w:rsidRPr="00144C5E">
        <w:rPr>
          <w:rFonts w:ascii="Arial" w:hAnsi="Arial" w:cs="Arial"/>
          <w:i/>
          <w:iCs/>
          <w:sz w:val="24"/>
          <w:szCs w:val="24"/>
        </w:rPr>
        <w:t>Worldwide hospitality and tourism themes</w:t>
      </w:r>
      <w:r w:rsidRPr="00234185">
        <w:rPr>
          <w:rFonts w:ascii="Arial" w:hAnsi="Arial" w:cs="Arial"/>
          <w:sz w:val="24"/>
          <w:szCs w:val="24"/>
        </w:rPr>
        <w:t xml:space="preserve">, 16(5), pp. 551–554. Available at: </w:t>
      </w:r>
      <w:hyperlink r:id="rId15" w:history="1">
        <w:r w:rsidR="00144C5E" w:rsidRPr="00E9005B">
          <w:rPr>
            <w:rStyle w:val="Hyperlink"/>
            <w:rFonts w:ascii="Arial" w:hAnsi="Arial" w:cs="Arial"/>
            <w:sz w:val="24"/>
            <w:szCs w:val="24"/>
          </w:rPr>
          <w:t>https://doi.org/10.1108/WHATT-09-2024-0229</w:t>
        </w:r>
      </w:hyperlink>
      <w:r w:rsidR="00144C5E">
        <w:rPr>
          <w:rFonts w:ascii="Arial" w:hAnsi="Arial" w:cs="Arial"/>
          <w:sz w:val="24"/>
          <w:szCs w:val="24"/>
        </w:rPr>
        <w:t xml:space="preserve"> (Accessed 10 February 2026).</w:t>
      </w:r>
    </w:p>
    <w:p w14:paraId="7A741D4B" w14:textId="1A54D9F0" w:rsidR="00A8638E" w:rsidRDefault="00A8638E" w:rsidP="007937F0">
      <w:pPr>
        <w:pStyle w:val="ListParagraph"/>
        <w:numPr>
          <w:ilvl w:val="0"/>
          <w:numId w:val="2"/>
        </w:numPr>
        <w:spacing w:line="360" w:lineRule="auto"/>
        <w:jc w:val="both"/>
        <w:rPr>
          <w:rFonts w:ascii="Arial" w:hAnsi="Arial" w:cs="Arial"/>
          <w:sz w:val="24"/>
          <w:szCs w:val="24"/>
        </w:rPr>
      </w:pPr>
      <w:r w:rsidRPr="00A8638E">
        <w:rPr>
          <w:rFonts w:ascii="Arial" w:hAnsi="Arial" w:cs="Arial"/>
          <w:sz w:val="24"/>
          <w:szCs w:val="24"/>
        </w:rPr>
        <w:t>Bitner, M.J. (1992)</w:t>
      </w:r>
      <w:r>
        <w:rPr>
          <w:rFonts w:ascii="Arial" w:hAnsi="Arial" w:cs="Arial"/>
          <w:sz w:val="24"/>
          <w:szCs w:val="24"/>
        </w:rPr>
        <w:t xml:space="preserve">. </w:t>
      </w:r>
      <w:r w:rsidRPr="00A8638E">
        <w:rPr>
          <w:rFonts w:ascii="Arial" w:hAnsi="Arial" w:cs="Arial"/>
          <w:sz w:val="24"/>
          <w:szCs w:val="24"/>
        </w:rPr>
        <w:t xml:space="preserve">Servicescapes: The impact of physical surroundings on customers and employees, </w:t>
      </w:r>
      <w:r w:rsidRPr="00A8638E">
        <w:rPr>
          <w:rFonts w:ascii="Arial" w:hAnsi="Arial" w:cs="Arial"/>
          <w:i/>
          <w:iCs/>
          <w:sz w:val="24"/>
          <w:szCs w:val="24"/>
        </w:rPr>
        <w:t>Journal of Marketing</w:t>
      </w:r>
      <w:r w:rsidRPr="00A8638E">
        <w:rPr>
          <w:rFonts w:ascii="Arial" w:hAnsi="Arial" w:cs="Arial"/>
          <w:sz w:val="24"/>
          <w:szCs w:val="24"/>
        </w:rPr>
        <w:t xml:space="preserve">, 56(2), pp. 57–71. </w:t>
      </w:r>
      <w:r>
        <w:rPr>
          <w:rFonts w:ascii="Arial" w:hAnsi="Arial" w:cs="Arial"/>
          <w:sz w:val="24"/>
          <w:szCs w:val="24"/>
        </w:rPr>
        <w:t xml:space="preserve">Available at: </w:t>
      </w:r>
      <w:hyperlink r:id="rId16" w:history="1">
        <w:r w:rsidR="00D738C4" w:rsidRPr="008832AC">
          <w:rPr>
            <w:rStyle w:val="Hyperlink"/>
            <w:rFonts w:ascii="Arial" w:hAnsi="Arial" w:cs="Arial"/>
            <w:sz w:val="24"/>
            <w:szCs w:val="24"/>
          </w:rPr>
          <w:t>https://doi.org/10.1177/002224299205600205</w:t>
        </w:r>
      </w:hyperlink>
      <w:r w:rsidR="00D738C4">
        <w:rPr>
          <w:rFonts w:ascii="Arial" w:hAnsi="Arial" w:cs="Arial"/>
          <w:sz w:val="24"/>
          <w:szCs w:val="24"/>
        </w:rPr>
        <w:t xml:space="preserve"> (Accessed 12 February 2026).</w:t>
      </w:r>
    </w:p>
    <w:p w14:paraId="2D009FAC" w14:textId="0E6B9A8F" w:rsidR="002E3344" w:rsidRDefault="002E3344" w:rsidP="007937F0">
      <w:pPr>
        <w:pStyle w:val="ListParagraph"/>
        <w:numPr>
          <w:ilvl w:val="0"/>
          <w:numId w:val="2"/>
        </w:numPr>
        <w:spacing w:line="360" w:lineRule="auto"/>
        <w:jc w:val="both"/>
        <w:rPr>
          <w:rFonts w:ascii="Arial" w:hAnsi="Arial" w:cs="Arial"/>
          <w:sz w:val="24"/>
          <w:szCs w:val="24"/>
        </w:rPr>
      </w:pPr>
      <w:r w:rsidRPr="002E3344">
        <w:rPr>
          <w:rFonts w:ascii="Arial" w:hAnsi="Arial" w:cs="Arial"/>
          <w:sz w:val="24"/>
          <w:szCs w:val="24"/>
        </w:rPr>
        <w:t>Blundell, R., Costa Dias, M., Joyce, R. and Xu, X. (2020)</w:t>
      </w:r>
      <w:r>
        <w:rPr>
          <w:rFonts w:ascii="Arial" w:hAnsi="Arial" w:cs="Arial"/>
          <w:sz w:val="24"/>
          <w:szCs w:val="24"/>
        </w:rPr>
        <w:t xml:space="preserve">. </w:t>
      </w:r>
      <w:r w:rsidRPr="002E3344">
        <w:rPr>
          <w:rFonts w:ascii="Arial" w:hAnsi="Arial" w:cs="Arial"/>
          <w:sz w:val="24"/>
          <w:szCs w:val="24"/>
        </w:rPr>
        <w:t xml:space="preserve">COVID-19 and inequalities, </w:t>
      </w:r>
      <w:r w:rsidRPr="002E3344">
        <w:rPr>
          <w:rFonts w:ascii="Arial" w:hAnsi="Arial" w:cs="Arial"/>
          <w:i/>
          <w:iCs/>
          <w:sz w:val="24"/>
          <w:szCs w:val="24"/>
        </w:rPr>
        <w:t>Fiscal Studies</w:t>
      </w:r>
      <w:r w:rsidRPr="002E3344">
        <w:rPr>
          <w:rFonts w:ascii="Arial" w:hAnsi="Arial" w:cs="Arial"/>
          <w:sz w:val="24"/>
          <w:szCs w:val="24"/>
        </w:rPr>
        <w:t xml:space="preserve">, 41(2), pp. 291–319. </w:t>
      </w:r>
      <w:r>
        <w:rPr>
          <w:rFonts w:ascii="Arial" w:hAnsi="Arial" w:cs="Arial"/>
          <w:sz w:val="24"/>
          <w:szCs w:val="24"/>
        </w:rPr>
        <w:t xml:space="preserve">Available at: </w:t>
      </w:r>
      <w:hyperlink r:id="rId17" w:history="1">
        <w:r w:rsidRPr="00CA0362">
          <w:rPr>
            <w:rStyle w:val="Hyperlink"/>
            <w:rFonts w:ascii="Arial" w:hAnsi="Arial" w:cs="Arial"/>
            <w:sz w:val="24"/>
            <w:szCs w:val="24"/>
          </w:rPr>
          <w:t>https://doi.org/10.1111/1475-5890.12232</w:t>
        </w:r>
      </w:hyperlink>
      <w:r>
        <w:rPr>
          <w:rFonts w:ascii="Arial" w:hAnsi="Arial" w:cs="Arial"/>
          <w:sz w:val="24"/>
          <w:szCs w:val="24"/>
        </w:rPr>
        <w:t xml:space="preserve"> (Accessed 19 January 2026).</w:t>
      </w:r>
    </w:p>
    <w:p w14:paraId="1BF003EF" w14:textId="15BB840A" w:rsidR="00745843" w:rsidRPr="00745843" w:rsidRDefault="00745843" w:rsidP="00745843">
      <w:pPr>
        <w:pStyle w:val="ListParagraph"/>
        <w:numPr>
          <w:ilvl w:val="0"/>
          <w:numId w:val="2"/>
        </w:numPr>
        <w:spacing w:line="360" w:lineRule="auto"/>
        <w:jc w:val="both"/>
        <w:rPr>
          <w:rFonts w:ascii="Arial" w:hAnsi="Arial" w:cs="Arial"/>
          <w:sz w:val="24"/>
          <w:szCs w:val="24"/>
        </w:rPr>
      </w:pPr>
      <w:r w:rsidRPr="00745843">
        <w:rPr>
          <w:rFonts w:ascii="Arial" w:hAnsi="Arial" w:cs="Arial"/>
          <w:sz w:val="24"/>
          <w:szCs w:val="24"/>
        </w:rPr>
        <w:t>Boshoff, C. and Allen, J. (2000)</w:t>
      </w:r>
      <w:r>
        <w:rPr>
          <w:rFonts w:ascii="Arial" w:hAnsi="Arial" w:cs="Arial"/>
          <w:sz w:val="24"/>
          <w:szCs w:val="24"/>
        </w:rPr>
        <w:t xml:space="preserve">. </w:t>
      </w:r>
      <w:r w:rsidRPr="00745843">
        <w:rPr>
          <w:rFonts w:ascii="Arial" w:hAnsi="Arial" w:cs="Arial"/>
          <w:sz w:val="24"/>
          <w:szCs w:val="24"/>
        </w:rPr>
        <w:t xml:space="preserve">The influence of selected antecedents on frontline staff’s perceptions of service recovery performance, </w:t>
      </w:r>
      <w:r w:rsidRPr="00745843">
        <w:rPr>
          <w:rFonts w:ascii="Arial" w:hAnsi="Arial" w:cs="Arial"/>
          <w:i/>
          <w:iCs/>
          <w:sz w:val="24"/>
          <w:szCs w:val="24"/>
        </w:rPr>
        <w:t>International Journal of Service Industry Management</w:t>
      </w:r>
      <w:r w:rsidRPr="00745843">
        <w:rPr>
          <w:rFonts w:ascii="Arial" w:hAnsi="Arial" w:cs="Arial"/>
          <w:sz w:val="24"/>
          <w:szCs w:val="24"/>
        </w:rPr>
        <w:t>, 11(1), pp. 63–90.</w:t>
      </w:r>
      <w:r>
        <w:rPr>
          <w:rFonts w:ascii="Arial" w:hAnsi="Arial" w:cs="Arial"/>
          <w:sz w:val="24"/>
          <w:szCs w:val="24"/>
        </w:rPr>
        <w:t xml:space="preserve"> Available at: </w:t>
      </w:r>
      <w:hyperlink r:id="rId18" w:history="1">
        <w:r w:rsidRPr="00E416FD">
          <w:rPr>
            <w:rStyle w:val="Hyperlink"/>
            <w:rFonts w:ascii="Arial" w:hAnsi="Arial" w:cs="Arial"/>
            <w:sz w:val="24"/>
            <w:szCs w:val="24"/>
          </w:rPr>
          <w:t>https://doi.org/10.1108/09564230010310295</w:t>
        </w:r>
      </w:hyperlink>
      <w:r>
        <w:rPr>
          <w:rFonts w:ascii="Arial" w:hAnsi="Arial" w:cs="Arial"/>
          <w:sz w:val="24"/>
          <w:szCs w:val="24"/>
        </w:rPr>
        <w:t xml:space="preserve"> (Accessed 18 January 2026).</w:t>
      </w:r>
    </w:p>
    <w:p w14:paraId="70C16AB1" w14:textId="3DC67FDB" w:rsidR="00106631" w:rsidRDefault="00106631" w:rsidP="007937F0">
      <w:pPr>
        <w:pStyle w:val="ListParagraph"/>
        <w:numPr>
          <w:ilvl w:val="0"/>
          <w:numId w:val="2"/>
        </w:numPr>
        <w:spacing w:line="360" w:lineRule="auto"/>
        <w:jc w:val="both"/>
        <w:rPr>
          <w:rFonts w:ascii="Arial" w:hAnsi="Arial" w:cs="Arial"/>
          <w:sz w:val="24"/>
          <w:szCs w:val="24"/>
        </w:rPr>
      </w:pPr>
      <w:r w:rsidRPr="00106631">
        <w:rPr>
          <w:rFonts w:ascii="Arial" w:hAnsi="Arial" w:cs="Arial"/>
          <w:sz w:val="24"/>
          <w:szCs w:val="24"/>
        </w:rPr>
        <w:t>Braun, V. and Clarke, V. (2006)</w:t>
      </w:r>
      <w:r>
        <w:rPr>
          <w:rFonts w:ascii="Arial" w:hAnsi="Arial" w:cs="Arial"/>
          <w:sz w:val="24"/>
          <w:szCs w:val="24"/>
        </w:rPr>
        <w:t xml:space="preserve">. </w:t>
      </w:r>
      <w:r w:rsidRPr="00106631">
        <w:rPr>
          <w:rFonts w:ascii="Arial" w:hAnsi="Arial" w:cs="Arial"/>
          <w:sz w:val="24"/>
          <w:szCs w:val="24"/>
        </w:rPr>
        <w:t xml:space="preserve">Using thematic analysis in psychology, </w:t>
      </w:r>
      <w:r w:rsidRPr="00106631">
        <w:rPr>
          <w:rFonts w:ascii="Arial" w:hAnsi="Arial" w:cs="Arial"/>
          <w:i/>
          <w:iCs/>
          <w:sz w:val="24"/>
          <w:szCs w:val="24"/>
        </w:rPr>
        <w:t>Qualitative Research in Psychology</w:t>
      </w:r>
      <w:r w:rsidRPr="00106631">
        <w:rPr>
          <w:rFonts w:ascii="Arial" w:hAnsi="Arial" w:cs="Arial"/>
          <w:sz w:val="24"/>
          <w:szCs w:val="24"/>
        </w:rPr>
        <w:t xml:space="preserve">, 3(2), pp. 77–101. Available at: </w:t>
      </w:r>
      <w:hyperlink r:id="rId19" w:history="1">
        <w:r w:rsidRPr="00CD099F">
          <w:rPr>
            <w:rStyle w:val="Hyperlink"/>
            <w:rFonts w:ascii="Arial" w:hAnsi="Arial" w:cs="Arial"/>
            <w:sz w:val="24"/>
            <w:szCs w:val="24"/>
          </w:rPr>
          <w:t>https://doi.org/10.1191/1478088706qp063oa</w:t>
        </w:r>
      </w:hyperlink>
      <w:r>
        <w:rPr>
          <w:rFonts w:ascii="Arial" w:hAnsi="Arial" w:cs="Arial"/>
          <w:sz w:val="24"/>
          <w:szCs w:val="24"/>
        </w:rPr>
        <w:t xml:space="preserve"> (Accessed 23 January 2026).</w:t>
      </w:r>
    </w:p>
    <w:p w14:paraId="39E0412B" w14:textId="381F1B4E" w:rsidR="009212B8" w:rsidRDefault="009212B8" w:rsidP="007937F0">
      <w:pPr>
        <w:pStyle w:val="ListParagraph"/>
        <w:numPr>
          <w:ilvl w:val="0"/>
          <w:numId w:val="2"/>
        </w:numPr>
        <w:spacing w:line="360" w:lineRule="auto"/>
        <w:jc w:val="both"/>
        <w:rPr>
          <w:rFonts w:ascii="Arial" w:hAnsi="Arial" w:cs="Arial"/>
          <w:sz w:val="24"/>
          <w:szCs w:val="24"/>
        </w:rPr>
      </w:pPr>
      <w:r w:rsidRPr="009212B8">
        <w:rPr>
          <w:rFonts w:ascii="Arial" w:hAnsi="Arial" w:cs="Arial"/>
          <w:sz w:val="24"/>
          <w:szCs w:val="24"/>
        </w:rPr>
        <w:t>Braun, V. and Clarke, V. (2021)</w:t>
      </w:r>
      <w:r>
        <w:rPr>
          <w:rFonts w:ascii="Arial" w:hAnsi="Arial" w:cs="Arial"/>
          <w:sz w:val="24"/>
          <w:szCs w:val="24"/>
        </w:rPr>
        <w:t xml:space="preserve">. </w:t>
      </w:r>
      <w:r w:rsidRPr="009212B8">
        <w:rPr>
          <w:rFonts w:ascii="Arial" w:hAnsi="Arial" w:cs="Arial"/>
          <w:i/>
          <w:iCs/>
          <w:sz w:val="24"/>
          <w:szCs w:val="24"/>
        </w:rPr>
        <w:t>Thematic Analysis: A Practical Guide</w:t>
      </w:r>
      <w:r w:rsidRPr="009212B8">
        <w:rPr>
          <w:rFonts w:ascii="Arial" w:hAnsi="Arial" w:cs="Arial"/>
          <w:sz w:val="24"/>
          <w:szCs w:val="24"/>
        </w:rPr>
        <w:t>. London: SAGE.</w:t>
      </w:r>
    </w:p>
    <w:p w14:paraId="238C52AC" w14:textId="2B10A4C1" w:rsidR="00A81791" w:rsidRDefault="00A81791" w:rsidP="007937F0">
      <w:pPr>
        <w:pStyle w:val="ListParagraph"/>
        <w:numPr>
          <w:ilvl w:val="0"/>
          <w:numId w:val="2"/>
        </w:numPr>
        <w:spacing w:line="360" w:lineRule="auto"/>
        <w:jc w:val="both"/>
        <w:rPr>
          <w:rFonts w:ascii="Arial" w:hAnsi="Arial" w:cs="Arial"/>
          <w:sz w:val="24"/>
          <w:szCs w:val="24"/>
        </w:rPr>
      </w:pPr>
      <w:r w:rsidRPr="00A81791">
        <w:rPr>
          <w:rFonts w:ascii="Arial" w:hAnsi="Arial" w:cs="Arial"/>
          <w:sz w:val="24"/>
          <w:szCs w:val="24"/>
        </w:rPr>
        <w:t>Cheng, T.-M., Chen, M.-T. and Chu, Y.-H. (2026)</w:t>
      </w:r>
      <w:r w:rsidR="00973B99">
        <w:rPr>
          <w:rFonts w:ascii="Arial" w:hAnsi="Arial" w:cs="Arial"/>
          <w:sz w:val="24"/>
          <w:szCs w:val="24"/>
        </w:rPr>
        <w:t xml:space="preserve">. </w:t>
      </w:r>
      <w:r w:rsidRPr="00A81791">
        <w:rPr>
          <w:rFonts w:ascii="Arial" w:hAnsi="Arial" w:cs="Arial"/>
          <w:sz w:val="24"/>
          <w:szCs w:val="24"/>
        </w:rPr>
        <w:t xml:space="preserve">Solutions for understaffed hotels: Comparing the effects of perceived organizational support and perceived organizational leisure support, </w:t>
      </w:r>
      <w:r w:rsidRPr="00973B99">
        <w:rPr>
          <w:rFonts w:ascii="Arial" w:hAnsi="Arial" w:cs="Arial"/>
          <w:i/>
          <w:iCs/>
          <w:sz w:val="24"/>
          <w:szCs w:val="24"/>
        </w:rPr>
        <w:t>International Journal of Hospitality Management</w:t>
      </w:r>
      <w:r w:rsidRPr="00A81791">
        <w:rPr>
          <w:rFonts w:ascii="Arial" w:hAnsi="Arial" w:cs="Arial"/>
          <w:sz w:val="24"/>
          <w:szCs w:val="24"/>
        </w:rPr>
        <w:t xml:space="preserve">, 133, 104440. Available at: </w:t>
      </w:r>
      <w:hyperlink r:id="rId20" w:history="1">
        <w:r w:rsidR="00973B99" w:rsidRPr="00FB248E">
          <w:rPr>
            <w:rStyle w:val="Hyperlink"/>
            <w:rFonts w:ascii="Arial" w:hAnsi="Arial" w:cs="Arial"/>
            <w:sz w:val="24"/>
            <w:szCs w:val="24"/>
          </w:rPr>
          <w:t>https://doi.org/10.1016/j.ijhm.2025.104440</w:t>
        </w:r>
      </w:hyperlink>
      <w:r w:rsidR="00973B99">
        <w:rPr>
          <w:rFonts w:ascii="Arial" w:hAnsi="Arial" w:cs="Arial"/>
          <w:sz w:val="24"/>
          <w:szCs w:val="24"/>
        </w:rPr>
        <w:t xml:space="preserve"> (Accessed </w:t>
      </w:r>
      <w:r w:rsidR="00C94781">
        <w:rPr>
          <w:rFonts w:ascii="Arial" w:hAnsi="Arial" w:cs="Arial"/>
          <w:sz w:val="24"/>
          <w:szCs w:val="24"/>
        </w:rPr>
        <w:t xml:space="preserve">17 </w:t>
      </w:r>
      <w:r w:rsidR="00FC3B45">
        <w:rPr>
          <w:rFonts w:ascii="Arial" w:hAnsi="Arial" w:cs="Arial"/>
          <w:sz w:val="24"/>
          <w:szCs w:val="24"/>
        </w:rPr>
        <w:t>February</w:t>
      </w:r>
      <w:r w:rsidR="00C94781">
        <w:rPr>
          <w:rFonts w:ascii="Arial" w:hAnsi="Arial" w:cs="Arial"/>
          <w:sz w:val="24"/>
          <w:szCs w:val="24"/>
        </w:rPr>
        <w:t xml:space="preserve"> 2026).</w:t>
      </w:r>
    </w:p>
    <w:p w14:paraId="50076D2D" w14:textId="0D0269CA" w:rsidR="000640E8" w:rsidRDefault="000640E8" w:rsidP="007937F0">
      <w:pPr>
        <w:pStyle w:val="ListParagraph"/>
        <w:numPr>
          <w:ilvl w:val="0"/>
          <w:numId w:val="2"/>
        </w:numPr>
        <w:spacing w:line="360" w:lineRule="auto"/>
        <w:jc w:val="both"/>
        <w:rPr>
          <w:rFonts w:ascii="Arial" w:hAnsi="Arial" w:cs="Arial"/>
          <w:sz w:val="24"/>
          <w:szCs w:val="24"/>
        </w:rPr>
      </w:pPr>
      <w:r w:rsidRPr="000640E8">
        <w:rPr>
          <w:rFonts w:ascii="Arial" w:hAnsi="Arial" w:cs="Arial"/>
          <w:sz w:val="24"/>
          <w:szCs w:val="24"/>
        </w:rPr>
        <w:t>Chi, C.G. and Gursoy, D. (2009)</w:t>
      </w:r>
      <w:r>
        <w:rPr>
          <w:rFonts w:ascii="Arial" w:hAnsi="Arial" w:cs="Arial"/>
          <w:sz w:val="24"/>
          <w:szCs w:val="24"/>
        </w:rPr>
        <w:t xml:space="preserve">. </w:t>
      </w:r>
      <w:r w:rsidRPr="000640E8">
        <w:rPr>
          <w:rFonts w:ascii="Arial" w:hAnsi="Arial" w:cs="Arial"/>
          <w:sz w:val="24"/>
          <w:szCs w:val="24"/>
        </w:rPr>
        <w:t xml:space="preserve">Employee satisfaction, customer satisfaction, and financial performance: An empirical examination, </w:t>
      </w:r>
      <w:r w:rsidRPr="000640E8">
        <w:rPr>
          <w:rFonts w:ascii="Arial" w:hAnsi="Arial" w:cs="Arial"/>
          <w:i/>
          <w:iCs/>
          <w:sz w:val="24"/>
          <w:szCs w:val="24"/>
        </w:rPr>
        <w:t>International Journal of Hospitality Management</w:t>
      </w:r>
      <w:r w:rsidRPr="000640E8">
        <w:rPr>
          <w:rFonts w:ascii="Arial" w:hAnsi="Arial" w:cs="Arial"/>
          <w:sz w:val="24"/>
          <w:szCs w:val="24"/>
        </w:rPr>
        <w:t>, 28(2), pp. 245–253.</w:t>
      </w:r>
      <w:r w:rsidR="00CE0F2E">
        <w:rPr>
          <w:rFonts w:ascii="Arial" w:hAnsi="Arial" w:cs="Arial"/>
          <w:sz w:val="24"/>
          <w:szCs w:val="24"/>
        </w:rPr>
        <w:t xml:space="preserve"> Available at: </w:t>
      </w:r>
      <w:hyperlink r:id="rId21" w:history="1">
        <w:r w:rsidR="00CE0F2E" w:rsidRPr="00E9005B">
          <w:rPr>
            <w:rStyle w:val="Hyperlink"/>
            <w:rFonts w:ascii="Arial" w:hAnsi="Arial" w:cs="Arial"/>
            <w:sz w:val="24"/>
            <w:szCs w:val="24"/>
          </w:rPr>
          <w:t>https://doi.org/10.1016/j.ijhm.2008.08.003</w:t>
        </w:r>
      </w:hyperlink>
      <w:r w:rsidR="00CE0F2E">
        <w:rPr>
          <w:rFonts w:ascii="Arial" w:hAnsi="Arial" w:cs="Arial"/>
          <w:sz w:val="24"/>
          <w:szCs w:val="24"/>
        </w:rPr>
        <w:t xml:space="preserve"> (Accessed 9 February 2026).</w:t>
      </w:r>
    </w:p>
    <w:p w14:paraId="38845AF5" w14:textId="4BCCD753" w:rsidR="00C12A63" w:rsidRDefault="00C12A63" w:rsidP="007937F0">
      <w:pPr>
        <w:pStyle w:val="ListParagraph"/>
        <w:numPr>
          <w:ilvl w:val="0"/>
          <w:numId w:val="2"/>
        </w:numPr>
        <w:spacing w:line="360" w:lineRule="auto"/>
        <w:jc w:val="both"/>
        <w:rPr>
          <w:rFonts w:ascii="Arial" w:hAnsi="Arial" w:cs="Arial"/>
          <w:sz w:val="24"/>
          <w:szCs w:val="24"/>
        </w:rPr>
      </w:pPr>
      <w:r w:rsidRPr="00C12A63">
        <w:rPr>
          <w:rFonts w:ascii="Arial" w:hAnsi="Arial" w:cs="Arial"/>
          <w:sz w:val="24"/>
          <w:szCs w:val="24"/>
        </w:rPr>
        <w:t>Choi, K., Hwang, J. and Park, M. (2009)</w:t>
      </w:r>
      <w:r>
        <w:rPr>
          <w:rFonts w:ascii="Arial" w:hAnsi="Arial" w:cs="Arial"/>
          <w:sz w:val="24"/>
          <w:szCs w:val="24"/>
        </w:rPr>
        <w:t xml:space="preserve">. </w:t>
      </w:r>
      <w:r w:rsidRPr="00C12A63">
        <w:rPr>
          <w:rFonts w:ascii="Arial" w:hAnsi="Arial" w:cs="Arial"/>
          <w:sz w:val="24"/>
          <w:szCs w:val="24"/>
        </w:rPr>
        <w:t xml:space="preserve">Scheduling restaurant workers to minimize labor cost and meet service quality, </w:t>
      </w:r>
      <w:r w:rsidRPr="00C12A63">
        <w:rPr>
          <w:rFonts w:ascii="Arial" w:hAnsi="Arial" w:cs="Arial"/>
          <w:i/>
          <w:iCs/>
          <w:sz w:val="24"/>
          <w:szCs w:val="24"/>
        </w:rPr>
        <w:t>Cornell Hospitality Quarterly</w:t>
      </w:r>
      <w:r w:rsidRPr="00C12A63">
        <w:rPr>
          <w:rFonts w:ascii="Arial" w:hAnsi="Arial" w:cs="Arial"/>
          <w:sz w:val="24"/>
          <w:szCs w:val="24"/>
        </w:rPr>
        <w:t xml:space="preserve">, 50(2), pp. 155–167. </w:t>
      </w:r>
      <w:r>
        <w:rPr>
          <w:rFonts w:ascii="Arial" w:hAnsi="Arial" w:cs="Arial"/>
          <w:sz w:val="24"/>
          <w:szCs w:val="24"/>
        </w:rPr>
        <w:t xml:space="preserve">Available at: </w:t>
      </w:r>
      <w:hyperlink r:id="rId22" w:history="1">
        <w:r w:rsidRPr="00D42641">
          <w:rPr>
            <w:rStyle w:val="Hyperlink"/>
            <w:rFonts w:ascii="Arial" w:hAnsi="Arial" w:cs="Arial"/>
            <w:sz w:val="24"/>
            <w:szCs w:val="24"/>
          </w:rPr>
          <w:t>https://doi.org/10.1177/1938965509333557</w:t>
        </w:r>
      </w:hyperlink>
      <w:r>
        <w:rPr>
          <w:rFonts w:ascii="Arial" w:hAnsi="Arial" w:cs="Arial"/>
          <w:sz w:val="24"/>
          <w:szCs w:val="24"/>
        </w:rPr>
        <w:t xml:space="preserve"> (Accessed 5 February 2026).</w:t>
      </w:r>
    </w:p>
    <w:p w14:paraId="3402B774" w14:textId="76663B38" w:rsidR="00EE4EC4" w:rsidRDefault="00EE4EC4" w:rsidP="007937F0">
      <w:pPr>
        <w:pStyle w:val="ListParagraph"/>
        <w:numPr>
          <w:ilvl w:val="0"/>
          <w:numId w:val="2"/>
        </w:numPr>
        <w:spacing w:line="360" w:lineRule="auto"/>
        <w:jc w:val="both"/>
        <w:rPr>
          <w:rFonts w:ascii="Arial" w:hAnsi="Arial" w:cs="Arial"/>
          <w:sz w:val="24"/>
          <w:szCs w:val="24"/>
        </w:rPr>
      </w:pPr>
      <w:r w:rsidRPr="00EE4EC4">
        <w:rPr>
          <w:rFonts w:ascii="Arial" w:hAnsi="Arial" w:cs="Arial"/>
          <w:sz w:val="24"/>
          <w:szCs w:val="24"/>
        </w:rPr>
        <w:lastRenderedPageBreak/>
        <w:t>CIPD (2023)</w:t>
      </w:r>
      <w:r>
        <w:rPr>
          <w:rFonts w:ascii="Arial" w:hAnsi="Arial" w:cs="Arial"/>
          <w:sz w:val="24"/>
          <w:szCs w:val="24"/>
        </w:rPr>
        <w:t xml:space="preserve">. </w:t>
      </w:r>
      <w:r w:rsidRPr="00EC2346">
        <w:rPr>
          <w:rFonts w:ascii="Arial" w:hAnsi="Arial" w:cs="Arial"/>
          <w:i/>
          <w:iCs/>
          <w:sz w:val="24"/>
          <w:szCs w:val="24"/>
        </w:rPr>
        <w:t>Labour Market Outlook</w:t>
      </w:r>
      <w:r w:rsidR="00EC2346">
        <w:rPr>
          <w:rFonts w:ascii="Arial" w:hAnsi="Arial" w:cs="Arial"/>
          <w:sz w:val="24"/>
          <w:szCs w:val="24"/>
        </w:rPr>
        <w:t xml:space="preserve">. </w:t>
      </w:r>
      <w:r w:rsidRPr="00EE4EC4">
        <w:rPr>
          <w:rFonts w:ascii="Arial" w:hAnsi="Arial" w:cs="Arial"/>
          <w:sz w:val="24"/>
          <w:szCs w:val="24"/>
        </w:rPr>
        <w:t xml:space="preserve">London: Chartered Institute of Personnel and Development. </w:t>
      </w:r>
      <w:r w:rsidR="00EC2346">
        <w:rPr>
          <w:rFonts w:ascii="Arial" w:hAnsi="Arial" w:cs="Arial"/>
          <w:sz w:val="24"/>
          <w:szCs w:val="24"/>
        </w:rPr>
        <w:t xml:space="preserve">Available at: </w:t>
      </w:r>
      <w:hyperlink r:id="rId23" w:history="1">
        <w:r w:rsidR="00EC2346" w:rsidRPr="00CA0362">
          <w:rPr>
            <w:rStyle w:val="Hyperlink"/>
            <w:rFonts w:ascii="Arial" w:hAnsi="Arial" w:cs="Arial"/>
            <w:sz w:val="24"/>
            <w:szCs w:val="24"/>
          </w:rPr>
          <w:t>https://www.cipd.org/uk/knowledge/reports/labour-market-outlook/</w:t>
        </w:r>
      </w:hyperlink>
      <w:r w:rsidR="00EC2346">
        <w:rPr>
          <w:rFonts w:ascii="Arial" w:hAnsi="Arial" w:cs="Arial"/>
          <w:sz w:val="24"/>
          <w:szCs w:val="24"/>
        </w:rPr>
        <w:t xml:space="preserve"> (Accessed 19 January 2026).</w:t>
      </w:r>
    </w:p>
    <w:p w14:paraId="5180CD69" w14:textId="6D9CA637" w:rsidR="007937F0" w:rsidRDefault="007937F0" w:rsidP="007937F0">
      <w:pPr>
        <w:pStyle w:val="ListParagraph"/>
        <w:numPr>
          <w:ilvl w:val="0"/>
          <w:numId w:val="2"/>
        </w:numPr>
        <w:spacing w:line="360" w:lineRule="auto"/>
        <w:jc w:val="both"/>
        <w:rPr>
          <w:rFonts w:ascii="Arial" w:hAnsi="Arial" w:cs="Arial"/>
          <w:sz w:val="24"/>
          <w:szCs w:val="24"/>
        </w:rPr>
      </w:pPr>
      <w:r w:rsidRPr="007937F0">
        <w:rPr>
          <w:rFonts w:ascii="Arial" w:hAnsi="Arial" w:cs="Arial"/>
          <w:sz w:val="24"/>
          <w:szCs w:val="24"/>
        </w:rPr>
        <w:t>CIPD (2023)</w:t>
      </w:r>
      <w:r>
        <w:rPr>
          <w:rFonts w:ascii="Arial" w:hAnsi="Arial" w:cs="Arial"/>
          <w:sz w:val="24"/>
          <w:szCs w:val="24"/>
        </w:rPr>
        <w:t>.</w:t>
      </w:r>
      <w:r w:rsidRPr="007937F0">
        <w:rPr>
          <w:rFonts w:ascii="Arial" w:hAnsi="Arial" w:cs="Arial"/>
          <w:sz w:val="24"/>
          <w:szCs w:val="24"/>
        </w:rPr>
        <w:t xml:space="preserve"> </w:t>
      </w:r>
      <w:r w:rsidRPr="0092496F">
        <w:rPr>
          <w:rFonts w:ascii="Arial" w:hAnsi="Arial" w:cs="Arial"/>
          <w:i/>
          <w:iCs/>
          <w:sz w:val="24"/>
          <w:szCs w:val="24"/>
        </w:rPr>
        <w:t>Migrant workers and skills shortages in the UK</w:t>
      </w:r>
      <w:r w:rsidRPr="007937F0">
        <w:rPr>
          <w:rFonts w:ascii="Arial" w:hAnsi="Arial" w:cs="Arial"/>
          <w:sz w:val="24"/>
          <w:szCs w:val="24"/>
        </w:rPr>
        <w:t>. London: Chartered Institute of Personnel and Development. Available at:</w:t>
      </w:r>
      <w:r>
        <w:rPr>
          <w:rFonts w:ascii="Arial" w:hAnsi="Arial" w:cs="Arial"/>
          <w:sz w:val="24"/>
          <w:szCs w:val="24"/>
        </w:rPr>
        <w:t xml:space="preserve"> </w:t>
      </w:r>
      <w:hyperlink r:id="rId24" w:history="1">
        <w:r w:rsidRPr="00FB248E">
          <w:rPr>
            <w:rStyle w:val="Hyperlink"/>
            <w:rFonts w:ascii="Arial" w:hAnsi="Arial" w:cs="Arial"/>
            <w:sz w:val="24"/>
            <w:szCs w:val="24"/>
          </w:rPr>
          <w:t>https://www.cipd.org/globalassets/media/knowledge/knowledge-hub/reports/2023-pdfs/2023-migrant-workers-skills-shortages-uk-report.pdf</w:t>
        </w:r>
      </w:hyperlink>
      <w:r w:rsidRPr="007937F0">
        <w:rPr>
          <w:rFonts w:ascii="Arial" w:hAnsi="Arial" w:cs="Arial"/>
          <w:sz w:val="24"/>
          <w:szCs w:val="24"/>
        </w:rPr>
        <w:t xml:space="preserve"> (Accessed</w:t>
      </w:r>
      <w:r w:rsidR="0092496F">
        <w:rPr>
          <w:rFonts w:ascii="Arial" w:hAnsi="Arial" w:cs="Arial"/>
          <w:sz w:val="24"/>
          <w:szCs w:val="24"/>
        </w:rPr>
        <w:t xml:space="preserve"> 15 January 2026</w:t>
      </w:r>
      <w:r w:rsidRPr="007937F0">
        <w:rPr>
          <w:rFonts w:ascii="Arial" w:hAnsi="Arial" w:cs="Arial"/>
          <w:sz w:val="24"/>
          <w:szCs w:val="24"/>
        </w:rPr>
        <w:t>).</w:t>
      </w:r>
    </w:p>
    <w:p w14:paraId="0D5F9B68" w14:textId="0A5380A9" w:rsidR="00CB572B" w:rsidRDefault="00CB572B" w:rsidP="007937F0">
      <w:pPr>
        <w:pStyle w:val="ListParagraph"/>
        <w:numPr>
          <w:ilvl w:val="0"/>
          <w:numId w:val="2"/>
        </w:numPr>
        <w:spacing w:line="360" w:lineRule="auto"/>
        <w:jc w:val="both"/>
        <w:rPr>
          <w:rFonts w:ascii="Arial" w:hAnsi="Arial" w:cs="Arial"/>
          <w:sz w:val="24"/>
          <w:szCs w:val="24"/>
        </w:rPr>
      </w:pPr>
      <w:r w:rsidRPr="00CB572B">
        <w:rPr>
          <w:rFonts w:ascii="Arial" w:hAnsi="Arial" w:cs="Arial"/>
          <w:sz w:val="24"/>
          <w:szCs w:val="24"/>
        </w:rPr>
        <w:t xml:space="preserve">Demerouti, E., Bakker, A.B., Nachreiner, F. and Schaufeli, W.B. (2001). The job demands–resources model of burnout, </w:t>
      </w:r>
      <w:r w:rsidRPr="00CB572B">
        <w:rPr>
          <w:rFonts w:ascii="Arial" w:hAnsi="Arial" w:cs="Arial"/>
          <w:i/>
          <w:iCs/>
          <w:sz w:val="24"/>
          <w:szCs w:val="24"/>
        </w:rPr>
        <w:t>Journal of Applied Psychology</w:t>
      </w:r>
      <w:r w:rsidRPr="00CB572B">
        <w:rPr>
          <w:rFonts w:ascii="Arial" w:hAnsi="Arial" w:cs="Arial"/>
          <w:sz w:val="24"/>
          <w:szCs w:val="24"/>
        </w:rPr>
        <w:t xml:space="preserve">, 86(3), pp. 499–512. Available at: </w:t>
      </w:r>
      <w:hyperlink r:id="rId25" w:history="1">
        <w:r w:rsidRPr="00FB248E">
          <w:rPr>
            <w:rStyle w:val="Hyperlink"/>
            <w:rFonts w:ascii="Arial" w:hAnsi="Arial" w:cs="Arial"/>
            <w:sz w:val="24"/>
            <w:szCs w:val="24"/>
          </w:rPr>
          <w:t>https://doi.org/10.1037/0021-9010.86.3.499</w:t>
        </w:r>
      </w:hyperlink>
      <w:r>
        <w:rPr>
          <w:rFonts w:ascii="Arial" w:hAnsi="Arial" w:cs="Arial"/>
          <w:sz w:val="24"/>
          <w:szCs w:val="24"/>
        </w:rPr>
        <w:t xml:space="preserve"> (Accessed 18 January).</w:t>
      </w:r>
    </w:p>
    <w:p w14:paraId="5BADCF2E" w14:textId="32D7A0DB" w:rsidR="00A81AB3" w:rsidRDefault="00A81AB3" w:rsidP="007937F0">
      <w:pPr>
        <w:pStyle w:val="ListParagraph"/>
        <w:numPr>
          <w:ilvl w:val="0"/>
          <w:numId w:val="2"/>
        </w:numPr>
        <w:spacing w:line="360" w:lineRule="auto"/>
        <w:jc w:val="both"/>
        <w:rPr>
          <w:rFonts w:ascii="Arial" w:hAnsi="Arial" w:cs="Arial"/>
          <w:sz w:val="24"/>
          <w:szCs w:val="24"/>
        </w:rPr>
      </w:pPr>
      <w:r w:rsidRPr="00A81AB3">
        <w:rPr>
          <w:rFonts w:ascii="Arial" w:hAnsi="Arial" w:cs="Arial"/>
          <w:sz w:val="24"/>
          <w:szCs w:val="24"/>
        </w:rPr>
        <w:t>Doeringer, P.B. and Piore, M.J. (1971)</w:t>
      </w:r>
      <w:r>
        <w:rPr>
          <w:rFonts w:ascii="Arial" w:hAnsi="Arial" w:cs="Arial"/>
          <w:sz w:val="24"/>
          <w:szCs w:val="24"/>
        </w:rPr>
        <w:t xml:space="preserve">. </w:t>
      </w:r>
      <w:r w:rsidRPr="00A81AB3">
        <w:rPr>
          <w:rFonts w:ascii="Arial" w:hAnsi="Arial" w:cs="Arial"/>
          <w:i/>
          <w:iCs/>
          <w:sz w:val="24"/>
          <w:szCs w:val="24"/>
        </w:rPr>
        <w:t>Internal Labor Markets and Manpower Analysis</w:t>
      </w:r>
      <w:r w:rsidRPr="00A81AB3">
        <w:rPr>
          <w:rFonts w:ascii="Arial" w:hAnsi="Arial" w:cs="Arial"/>
          <w:sz w:val="24"/>
          <w:szCs w:val="24"/>
        </w:rPr>
        <w:t>. Lexington: Heath.</w:t>
      </w:r>
    </w:p>
    <w:p w14:paraId="5BC6073C" w14:textId="4C11A2A5" w:rsidR="00456F53" w:rsidRDefault="00456F53" w:rsidP="007937F0">
      <w:pPr>
        <w:pStyle w:val="ListParagraph"/>
        <w:numPr>
          <w:ilvl w:val="0"/>
          <w:numId w:val="2"/>
        </w:numPr>
        <w:spacing w:line="360" w:lineRule="auto"/>
        <w:jc w:val="both"/>
        <w:rPr>
          <w:rFonts w:ascii="Arial" w:hAnsi="Arial" w:cs="Arial"/>
          <w:sz w:val="24"/>
          <w:szCs w:val="24"/>
        </w:rPr>
      </w:pPr>
      <w:r w:rsidRPr="00456F53">
        <w:rPr>
          <w:rFonts w:ascii="Arial" w:hAnsi="Arial" w:cs="Arial"/>
          <w:sz w:val="24"/>
          <w:szCs w:val="24"/>
        </w:rPr>
        <w:t>Edmondson, A. (1999)</w:t>
      </w:r>
      <w:r>
        <w:rPr>
          <w:rFonts w:ascii="Arial" w:hAnsi="Arial" w:cs="Arial"/>
          <w:sz w:val="24"/>
          <w:szCs w:val="24"/>
        </w:rPr>
        <w:t xml:space="preserve">. </w:t>
      </w:r>
      <w:r w:rsidRPr="00456F53">
        <w:rPr>
          <w:rFonts w:ascii="Arial" w:hAnsi="Arial" w:cs="Arial"/>
          <w:sz w:val="24"/>
          <w:szCs w:val="24"/>
        </w:rPr>
        <w:t xml:space="preserve">Psychological safety and learning behavior in work teams, </w:t>
      </w:r>
      <w:r w:rsidRPr="00456F53">
        <w:rPr>
          <w:rFonts w:ascii="Arial" w:hAnsi="Arial" w:cs="Arial"/>
          <w:i/>
          <w:iCs/>
          <w:sz w:val="24"/>
          <w:szCs w:val="24"/>
        </w:rPr>
        <w:t>Administrative Science Quarterly</w:t>
      </w:r>
      <w:r w:rsidRPr="00456F53">
        <w:rPr>
          <w:rFonts w:ascii="Arial" w:hAnsi="Arial" w:cs="Arial"/>
          <w:sz w:val="24"/>
          <w:szCs w:val="24"/>
        </w:rPr>
        <w:t xml:space="preserve">, 44(2), pp. 350–383. </w:t>
      </w:r>
      <w:r>
        <w:rPr>
          <w:rFonts w:ascii="Arial" w:hAnsi="Arial" w:cs="Arial"/>
          <w:sz w:val="24"/>
          <w:szCs w:val="24"/>
        </w:rPr>
        <w:t xml:space="preserve">Available at: </w:t>
      </w:r>
      <w:hyperlink r:id="rId26" w:history="1">
        <w:r w:rsidRPr="008832AC">
          <w:rPr>
            <w:rStyle w:val="Hyperlink"/>
            <w:rFonts w:ascii="Arial" w:hAnsi="Arial" w:cs="Arial"/>
            <w:sz w:val="24"/>
            <w:szCs w:val="24"/>
          </w:rPr>
          <w:t>https://doi.org/10.2307/2666999</w:t>
        </w:r>
      </w:hyperlink>
      <w:r>
        <w:rPr>
          <w:rFonts w:ascii="Arial" w:hAnsi="Arial" w:cs="Arial"/>
          <w:sz w:val="24"/>
          <w:szCs w:val="24"/>
        </w:rPr>
        <w:t xml:space="preserve"> (Accessed 13 February 2026).</w:t>
      </w:r>
    </w:p>
    <w:p w14:paraId="0EB1E614" w14:textId="58CADAD9" w:rsidR="00EB6B95" w:rsidRDefault="00EB6B95" w:rsidP="007937F0">
      <w:pPr>
        <w:pStyle w:val="ListParagraph"/>
        <w:numPr>
          <w:ilvl w:val="0"/>
          <w:numId w:val="2"/>
        </w:numPr>
        <w:spacing w:line="360" w:lineRule="auto"/>
        <w:jc w:val="both"/>
        <w:rPr>
          <w:rFonts w:ascii="Arial" w:hAnsi="Arial" w:cs="Arial"/>
          <w:sz w:val="24"/>
          <w:szCs w:val="24"/>
        </w:rPr>
      </w:pPr>
      <w:r w:rsidRPr="00EB6B95">
        <w:rPr>
          <w:rFonts w:ascii="Arial" w:hAnsi="Arial" w:cs="Arial"/>
          <w:sz w:val="24"/>
          <w:szCs w:val="24"/>
        </w:rPr>
        <w:t>Flyvbjerg, B. (2006)</w:t>
      </w:r>
      <w:r>
        <w:rPr>
          <w:rFonts w:ascii="Arial" w:hAnsi="Arial" w:cs="Arial"/>
          <w:sz w:val="24"/>
          <w:szCs w:val="24"/>
        </w:rPr>
        <w:t xml:space="preserve">. </w:t>
      </w:r>
      <w:r w:rsidRPr="00EB6B95">
        <w:rPr>
          <w:rFonts w:ascii="Arial" w:hAnsi="Arial" w:cs="Arial"/>
          <w:sz w:val="24"/>
          <w:szCs w:val="24"/>
        </w:rPr>
        <w:t xml:space="preserve">Five misunderstandings about case-study research, </w:t>
      </w:r>
      <w:r w:rsidRPr="00EB6B95">
        <w:rPr>
          <w:rFonts w:ascii="Arial" w:hAnsi="Arial" w:cs="Arial"/>
          <w:i/>
          <w:iCs/>
          <w:sz w:val="24"/>
          <w:szCs w:val="24"/>
        </w:rPr>
        <w:t>Qualitative Inquiry</w:t>
      </w:r>
      <w:r w:rsidRPr="00EB6B95">
        <w:rPr>
          <w:rFonts w:ascii="Arial" w:hAnsi="Arial" w:cs="Arial"/>
          <w:sz w:val="24"/>
          <w:szCs w:val="24"/>
        </w:rPr>
        <w:t xml:space="preserve">, 12(2), pp. 219–245. </w:t>
      </w:r>
      <w:r>
        <w:rPr>
          <w:rFonts w:ascii="Arial" w:hAnsi="Arial" w:cs="Arial"/>
          <w:sz w:val="24"/>
          <w:szCs w:val="24"/>
        </w:rPr>
        <w:t xml:space="preserve">Available at: </w:t>
      </w:r>
      <w:hyperlink r:id="rId27" w:history="1">
        <w:r w:rsidRPr="008832AC">
          <w:rPr>
            <w:rStyle w:val="Hyperlink"/>
            <w:rFonts w:ascii="Arial" w:hAnsi="Arial" w:cs="Arial"/>
            <w:sz w:val="24"/>
            <w:szCs w:val="24"/>
          </w:rPr>
          <w:t>https://doi.org/10.1177/1077800405284363</w:t>
        </w:r>
      </w:hyperlink>
      <w:r>
        <w:rPr>
          <w:rFonts w:ascii="Arial" w:hAnsi="Arial" w:cs="Arial"/>
          <w:sz w:val="24"/>
          <w:szCs w:val="24"/>
        </w:rPr>
        <w:t xml:space="preserve"> (Accessed 13 February 2026).</w:t>
      </w:r>
    </w:p>
    <w:p w14:paraId="4F0570F5" w14:textId="0C3EE276" w:rsidR="00843B8D" w:rsidRPr="00843B8D" w:rsidRDefault="00843B8D" w:rsidP="00843B8D">
      <w:pPr>
        <w:pStyle w:val="ListParagraph"/>
        <w:numPr>
          <w:ilvl w:val="0"/>
          <w:numId w:val="2"/>
        </w:numPr>
        <w:spacing w:line="360" w:lineRule="auto"/>
        <w:jc w:val="both"/>
        <w:rPr>
          <w:rFonts w:ascii="Arial" w:hAnsi="Arial" w:cs="Arial"/>
          <w:sz w:val="24"/>
          <w:szCs w:val="24"/>
        </w:rPr>
      </w:pPr>
      <w:r w:rsidRPr="00843B8D">
        <w:rPr>
          <w:rFonts w:ascii="Arial" w:hAnsi="Arial" w:cs="Arial"/>
          <w:sz w:val="24"/>
          <w:szCs w:val="24"/>
        </w:rPr>
        <w:t>Grandey, A.A. (2000)</w:t>
      </w:r>
      <w:r>
        <w:rPr>
          <w:rFonts w:ascii="Arial" w:hAnsi="Arial" w:cs="Arial"/>
          <w:sz w:val="24"/>
          <w:szCs w:val="24"/>
        </w:rPr>
        <w:t xml:space="preserve">. </w:t>
      </w:r>
      <w:r w:rsidRPr="00843B8D">
        <w:rPr>
          <w:rFonts w:ascii="Arial" w:hAnsi="Arial" w:cs="Arial"/>
          <w:sz w:val="24"/>
          <w:szCs w:val="24"/>
        </w:rPr>
        <w:t xml:space="preserve">Emotion regulation in the workplace: A new way to conceptualize emotional </w:t>
      </w:r>
      <w:r>
        <w:rPr>
          <w:rFonts w:ascii="Arial" w:hAnsi="Arial" w:cs="Arial"/>
          <w:sz w:val="24"/>
          <w:szCs w:val="24"/>
        </w:rPr>
        <w:t>labour</w:t>
      </w:r>
      <w:r w:rsidRPr="00843B8D">
        <w:rPr>
          <w:rFonts w:ascii="Arial" w:hAnsi="Arial" w:cs="Arial"/>
          <w:sz w:val="24"/>
          <w:szCs w:val="24"/>
        </w:rPr>
        <w:t xml:space="preserve">, </w:t>
      </w:r>
      <w:r w:rsidRPr="00843B8D">
        <w:rPr>
          <w:rFonts w:ascii="Arial" w:hAnsi="Arial" w:cs="Arial"/>
          <w:i/>
          <w:iCs/>
          <w:sz w:val="24"/>
          <w:szCs w:val="24"/>
        </w:rPr>
        <w:t>Journal of Occupational Health Psychology</w:t>
      </w:r>
      <w:r w:rsidRPr="00843B8D">
        <w:rPr>
          <w:rFonts w:ascii="Arial" w:hAnsi="Arial" w:cs="Arial"/>
          <w:sz w:val="24"/>
          <w:szCs w:val="24"/>
        </w:rPr>
        <w:t>, 5(1), pp. 95–110.</w:t>
      </w:r>
      <w:r>
        <w:rPr>
          <w:rFonts w:ascii="Arial" w:hAnsi="Arial" w:cs="Arial"/>
          <w:sz w:val="24"/>
          <w:szCs w:val="24"/>
        </w:rPr>
        <w:t xml:space="preserve"> Available at: </w:t>
      </w:r>
      <w:hyperlink r:id="rId28" w:history="1">
        <w:r w:rsidRPr="00E416FD">
          <w:rPr>
            <w:rStyle w:val="Hyperlink"/>
            <w:rFonts w:ascii="Arial" w:hAnsi="Arial" w:cs="Arial"/>
            <w:sz w:val="24"/>
            <w:szCs w:val="24"/>
          </w:rPr>
          <w:t>https://doi.org/10.1037/1076-8998.5.1.95</w:t>
        </w:r>
      </w:hyperlink>
      <w:r>
        <w:rPr>
          <w:rFonts w:ascii="Arial" w:hAnsi="Arial" w:cs="Arial"/>
          <w:sz w:val="24"/>
          <w:szCs w:val="24"/>
        </w:rPr>
        <w:t xml:space="preserve"> (Accessed 23 February 2026).</w:t>
      </w:r>
    </w:p>
    <w:p w14:paraId="34626680" w14:textId="5F6D5453" w:rsidR="00112D1C" w:rsidRDefault="00112D1C" w:rsidP="007E1F30">
      <w:pPr>
        <w:pStyle w:val="ListParagraph"/>
        <w:numPr>
          <w:ilvl w:val="0"/>
          <w:numId w:val="2"/>
        </w:numPr>
        <w:spacing w:line="360" w:lineRule="auto"/>
        <w:jc w:val="both"/>
        <w:rPr>
          <w:rFonts w:ascii="Arial" w:hAnsi="Arial" w:cs="Arial"/>
          <w:sz w:val="24"/>
          <w:szCs w:val="24"/>
        </w:rPr>
      </w:pPr>
      <w:r w:rsidRPr="00112D1C">
        <w:rPr>
          <w:rFonts w:ascii="Arial" w:hAnsi="Arial" w:cs="Arial"/>
          <w:sz w:val="24"/>
          <w:szCs w:val="24"/>
        </w:rPr>
        <w:t xml:space="preserve">Grobelna, A. (2021). Emotional exhaustion and its consequences for hotel service quality: the critical role of workload and supervisor support, </w:t>
      </w:r>
      <w:r w:rsidRPr="00112D1C">
        <w:rPr>
          <w:rFonts w:ascii="Arial" w:hAnsi="Arial" w:cs="Arial"/>
          <w:i/>
          <w:iCs/>
          <w:sz w:val="24"/>
          <w:szCs w:val="24"/>
        </w:rPr>
        <w:t>Journal of Hospitality Marketing &amp; Management</w:t>
      </w:r>
      <w:r w:rsidRPr="00112D1C">
        <w:rPr>
          <w:rFonts w:ascii="Arial" w:hAnsi="Arial" w:cs="Arial"/>
          <w:sz w:val="24"/>
          <w:szCs w:val="24"/>
        </w:rPr>
        <w:t xml:space="preserve">, 30(4), pp. 395–418. </w:t>
      </w:r>
      <w:r w:rsidR="007E1F30">
        <w:rPr>
          <w:rFonts w:ascii="Arial" w:hAnsi="Arial" w:cs="Arial"/>
          <w:sz w:val="24"/>
          <w:szCs w:val="24"/>
        </w:rPr>
        <w:t xml:space="preserve">Available at: </w:t>
      </w:r>
      <w:hyperlink r:id="rId29" w:history="1">
        <w:r w:rsidR="007E1F30" w:rsidRPr="00FB248E">
          <w:rPr>
            <w:rStyle w:val="Hyperlink"/>
            <w:rFonts w:ascii="Arial" w:hAnsi="Arial" w:cs="Arial"/>
            <w:sz w:val="24"/>
            <w:szCs w:val="24"/>
          </w:rPr>
          <w:t>https://doi.org/10.1080/19368623.2021.1841704</w:t>
        </w:r>
      </w:hyperlink>
      <w:r w:rsidR="007E1F30">
        <w:rPr>
          <w:rFonts w:ascii="Arial" w:hAnsi="Arial" w:cs="Arial"/>
          <w:sz w:val="24"/>
          <w:szCs w:val="24"/>
        </w:rPr>
        <w:t xml:space="preserve"> </w:t>
      </w:r>
      <w:r w:rsidR="007E1F30" w:rsidRPr="007E1F30">
        <w:rPr>
          <w:rFonts w:ascii="Arial" w:hAnsi="Arial" w:cs="Arial"/>
          <w:sz w:val="24"/>
          <w:szCs w:val="24"/>
        </w:rPr>
        <w:t>(Accessed</w:t>
      </w:r>
      <w:r w:rsidR="007E1F30">
        <w:rPr>
          <w:rFonts w:ascii="Arial" w:hAnsi="Arial" w:cs="Arial"/>
          <w:sz w:val="24"/>
          <w:szCs w:val="24"/>
        </w:rPr>
        <w:t xml:space="preserve"> </w:t>
      </w:r>
      <w:r w:rsidR="00B368F9">
        <w:rPr>
          <w:rFonts w:ascii="Arial" w:hAnsi="Arial" w:cs="Arial"/>
          <w:sz w:val="24"/>
          <w:szCs w:val="24"/>
        </w:rPr>
        <w:t>16 January 2026</w:t>
      </w:r>
      <w:r w:rsidR="007E1F30" w:rsidRPr="007E1F30">
        <w:rPr>
          <w:rFonts w:ascii="Arial" w:hAnsi="Arial" w:cs="Arial"/>
          <w:sz w:val="24"/>
          <w:szCs w:val="24"/>
        </w:rPr>
        <w:t>)</w:t>
      </w:r>
      <w:r w:rsidR="00B368F9">
        <w:rPr>
          <w:rFonts w:ascii="Arial" w:hAnsi="Arial" w:cs="Arial"/>
          <w:sz w:val="24"/>
          <w:szCs w:val="24"/>
        </w:rPr>
        <w:t>.</w:t>
      </w:r>
    </w:p>
    <w:p w14:paraId="6551B5A7" w14:textId="48C9F4B4" w:rsidR="00977D8F" w:rsidRDefault="00977D8F" w:rsidP="007E1F30">
      <w:pPr>
        <w:pStyle w:val="ListParagraph"/>
        <w:numPr>
          <w:ilvl w:val="0"/>
          <w:numId w:val="2"/>
        </w:numPr>
        <w:spacing w:line="360" w:lineRule="auto"/>
        <w:jc w:val="both"/>
        <w:rPr>
          <w:rFonts w:ascii="Arial" w:hAnsi="Arial" w:cs="Arial"/>
          <w:sz w:val="24"/>
          <w:szCs w:val="24"/>
        </w:rPr>
      </w:pPr>
      <w:r w:rsidRPr="00977D8F">
        <w:rPr>
          <w:rFonts w:ascii="Arial" w:hAnsi="Arial" w:cs="Arial"/>
          <w:sz w:val="24"/>
          <w:szCs w:val="24"/>
        </w:rPr>
        <w:t>Grönroos, C. (2008)</w:t>
      </w:r>
      <w:r>
        <w:rPr>
          <w:rFonts w:ascii="Arial" w:hAnsi="Arial" w:cs="Arial"/>
          <w:sz w:val="24"/>
          <w:szCs w:val="24"/>
        </w:rPr>
        <w:t xml:space="preserve">. </w:t>
      </w:r>
      <w:r w:rsidRPr="00977D8F">
        <w:rPr>
          <w:rFonts w:ascii="Arial" w:hAnsi="Arial" w:cs="Arial"/>
          <w:sz w:val="24"/>
          <w:szCs w:val="24"/>
        </w:rPr>
        <w:t>Service logic revisited: who creates value? And who co</w:t>
      </w:r>
      <w:r w:rsidRPr="00977D8F">
        <w:rPr>
          <w:rFonts w:ascii="Cambria Math" w:hAnsi="Cambria Math" w:cs="Cambria Math"/>
          <w:sz w:val="24"/>
          <w:szCs w:val="24"/>
        </w:rPr>
        <w:t>‐</w:t>
      </w:r>
      <w:r w:rsidRPr="00977D8F">
        <w:rPr>
          <w:rFonts w:ascii="Arial" w:hAnsi="Arial" w:cs="Arial"/>
          <w:sz w:val="24"/>
          <w:szCs w:val="24"/>
        </w:rPr>
        <w:t>creates?</w:t>
      </w:r>
      <w:r>
        <w:rPr>
          <w:rFonts w:ascii="Arial" w:hAnsi="Arial" w:cs="Arial"/>
          <w:sz w:val="24"/>
          <w:szCs w:val="24"/>
        </w:rPr>
        <w:t>,</w:t>
      </w:r>
      <w:r w:rsidRPr="00977D8F">
        <w:rPr>
          <w:rFonts w:ascii="Arial" w:hAnsi="Arial" w:cs="Arial"/>
          <w:sz w:val="24"/>
          <w:szCs w:val="24"/>
        </w:rPr>
        <w:t xml:space="preserve"> </w:t>
      </w:r>
      <w:r w:rsidRPr="00977D8F">
        <w:rPr>
          <w:rFonts w:ascii="Arial" w:hAnsi="Arial" w:cs="Arial"/>
          <w:i/>
          <w:iCs/>
          <w:sz w:val="24"/>
          <w:szCs w:val="24"/>
        </w:rPr>
        <w:t>European Business Review</w:t>
      </w:r>
      <w:r w:rsidRPr="00977D8F">
        <w:rPr>
          <w:rFonts w:ascii="Arial" w:hAnsi="Arial" w:cs="Arial"/>
          <w:sz w:val="24"/>
          <w:szCs w:val="24"/>
        </w:rPr>
        <w:t>, 20(4), pp. 298–314.</w:t>
      </w:r>
      <w:r>
        <w:rPr>
          <w:rFonts w:ascii="Arial" w:hAnsi="Arial" w:cs="Arial"/>
          <w:sz w:val="24"/>
          <w:szCs w:val="24"/>
        </w:rPr>
        <w:t xml:space="preserve"> Available at: </w:t>
      </w:r>
      <w:r w:rsidRPr="00977D8F">
        <w:rPr>
          <w:rFonts w:ascii="Arial" w:hAnsi="Arial" w:cs="Arial"/>
          <w:sz w:val="24"/>
          <w:szCs w:val="24"/>
        </w:rPr>
        <w:t xml:space="preserve"> </w:t>
      </w:r>
      <w:hyperlink r:id="rId30" w:history="1">
        <w:r w:rsidRPr="008832AC">
          <w:rPr>
            <w:rStyle w:val="Hyperlink"/>
            <w:rFonts w:ascii="Arial" w:hAnsi="Arial" w:cs="Arial"/>
            <w:sz w:val="24"/>
            <w:szCs w:val="24"/>
          </w:rPr>
          <w:t>https://doi.org/10.1108/09555340810886585</w:t>
        </w:r>
      </w:hyperlink>
      <w:r>
        <w:rPr>
          <w:rFonts w:ascii="Arial" w:hAnsi="Arial" w:cs="Arial"/>
          <w:sz w:val="24"/>
          <w:szCs w:val="24"/>
        </w:rPr>
        <w:t xml:space="preserve"> (Accessed 12 February 2026).</w:t>
      </w:r>
    </w:p>
    <w:p w14:paraId="76DEA879" w14:textId="417A48CD" w:rsidR="00FD7CEC" w:rsidRDefault="00FD7CEC" w:rsidP="007E1F30">
      <w:pPr>
        <w:pStyle w:val="ListParagraph"/>
        <w:numPr>
          <w:ilvl w:val="0"/>
          <w:numId w:val="2"/>
        </w:numPr>
        <w:spacing w:line="360" w:lineRule="auto"/>
        <w:jc w:val="both"/>
        <w:rPr>
          <w:rFonts w:ascii="Arial" w:hAnsi="Arial" w:cs="Arial"/>
          <w:sz w:val="24"/>
          <w:szCs w:val="24"/>
        </w:rPr>
      </w:pPr>
      <w:r w:rsidRPr="00FD7CEC">
        <w:rPr>
          <w:rFonts w:ascii="Arial" w:hAnsi="Arial" w:cs="Arial"/>
          <w:sz w:val="24"/>
          <w:szCs w:val="24"/>
        </w:rPr>
        <w:lastRenderedPageBreak/>
        <w:t>Han</w:t>
      </w:r>
      <w:r w:rsidR="00F66514">
        <w:rPr>
          <w:rFonts w:ascii="Arial" w:hAnsi="Arial" w:cs="Arial"/>
          <w:sz w:val="24"/>
          <w:szCs w:val="24"/>
        </w:rPr>
        <w:t>,</w:t>
      </w:r>
      <w:r w:rsidRPr="00FD7CEC">
        <w:rPr>
          <w:rFonts w:ascii="Arial" w:hAnsi="Arial" w:cs="Arial"/>
          <w:sz w:val="24"/>
          <w:szCs w:val="24"/>
        </w:rPr>
        <w:t xml:space="preserve"> JW (2022)</w:t>
      </w:r>
      <w:r>
        <w:rPr>
          <w:rFonts w:ascii="Arial" w:hAnsi="Arial" w:cs="Arial"/>
          <w:sz w:val="24"/>
          <w:szCs w:val="24"/>
        </w:rPr>
        <w:t xml:space="preserve">. </w:t>
      </w:r>
      <w:r w:rsidRPr="00FD7CEC">
        <w:rPr>
          <w:rFonts w:ascii="Arial" w:hAnsi="Arial" w:cs="Arial"/>
          <w:sz w:val="24"/>
          <w:szCs w:val="24"/>
        </w:rPr>
        <w:t xml:space="preserve">A review of antecedents of employee turnover in the hospitality industry on individual, team and organizational levels. </w:t>
      </w:r>
      <w:r w:rsidRPr="00FD7CEC">
        <w:rPr>
          <w:rFonts w:ascii="Arial" w:hAnsi="Arial" w:cs="Arial"/>
          <w:i/>
          <w:iCs/>
          <w:sz w:val="24"/>
          <w:szCs w:val="24"/>
        </w:rPr>
        <w:t>International Hospitality Review</w:t>
      </w:r>
      <w:r w:rsidRPr="00FD7CEC">
        <w:rPr>
          <w:rFonts w:ascii="Arial" w:hAnsi="Arial" w:cs="Arial"/>
          <w:sz w:val="24"/>
          <w:szCs w:val="24"/>
        </w:rPr>
        <w:t>, 36</w:t>
      </w:r>
      <w:r w:rsidR="00A27D43">
        <w:rPr>
          <w:rFonts w:ascii="Arial" w:hAnsi="Arial" w:cs="Arial"/>
          <w:sz w:val="24"/>
          <w:szCs w:val="24"/>
        </w:rPr>
        <w:t>(</w:t>
      </w:r>
      <w:r w:rsidRPr="00FD7CEC">
        <w:rPr>
          <w:rFonts w:ascii="Arial" w:hAnsi="Arial" w:cs="Arial"/>
          <w:sz w:val="24"/>
          <w:szCs w:val="24"/>
        </w:rPr>
        <w:t>1</w:t>
      </w:r>
      <w:r w:rsidR="00A27D43">
        <w:rPr>
          <w:rFonts w:ascii="Arial" w:hAnsi="Arial" w:cs="Arial"/>
          <w:sz w:val="24"/>
          <w:szCs w:val="24"/>
        </w:rPr>
        <w:t>),</w:t>
      </w:r>
      <w:r w:rsidRPr="00FD7CEC">
        <w:rPr>
          <w:rFonts w:ascii="Arial" w:hAnsi="Arial" w:cs="Arial"/>
          <w:sz w:val="24"/>
          <w:szCs w:val="24"/>
        </w:rPr>
        <w:t xml:space="preserve"> pp. 156–173</w:t>
      </w:r>
      <w:r w:rsidR="00A27D43">
        <w:rPr>
          <w:rFonts w:ascii="Arial" w:hAnsi="Arial" w:cs="Arial"/>
          <w:sz w:val="24"/>
          <w:szCs w:val="24"/>
        </w:rPr>
        <w:t>. Available at:</w:t>
      </w:r>
      <w:r w:rsidRPr="00FD7CEC">
        <w:rPr>
          <w:rFonts w:ascii="Arial" w:hAnsi="Arial" w:cs="Arial"/>
          <w:sz w:val="24"/>
          <w:szCs w:val="24"/>
        </w:rPr>
        <w:t xml:space="preserve"> </w:t>
      </w:r>
      <w:hyperlink r:id="rId31" w:history="1">
        <w:r w:rsidR="00A27D43" w:rsidRPr="00D42641">
          <w:rPr>
            <w:rStyle w:val="Hyperlink"/>
            <w:rFonts w:ascii="Arial" w:hAnsi="Arial" w:cs="Arial"/>
            <w:sz w:val="24"/>
            <w:szCs w:val="24"/>
          </w:rPr>
          <w:t>https://doi.org/10.1108/IHR-09-2020-0050</w:t>
        </w:r>
      </w:hyperlink>
      <w:r w:rsidR="00A27D43">
        <w:rPr>
          <w:rFonts w:ascii="Arial" w:hAnsi="Arial" w:cs="Arial"/>
          <w:sz w:val="24"/>
          <w:szCs w:val="24"/>
        </w:rPr>
        <w:t xml:space="preserve"> (Accessed 7 February 2026).</w:t>
      </w:r>
    </w:p>
    <w:p w14:paraId="5E8A3C58" w14:textId="08A909CC" w:rsidR="00923132" w:rsidRDefault="00923132" w:rsidP="007E1F30">
      <w:pPr>
        <w:pStyle w:val="ListParagraph"/>
        <w:numPr>
          <w:ilvl w:val="0"/>
          <w:numId w:val="2"/>
        </w:numPr>
        <w:spacing w:line="360" w:lineRule="auto"/>
        <w:jc w:val="both"/>
        <w:rPr>
          <w:rFonts w:ascii="Arial" w:hAnsi="Arial" w:cs="Arial"/>
          <w:sz w:val="24"/>
          <w:szCs w:val="24"/>
        </w:rPr>
      </w:pPr>
      <w:r w:rsidRPr="00923132">
        <w:rPr>
          <w:rFonts w:ascii="Arial" w:hAnsi="Arial" w:cs="Arial"/>
          <w:sz w:val="24"/>
          <w:szCs w:val="24"/>
        </w:rPr>
        <w:t>Hochschild, A.R. (1983)</w:t>
      </w:r>
      <w:r>
        <w:rPr>
          <w:rFonts w:ascii="Arial" w:hAnsi="Arial" w:cs="Arial"/>
          <w:sz w:val="24"/>
          <w:szCs w:val="24"/>
        </w:rPr>
        <w:t xml:space="preserve">. </w:t>
      </w:r>
      <w:r w:rsidRPr="00923132">
        <w:rPr>
          <w:rFonts w:ascii="Arial" w:hAnsi="Arial" w:cs="Arial"/>
          <w:i/>
          <w:iCs/>
          <w:sz w:val="24"/>
          <w:szCs w:val="24"/>
        </w:rPr>
        <w:t>The Managed Heart: Commercialization of Human Feeling</w:t>
      </w:r>
      <w:r w:rsidRPr="00923132">
        <w:rPr>
          <w:rFonts w:ascii="Arial" w:hAnsi="Arial" w:cs="Arial"/>
          <w:sz w:val="24"/>
          <w:szCs w:val="24"/>
        </w:rPr>
        <w:t>. Berkeley: University of California Press.</w:t>
      </w:r>
    </w:p>
    <w:p w14:paraId="502876A7" w14:textId="3C2B1F79" w:rsidR="000006A9" w:rsidRPr="000006A9" w:rsidRDefault="000006A9" w:rsidP="000006A9">
      <w:pPr>
        <w:pStyle w:val="ListParagraph"/>
        <w:numPr>
          <w:ilvl w:val="0"/>
          <w:numId w:val="2"/>
        </w:numPr>
        <w:spacing w:line="360" w:lineRule="auto"/>
        <w:jc w:val="both"/>
        <w:rPr>
          <w:rFonts w:ascii="Arial" w:hAnsi="Arial" w:cs="Arial"/>
          <w:sz w:val="24"/>
          <w:szCs w:val="24"/>
        </w:rPr>
      </w:pPr>
      <w:r w:rsidRPr="000006A9">
        <w:rPr>
          <w:rFonts w:ascii="Arial" w:hAnsi="Arial" w:cs="Arial"/>
          <w:sz w:val="24"/>
          <w:szCs w:val="24"/>
        </w:rPr>
        <w:t>Hom, P.W., Lee, T.W., Shaw, J.D. and Hausknecht, J.P. (2017)</w:t>
      </w:r>
      <w:r>
        <w:rPr>
          <w:rFonts w:ascii="Arial" w:hAnsi="Arial" w:cs="Arial"/>
          <w:sz w:val="24"/>
          <w:szCs w:val="24"/>
        </w:rPr>
        <w:t xml:space="preserve">. </w:t>
      </w:r>
      <w:r w:rsidRPr="000006A9">
        <w:rPr>
          <w:rFonts w:ascii="Arial" w:hAnsi="Arial" w:cs="Arial"/>
          <w:sz w:val="24"/>
          <w:szCs w:val="24"/>
        </w:rPr>
        <w:t xml:space="preserve">One hundred years of employee turnover theory and research, </w:t>
      </w:r>
      <w:r w:rsidRPr="000006A9">
        <w:rPr>
          <w:rFonts w:ascii="Arial" w:hAnsi="Arial" w:cs="Arial"/>
          <w:i/>
          <w:iCs/>
          <w:sz w:val="24"/>
          <w:szCs w:val="24"/>
        </w:rPr>
        <w:t>Journal of Applied Psychology</w:t>
      </w:r>
      <w:r w:rsidRPr="000006A9">
        <w:rPr>
          <w:rFonts w:ascii="Arial" w:hAnsi="Arial" w:cs="Arial"/>
          <w:sz w:val="24"/>
          <w:szCs w:val="24"/>
        </w:rPr>
        <w:t>, 102(3), pp. 530–545.</w:t>
      </w:r>
      <w:r>
        <w:rPr>
          <w:rFonts w:ascii="Arial" w:hAnsi="Arial" w:cs="Arial"/>
          <w:sz w:val="24"/>
          <w:szCs w:val="24"/>
        </w:rPr>
        <w:t xml:space="preserve"> Available at: </w:t>
      </w:r>
      <w:hyperlink r:id="rId32" w:history="1">
        <w:r w:rsidRPr="00CA0362">
          <w:rPr>
            <w:rStyle w:val="Hyperlink"/>
            <w:rFonts w:ascii="Arial" w:hAnsi="Arial" w:cs="Arial"/>
            <w:sz w:val="24"/>
            <w:szCs w:val="24"/>
          </w:rPr>
          <w:t>https://doi.org/10.1037/apl0000103</w:t>
        </w:r>
      </w:hyperlink>
      <w:r>
        <w:rPr>
          <w:rFonts w:ascii="Arial" w:hAnsi="Arial" w:cs="Arial"/>
          <w:sz w:val="24"/>
          <w:szCs w:val="24"/>
        </w:rPr>
        <w:t xml:space="preserve"> (Accessed 20 January 2026).</w:t>
      </w:r>
    </w:p>
    <w:p w14:paraId="1E08A972" w14:textId="6A46ECB1" w:rsidR="00373F85" w:rsidRDefault="00373F85" w:rsidP="00273849">
      <w:pPr>
        <w:pStyle w:val="ListParagraph"/>
        <w:numPr>
          <w:ilvl w:val="0"/>
          <w:numId w:val="2"/>
        </w:numPr>
        <w:spacing w:line="360" w:lineRule="auto"/>
        <w:jc w:val="both"/>
        <w:rPr>
          <w:rFonts w:ascii="Arial" w:hAnsi="Arial" w:cs="Arial"/>
          <w:sz w:val="24"/>
          <w:szCs w:val="24"/>
        </w:rPr>
      </w:pPr>
      <w:r w:rsidRPr="00373F85">
        <w:rPr>
          <w:rFonts w:ascii="Arial" w:hAnsi="Arial" w:cs="Arial"/>
          <w:sz w:val="24"/>
          <w:szCs w:val="24"/>
        </w:rPr>
        <w:t>Hwang, J., Lee, J.J., Park, S., Chang, H. &amp; Kim, S.S. (2014)</w:t>
      </w:r>
      <w:r>
        <w:rPr>
          <w:rFonts w:ascii="Arial" w:hAnsi="Arial" w:cs="Arial"/>
          <w:sz w:val="24"/>
          <w:szCs w:val="24"/>
        </w:rPr>
        <w:t xml:space="preserve">. </w:t>
      </w:r>
      <w:r w:rsidRPr="00373F85">
        <w:rPr>
          <w:rFonts w:ascii="Arial" w:hAnsi="Arial" w:cs="Arial"/>
          <w:sz w:val="24"/>
          <w:szCs w:val="24"/>
        </w:rPr>
        <w:t xml:space="preserve">The impact of occupational stress on employee’s turnover intention in the luxury hotel segment, </w:t>
      </w:r>
      <w:r w:rsidRPr="00373F85">
        <w:rPr>
          <w:rFonts w:ascii="Arial" w:hAnsi="Arial" w:cs="Arial"/>
          <w:i/>
          <w:iCs/>
          <w:sz w:val="24"/>
          <w:szCs w:val="24"/>
        </w:rPr>
        <w:t>International Journal of Hospitality &amp; Tourism Administration</w:t>
      </w:r>
      <w:r w:rsidRPr="00373F85">
        <w:rPr>
          <w:rFonts w:ascii="Arial" w:hAnsi="Arial" w:cs="Arial"/>
          <w:sz w:val="24"/>
          <w:szCs w:val="24"/>
        </w:rPr>
        <w:t xml:space="preserve">, 15(1), pp. 60–77. </w:t>
      </w:r>
      <w:r>
        <w:rPr>
          <w:rFonts w:ascii="Arial" w:hAnsi="Arial" w:cs="Arial"/>
          <w:sz w:val="24"/>
          <w:szCs w:val="24"/>
        </w:rPr>
        <w:t xml:space="preserve">Available at: </w:t>
      </w:r>
      <w:hyperlink r:id="rId33" w:history="1">
        <w:r w:rsidRPr="00E9005B">
          <w:rPr>
            <w:rStyle w:val="Hyperlink"/>
            <w:rFonts w:ascii="Arial" w:hAnsi="Arial" w:cs="Arial"/>
            <w:sz w:val="24"/>
            <w:szCs w:val="24"/>
          </w:rPr>
          <w:t>https://doi.org/10.1080/15256480.2014.872898</w:t>
        </w:r>
      </w:hyperlink>
      <w:r>
        <w:rPr>
          <w:rFonts w:ascii="Arial" w:hAnsi="Arial" w:cs="Arial"/>
          <w:sz w:val="24"/>
          <w:szCs w:val="24"/>
        </w:rPr>
        <w:t xml:space="preserve"> (Accessed 11 February 2026).</w:t>
      </w:r>
    </w:p>
    <w:p w14:paraId="143866E5" w14:textId="7177DA90" w:rsidR="00273849" w:rsidRDefault="00273849" w:rsidP="00273849">
      <w:pPr>
        <w:pStyle w:val="ListParagraph"/>
        <w:numPr>
          <w:ilvl w:val="0"/>
          <w:numId w:val="2"/>
        </w:numPr>
        <w:spacing w:line="360" w:lineRule="auto"/>
        <w:jc w:val="both"/>
        <w:rPr>
          <w:rFonts w:ascii="Arial" w:hAnsi="Arial" w:cs="Arial"/>
          <w:sz w:val="24"/>
          <w:szCs w:val="24"/>
        </w:rPr>
      </w:pPr>
      <w:r w:rsidRPr="00273849">
        <w:rPr>
          <w:rFonts w:ascii="Arial" w:hAnsi="Arial" w:cs="Arial"/>
          <w:sz w:val="24"/>
          <w:szCs w:val="24"/>
        </w:rPr>
        <w:t>Jin, Y., Cheng, B. and Wang, X. (2021)</w:t>
      </w:r>
      <w:r>
        <w:rPr>
          <w:rFonts w:ascii="Arial" w:hAnsi="Arial" w:cs="Arial"/>
          <w:sz w:val="24"/>
          <w:szCs w:val="24"/>
        </w:rPr>
        <w:t xml:space="preserve">. </w:t>
      </w:r>
      <w:r w:rsidRPr="00273849">
        <w:rPr>
          <w:rFonts w:ascii="Arial" w:hAnsi="Arial" w:cs="Arial"/>
          <w:sz w:val="24"/>
          <w:szCs w:val="24"/>
        </w:rPr>
        <w:t xml:space="preserve">Role Stress and Prosocial Service Behavior of Hotel Employees: A Moderated Mediation Model of Job Satisfaction and Social Support, </w:t>
      </w:r>
      <w:r w:rsidRPr="00273849">
        <w:rPr>
          <w:rFonts w:ascii="Arial" w:hAnsi="Arial" w:cs="Arial"/>
          <w:i/>
          <w:iCs/>
          <w:sz w:val="24"/>
          <w:szCs w:val="24"/>
        </w:rPr>
        <w:t>Frontiers in Psychology</w:t>
      </w:r>
      <w:r w:rsidRPr="00273849">
        <w:rPr>
          <w:rFonts w:ascii="Arial" w:hAnsi="Arial" w:cs="Arial"/>
          <w:sz w:val="24"/>
          <w:szCs w:val="24"/>
        </w:rPr>
        <w:t xml:space="preserve">, 12, 698027. Available at: </w:t>
      </w:r>
      <w:hyperlink r:id="rId34" w:history="1">
        <w:r w:rsidRPr="00FB248E">
          <w:rPr>
            <w:rStyle w:val="Hyperlink"/>
            <w:rFonts w:ascii="Arial" w:hAnsi="Arial" w:cs="Arial"/>
            <w:sz w:val="24"/>
            <w:szCs w:val="24"/>
          </w:rPr>
          <w:t>https://doi.org/10.3389/fpsyg.2021.698027</w:t>
        </w:r>
      </w:hyperlink>
      <w:r>
        <w:rPr>
          <w:rFonts w:ascii="Arial" w:hAnsi="Arial" w:cs="Arial"/>
          <w:sz w:val="24"/>
          <w:szCs w:val="24"/>
        </w:rPr>
        <w:t xml:space="preserve"> </w:t>
      </w:r>
      <w:r w:rsidRPr="00273849">
        <w:rPr>
          <w:rFonts w:ascii="Arial" w:hAnsi="Arial" w:cs="Arial"/>
          <w:sz w:val="24"/>
          <w:szCs w:val="24"/>
        </w:rPr>
        <w:t>(Accessed</w:t>
      </w:r>
      <w:r w:rsidR="009D1651">
        <w:rPr>
          <w:rFonts w:ascii="Arial" w:hAnsi="Arial" w:cs="Arial"/>
          <w:sz w:val="24"/>
          <w:szCs w:val="24"/>
        </w:rPr>
        <w:t xml:space="preserve"> </w:t>
      </w:r>
      <w:r w:rsidR="00801012">
        <w:rPr>
          <w:rFonts w:ascii="Arial" w:hAnsi="Arial" w:cs="Arial"/>
          <w:sz w:val="24"/>
          <w:szCs w:val="24"/>
        </w:rPr>
        <w:t>17 January 2026</w:t>
      </w:r>
      <w:r w:rsidRPr="00273849">
        <w:rPr>
          <w:rFonts w:ascii="Arial" w:hAnsi="Arial" w:cs="Arial"/>
          <w:sz w:val="24"/>
          <w:szCs w:val="24"/>
        </w:rPr>
        <w:t>).</w:t>
      </w:r>
    </w:p>
    <w:p w14:paraId="513CB5D1" w14:textId="2B138F00" w:rsidR="003D2899" w:rsidRDefault="003D2899" w:rsidP="00273849">
      <w:pPr>
        <w:pStyle w:val="ListParagraph"/>
        <w:numPr>
          <w:ilvl w:val="0"/>
          <w:numId w:val="2"/>
        </w:numPr>
        <w:spacing w:line="360" w:lineRule="auto"/>
        <w:jc w:val="both"/>
        <w:rPr>
          <w:rFonts w:ascii="Arial" w:hAnsi="Arial" w:cs="Arial"/>
          <w:sz w:val="24"/>
          <w:szCs w:val="24"/>
        </w:rPr>
      </w:pPr>
      <w:r w:rsidRPr="003D2899">
        <w:rPr>
          <w:rFonts w:ascii="Arial" w:hAnsi="Arial" w:cs="Arial"/>
          <w:sz w:val="24"/>
          <w:szCs w:val="24"/>
        </w:rPr>
        <w:t>Jung, H.S. and Yoon, H.H. (2014)</w:t>
      </w:r>
      <w:r>
        <w:rPr>
          <w:rFonts w:ascii="Arial" w:hAnsi="Arial" w:cs="Arial"/>
          <w:sz w:val="24"/>
          <w:szCs w:val="24"/>
        </w:rPr>
        <w:t xml:space="preserve">. </w:t>
      </w:r>
      <w:r w:rsidRPr="003D2899">
        <w:rPr>
          <w:rFonts w:ascii="Arial" w:hAnsi="Arial" w:cs="Arial"/>
          <w:sz w:val="24"/>
          <w:szCs w:val="24"/>
        </w:rPr>
        <w:t xml:space="preserve">Antecedents and consequences of employees’ job stress in hotel restaurants, </w:t>
      </w:r>
      <w:r w:rsidRPr="003D2899">
        <w:rPr>
          <w:rFonts w:ascii="Arial" w:hAnsi="Arial" w:cs="Arial"/>
          <w:i/>
          <w:iCs/>
          <w:sz w:val="24"/>
          <w:szCs w:val="24"/>
        </w:rPr>
        <w:t>International Journal of Hospitality Management</w:t>
      </w:r>
      <w:r w:rsidRPr="003D2899">
        <w:rPr>
          <w:rFonts w:ascii="Arial" w:hAnsi="Arial" w:cs="Arial"/>
          <w:sz w:val="24"/>
          <w:szCs w:val="24"/>
        </w:rPr>
        <w:t>, 3</w:t>
      </w:r>
      <w:r w:rsidR="00AE13B0">
        <w:rPr>
          <w:rFonts w:ascii="Arial" w:hAnsi="Arial" w:cs="Arial"/>
          <w:sz w:val="24"/>
          <w:szCs w:val="24"/>
        </w:rPr>
        <w:t>8</w:t>
      </w:r>
      <w:r w:rsidRPr="003D2899">
        <w:rPr>
          <w:rFonts w:ascii="Arial" w:hAnsi="Arial" w:cs="Arial"/>
          <w:sz w:val="24"/>
          <w:szCs w:val="24"/>
        </w:rPr>
        <w:t xml:space="preserve">, pp. </w:t>
      </w:r>
      <w:r w:rsidR="00591D62">
        <w:rPr>
          <w:rFonts w:ascii="Arial" w:hAnsi="Arial" w:cs="Arial"/>
          <w:sz w:val="24"/>
          <w:szCs w:val="24"/>
        </w:rPr>
        <w:t>84</w:t>
      </w:r>
      <w:r w:rsidRPr="003D2899">
        <w:rPr>
          <w:rFonts w:ascii="Arial" w:hAnsi="Arial" w:cs="Arial"/>
          <w:sz w:val="24"/>
          <w:szCs w:val="24"/>
        </w:rPr>
        <w:t>–</w:t>
      </w:r>
      <w:r w:rsidR="00591D62">
        <w:rPr>
          <w:rFonts w:ascii="Arial" w:hAnsi="Arial" w:cs="Arial"/>
          <w:sz w:val="24"/>
          <w:szCs w:val="24"/>
        </w:rPr>
        <w:t>88</w:t>
      </w:r>
      <w:r w:rsidRPr="003D2899">
        <w:rPr>
          <w:rFonts w:ascii="Arial" w:hAnsi="Arial" w:cs="Arial"/>
          <w:sz w:val="24"/>
          <w:szCs w:val="24"/>
        </w:rPr>
        <w:t>.</w:t>
      </w:r>
      <w:r w:rsidR="00591D62">
        <w:rPr>
          <w:rFonts w:ascii="Arial" w:hAnsi="Arial" w:cs="Arial"/>
          <w:sz w:val="24"/>
          <w:szCs w:val="24"/>
        </w:rPr>
        <w:t xml:space="preserve"> Available at: </w:t>
      </w:r>
      <w:hyperlink r:id="rId35" w:history="1">
        <w:r w:rsidR="00591D62" w:rsidRPr="00E9005B">
          <w:rPr>
            <w:rStyle w:val="Hyperlink"/>
            <w:rFonts w:ascii="Arial" w:hAnsi="Arial" w:cs="Arial"/>
            <w:sz w:val="24"/>
            <w:szCs w:val="24"/>
          </w:rPr>
          <w:t>https://doi.org/10.1016/j.ijhm.2014.01.007</w:t>
        </w:r>
      </w:hyperlink>
      <w:r w:rsidR="00591D62">
        <w:rPr>
          <w:rFonts w:ascii="Arial" w:hAnsi="Arial" w:cs="Arial"/>
          <w:sz w:val="24"/>
          <w:szCs w:val="24"/>
        </w:rPr>
        <w:t xml:space="preserve"> (Accessed 10 February 2026).</w:t>
      </w:r>
    </w:p>
    <w:p w14:paraId="5767D01A" w14:textId="7E2DEAF5" w:rsidR="006E5534" w:rsidRDefault="006E5534" w:rsidP="006E5534">
      <w:pPr>
        <w:pStyle w:val="ListParagraph"/>
        <w:numPr>
          <w:ilvl w:val="0"/>
          <w:numId w:val="2"/>
        </w:numPr>
        <w:spacing w:line="360" w:lineRule="auto"/>
        <w:jc w:val="both"/>
        <w:rPr>
          <w:rFonts w:ascii="Arial" w:hAnsi="Arial" w:cs="Arial"/>
          <w:sz w:val="24"/>
          <w:szCs w:val="24"/>
        </w:rPr>
      </w:pPr>
      <w:r w:rsidRPr="006E5534">
        <w:rPr>
          <w:rFonts w:ascii="Arial" w:hAnsi="Arial" w:cs="Arial"/>
          <w:sz w:val="24"/>
          <w:szCs w:val="24"/>
        </w:rPr>
        <w:t>Karatepe, O.M. (2013)</w:t>
      </w:r>
      <w:r>
        <w:rPr>
          <w:rFonts w:ascii="Arial" w:hAnsi="Arial" w:cs="Arial"/>
          <w:sz w:val="24"/>
          <w:szCs w:val="24"/>
        </w:rPr>
        <w:t xml:space="preserve">. </w:t>
      </w:r>
      <w:r w:rsidRPr="006E5534">
        <w:rPr>
          <w:rFonts w:ascii="Arial" w:hAnsi="Arial" w:cs="Arial"/>
          <w:sz w:val="24"/>
          <w:szCs w:val="24"/>
        </w:rPr>
        <w:t xml:space="preserve">The effects of work overload and work-family conflict on job embeddedness and job performance: The mediation of emotional exhaustion, </w:t>
      </w:r>
      <w:r w:rsidRPr="006E5534">
        <w:rPr>
          <w:rFonts w:ascii="Arial" w:hAnsi="Arial" w:cs="Arial"/>
          <w:i/>
          <w:iCs/>
          <w:sz w:val="24"/>
          <w:szCs w:val="24"/>
        </w:rPr>
        <w:t>International Journal of Contemporary Hospitality Management</w:t>
      </w:r>
      <w:r w:rsidRPr="006E5534">
        <w:rPr>
          <w:rFonts w:ascii="Arial" w:hAnsi="Arial" w:cs="Arial"/>
          <w:sz w:val="24"/>
          <w:szCs w:val="24"/>
        </w:rPr>
        <w:t xml:space="preserve">, 25(4), pp. 614–634. Available at: </w:t>
      </w:r>
      <w:hyperlink r:id="rId36" w:history="1">
        <w:r w:rsidRPr="00FB248E">
          <w:rPr>
            <w:rStyle w:val="Hyperlink"/>
            <w:rFonts w:ascii="Arial" w:hAnsi="Arial" w:cs="Arial"/>
            <w:sz w:val="24"/>
            <w:szCs w:val="24"/>
          </w:rPr>
          <w:t>https://doi.org/10.1108/09596111311322952</w:t>
        </w:r>
      </w:hyperlink>
      <w:r>
        <w:rPr>
          <w:rFonts w:ascii="Arial" w:hAnsi="Arial" w:cs="Arial"/>
          <w:sz w:val="24"/>
          <w:szCs w:val="24"/>
        </w:rPr>
        <w:t xml:space="preserve"> </w:t>
      </w:r>
      <w:r w:rsidRPr="006E5534">
        <w:rPr>
          <w:rFonts w:ascii="Arial" w:hAnsi="Arial" w:cs="Arial"/>
          <w:sz w:val="24"/>
          <w:szCs w:val="24"/>
        </w:rPr>
        <w:t>(Accessed</w:t>
      </w:r>
      <w:r>
        <w:rPr>
          <w:rFonts w:ascii="Arial" w:hAnsi="Arial" w:cs="Arial"/>
          <w:sz w:val="24"/>
          <w:szCs w:val="24"/>
        </w:rPr>
        <w:t xml:space="preserve"> </w:t>
      </w:r>
      <w:r w:rsidR="00C7183B">
        <w:rPr>
          <w:rFonts w:ascii="Arial" w:hAnsi="Arial" w:cs="Arial"/>
          <w:sz w:val="24"/>
          <w:szCs w:val="24"/>
        </w:rPr>
        <w:t>19 January</w:t>
      </w:r>
      <w:r w:rsidRPr="006E5534">
        <w:rPr>
          <w:rFonts w:ascii="Arial" w:hAnsi="Arial" w:cs="Arial"/>
          <w:sz w:val="24"/>
          <w:szCs w:val="24"/>
        </w:rPr>
        <w:t>).</w:t>
      </w:r>
    </w:p>
    <w:p w14:paraId="2B9EC685" w14:textId="1B521C8D" w:rsidR="00AC6145" w:rsidRPr="006E5534" w:rsidRDefault="00AC6145" w:rsidP="006E5534">
      <w:pPr>
        <w:pStyle w:val="ListParagraph"/>
        <w:numPr>
          <w:ilvl w:val="0"/>
          <w:numId w:val="2"/>
        </w:numPr>
        <w:spacing w:line="360" w:lineRule="auto"/>
        <w:jc w:val="both"/>
        <w:rPr>
          <w:rFonts w:ascii="Arial" w:hAnsi="Arial" w:cs="Arial"/>
          <w:sz w:val="24"/>
          <w:szCs w:val="24"/>
        </w:rPr>
      </w:pPr>
      <w:r w:rsidRPr="00AC6145">
        <w:rPr>
          <w:rFonts w:ascii="Arial" w:hAnsi="Arial" w:cs="Arial"/>
          <w:sz w:val="24"/>
          <w:szCs w:val="24"/>
        </w:rPr>
        <w:t>Karatepe, O.M. and Aleshinloye, K.D. (2009)</w:t>
      </w:r>
      <w:r>
        <w:rPr>
          <w:rFonts w:ascii="Arial" w:hAnsi="Arial" w:cs="Arial"/>
          <w:sz w:val="24"/>
          <w:szCs w:val="24"/>
        </w:rPr>
        <w:t xml:space="preserve">. </w:t>
      </w:r>
      <w:r w:rsidRPr="00AC6145">
        <w:rPr>
          <w:rFonts w:ascii="Arial" w:hAnsi="Arial" w:cs="Arial"/>
          <w:sz w:val="24"/>
          <w:szCs w:val="24"/>
        </w:rPr>
        <w:t xml:space="preserve">Emotional dissonance and emotional exhaustion among hotel employees, </w:t>
      </w:r>
      <w:r w:rsidRPr="00AC6145">
        <w:rPr>
          <w:rFonts w:ascii="Arial" w:hAnsi="Arial" w:cs="Arial"/>
          <w:i/>
          <w:iCs/>
          <w:sz w:val="24"/>
          <w:szCs w:val="24"/>
        </w:rPr>
        <w:t>International Journal of Hospitality Management</w:t>
      </w:r>
      <w:r w:rsidRPr="00AC6145">
        <w:rPr>
          <w:rFonts w:ascii="Arial" w:hAnsi="Arial" w:cs="Arial"/>
          <w:sz w:val="24"/>
          <w:szCs w:val="24"/>
        </w:rPr>
        <w:t xml:space="preserve">, 28(3), pp. 349–358. </w:t>
      </w:r>
      <w:r>
        <w:rPr>
          <w:rFonts w:ascii="Arial" w:hAnsi="Arial" w:cs="Arial"/>
          <w:sz w:val="24"/>
          <w:szCs w:val="24"/>
        </w:rPr>
        <w:t xml:space="preserve">Available at: </w:t>
      </w:r>
      <w:hyperlink r:id="rId37" w:history="1">
        <w:r w:rsidRPr="00D42641">
          <w:rPr>
            <w:rStyle w:val="Hyperlink"/>
            <w:rFonts w:ascii="Arial" w:hAnsi="Arial" w:cs="Arial"/>
            <w:sz w:val="24"/>
            <w:szCs w:val="24"/>
          </w:rPr>
          <w:t>https://doi.org/10.1016/j.ijhm.2008.12.002</w:t>
        </w:r>
      </w:hyperlink>
      <w:r>
        <w:rPr>
          <w:rFonts w:ascii="Arial" w:hAnsi="Arial" w:cs="Arial"/>
          <w:sz w:val="24"/>
          <w:szCs w:val="24"/>
        </w:rPr>
        <w:t xml:space="preserve"> (Accessed 2 February 2026).</w:t>
      </w:r>
    </w:p>
    <w:p w14:paraId="21CEEC71" w14:textId="0E675B68" w:rsidR="009E1789" w:rsidRDefault="009E1789" w:rsidP="007E1F30">
      <w:pPr>
        <w:pStyle w:val="ListParagraph"/>
        <w:numPr>
          <w:ilvl w:val="0"/>
          <w:numId w:val="2"/>
        </w:numPr>
        <w:spacing w:line="360" w:lineRule="auto"/>
        <w:jc w:val="both"/>
        <w:rPr>
          <w:rFonts w:ascii="Arial" w:hAnsi="Arial" w:cs="Arial"/>
          <w:sz w:val="24"/>
          <w:szCs w:val="24"/>
        </w:rPr>
      </w:pPr>
      <w:r w:rsidRPr="009E1789">
        <w:rPr>
          <w:rFonts w:ascii="Arial" w:hAnsi="Arial" w:cs="Arial"/>
          <w:sz w:val="24"/>
          <w:szCs w:val="24"/>
        </w:rPr>
        <w:lastRenderedPageBreak/>
        <w:t>Karatepe, O.M. and Olugbade, O.A. (2009)</w:t>
      </w:r>
      <w:r>
        <w:rPr>
          <w:rFonts w:ascii="Arial" w:hAnsi="Arial" w:cs="Arial"/>
          <w:sz w:val="24"/>
          <w:szCs w:val="24"/>
        </w:rPr>
        <w:t xml:space="preserve">. </w:t>
      </w:r>
      <w:r w:rsidRPr="009E1789">
        <w:rPr>
          <w:rFonts w:ascii="Arial" w:hAnsi="Arial" w:cs="Arial"/>
          <w:sz w:val="24"/>
          <w:szCs w:val="24"/>
        </w:rPr>
        <w:t xml:space="preserve">The effects of job and personal resources on hotel employees’ work engagement, </w:t>
      </w:r>
      <w:r w:rsidRPr="009E1789">
        <w:rPr>
          <w:rFonts w:ascii="Arial" w:hAnsi="Arial" w:cs="Arial"/>
          <w:i/>
          <w:iCs/>
          <w:sz w:val="24"/>
          <w:szCs w:val="24"/>
        </w:rPr>
        <w:t>International Journal of Hospitality Management</w:t>
      </w:r>
      <w:r w:rsidRPr="009E1789">
        <w:rPr>
          <w:rFonts w:ascii="Arial" w:hAnsi="Arial" w:cs="Arial"/>
          <w:sz w:val="24"/>
          <w:szCs w:val="24"/>
        </w:rPr>
        <w:t xml:space="preserve">, 28(4), pp. 504–512. Available at: </w:t>
      </w:r>
      <w:hyperlink r:id="rId38" w:history="1">
        <w:r w:rsidRPr="00FB248E">
          <w:rPr>
            <w:rStyle w:val="Hyperlink"/>
            <w:rFonts w:ascii="Arial" w:hAnsi="Arial" w:cs="Arial"/>
            <w:sz w:val="24"/>
            <w:szCs w:val="24"/>
          </w:rPr>
          <w:t>https://doi.org/10.1016/j.ijhm.2009.02.003</w:t>
        </w:r>
      </w:hyperlink>
      <w:r>
        <w:rPr>
          <w:rFonts w:ascii="Arial" w:hAnsi="Arial" w:cs="Arial"/>
          <w:sz w:val="24"/>
          <w:szCs w:val="24"/>
        </w:rPr>
        <w:t xml:space="preserve"> (Accessed 16 January 2026).</w:t>
      </w:r>
    </w:p>
    <w:p w14:paraId="36B4CF4C" w14:textId="2F16512D" w:rsidR="00534E7B" w:rsidRDefault="00534E7B" w:rsidP="00534E7B">
      <w:pPr>
        <w:pStyle w:val="ListParagraph"/>
        <w:numPr>
          <w:ilvl w:val="0"/>
          <w:numId w:val="2"/>
        </w:numPr>
        <w:spacing w:line="360" w:lineRule="auto"/>
        <w:jc w:val="both"/>
        <w:rPr>
          <w:rFonts w:ascii="Arial" w:hAnsi="Arial" w:cs="Arial"/>
          <w:sz w:val="24"/>
          <w:szCs w:val="24"/>
        </w:rPr>
      </w:pPr>
      <w:r w:rsidRPr="00534E7B">
        <w:rPr>
          <w:rFonts w:ascii="Arial" w:hAnsi="Arial" w:cs="Arial"/>
          <w:sz w:val="24"/>
          <w:szCs w:val="24"/>
        </w:rPr>
        <w:t>Karatepe, O.M. and Shahriari, S. (2014)</w:t>
      </w:r>
      <w:r>
        <w:rPr>
          <w:rFonts w:ascii="Arial" w:hAnsi="Arial" w:cs="Arial"/>
          <w:sz w:val="24"/>
          <w:szCs w:val="24"/>
        </w:rPr>
        <w:t xml:space="preserve">. </w:t>
      </w:r>
      <w:r w:rsidRPr="00534E7B">
        <w:rPr>
          <w:rFonts w:ascii="Arial" w:hAnsi="Arial" w:cs="Arial"/>
          <w:sz w:val="24"/>
          <w:szCs w:val="24"/>
        </w:rPr>
        <w:t xml:space="preserve">Job embeddedness as a moderator of the impact of organisational justice on turnover intentions: A study in Iran, </w:t>
      </w:r>
      <w:r w:rsidRPr="00534E7B">
        <w:rPr>
          <w:rFonts w:ascii="Arial" w:hAnsi="Arial" w:cs="Arial"/>
          <w:i/>
          <w:iCs/>
          <w:sz w:val="24"/>
          <w:szCs w:val="24"/>
        </w:rPr>
        <w:t>International Journal of Tourism Research</w:t>
      </w:r>
      <w:r w:rsidRPr="00534E7B">
        <w:rPr>
          <w:rFonts w:ascii="Arial" w:hAnsi="Arial" w:cs="Arial"/>
          <w:sz w:val="24"/>
          <w:szCs w:val="24"/>
        </w:rPr>
        <w:t xml:space="preserve">, 16(1), pp. 22–32. Available at: </w:t>
      </w:r>
      <w:hyperlink r:id="rId39" w:history="1">
        <w:r w:rsidRPr="00FB248E">
          <w:rPr>
            <w:rStyle w:val="Hyperlink"/>
            <w:rFonts w:ascii="Arial" w:hAnsi="Arial" w:cs="Arial"/>
            <w:sz w:val="24"/>
            <w:szCs w:val="24"/>
          </w:rPr>
          <w:t>https://doi.org/10.1002/jtr.1894</w:t>
        </w:r>
      </w:hyperlink>
      <w:r>
        <w:rPr>
          <w:rFonts w:ascii="Arial" w:hAnsi="Arial" w:cs="Arial"/>
          <w:sz w:val="24"/>
          <w:szCs w:val="24"/>
        </w:rPr>
        <w:t xml:space="preserve"> </w:t>
      </w:r>
      <w:r w:rsidRPr="00534E7B">
        <w:rPr>
          <w:rFonts w:ascii="Arial" w:hAnsi="Arial" w:cs="Arial"/>
          <w:sz w:val="24"/>
          <w:szCs w:val="24"/>
        </w:rPr>
        <w:t>(Accessed</w:t>
      </w:r>
      <w:r>
        <w:rPr>
          <w:rFonts w:ascii="Arial" w:hAnsi="Arial" w:cs="Arial"/>
          <w:sz w:val="24"/>
          <w:szCs w:val="24"/>
        </w:rPr>
        <w:t xml:space="preserve"> 20 January 2026</w:t>
      </w:r>
      <w:r w:rsidRPr="00534E7B">
        <w:rPr>
          <w:rFonts w:ascii="Arial" w:hAnsi="Arial" w:cs="Arial"/>
          <w:sz w:val="24"/>
          <w:szCs w:val="24"/>
        </w:rPr>
        <w:t>)</w:t>
      </w:r>
      <w:r>
        <w:rPr>
          <w:rFonts w:ascii="Arial" w:hAnsi="Arial" w:cs="Arial"/>
          <w:sz w:val="24"/>
          <w:szCs w:val="24"/>
        </w:rPr>
        <w:t>.</w:t>
      </w:r>
    </w:p>
    <w:p w14:paraId="18B41D21" w14:textId="25AC6630" w:rsidR="00E14186" w:rsidRDefault="00E14186" w:rsidP="00534E7B">
      <w:pPr>
        <w:pStyle w:val="ListParagraph"/>
        <w:numPr>
          <w:ilvl w:val="0"/>
          <w:numId w:val="2"/>
        </w:numPr>
        <w:spacing w:line="360" w:lineRule="auto"/>
        <w:jc w:val="both"/>
        <w:rPr>
          <w:rFonts w:ascii="Arial" w:hAnsi="Arial" w:cs="Arial"/>
          <w:sz w:val="24"/>
          <w:szCs w:val="24"/>
        </w:rPr>
      </w:pPr>
      <w:r w:rsidRPr="00E14186">
        <w:rPr>
          <w:rFonts w:ascii="Arial" w:hAnsi="Arial" w:cs="Arial"/>
          <w:sz w:val="24"/>
          <w:szCs w:val="24"/>
        </w:rPr>
        <w:t>Kehoe, R.R. and Wright, P.M. (2013)</w:t>
      </w:r>
      <w:r>
        <w:rPr>
          <w:rFonts w:ascii="Arial" w:hAnsi="Arial" w:cs="Arial"/>
          <w:sz w:val="24"/>
          <w:szCs w:val="24"/>
        </w:rPr>
        <w:t xml:space="preserve">. </w:t>
      </w:r>
      <w:r w:rsidRPr="00E14186">
        <w:rPr>
          <w:rFonts w:ascii="Arial" w:hAnsi="Arial" w:cs="Arial"/>
          <w:sz w:val="24"/>
          <w:szCs w:val="24"/>
        </w:rPr>
        <w:t xml:space="preserve">The impact of high-performance human resource practices on employees’ attitudes and behaviours, </w:t>
      </w:r>
      <w:r w:rsidRPr="00E14186">
        <w:rPr>
          <w:rFonts w:ascii="Arial" w:hAnsi="Arial" w:cs="Arial"/>
          <w:i/>
          <w:iCs/>
          <w:sz w:val="24"/>
          <w:szCs w:val="24"/>
        </w:rPr>
        <w:t>Journal of Management</w:t>
      </w:r>
      <w:r w:rsidRPr="00E14186">
        <w:rPr>
          <w:rFonts w:ascii="Arial" w:hAnsi="Arial" w:cs="Arial"/>
          <w:sz w:val="24"/>
          <w:szCs w:val="24"/>
        </w:rPr>
        <w:t>, 39(2), pp. 366–391.</w:t>
      </w:r>
      <w:r w:rsidR="006E4F6D">
        <w:rPr>
          <w:rFonts w:ascii="Arial" w:hAnsi="Arial" w:cs="Arial"/>
          <w:sz w:val="24"/>
          <w:szCs w:val="24"/>
        </w:rPr>
        <w:t xml:space="preserve"> </w:t>
      </w:r>
      <w:r w:rsidR="006E4F6D" w:rsidRPr="006E4F6D">
        <w:rPr>
          <w:rFonts w:ascii="Arial" w:hAnsi="Arial" w:cs="Arial"/>
          <w:sz w:val="24"/>
          <w:szCs w:val="24"/>
        </w:rPr>
        <w:t xml:space="preserve">Available at: </w:t>
      </w:r>
      <w:hyperlink r:id="rId40" w:history="1">
        <w:r w:rsidR="006E4F6D" w:rsidRPr="00E9005B">
          <w:rPr>
            <w:rStyle w:val="Hyperlink"/>
            <w:rFonts w:ascii="Arial" w:hAnsi="Arial" w:cs="Arial"/>
            <w:sz w:val="24"/>
            <w:szCs w:val="24"/>
          </w:rPr>
          <w:t>https://doi.org/10.1177/0149206310365901</w:t>
        </w:r>
      </w:hyperlink>
      <w:r w:rsidR="006E4F6D">
        <w:rPr>
          <w:rFonts w:ascii="Arial" w:hAnsi="Arial" w:cs="Arial"/>
          <w:sz w:val="24"/>
          <w:szCs w:val="24"/>
        </w:rPr>
        <w:t xml:space="preserve"> (Accessed 11 February 2026).</w:t>
      </w:r>
    </w:p>
    <w:p w14:paraId="78E676F0" w14:textId="4BE3C334" w:rsidR="006C645B" w:rsidRDefault="006C645B" w:rsidP="00534E7B">
      <w:pPr>
        <w:pStyle w:val="ListParagraph"/>
        <w:numPr>
          <w:ilvl w:val="0"/>
          <w:numId w:val="2"/>
        </w:numPr>
        <w:spacing w:line="360" w:lineRule="auto"/>
        <w:jc w:val="both"/>
        <w:rPr>
          <w:rFonts w:ascii="Arial" w:hAnsi="Arial" w:cs="Arial"/>
          <w:sz w:val="24"/>
          <w:szCs w:val="24"/>
        </w:rPr>
      </w:pPr>
      <w:r w:rsidRPr="006C645B">
        <w:rPr>
          <w:rFonts w:ascii="Arial" w:hAnsi="Arial" w:cs="Arial"/>
          <w:sz w:val="24"/>
          <w:szCs w:val="24"/>
        </w:rPr>
        <w:t>Kim, H.J. (2008)</w:t>
      </w:r>
      <w:r>
        <w:rPr>
          <w:rFonts w:ascii="Arial" w:hAnsi="Arial" w:cs="Arial"/>
          <w:sz w:val="24"/>
          <w:szCs w:val="24"/>
        </w:rPr>
        <w:t xml:space="preserve">. </w:t>
      </w:r>
      <w:r w:rsidRPr="006C645B">
        <w:rPr>
          <w:rFonts w:ascii="Arial" w:hAnsi="Arial" w:cs="Arial"/>
          <w:sz w:val="24"/>
          <w:szCs w:val="24"/>
        </w:rPr>
        <w:t xml:space="preserve">Hotel service employees’ emotional labor and burnout, </w:t>
      </w:r>
      <w:r w:rsidRPr="006C645B">
        <w:rPr>
          <w:rFonts w:ascii="Arial" w:hAnsi="Arial" w:cs="Arial"/>
          <w:i/>
          <w:iCs/>
          <w:sz w:val="24"/>
          <w:szCs w:val="24"/>
        </w:rPr>
        <w:t>International Journal of Hospitality Management</w:t>
      </w:r>
      <w:r w:rsidRPr="006C645B">
        <w:rPr>
          <w:rFonts w:ascii="Arial" w:hAnsi="Arial" w:cs="Arial"/>
          <w:sz w:val="24"/>
          <w:szCs w:val="24"/>
        </w:rPr>
        <w:t xml:space="preserve">, 27(2), pp. 151–161. </w:t>
      </w:r>
      <w:r>
        <w:rPr>
          <w:rFonts w:ascii="Arial" w:hAnsi="Arial" w:cs="Arial"/>
          <w:sz w:val="24"/>
          <w:szCs w:val="24"/>
        </w:rPr>
        <w:t xml:space="preserve">Available at: </w:t>
      </w:r>
      <w:hyperlink r:id="rId41" w:history="1">
        <w:r w:rsidRPr="00D42641">
          <w:rPr>
            <w:rStyle w:val="Hyperlink"/>
            <w:rFonts w:ascii="Arial" w:hAnsi="Arial" w:cs="Arial"/>
            <w:sz w:val="24"/>
            <w:szCs w:val="24"/>
          </w:rPr>
          <w:t>https://doi.org/10.1016/j.ijhm.2007.07.019</w:t>
        </w:r>
      </w:hyperlink>
      <w:r>
        <w:rPr>
          <w:rFonts w:ascii="Arial" w:hAnsi="Arial" w:cs="Arial"/>
          <w:sz w:val="24"/>
          <w:szCs w:val="24"/>
        </w:rPr>
        <w:t xml:space="preserve"> (Accessed 3 February 2026).</w:t>
      </w:r>
    </w:p>
    <w:p w14:paraId="552CAE4F" w14:textId="279CDE0B" w:rsidR="00E47E6A" w:rsidRPr="00E47E6A" w:rsidRDefault="00E47E6A" w:rsidP="00E47E6A">
      <w:pPr>
        <w:pStyle w:val="ListParagraph"/>
        <w:numPr>
          <w:ilvl w:val="0"/>
          <w:numId w:val="2"/>
        </w:numPr>
        <w:spacing w:line="360" w:lineRule="auto"/>
        <w:jc w:val="both"/>
        <w:rPr>
          <w:rFonts w:ascii="Arial" w:hAnsi="Arial" w:cs="Arial"/>
          <w:sz w:val="24"/>
          <w:szCs w:val="24"/>
        </w:rPr>
      </w:pPr>
      <w:r w:rsidRPr="00E47E6A">
        <w:rPr>
          <w:rFonts w:ascii="Arial" w:hAnsi="Arial" w:cs="Arial"/>
          <w:sz w:val="24"/>
          <w:szCs w:val="24"/>
        </w:rPr>
        <w:t>Kim, W.G., Leong, J.K. and Lee, Y.K. (2005)</w:t>
      </w:r>
      <w:r>
        <w:rPr>
          <w:rFonts w:ascii="Arial" w:hAnsi="Arial" w:cs="Arial"/>
          <w:sz w:val="24"/>
          <w:szCs w:val="24"/>
        </w:rPr>
        <w:t xml:space="preserve">. </w:t>
      </w:r>
      <w:r w:rsidRPr="00E47E6A">
        <w:rPr>
          <w:rFonts w:ascii="Arial" w:hAnsi="Arial" w:cs="Arial"/>
          <w:sz w:val="24"/>
          <w:szCs w:val="24"/>
        </w:rPr>
        <w:t xml:space="preserve">Effect of service orientation on job satisfaction, organisational commitment and intention of leaving in a casual dining chain restaurant, </w:t>
      </w:r>
      <w:r w:rsidRPr="00E47E6A">
        <w:rPr>
          <w:rFonts w:ascii="Arial" w:hAnsi="Arial" w:cs="Arial"/>
          <w:i/>
          <w:iCs/>
          <w:sz w:val="24"/>
          <w:szCs w:val="24"/>
        </w:rPr>
        <w:t>International Journal of Hospitality Management</w:t>
      </w:r>
      <w:r w:rsidRPr="00E47E6A">
        <w:rPr>
          <w:rFonts w:ascii="Arial" w:hAnsi="Arial" w:cs="Arial"/>
          <w:sz w:val="24"/>
          <w:szCs w:val="24"/>
        </w:rPr>
        <w:t>, 24(2), pp. 171–193.</w:t>
      </w:r>
      <w:r w:rsidR="003F2F5E">
        <w:rPr>
          <w:rFonts w:ascii="Arial" w:hAnsi="Arial" w:cs="Arial"/>
          <w:sz w:val="24"/>
          <w:szCs w:val="24"/>
        </w:rPr>
        <w:t xml:space="preserve"> Available at: </w:t>
      </w:r>
      <w:hyperlink r:id="rId42" w:history="1">
        <w:r w:rsidR="003F2F5E" w:rsidRPr="00E416FD">
          <w:rPr>
            <w:rStyle w:val="Hyperlink"/>
            <w:rFonts w:ascii="Arial" w:hAnsi="Arial" w:cs="Arial"/>
            <w:sz w:val="24"/>
            <w:szCs w:val="24"/>
          </w:rPr>
          <w:t>https://doi.org/10.1016/j.ijhm.2004.05.004</w:t>
        </w:r>
      </w:hyperlink>
      <w:r w:rsidR="003F2F5E">
        <w:rPr>
          <w:rFonts w:ascii="Arial" w:hAnsi="Arial" w:cs="Arial"/>
          <w:sz w:val="24"/>
          <w:szCs w:val="24"/>
        </w:rPr>
        <w:t xml:space="preserve"> (Accessed 15 February 2026).</w:t>
      </w:r>
    </w:p>
    <w:p w14:paraId="3F511916" w14:textId="3FDAD6EF" w:rsidR="00E23D3B" w:rsidRDefault="00E23D3B" w:rsidP="00534E7B">
      <w:pPr>
        <w:pStyle w:val="ListParagraph"/>
        <w:numPr>
          <w:ilvl w:val="0"/>
          <w:numId w:val="2"/>
        </w:numPr>
        <w:spacing w:line="360" w:lineRule="auto"/>
        <w:jc w:val="both"/>
        <w:rPr>
          <w:rFonts w:ascii="Arial" w:hAnsi="Arial" w:cs="Arial"/>
          <w:sz w:val="24"/>
          <w:szCs w:val="24"/>
        </w:rPr>
      </w:pPr>
      <w:r w:rsidRPr="00E23D3B">
        <w:rPr>
          <w:rFonts w:ascii="Arial" w:hAnsi="Arial" w:cs="Arial"/>
          <w:sz w:val="24"/>
          <w:szCs w:val="24"/>
        </w:rPr>
        <w:t>Kloutsiniotis, P.V. and Mihail, D.M. (2020)</w:t>
      </w:r>
      <w:r>
        <w:rPr>
          <w:rFonts w:ascii="Arial" w:hAnsi="Arial" w:cs="Arial"/>
          <w:sz w:val="24"/>
          <w:szCs w:val="24"/>
        </w:rPr>
        <w:t xml:space="preserve">. </w:t>
      </w:r>
      <w:r w:rsidR="008D404C">
        <w:rPr>
          <w:rFonts w:ascii="Arial" w:hAnsi="Arial" w:cs="Arial"/>
          <w:sz w:val="24"/>
          <w:szCs w:val="24"/>
        </w:rPr>
        <w:t>The effects of h</w:t>
      </w:r>
      <w:r w:rsidRPr="00E23D3B">
        <w:rPr>
          <w:rFonts w:ascii="Arial" w:hAnsi="Arial" w:cs="Arial"/>
          <w:sz w:val="24"/>
          <w:szCs w:val="24"/>
        </w:rPr>
        <w:t>igh performance work systems</w:t>
      </w:r>
      <w:r w:rsidR="008D404C">
        <w:rPr>
          <w:rFonts w:ascii="Arial" w:hAnsi="Arial" w:cs="Arial"/>
          <w:sz w:val="24"/>
          <w:szCs w:val="24"/>
        </w:rPr>
        <w:t xml:space="preserve"> in employees’</w:t>
      </w:r>
      <w:r w:rsidRPr="00E23D3B">
        <w:rPr>
          <w:rFonts w:ascii="Arial" w:hAnsi="Arial" w:cs="Arial"/>
          <w:sz w:val="24"/>
          <w:szCs w:val="24"/>
        </w:rPr>
        <w:t xml:space="preserve"> service-oriented OCB, </w:t>
      </w:r>
      <w:r w:rsidRPr="00136239">
        <w:rPr>
          <w:rFonts w:ascii="Arial" w:hAnsi="Arial" w:cs="Arial"/>
          <w:i/>
          <w:iCs/>
          <w:sz w:val="24"/>
          <w:szCs w:val="24"/>
        </w:rPr>
        <w:t>International Journal of Hospitality Management</w:t>
      </w:r>
      <w:r w:rsidRPr="00E23D3B">
        <w:rPr>
          <w:rFonts w:ascii="Arial" w:hAnsi="Arial" w:cs="Arial"/>
          <w:sz w:val="24"/>
          <w:szCs w:val="24"/>
        </w:rPr>
        <w:t xml:space="preserve">, 90, 102610. </w:t>
      </w:r>
      <w:r w:rsidR="00136239">
        <w:rPr>
          <w:rFonts w:ascii="Arial" w:hAnsi="Arial" w:cs="Arial"/>
          <w:sz w:val="24"/>
          <w:szCs w:val="24"/>
        </w:rPr>
        <w:t xml:space="preserve">Available at: </w:t>
      </w:r>
      <w:hyperlink r:id="rId43" w:history="1">
        <w:r w:rsidR="00136239" w:rsidRPr="00D42641">
          <w:rPr>
            <w:rStyle w:val="Hyperlink"/>
            <w:rFonts w:ascii="Arial" w:hAnsi="Arial" w:cs="Arial"/>
            <w:sz w:val="24"/>
            <w:szCs w:val="24"/>
          </w:rPr>
          <w:t>https://doi.org/10.1016/j.ijhm.2020.102610</w:t>
        </w:r>
      </w:hyperlink>
      <w:r w:rsidR="00136239">
        <w:rPr>
          <w:rFonts w:ascii="Arial" w:hAnsi="Arial" w:cs="Arial"/>
          <w:sz w:val="24"/>
          <w:szCs w:val="24"/>
        </w:rPr>
        <w:t xml:space="preserve"> (Accessed 6 February 2026).</w:t>
      </w:r>
    </w:p>
    <w:p w14:paraId="06C91DFB" w14:textId="27ACCD14" w:rsidR="006B3887" w:rsidRPr="006B3887" w:rsidRDefault="006B3887" w:rsidP="006B3887">
      <w:pPr>
        <w:pStyle w:val="ListParagraph"/>
        <w:numPr>
          <w:ilvl w:val="0"/>
          <w:numId w:val="2"/>
        </w:numPr>
        <w:spacing w:line="360" w:lineRule="auto"/>
        <w:jc w:val="both"/>
        <w:rPr>
          <w:rFonts w:ascii="Arial" w:hAnsi="Arial" w:cs="Arial"/>
          <w:sz w:val="24"/>
          <w:szCs w:val="24"/>
        </w:rPr>
      </w:pPr>
      <w:r w:rsidRPr="006B3887">
        <w:rPr>
          <w:rFonts w:ascii="Arial" w:hAnsi="Arial" w:cs="Arial"/>
          <w:sz w:val="24"/>
          <w:szCs w:val="24"/>
        </w:rPr>
        <w:t>Liao, H. and Chuang, A. (2004)</w:t>
      </w:r>
      <w:r>
        <w:rPr>
          <w:rFonts w:ascii="Arial" w:hAnsi="Arial" w:cs="Arial"/>
          <w:sz w:val="24"/>
          <w:szCs w:val="24"/>
        </w:rPr>
        <w:t xml:space="preserve">. </w:t>
      </w:r>
      <w:r w:rsidRPr="006B3887">
        <w:rPr>
          <w:rFonts w:ascii="Arial" w:hAnsi="Arial" w:cs="Arial"/>
          <w:sz w:val="24"/>
          <w:szCs w:val="24"/>
        </w:rPr>
        <w:t xml:space="preserve">A multilevel investigation of factors influencing employee service performance and customer outcomes, </w:t>
      </w:r>
      <w:r w:rsidRPr="006B3887">
        <w:rPr>
          <w:rFonts w:ascii="Arial" w:hAnsi="Arial" w:cs="Arial"/>
          <w:i/>
          <w:iCs/>
          <w:sz w:val="24"/>
          <w:szCs w:val="24"/>
        </w:rPr>
        <w:t>Academy of Management Journal</w:t>
      </w:r>
      <w:r w:rsidRPr="006B3887">
        <w:rPr>
          <w:rFonts w:ascii="Arial" w:hAnsi="Arial" w:cs="Arial"/>
          <w:sz w:val="24"/>
          <w:szCs w:val="24"/>
        </w:rPr>
        <w:t xml:space="preserve">, 47(1), pp. 41–58. Available at: </w:t>
      </w:r>
      <w:hyperlink r:id="rId44" w:history="1">
        <w:r w:rsidRPr="00E9005B">
          <w:rPr>
            <w:rStyle w:val="Hyperlink"/>
            <w:rFonts w:ascii="Arial" w:hAnsi="Arial" w:cs="Arial"/>
            <w:sz w:val="24"/>
            <w:szCs w:val="24"/>
          </w:rPr>
          <w:t>https://www.jstor.org/stable/20159559</w:t>
        </w:r>
      </w:hyperlink>
      <w:r>
        <w:rPr>
          <w:rFonts w:ascii="Arial" w:hAnsi="Arial" w:cs="Arial"/>
          <w:sz w:val="24"/>
          <w:szCs w:val="24"/>
        </w:rPr>
        <w:t xml:space="preserve"> </w:t>
      </w:r>
      <w:r w:rsidRPr="006B3887">
        <w:rPr>
          <w:rFonts w:ascii="Arial" w:hAnsi="Arial" w:cs="Arial"/>
          <w:sz w:val="24"/>
          <w:szCs w:val="24"/>
        </w:rPr>
        <w:t>(Accessed</w:t>
      </w:r>
      <w:r>
        <w:rPr>
          <w:rFonts w:ascii="Arial" w:hAnsi="Arial" w:cs="Arial"/>
          <w:sz w:val="24"/>
          <w:szCs w:val="24"/>
        </w:rPr>
        <w:t xml:space="preserve"> 15</w:t>
      </w:r>
      <w:r w:rsidRPr="006B3887">
        <w:rPr>
          <w:rFonts w:ascii="Arial" w:hAnsi="Arial" w:cs="Arial"/>
          <w:sz w:val="24"/>
          <w:szCs w:val="24"/>
        </w:rPr>
        <w:t xml:space="preserve"> February 2026)</w:t>
      </w:r>
      <w:r>
        <w:rPr>
          <w:rFonts w:ascii="Arial" w:hAnsi="Arial" w:cs="Arial"/>
          <w:sz w:val="24"/>
          <w:szCs w:val="24"/>
        </w:rPr>
        <w:t>.</w:t>
      </w:r>
    </w:p>
    <w:p w14:paraId="558FC114" w14:textId="38F76ACD" w:rsidR="00421775" w:rsidRDefault="00421775" w:rsidP="00534E7B">
      <w:pPr>
        <w:pStyle w:val="ListParagraph"/>
        <w:numPr>
          <w:ilvl w:val="0"/>
          <w:numId w:val="2"/>
        </w:numPr>
        <w:spacing w:line="360" w:lineRule="auto"/>
        <w:jc w:val="both"/>
        <w:rPr>
          <w:rFonts w:ascii="Arial" w:hAnsi="Arial" w:cs="Arial"/>
          <w:sz w:val="24"/>
          <w:szCs w:val="24"/>
        </w:rPr>
      </w:pPr>
      <w:r w:rsidRPr="00421775">
        <w:rPr>
          <w:rFonts w:ascii="Arial" w:hAnsi="Arial" w:cs="Arial"/>
          <w:sz w:val="24"/>
          <w:szCs w:val="24"/>
        </w:rPr>
        <w:t>Lin, M., Ling, Q., Liu, Y. and Hu, R. (2021)</w:t>
      </w:r>
      <w:r>
        <w:rPr>
          <w:rFonts w:ascii="Arial" w:hAnsi="Arial" w:cs="Arial"/>
          <w:sz w:val="24"/>
          <w:szCs w:val="24"/>
        </w:rPr>
        <w:t xml:space="preserve">. </w:t>
      </w:r>
      <w:r w:rsidRPr="00421775">
        <w:rPr>
          <w:rFonts w:ascii="Arial" w:hAnsi="Arial" w:cs="Arial"/>
          <w:sz w:val="24"/>
          <w:szCs w:val="24"/>
        </w:rPr>
        <w:t xml:space="preserve">The effects of service climate and internal service quality on frontline hotel employees’ service-oriented behaviors, </w:t>
      </w:r>
      <w:r w:rsidRPr="00421775">
        <w:rPr>
          <w:rFonts w:ascii="Arial" w:hAnsi="Arial" w:cs="Arial"/>
          <w:i/>
          <w:iCs/>
          <w:sz w:val="24"/>
          <w:szCs w:val="24"/>
        </w:rPr>
        <w:t>International Journal of Hospitality Management</w:t>
      </w:r>
      <w:r w:rsidRPr="00421775">
        <w:rPr>
          <w:rFonts w:ascii="Arial" w:hAnsi="Arial" w:cs="Arial"/>
          <w:sz w:val="24"/>
          <w:szCs w:val="24"/>
        </w:rPr>
        <w:t xml:space="preserve">, 97, p. 102995. </w:t>
      </w:r>
      <w:r>
        <w:rPr>
          <w:rFonts w:ascii="Arial" w:hAnsi="Arial" w:cs="Arial"/>
          <w:sz w:val="24"/>
          <w:szCs w:val="24"/>
        </w:rPr>
        <w:t xml:space="preserve">Available at: </w:t>
      </w:r>
      <w:hyperlink r:id="rId45" w:history="1">
        <w:r w:rsidRPr="00D42641">
          <w:rPr>
            <w:rStyle w:val="Hyperlink"/>
            <w:rFonts w:ascii="Arial" w:hAnsi="Arial" w:cs="Arial"/>
            <w:sz w:val="24"/>
            <w:szCs w:val="24"/>
          </w:rPr>
          <w:t>https://doi.org/10.1016/j.ijhm.2021.102995</w:t>
        </w:r>
      </w:hyperlink>
      <w:r>
        <w:rPr>
          <w:rFonts w:ascii="Arial" w:hAnsi="Arial" w:cs="Arial"/>
          <w:sz w:val="24"/>
          <w:szCs w:val="24"/>
        </w:rPr>
        <w:t xml:space="preserve"> (Accessed 5 February 2026).</w:t>
      </w:r>
    </w:p>
    <w:p w14:paraId="01ADC477" w14:textId="431BA510" w:rsidR="00D824AC" w:rsidRDefault="00D824AC" w:rsidP="00534E7B">
      <w:pPr>
        <w:pStyle w:val="ListParagraph"/>
        <w:numPr>
          <w:ilvl w:val="0"/>
          <w:numId w:val="2"/>
        </w:numPr>
        <w:spacing w:line="360" w:lineRule="auto"/>
        <w:jc w:val="both"/>
        <w:rPr>
          <w:rFonts w:ascii="Arial" w:hAnsi="Arial" w:cs="Arial"/>
          <w:sz w:val="24"/>
          <w:szCs w:val="24"/>
        </w:rPr>
      </w:pPr>
      <w:r w:rsidRPr="00D824AC">
        <w:rPr>
          <w:rFonts w:ascii="Arial" w:hAnsi="Arial" w:cs="Arial"/>
          <w:sz w:val="24"/>
          <w:szCs w:val="24"/>
        </w:rPr>
        <w:lastRenderedPageBreak/>
        <w:t>Lincoln, Y.S. and Guba, E.G. (1985)</w:t>
      </w:r>
      <w:r>
        <w:rPr>
          <w:rFonts w:ascii="Arial" w:hAnsi="Arial" w:cs="Arial"/>
          <w:sz w:val="24"/>
          <w:szCs w:val="24"/>
        </w:rPr>
        <w:t xml:space="preserve">. </w:t>
      </w:r>
      <w:r w:rsidRPr="00D824AC">
        <w:rPr>
          <w:rFonts w:ascii="Arial" w:hAnsi="Arial" w:cs="Arial"/>
          <w:i/>
          <w:iCs/>
          <w:sz w:val="24"/>
          <w:szCs w:val="24"/>
        </w:rPr>
        <w:t>Naturalistic Inquiry</w:t>
      </w:r>
      <w:r w:rsidRPr="00D824AC">
        <w:rPr>
          <w:rFonts w:ascii="Arial" w:hAnsi="Arial" w:cs="Arial"/>
          <w:sz w:val="24"/>
          <w:szCs w:val="24"/>
        </w:rPr>
        <w:t>. Beverly Hills, CA: Sage Publications.</w:t>
      </w:r>
    </w:p>
    <w:p w14:paraId="406590C3" w14:textId="615174EE" w:rsidR="003B6762" w:rsidRDefault="003B6762" w:rsidP="00534E7B">
      <w:pPr>
        <w:pStyle w:val="ListParagraph"/>
        <w:numPr>
          <w:ilvl w:val="0"/>
          <w:numId w:val="2"/>
        </w:numPr>
        <w:spacing w:line="360" w:lineRule="auto"/>
        <w:jc w:val="both"/>
        <w:rPr>
          <w:rFonts w:ascii="Arial" w:hAnsi="Arial" w:cs="Arial"/>
          <w:sz w:val="24"/>
          <w:szCs w:val="24"/>
        </w:rPr>
      </w:pPr>
      <w:r w:rsidRPr="003B6762">
        <w:rPr>
          <w:rFonts w:ascii="Arial" w:hAnsi="Arial" w:cs="Arial"/>
          <w:sz w:val="24"/>
          <w:szCs w:val="24"/>
        </w:rPr>
        <w:t xml:space="preserve">Lu, A.C.C., Gursoy, D. and Neale, N.R. (2016). Work engagement, job satisfaction, and turnover intentions, </w:t>
      </w:r>
      <w:r w:rsidRPr="003B6762">
        <w:rPr>
          <w:rFonts w:ascii="Arial" w:hAnsi="Arial" w:cs="Arial"/>
          <w:i/>
          <w:iCs/>
          <w:sz w:val="24"/>
          <w:szCs w:val="24"/>
        </w:rPr>
        <w:t>International Journal of Contemporary Hospitality Management</w:t>
      </w:r>
      <w:r w:rsidRPr="003B6762">
        <w:rPr>
          <w:rFonts w:ascii="Arial" w:hAnsi="Arial" w:cs="Arial"/>
          <w:sz w:val="24"/>
          <w:szCs w:val="24"/>
        </w:rPr>
        <w:t xml:space="preserve">, 28(4), pp. 737–761. Available at: </w:t>
      </w:r>
      <w:hyperlink r:id="rId46" w:history="1">
        <w:r w:rsidRPr="00FB248E">
          <w:rPr>
            <w:rStyle w:val="Hyperlink"/>
            <w:rFonts w:ascii="Arial" w:hAnsi="Arial" w:cs="Arial"/>
            <w:sz w:val="24"/>
            <w:szCs w:val="24"/>
          </w:rPr>
          <w:t>https://doi.org/10.1108/IJCHM-07-2014-0360</w:t>
        </w:r>
      </w:hyperlink>
      <w:r>
        <w:rPr>
          <w:rFonts w:ascii="Arial" w:hAnsi="Arial" w:cs="Arial"/>
          <w:sz w:val="24"/>
          <w:szCs w:val="24"/>
        </w:rPr>
        <w:t xml:space="preserve"> (Accessed 19 January 2026).</w:t>
      </w:r>
    </w:p>
    <w:p w14:paraId="01146C46" w14:textId="49D4D139" w:rsidR="006744F0" w:rsidRDefault="006744F0" w:rsidP="006744F0">
      <w:pPr>
        <w:pStyle w:val="ListParagraph"/>
        <w:numPr>
          <w:ilvl w:val="0"/>
          <w:numId w:val="2"/>
        </w:numPr>
        <w:spacing w:line="360" w:lineRule="auto"/>
        <w:jc w:val="both"/>
        <w:rPr>
          <w:rFonts w:ascii="Arial" w:hAnsi="Arial" w:cs="Arial"/>
          <w:sz w:val="24"/>
          <w:szCs w:val="24"/>
        </w:rPr>
      </w:pPr>
      <w:r w:rsidRPr="006744F0">
        <w:rPr>
          <w:rFonts w:ascii="Arial" w:hAnsi="Arial" w:cs="Arial"/>
          <w:sz w:val="24"/>
          <w:szCs w:val="24"/>
        </w:rPr>
        <w:t>Magnini, V.P., Dorn, E.C., Adkins, C.L., Crotts, J.C. and Uysal, M. (2024)</w:t>
      </w:r>
      <w:r>
        <w:rPr>
          <w:rFonts w:ascii="Arial" w:hAnsi="Arial" w:cs="Arial"/>
          <w:sz w:val="24"/>
          <w:szCs w:val="24"/>
        </w:rPr>
        <w:t xml:space="preserve">. </w:t>
      </w:r>
      <w:r w:rsidRPr="006744F0">
        <w:rPr>
          <w:rFonts w:ascii="Arial" w:hAnsi="Arial" w:cs="Arial"/>
          <w:sz w:val="24"/>
          <w:szCs w:val="24"/>
        </w:rPr>
        <w:t xml:space="preserve">Understanding hospitality labor shortages: An importance-performance analysis of hospitality career preference drivers, </w:t>
      </w:r>
      <w:r w:rsidRPr="006744F0">
        <w:rPr>
          <w:rFonts w:ascii="Arial" w:hAnsi="Arial" w:cs="Arial"/>
          <w:i/>
          <w:iCs/>
          <w:sz w:val="24"/>
          <w:szCs w:val="24"/>
        </w:rPr>
        <w:t>Journal of Human Resources in Hospitality &amp; Tourism</w:t>
      </w:r>
      <w:r w:rsidRPr="006744F0">
        <w:rPr>
          <w:rFonts w:ascii="Arial" w:hAnsi="Arial" w:cs="Arial"/>
          <w:sz w:val="24"/>
          <w:szCs w:val="24"/>
        </w:rPr>
        <w:t xml:space="preserve">, 23(3), pp. 465–486. </w:t>
      </w:r>
      <w:r>
        <w:rPr>
          <w:rFonts w:ascii="Arial" w:hAnsi="Arial" w:cs="Arial"/>
          <w:sz w:val="24"/>
          <w:szCs w:val="24"/>
        </w:rPr>
        <w:t xml:space="preserve">Available at: </w:t>
      </w:r>
      <w:hyperlink r:id="rId47" w:history="1">
        <w:r w:rsidR="000A14F5" w:rsidRPr="00D42641">
          <w:rPr>
            <w:rStyle w:val="Hyperlink"/>
            <w:rFonts w:ascii="Arial" w:hAnsi="Arial" w:cs="Arial"/>
            <w:sz w:val="24"/>
            <w:szCs w:val="24"/>
          </w:rPr>
          <w:t>https://doi.org/10.1080/15332845.2024.2335127</w:t>
        </w:r>
      </w:hyperlink>
      <w:r w:rsidR="000A14F5">
        <w:rPr>
          <w:rFonts w:ascii="Arial" w:hAnsi="Arial" w:cs="Arial"/>
          <w:sz w:val="24"/>
          <w:szCs w:val="24"/>
        </w:rPr>
        <w:t xml:space="preserve"> (Accessed 1 February 2026).</w:t>
      </w:r>
    </w:p>
    <w:p w14:paraId="7CA5035B" w14:textId="6AA87578" w:rsidR="00D74A4A" w:rsidRPr="006744F0" w:rsidRDefault="00D74A4A" w:rsidP="006744F0">
      <w:pPr>
        <w:pStyle w:val="ListParagraph"/>
        <w:numPr>
          <w:ilvl w:val="0"/>
          <w:numId w:val="2"/>
        </w:numPr>
        <w:spacing w:line="360" w:lineRule="auto"/>
        <w:jc w:val="both"/>
        <w:rPr>
          <w:rFonts w:ascii="Arial" w:hAnsi="Arial" w:cs="Arial"/>
          <w:sz w:val="24"/>
          <w:szCs w:val="24"/>
        </w:rPr>
      </w:pPr>
      <w:r w:rsidRPr="00D74A4A">
        <w:rPr>
          <w:rFonts w:ascii="Arial" w:hAnsi="Arial" w:cs="Arial"/>
          <w:sz w:val="24"/>
          <w:szCs w:val="24"/>
        </w:rPr>
        <w:t>Migration Observatory (2023)</w:t>
      </w:r>
      <w:r>
        <w:rPr>
          <w:rFonts w:ascii="Arial" w:hAnsi="Arial" w:cs="Arial"/>
          <w:sz w:val="24"/>
          <w:szCs w:val="24"/>
        </w:rPr>
        <w:t xml:space="preserve">. </w:t>
      </w:r>
      <w:r w:rsidRPr="00D74A4A">
        <w:rPr>
          <w:rFonts w:ascii="Arial" w:hAnsi="Arial" w:cs="Arial"/>
          <w:i/>
          <w:iCs/>
          <w:sz w:val="24"/>
          <w:szCs w:val="24"/>
        </w:rPr>
        <w:t>EU migration to and from the UK (briefing)</w:t>
      </w:r>
      <w:r w:rsidRPr="00D74A4A">
        <w:rPr>
          <w:rFonts w:ascii="Arial" w:hAnsi="Arial" w:cs="Arial"/>
          <w:sz w:val="24"/>
          <w:szCs w:val="24"/>
        </w:rPr>
        <w:t xml:space="preserve">. University of Oxford. </w:t>
      </w:r>
      <w:r>
        <w:rPr>
          <w:rFonts w:ascii="Arial" w:hAnsi="Arial" w:cs="Arial"/>
          <w:sz w:val="24"/>
          <w:szCs w:val="24"/>
        </w:rPr>
        <w:t xml:space="preserve">Available at: </w:t>
      </w:r>
      <w:hyperlink r:id="rId48" w:history="1">
        <w:r w:rsidRPr="00CA0362">
          <w:rPr>
            <w:rStyle w:val="Hyperlink"/>
            <w:rFonts w:ascii="Arial" w:hAnsi="Arial" w:cs="Arial"/>
            <w:sz w:val="24"/>
            <w:szCs w:val="24"/>
          </w:rPr>
          <w:t>https://migrationobservatory.ox.ac.uk/resources/briefings/eu-migration-to-and-from-the-uk/</w:t>
        </w:r>
      </w:hyperlink>
      <w:r>
        <w:rPr>
          <w:rFonts w:ascii="Arial" w:hAnsi="Arial" w:cs="Arial"/>
          <w:sz w:val="24"/>
          <w:szCs w:val="24"/>
        </w:rPr>
        <w:t xml:space="preserve"> (Accessed 15 February 2026).</w:t>
      </w:r>
    </w:p>
    <w:p w14:paraId="07105E51" w14:textId="1843865F" w:rsidR="00153855" w:rsidRPr="00153855" w:rsidRDefault="00153855" w:rsidP="00153855">
      <w:pPr>
        <w:pStyle w:val="ListParagraph"/>
        <w:numPr>
          <w:ilvl w:val="0"/>
          <w:numId w:val="2"/>
        </w:numPr>
        <w:spacing w:line="360" w:lineRule="auto"/>
        <w:jc w:val="both"/>
        <w:rPr>
          <w:rFonts w:ascii="Arial" w:hAnsi="Arial" w:cs="Arial"/>
          <w:sz w:val="24"/>
          <w:szCs w:val="24"/>
        </w:rPr>
      </w:pPr>
      <w:r w:rsidRPr="00153855">
        <w:rPr>
          <w:rFonts w:ascii="Arial" w:hAnsi="Arial" w:cs="Arial"/>
          <w:sz w:val="24"/>
          <w:szCs w:val="24"/>
        </w:rPr>
        <w:t>Moreno-Gil, S., Hudson, S. and Aguiar-Quintana, T. (2006)</w:t>
      </w:r>
      <w:r>
        <w:rPr>
          <w:rFonts w:ascii="Arial" w:hAnsi="Arial" w:cs="Arial"/>
          <w:sz w:val="24"/>
          <w:szCs w:val="24"/>
        </w:rPr>
        <w:t xml:space="preserve">. </w:t>
      </w:r>
      <w:r w:rsidRPr="00153855">
        <w:rPr>
          <w:rFonts w:ascii="Arial" w:hAnsi="Arial" w:cs="Arial"/>
          <w:sz w:val="24"/>
          <w:szCs w:val="24"/>
        </w:rPr>
        <w:t xml:space="preserve">The influence of service recovery and loyalty on perceived service quality: A study of hotel customers in Spain, </w:t>
      </w:r>
      <w:r w:rsidRPr="00153855">
        <w:rPr>
          <w:rFonts w:ascii="Arial" w:hAnsi="Arial" w:cs="Arial"/>
          <w:i/>
          <w:iCs/>
          <w:sz w:val="24"/>
          <w:szCs w:val="24"/>
        </w:rPr>
        <w:t>Journal of Hospitality Marketing &amp; Management</w:t>
      </w:r>
      <w:r w:rsidRPr="00153855">
        <w:rPr>
          <w:rFonts w:ascii="Arial" w:hAnsi="Arial" w:cs="Arial"/>
          <w:sz w:val="24"/>
          <w:szCs w:val="24"/>
        </w:rPr>
        <w:t xml:space="preserve">, 14(2), pp. 47–68. Available at: </w:t>
      </w:r>
      <w:hyperlink r:id="rId49" w:history="1">
        <w:r w:rsidRPr="00FB248E">
          <w:rPr>
            <w:rStyle w:val="Hyperlink"/>
            <w:rFonts w:ascii="Arial" w:hAnsi="Arial" w:cs="Arial"/>
            <w:sz w:val="24"/>
            <w:szCs w:val="24"/>
          </w:rPr>
          <w:t>https://doi.org/10.1300/J150v14n02_04</w:t>
        </w:r>
      </w:hyperlink>
      <w:r>
        <w:rPr>
          <w:rFonts w:ascii="Arial" w:hAnsi="Arial" w:cs="Arial"/>
          <w:sz w:val="24"/>
          <w:szCs w:val="24"/>
        </w:rPr>
        <w:t xml:space="preserve"> </w:t>
      </w:r>
      <w:r w:rsidRPr="00153855">
        <w:rPr>
          <w:rFonts w:ascii="Arial" w:hAnsi="Arial" w:cs="Arial"/>
          <w:sz w:val="24"/>
          <w:szCs w:val="24"/>
        </w:rPr>
        <w:t>(Accessed</w:t>
      </w:r>
      <w:r>
        <w:rPr>
          <w:rFonts w:ascii="Arial" w:hAnsi="Arial" w:cs="Arial"/>
          <w:sz w:val="24"/>
          <w:szCs w:val="24"/>
        </w:rPr>
        <w:t xml:space="preserve"> 19 January 2026</w:t>
      </w:r>
      <w:r w:rsidRPr="00153855">
        <w:rPr>
          <w:rFonts w:ascii="Arial" w:hAnsi="Arial" w:cs="Arial"/>
          <w:sz w:val="24"/>
          <w:szCs w:val="24"/>
        </w:rPr>
        <w:t>).</w:t>
      </w:r>
    </w:p>
    <w:p w14:paraId="514FB312" w14:textId="2C6EDEB4" w:rsidR="0074724B" w:rsidRPr="00112D1C" w:rsidRDefault="0074724B" w:rsidP="0074724B">
      <w:pPr>
        <w:pStyle w:val="ListParagraph"/>
        <w:numPr>
          <w:ilvl w:val="0"/>
          <w:numId w:val="2"/>
        </w:numPr>
        <w:spacing w:line="360" w:lineRule="auto"/>
        <w:jc w:val="both"/>
        <w:rPr>
          <w:rFonts w:ascii="Arial" w:hAnsi="Arial" w:cs="Arial"/>
          <w:sz w:val="24"/>
          <w:szCs w:val="24"/>
        </w:rPr>
      </w:pPr>
      <w:r w:rsidRPr="00112D1C">
        <w:rPr>
          <w:rFonts w:ascii="Arial" w:hAnsi="Arial" w:cs="Arial"/>
          <w:sz w:val="24"/>
          <w:szCs w:val="24"/>
        </w:rPr>
        <w:t xml:space="preserve">Office for National Statistics (ONS) (2025). </w:t>
      </w:r>
      <w:r w:rsidRPr="00112D1C">
        <w:rPr>
          <w:rFonts w:ascii="Arial" w:hAnsi="Arial" w:cs="Arial"/>
          <w:i/>
          <w:iCs/>
          <w:sz w:val="24"/>
          <w:szCs w:val="24"/>
        </w:rPr>
        <w:t>Workforce jobs by industry (SIC 2007) – Accommodation and food service activities</w:t>
      </w:r>
      <w:r w:rsidRPr="00112D1C">
        <w:rPr>
          <w:rFonts w:ascii="Arial" w:hAnsi="Arial" w:cs="Arial"/>
          <w:sz w:val="24"/>
          <w:szCs w:val="24"/>
        </w:rPr>
        <w:t>. Available at:</w:t>
      </w:r>
    </w:p>
    <w:p w14:paraId="3C403024" w14:textId="741413F5" w:rsidR="0074724B" w:rsidRDefault="000F4BE7" w:rsidP="000F4BE7">
      <w:pPr>
        <w:pStyle w:val="ListParagraph"/>
        <w:spacing w:line="360" w:lineRule="auto"/>
        <w:ind w:left="840"/>
        <w:jc w:val="both"/>
        <w:rPr>
          <w:rFonts w:ascii="Arial" w:hAnsi="Arial" w:cs="Arial"/>
          <w:sz w:val="24"/>
          <w:szCs w:val="24"/>
        </w:rPr>
      </w:pPr>
      <w:hyperlink r:id="rId50" w:history="1">
        <w:r w:rsidRPr="00FB248E">
          <w:rPr>
            <w:rStyle w:val="Hyperlink"/>
            <w:rFonts w:ascii="Arial" w:hAnsi="Arial" w:cs="Arial"/>
            <w:sz w:val="24"/>
            <w:szCs w:val="24"/>
          </w:rPr>
          <w:t>https://www.ons.gov.uk/employmentandlabourmarket/peopleinwork/employmentandemployeetypes/datasets/workforcejobsbyindustryjobs02</w:t>
        </w:r>
      </w:hyperlink>
      <w:r>
        <w:rPr>
          <w:rFonts w:ascii="Arial" w:hAnsi="Arial" w:cs="Arial"/>
          <w:sz w:val="24"/>
          <w:szCs w:val="24"/>
        </w:rPr>
        <w:t xml:space="preserve"> </w:t>
      </w:r>
      <w:r w:rsidR="0074724B" w:rsidRPr="000F4BE7">
        <w:rPr>
          <w:rFonts w:ascii="Arial" w:hAnsi="Arial" w:cs="Arial"/>
          <w:sz w:val="24"/>
          <w:szCs w:val="24"/>
        </w:rPr>
        <w:t>(Accessed</w:t>
      </w:r>
      <w:r w:rsidR="00B5475E">
        <w:rPr>
          <w:rFonts w:ascii="Arial" w:hAnsi="Arial" w:cs="Arial"/>
          <w:sz w:val="24"/>
          <w:szCs w:val="24"/>
        </w:rPr>
        <w:t xml:space="preserve"> 15 January 2026</w:t>
      </w:r>
      <w:r w:rsidR="0074724B" w:rsidRPr="000F4BE7">
        <w:rPr>
          <w:rFonts w:ascii="Arial" w:hAnsi="Arial" w:cs="Arial"/>
          <w:sz w:val="24"/>
          <w:szCs w:val="24"/>
        </w:rPr>
        <w:t>).</w:t>
      </w:r>
    </w:p>
    <w:p w14:paraId="43DC6999" w14:textId="33331423" w:rsidR="005063EE" w:rsidRPr="005063EE" w:rsidRDefault="005063EE" w:rsidP="005063EE">
      <w:pPr>
        <w:pStyle w:val="ListParagraph"/>
        <w:numPr>
          <w:ilvl w:val="0"/>
          <w:numId w:val="2"/>
        </w:numPr>
        <w:spacing w:line="360" w:lineRule="auto"/>
        <w:jc w:val="both"/>
        <w:rPr>
          <w:rFonts w:ascii="Arial" w:hAnsi="Arial" w:cs="Arial"/>
          <w:sz w:val="24"/>
          <w:szCs w:val="24"/>
        </w:rPr>
      </w:pPr>
      <w:r w:rsidRPr="005063EE">
        <w:rPr>
          <w:rFonts w:ascii="Arial" w:hAnsi="Arial" w:cs="Arial"/>
          <w:sz w:val="24"/>
          <w:szCs w:val="24"/>
        </w:rPr>
        <w:t>Office for National Statistics (ONS) (2026)</w:t>
      </w:r>
      <w:r>
        <w:rPr>
          <w:rFonts w:ascii="Arial" w:hAnsi="Arial" w:cs="Arial"/>
          <w:sz w:val="24"/>
          <w:szCs w:val="24"/>
        </w:rPr>
        <w:t xml:space="preserve">. </w:t>
      </w:r>
      <w:r w:rsidRPr="005063EE">
        <w:rPr>
          <w:rFonts w:ascii="Arial" w:hAnsi="Arial" w:cs="Arial"/>
          <w:i/>
          <w:iCs/>
          <w:sz w:val="24"/>
          <w:szCs w:val="24"/>
        </w:rPr>
        <w:t>Vacancies by industry – Accommodation and food service activities (Series JP9O)</w:t>
      </w:r>
      <w:r w:rsidRPr="005063EE">
        <w:rPr>
          <w:rFonts w:ascii="Arial" w:hAnsi="Arial" w:cs="Arial"/>
          <w:sz w:val="24"/>
          <w:szCs w:val="24"/>
        </w:rPr>
        <w:t>. Available at:</w:t>
      </w:r>
    </w:p>
    <w:p w14:paraId="424106D2" w14:textId="38D4E43E" w:rsidR="005063EE" w:rsidRPr="005063EE" w:rsidRDefault="005063EE" w:rsidP="005063EE">
      <w:pPr>
        <w:pStyle w:val="ListParagraph"/>
        <w:spacing w:line="360" w:lineRule="auto"/>
        <w:ind w:left="840"/>
        <w:jc w:val="both"/>
        <w:rPr>
          <w:rFonts w:ascii="Arial" w:hAnsi="Arial" w:cs="Arial"/>
          <w:sz w:val="24"/>
          <w:szCs w:val="24"/>
        </w:rPr>
      </w:pPr>
      <w:hyperlink r:id="rId51" w:history="1">
        <w:r w:rsidRPr="00FB248E">
          <w:rPr>
            <w:rStyle w:val="Hyperlink"/>
            <w:rFonts w:ascii="Arial" w:hAnsi="Arial" w:cs="Arial"/>
            <w:sz w:val="24"/>
            <w:szCs w:val="24"/>
          </w:rPr>
          <w:t>https://www.ons.gov.uk/employmentandlabourmarket/peopleinwork/employmentandemployeetypes/timeseries/jp9o/unem</w:t>
        </w:r>
      </w:hyperlink>
      <w:r>
        <w:rPr>
          <w:rFonts w:ascii="Arial" w:hAnsi="Arial" w:cs="Arial"/>
          <w:sz w:val="24"/>
          <w:szCs w:val="24"/>
        </w:rPr>
        <w:t xml:space="preserve"> </w:t>
      </w:r>
      <w:r w:rsidRPr="005063EE">
        <w:rPr>
          <w:rFonts w:ascii="Arial" w:hAnsi="Arial" w:cs="Arial"/>
          <w:sz w:val="24"/>
          <w:szCs w:val="24"/>
        </w:rPr>
        <w:t>(Accessed</w:t>
      </w:r>
      <w:r>
        <w:rPr>
          <w:rFonts w:ascii="Arial" w:hAnsi="Arial" w:cs="Arial"/>
          <w:sz w:val="24"/>
          <w:szCs w:val="24"/>
        </w:rPr>
        <w:t xml:space="preserve"> 15 January 2026</w:t>
      </w:r>
      <w:r w:rsidRPr="005063EE">
        <w:rPr>
          <w:rFonts w:ascii="Arial" w:hAnsi="Arial" w:cs="Arial"/>
          <w:sz w:val="24"/>
          <w:szCs w:val="24"/>
        </w:rPr>
        <w:t>).</w:t>
      </w:r>
    </w:p>
    <w:p w14:paraId="6F9715F2" w14:textId="77DB89BE" w:rsidR="000D522D" w:rsidRDefault="003A4060" w:rsidP="003A4060">
      <w:pPr>
        <w:pStyle w:val="ListParagraph"/>
        <w:numPr>
          <w:ilvl w:val="0"/>
          <w:numId w:val="2"/>
        </w:numPr>
        <w:spacing w:line="360" w:lineRule="auto"/>
        <w:jc w:val="both"/>
        <w:rPr>
          <w:rFonts w:ascii="Arial" w:hAnsi="Arial" w:cs="Arial"/>
          <w:sz w:val="24"/>
          <w:szCs w:val="24"/>
        </w:rPr>
      </w:pPr>
      <w:r w:rsidRPr="00742921">
        <w:rPr>
          <w:rFonts w:ascii="Arial" w:hAnsi="Arial" w:cs="Arial"/>
          <w:sz w:val="24"/>
          <w:szCs w:val="24"/>
        </w:rPr>
        <w:t xml:space="preserve">O’Neill, J.W. and Follmer, K. (2020). A multilevel review of hospitality industry work–family conflict research and a strategy for future research, </w:t>
      </w:r>
      <w:r w:rsidRPr="00742921">
        <w:rPr>
          <w:rFonts w:ascii="Arial" w:hAnsi="Arial" w:cs="Arial"/>
          <w:i/>
          <w:iCs/>
          <w:sz w:val="24"/>
          <w:szCs w:val="24"/>
        </w:rPr>
        <w:t>Journal of Hospitality &amp; Tourism Research</w:t>
      </w:r>
      <w:r w:rsidRPr="00742921">
        <w:rPr>
          <w:rFonts w:ascii="Arial" w:hAnsi="Arial" w:cs="Arial"/>
          <w:sz w:val="24"/>
          <w:szCs w:val="24"/>
        </w:rPr>
        <w:t xml:space="preserve">, 44(7), pp. 1207–1242. Available at: </w:t>
      </w:r>
      <w:hyperlink r:id="rId52" w:history="1">
        <w:r w:rsidR="00C87BEB" w:rsidRPr="00742921">
          <w:rPr>
            <w:rStyle w:val="Hyperlink"/>
            <w:rFonts w:ascii="Arial" w:hAnsi="Arial" w:cs="Arial"/>
            <w:sz w:val="24"/>
            <w:szCs w:val="24"/>
          </w:rPr>
          <w:t>https://doi.org/10.1177/1096348019864653</w:t>
        </w:r>
      </w:hyperlink>
      <w:r w:rsidR="00C87BEB" w:rsidRPr="00742921">
        <w:rPr>
          <w:rFonts w:ascii="Arial" w:hAnsi="Arial" w:cs="Arial"/>
          <w:sz w:val="24"/>
          <w:szCs w:val="24"/>
        </w:rPr>
        <w:t xml:space="preserve"> (Accessed </w:t>
      </w:r>
      <w:r w:rsidR="001222DA" w:rsidRPr="00742921">
        <w:rPr>
          <w:rFonts w:ascii="Arial" w:hAnsi="Arial" w:cs="Arial"/>
          <w:sz w:val="24"/>
          <w:szCs w:val="24"/>
        </w:rPr>
        <w:t>15 January 2026).</w:t>
      </w:r>
    </w:p>
    <w:p w14:paraId="5D92AFDC" w14:textId="6B2F6DA4" w:rsidR="00AA4675" w:rsidRDefault="00AA4675" w:rsidP="003A4060">
      <w:pPr>
        <w:pStyle w:val="ListParagraph"/>
        <w:numPr>
          <w:ilvl w:val="0"/>
          <w:numId w:val="2"/>
        </w:numPr>
        <w:spacing w:line="360" w:lineRule="auto"/>
        <w:jc w:val="both"/>
        <w:rPr>
          <w:rFonts w:ascii="Arial" w:hAnsi="Arial" w:cs="Arial"/>
          <w:sz w:val="24"/>
          <w:szCs w:val="24"/>
        </w:rPr>
      </w:pPr>
      <w:r w:rsidRPr="00AA4675">
        <w:rPr>
          <w:rFonts w:ascii="Arial" w:hAnsi="Arial" w:cs="Arial"/>
          <w:sz w:val="24"/>
          <w:szCs w:val="24"/>
        </w:rPr>
        <w:lastRenderedPageBreak/>
        <w:t>Page, M.J., McKenzie, J.E., Bossuyt, P.M., et al. (2021)</w:t>
      </w:r>
      <w:r>
        <w:rPr>
          <w:rFonts w:ascii="Arial" w:hAnsi="Arial" w:cs="Arial"/>
          <w:sz w:val="24"/>
          <w:szCs w:val="24"/>
        </w:rPr>
        <w:t xml:space="preserve">. </w:t>
      </w:r>
      <w:r w:rsidRPr="00AA4675">
        <w:rPr>
          <w:rFonts w:ascii="Arial" w:hAnsi="Arial" w:cs="Arial"/>
          <w:sz w:val="24"/>
          <w:szCs w:val="24"/>
        </w:rPr>
        <w:t xml:space="preserve">The PRISMA 2020 statement, </w:t>
      </w:r>
      <w:r w:rsidRPr="00977C38">
        <w:rPr>
          <w:rFonts w:ascii="Arial" w:hAnsi="Arial" w:cs="Arial"/>
          <w:i/>
          <w:iCs/>
          <w:sz w:val="24"/>
          <w:szCs w:val="24"/>
        </w:rPr>
        <w:t>BMJ</w:t>
      </w:r>
      <w:r w:rsidRPr="00AA4675">
        <w:rPr>
          <w:rFonts w:ascii="Arial" w:hAnsi="Arial" w:cs="Arial"/>
          <w:sz w:val="24"/>
          <w:szCs w:val="24"/>
        </w:rPr>
        <w:t xml:space="preserve">, 372, n71. Available at: </w:t>
      </w:r>
      <w:hyperlink r:id="rId53" w:history="1">
        <w:r w:rsidRPr="00FB248E">
          <w:rPr>
            <w:rStyle w:val="Hyperlink"/>
            <w:rFonts w:ascii="Arial" w:hAnsi="Arial" w:cs="Arial"/>
            <w:sz w:val="24"/>
            <w:szCs w:val="24"/>
          </w:rPr>
          <w:t>https://doi.org/10.1136/bmj.n71</w:t>
        </w:r>
      </w:hyperlink>
      <w:r>
        <w:rPr>
          <w:rFonts w:ascii="Arial" w:hAnsi="Arial" w:cs="Arial"/>
          <w:sz w:val="24"/>
          <w:szCs w:val="24"/>
        </w:rPr>
        <w:t xml:space="preserve"> (Accessed 21 January 2026).</w:t>
      </w:r>
    </w:p>
    <w:p w14:paraId="328BF50A" w14:textId="7016BC2F" w:rsidR="003B5586" w:rsidRDefault="003B5586" w:rsidP="003A4060">
      <w:pPr>
        <w:pStyle w:val="ListParagraph"/>
        <w:numPr>
          <w:ilvl w:val="0"/>
          <w:numId w:val="2"/>
        </w:numPr>
        <w:spacing w:line="360" w:lineRule="auto"/>
        <w:jc w:val="both"/>
        <w:rPr>
          <w:rFonts w:ascii="Arial" w:hAnsi="Arial" w:cs="Arial"/>
          <w:sz w:val="24"/>
          <w:szCs w:val="24"/>
        </w:rPr>
      </w:pPr>
      <w:r w:rsidRPr="003B5586">
        <w:rPr>
          <w:rFonts w:ascii="Arial" w:hAnsi="Arial" w:cs="Arial"/>
          <w:sz w:val="24"/>
          <w:szCs w:val="24"/>
        </w:rPr>
        <w:t>Parasuraman, A., Zeithaml, V.A. and Berry, L.L. (1988)</w:t>
      </w:r>
      <w:r>
        <w:rPr>
          <w:rFonts w:ascii="Arial" w:hAnsi="Arial" w:cs="Arial"/>
          <w:sz w:val="24"/>
          <w:szCs w:val="24"/>
        </w:rPr>
        <w:t xml:space="preserve">. </w:t>
      </w:r>
      <w:r w:rsidRPr="003B5586">
        <w:rPr>
          <w:rFonts w:ascii="Arial" w:hAnsi="Arial" w:cs="Arial"/>
          <w:sz w:val="24"/>
          <w:szCs w:val="24"/>
        </w:rPr>
        <w:t xml:space="preserve">SERVQUAL: A multiple-item scale for measuring consumer perceptions of service quality, </w:t>
      </w:r>
      <w:r w:rsidRPr="007028ED">
        <w:rPr>
          <w:rFonts w:ascii="Arial" w:hAnsi="Arial" w:cs="Arial"/>
          <w:i/>
          <w:iCs/>
          <w:sz w:val="24"/>
          <w:szCs w:val="24"/>
        </w:rPr>
        <w:t>Journal of Retailing</w:t>
      </w:r>
      <w:r w:rsidRPr="003B5586">
        <w:rPr>
          <w:rFonts w:ascii="Arial" w:hAnsi="Arial" w:cs="Arial"/>
          <w:sz w:val="24"/>
          <w:szCs w:val="24"/>
        </w:rPr>
        <w:t>, 64(1), pp. 12–40.</w:t>
      </w:r>
    </w:p>
    <w:p w14:paraId="1283946E" w14:textId="4FB59A91" w:rsidR="009A631E" w:rsidRDefault="009A631E" w:rsidP="003A4060">
      <w:pPr>
        <w:pStyle w:val="ListParagraph"/>
        <w:numPr>
          <w:ilvl w:val="0"/>
          <w:numId w:val="2"/>
        </w:numPr>
        <w:spacing w:line="360" w:lineRule="auto"/>
        <w:jc w:val="both"/>
        <w:rPr>
          <w:rFonts w:ascii="Arial" w:hAnsi="Arial" w:cs="Arial"/>
          <w:sz w:val="24"/>
          <w:szCs w:val="24"/>
        </w:rPr>
      </w:pPr>
      <w:r w:rsidRPr="009A631E">
        <w:rPr>
          <w:rFonts w:ascii="Arial" w:hAnsi="Arial" w:cs="Arial"/>
          <w:sz w:val="24"/>
          <w:szCs w:val="24"/>
        </w:rPr>
        <w:t>Park, J. and Min, H.K. (2020)</w:t>
      </w:r>
      <w:r>
        <w:rPr>
          <w:rFonts w:ascii="Arial" w:hAnsi="Arial" w:cs="Arial"/>
          <w:sz w:val="24"/>
          <w:szCs w:val="24"/>
        </w:rPr>
        <w:t xml:space="preserve">. </w:t>
      </w:r>
      <w:r w:rsidRPr="009A631E">
        <w:rPr>
          <w:rFonts w:ascii="Arial" w:hAnsi="Arial" w:cs="Arial"/>
          <w:sz w:val="24"/>
          <w:szCs w:val="24"/>
        </w:rPr>
        <w:t xml:space="preserve">Turnover intention in hospitality: A meta-analysis, </w:t>
      </w:r>
      <w:r w:rsidRPr="009A631E">
        <w:rPr>
          <w:rFonts w:ascii="Arial" w:hAnsi="Arial" w:cs="Arial"/>
          <w:i/>
          <w:iCs/>
          <w:sz w:val="24"/>
          <w:szCs w:val="24"/>
        </w:rPr>
        <w:t>International Journal of Hospitality Management</w:t>
      </w:r>
      <w:r w:rsidRPr="009A631E">
        <w:rPr>
          <w:rFonts w:ascii="Arial" w:hAnsi="Arial" w:cs="Arial"/>
          <w:sz w:val="24"/>
          <w:szCs w:val="24"/>
        </w:rPr>
        <w:t xml:space="preserve">, 90, 102599. </w:t>
      </w:r>
      <w:r>
        <w:rPr>
          <w:rFonts w:ascii="Arial" w:hAnsi="Arial" w:cs="Arial"/>
          <w:sz w:val="24"/>
          <w:szCs w:val="24"/>
        </w:rPr>
        <w:t xml:space="preserve">Available at: </w:t>
      </w:r>
      <w:hyperlink r:id="rId54" w:history="1">
        <w:r w:rsidRPr="00D42641">
          <w:rPr>
            <w:rStyle w:val="Hyperlink"/>
            <w:rFonts w:ascii="Arial" w:hAnsi="Arial" w:cs="Arial"/>
            <w:sz w:val="24"/>
            <w:szCs w:val="24"/>
          </w:rPr>
          <w:t>https://doi.org/10.1016/j.ijhm.2020.102599</w:t>
        </w:r>
      </w:hyperlink>
      <w:r>
        <w:rPr>
          <w:rFonts w:ascii="Arial" w:hAnsi="Arial" w:cs="Arial"/>
          <w:sz w:val="24"/>
          <w:szCs w:val="24"/>
        </w:rPr>
        <w:t xml:space="preserve"> (Accessed 4 February 2026).</w:t>
      </w:r>
    </w:p>
    <w:p w14:paraId="1AB0B35B" w14:textId="25845110" w:rsidR="00A639A2" w:rsidRDefault="00A639A2" w:rsidP="00A639A2">
      <w:pPr>
        <w:pStyle w:val="ListParagraph"/>
        <w:numPr>
          <w:ilvl w:val="0"/>
          <w:numId w:val="2"/>
        </w:numPr>
        <w:spacing w:line="360" w:lineRule="auto"/>
        <w:jc w:val="both"/>
        <w:rPr>
          <w:rFonts w:ascii="Arial" w:hAnsi="Arial" w:cs="Arial"/>
          <w:sz w:val="24"/>
          <w:szCs w:val="24"/>
        </w:rPr>
      </w:pPr>
      <w:r w:rsidRPr="00A639A2">
        <w:rPr>
          <w:rFonts w:ascii="Arial" w:hAnsi="Arial" w:cs="Arial"/>
          <w:sz w:val="24"/>
          <w:szCs w:val="24"/>
        </w:rPr>
        <w:t>Rescalvo-Martin, E., Gutierrez, L. and Llorens-Montes, F.J. (2022)</w:t>
      </w:r>
      <w:r>
        <w:rPr>
          <w:rFonts w:ascii="Arial" w:hAnsi="Arial" w:cs="Arial"/>
          <w:sz w:val="24"/>
          <w:szCs w:val="24"/>
        </w:rPr>
        <w:t xml:space="preserve">. </w:t>
      </w:r>
      <w:r w:rsidRPr="00A639A2">
        <w:rPr>
          <w:rFonts w:ascii="Arial" w:hAnsi="Arial" w:cs="Arial"/>
          <w:sz w:val="24"/>
          <w:szCs w:val="24"/>
        </w:rPr>
        <w:t xml:space="preserve">Extra-role service under pressure in the hospitality industry: The role of mindfulness, </w:t>
      </w:r>
      <w:r w:rsidRPr="00D70D6D">
        <w:rPr>
          <w:rFonts w:ascii="Arial" w:hAnsi="Arial" w:cs="Arial"/>
          <w:i/>
          <w:iCs/>
          <w:sz w:val="24"/>
          <w:szCs w:val="24"/>
        </w:rPr>
        <w:t>Tourism Management Perspectives</w:t>
      </w:r>
      <w:r w:rsidRPr="00A639A2">
        <w:rPr>
          <w:rFonts w:ascii="Arial" w:hAnsi="Arial" w:cs="Arial"/>
          <w:sz w:val="24"/>
          <w:szCs w:val="24"/>
        </w:rPr>
        <w:t>, 44, 101030.</w:t>
      </w:r>
      <w:r>
        <w:rPr>
          <w:rFonts w:ascii="Arial" w:hAnsi="Arial" w:cs="Arial"/>
          <w:sz w:val="24"/>
          <w:szCs w:val="24"/>
        </w:rPr>
        <w:t xml:space="preserve"> Available at: </w:t>
      </w:r>
      <w:r w:rsidRPr="00A639A2">
        <w:rPr>
          <w:rFonts w:ascii="Arial" w:hAnsi="Arial" w:cs="Arial"/>
          <w:sz w:val="24"/>
          <w:szCs w:val="24"/>
        </w:rPr>
        <w:t xml:space="preserve"> </w:t>
      </w:r>
      <w:hyperlink r:id="rId55" w:history="1">
        <w:r w:rsidRPr="00FB248E">
          <w:rPr>
            <w:rStyle w:val="Hyperlink"/>
            <w:rFonts w:ascii="Arial" w:hAnsi="Arial" w:cs="Arial"/>
            <w:sz w:val="24"/>
            <w:szCs w:val="24"/>
          </w:rPr>
          <w:t>https://doi.org/10.1016/j.tmp.2022.101030</w:t>
        </w:r>
      </w:hyperlink>
      <w:r>
        <w:rPr>
          <w:rFonts w:ascii="Arial" w:hAnsi="Arial" w:cs="Arial"/>
          <w:sz w:val="24"/>
          <w:szCs w:val="24"/>
        </w:rPr>
        <w:t xml:space="preserve"> (Accessed 17 January 2026).</w:t>
      </w:r>
    </w:p>
    <w:p w14:paraId="5D3BB606" w14:textId="1FEB5D32" w:rsidR="00FA71FE" w:rsidRDefault="00FA71FE" w:rsidP="00A639A2">
      <w:pPr>
        <w:pStyle w:val="ListParagraph"/>
        <w:numPr>
          <w:ilvl w:val="0"/>
          <w:numId w:val="2"/>
        </w:numPr>
        <w:spacing w:line="360" w:lineRule="auto"/>
        <w:jc w:val="both"/>
        <w:rPr>
          <w:rFonts w:ascii="Arial" w:hAnsi="Arial" w:cs="Arial"/>
          <w:sz w:val="24"/>
          <w:szCs w:val="24"/>
        </w:rPr>
      </w:pPr>
      <w:r w:rsidRPr="00FA71FE">
        <w:rPr>
          <w:rFonts w:ascii="Arial" w:hAnsi="Arial" w:cs="Arial"/>
          <w:sz w:val="24"/>
          <w:szCs w:val="24"/>
        </w:rPr>
        <w:t>Salanova, M., Agut, S. and Peiró, J.M. (2005)</w:t>
      </w:r>
      <w:r>
        <w:rPr>
          <w:rFonts w:ascii="Arial" w:hAnsi="Arial" w:cs="Arial"/>
          <w:sz w:val="24"/>
          <w:szCs w:val="24"/>
        </w:rPr>
        <w:t xml:space="preserve">. </w:t>
      </w:r>
      <w:r w:rsidRPr="00FA71FE">
        <w:rPr>
          <w:rFonts w:ascii="Arial" w:hAnsi="Arial" w:cs="Arial"/>
          <w:sz w:val="24"/>
          <w:szCs w:val="24"/>
        </w:rPr>
        <w:t xml:space="preserve">Linking organisational resources and work engagement to employee performance and customer loyalty, </w:t>
      </w:r>
      <w:r w:rsidRPr="00FA71FE">
        <w:rPr>
          <w:rFonts w:ascii="Arial" w:hAnsi="Arial" w:cs="Arial"/>
          <w:i/>
          <w:iCs/>
          <w:sz w:val="24"/>
          <w:szCs w:val="24"/>
        </w:rPr>
        <w:t>Journal of Applied Psychology</w:t>
      </w:r>
      <w:r w:rsidRPr="00FA71FE">
        <w:rPr>
          <w:rFonts w:ascii="Arial" w:hAnsi="Arial" w:cs="Arial"/>
          <w:sz w:val="24"/>
          <w:szCs w:val="24"/>
        </w:rPr>
        <w:t>, 90(6), pp. 1217–1227.</w:t>
      </w:r>
      <w:r w:rsidR="00F10DA7">
        <w:rPr>
          <w:rFonts w:ascii="Arial" w:hAnsi="Arial" w:cs="Arial"/>
          <w:sz w:val="24"/>
          <w:szCs w:val="24"/>
        </w:rPr>
        <w:t xml:space="preserve"> </w:t>
      </w:r>
      <w:r w:rsidR="00F10DA7" w:rsidRPr="00F10DA7">
        <w:rPr>
          <w:rFonts w:ascii="Arial" w:hAnsi="Arial" w:cs="Arial"/>
          <w:sz w:val="24"/>
          <w:szCs w:val="24"/>
        </w:rPr>
        <w:t xml:space="preserve">Available at: </w:t>
      </w:r>
      <w:hyperlink r:id="rId56" w:history="1">
        <w:r w:rsidR="00F10DA7" w:rsidRPr="00E9005B">
          <w:rPr>
            <w:rStyle w:val="Hyperlink"/>
            <w:rFonts w:ascii="Arial" w:hAnsi="Arial" w:cs="Arial"/>
            <w:sz w:val="24"/>
            <w:szCs w:val="24"/>
          </w:rPr>
          <w:t>https://doi.org/10.1037/0021-9010.90.6.1217</w:t>
        </w:r>
      </w:hyperlink>
      <w:r w:rsidR="00F10DA7">
        <w:rPr>
          <w:rFonts w:ascii="Arial" w:hAnsi="Arial" w:cs="Arial"/>
          <w:sz w:val="24"/>
          <w:szCs w:val="24"/>
        </w:rPr>
        <w:t xml:space="preserve"> (Accessed 17 February 2026).</w:t>
      </w:r>
    </w:p>
    <w:p w14:paraId="57F05153" w14:textId="0A2AB6EC" w:rsidR="00EC741E" w:rsidRDefault="00EC741E" w:rsidP="00A639A2">
      <w:pPr>
        <w:pStyle w:val="ListParagraph"/>
        <w:numPr>
          <w:ilvl w:val="0"/>
          <w:numId w:val="2"/>
        </w:numPr>
        <w:spacing w:line="360" w:lineRule="auto"/>
        <w:jc w:val="both"/>
        <w:rPr>
          <w:rFonts w:ascii="Arial" w:hAnsi="Arial" w:cs="Arial"/>
          <w:sz w:val="24"/>
          <w:szCs w:val="24"/>
        </w:rPr>
      </w:pPr>
      <w:r w:rsidRPr="00EC741E">
        <w:rPr>
          <w:rFonts w:ascii="Arial" w:hAnsi="Arial" w:cs="Arial"/>
          <w:sz w:val="24"/>
          <w:szCs w:val="24"/>
        </w:rPr>
        <w:t>Saunders, M., Lewis, P. and Thornhill, A. (2019)</w:t>
      </w:r>
      <w:r>
        <w:rPr>
          <w:rFonts w:ascii="Arial" w:hAnsi="Arial" w:cs="Arial"/>
          <w:sz w:val="24"/>
          <w:szCs w:val="24"/>
        </w:rPr>
        <w:t xml:space="preserve">. </w:t>
      </w:r>
      <w:r w:rsidRPr="00EC741E">
        <w:rPr>
          <w:rFonts w:ascii="Arial" w:hAnsi="Arial" w:cs="Arial"/>
          <w:i/>
          <w:iCs/>
          <w:sz w:val="24"/>
          <w:szCs w:val="24"/>
        </w:rPr>
        <w:t>Research Methods for Business Students</w:t>
      </w:r>
      <w:r w:rsidRPr="00EC741E">
        <w:rPr>
          <w:rFonts w:ascii="Arial" w:hAnsi="Arial" w:cs="Arial"/>
          <w:sz w:val="24"/>
          <w:szCs w:val="24"/>
        </w:rPr>
        <w:t>. 8th edn. Harlow: Pearson.</w:t>
      </w:r>
    </w:p>
    <w:p w14:paraId="697DCFB5" w14:textId="331A873A" w:rsidR="00570A6B" w:rsidRDefault="00570A6B" w:rsidP="00A639A2">
      <w:pPr>
        <w:pStyle w:val="ListParagraph"/>
        <w:numPr>
          <w:ilvl w:val="0"/>
          <w:numId w:val="2"/>
        </w:numPr>
        <w:spacing w:line="360" w:lineRule="auto"/>
        <w:jc w:val="both"/>
        <w:rPr>
          <w:rFonts w:ascii="Arial" w:hAnsi="Arial" w:cs="Arial"/>
          <w:sz w:val="24"/>
          <w:szCs w:val="24"/>
        </w:rPr>
      </w:pPr>
      <w:r w:rsidRPr="00570A6B">
        <w:rPr>
          <w:rFonts w:ascii="Arial" w:hAnsi="Arial" w:cs="Arial"/>
          <w:sz w:val="24"/>
          <w:szCs w:val="24"/>
        </w:rPr>
        <w:t>Schneider, B., Ehrhart, M.G., Mayer, D.M., Saltz, J.L. and Niles-Jolly, K. (200</w:t>
      </w:r>
      <w:r w:rsidR="009737F9">
        <w:rPr>
          <w:rFonts w:ascii="Arial" w:hAnsi="Arial" w:cs="Arial"/>
          <w:sz w:val="24"/>
          <w:szCs w:val="24"/>
        </w:rPr>
        <w:t>5</w:t>
      </w:r>
      <w:r w:rsidRPr="00570A6B">
        <w:rPr>
          <w:rFonts w:ascii="Arial" w:hAnsi="Arial" w:cs="Arial"/>
          <w:sz w:val="24"/>
          <w:szCs w:val="24"/>
        </w:rPr>
        <w:t>)</w:t>
      </w:r>
      <w:r>
        <w:rPr>
          <w:rFonts w:ascii="Arial" w:hAnsi="Arial" w:cs="Arial"/>
          <w:sz w:val="24"/>
          <w:szCs w:val="24"/>
        </w:rPr>
        <w:t xml:space="preserve">. </w:t>
      </w:r>
      <w:r w:rsidRPr="00570A6B">
        <w:rPr>
          <w:rFonts w:ascii="Arial" w:hAnsi="Arial" w:cs="Arial"/>
          <w:sz w:val="24"/>
          <w:szCs w:val="24"/>
        </w:rPr>
        <w:t xml:space="preserve">Understanding organisation–customer links in service settings, </w:t>
      </w:r>
      <w:r w:rsidRPr="00570A6B">
        <w:rPr>
          <w:rFonts w:ascii="Arial" w:hAnsi="Arial" w:cs="Arial"/>
          <w:i/>
          <w:iCs/>
          <w:sz w:val="24"/>
          <w:szCs w:val="24"/>
        </w:rPr>
        <w:t>Academy of Management Journal</w:t>
      </w:r>
      <w:r w:rsidRPr="00570A6B">
        <w:rPr>
          <w:rFonts w:ascii="Arial" w:hAnsi="Arial" w:cs="Arial"/>
          <w:sz w:val="24"/>
          <w:szCs w:val="24"/>
        </w:rPr>
        <w:t xml:space="preserve">, </w:t>
      </w:r>
      <w:r w:rsidR="009737F9">
        <w:rPr>
          <w:rFonts w:ascii="Arial" w:hAnsi="Arial" w:cs="Arial"/>
          <w:sz w:val="24"/>
          <w:szCs w:val="24"/>
        </w:rPr>
        <w:t>48(6)</w:t>
      </w:r>
      <w:r w:rsidRPr="00570A6B">
        <w:rPr>
          <w:rFonts w:ascii="Arial" w:hAnsi="Arial" w:cs="Arial"/>
          <w:sz w:val="24"/>
          <w:szCs w:val="24"/>
        </w:rPr>
        <w:t>, pp. 1017–1032.</w:t>
      </w:r>
      <w:r w:rsidR="00630287">
        <w:rPr>
          <w:rFonts w:ascii="Arial" w:hAnsi="Arial" w:cs="Arial"/>
          <w:sz w:val="24"/>
          <w:szCs w:val="24"/>
        </w:rPr>
        <w:t xml:space="preserve"> </w:t>
      </w:r>
      <w:r w:rsidR="00630287" w:rsidRPr="00630287">
        <w:rPr>
          <w:rFonts w:ascii="Arial" w:hAnsi="Arial" w:cs="Arial"/>
          <w:sz w:val="24"/>
          <w:szCs w:val="24"/>
        </w:rPr>
        <w:t xml:space="preserve">Available at: </w:t>
      </w:r>
      <w:hyperlink r:id="rId57" w:history="1">
        <w:r w:rsidR="00630287" w:rsidRPr="00E9005B">
          <w:rPr>
            <w:rStyle w:val="Hyperlink"/>
            <w:rFonts w:ascii="Arial" w:hAnsi="Arial" w:cs="Arial"/>
            <w:sz w:val="24"/>
            <w:szCs w:val="24"/>
          </w:rPr>
          <w:t>https://doi.org/10.5465/amj.2005.19573107</w:t>
        </w:r>
      </w:hyperlink>
      <w:r w:rsidR="00630287">
        <w:rPr>
          <w:rFonts w:ascii="Arial" w:hAnsi="Arial" w:cs="Arial"/>
          <w:sz w:val="24"/>
          <w:szCs w:val="24"/>
        </w:rPr>
        <w:t xml:space="preserve"> (Accessed 18 February 2026).</w:t>
      </w:r>
    </w:p>
    <w:p w14:paraId="1EC8D9AD" w14:textId="01739616" w:rsidR="00E122EC" w:rsidRPr="00E122EC" w:rsidRDefault="00E122EC" w:rsidP="00E122EC">
      <w:pPr>
        <w:pStyle w:val="ListParagraph"/>
        <w:numPr>
          <w:ilvl w:val="0"/>
          <w:numId w:val="2"/>
        </w:numPr>
        <w:spacing w:line="360" w:lineRule="auto"/>
        <w:jc w:val="both"/>
        <w:rPr>
          <w:rFonts w:ascii="Arial" w:hAnsi="Arial" w:cs="Arial"/>
          <w:sz w:val="24"/>
          <w:szCs w:val="24"/>
        </w:rPr>
      </w:pPr>
      <w:r w:rsidRPr="00E122EC">
        <w:rPr>
          <w:rFonts w:ascii="Arial" w:hAnsi="Arial" w:cs="Arial"/>
          <w:sz w:val="24"/>
          <w:szCs w:val="24"/>
        </w:rPr>
        <w:t>Schneider, B., Macey, W.H., Lee, W.C. and Young, S.A. (2009)</w:t>
      </w:r>
      <w:r>
        <w:rPr>
          <w:rFonts w:ascii="Arial" w:hAnsi="Arial" w:cs="Arial"/>
          <w:sz w:val="24"/>
          <w:szCs w:val="24"/>
        </w:rPr>
        <w:t xml:space="preserve">. </w:t>
      </w:r>
      <w:r w:rsidRPr="00E122EC">
        <w:rPr>
          <w:rFonts w:ascii="Arial" w:hAnsi="Arial" w:cs="Arial"/>
          <w:sz w:val="24"/>
          <w:szCs w:val="24"/>
        </w:rPr>
        <w:t xml:space="preserve">Organizational service climate drivers of the American Customer Satisfaction Index (ACSI), </w:t>
      </w:r>
      <w:r w:rsidRPr="00E122EC">
        <w:rPr>
          <w:rFonts w:ascii="Arial" w:hAnsi="Arial" w:cs="Arial"/>
          <w:i/>
          <w:iCs/>
          <w:sz w:val="24"/>
          <w:szCs w:val="24"/>
        </w:rPr>
        <w:t>Journal of Service Research</w:t>
      </w:r>
      <w:r w:rsidRPr="00E122EC">
        <w:rPr>
          <w:rFonts w:ascii="Arial" w:hAnsi="Arial" w:cs="Arial"/>
          <w:sz w:val="24"/>
          <w:szCs w:val="24"/>
        </w:rPr>
        <w:t>, 12(1), pp. 3–14.</w:t>
      </w:r>
      <w:r>
        <w:rPr>
          <w:rFonts w:ascii="Arial" w:hAnsi="Arial" w:cs="Arial"/>
          <w:sz w:val="24"/>
          <w:szCs w:val="24"/>
        </w:rPr>
        <w:t xml:space="preserve"> Available at: </w:t>
      </w:r>
      <w:hyperlink r:id="rId58" w:history="1">
        <w:r w:rsidRPr="00E416FD">
          <w:rPr>
            <w:rStyle w:val="Hyperlink"/>
            <w:rFonts w:ascii="Arial" w:hAnsi="Arial" w:cs="Arial"/>
            <w:sz w:val="24"/>
            <w:szCs w:val="24"/>
          </w:rPr>
          <w:t>https://doi.org/10.1177/1094670509336743</w:t>
        </w:r>
      </w:hyperlink>
      <w:r>
        <w:rPr>
          <w:rFonts w:ascii="Arial" w:hAnsi="Arial" w:cs="Arial"/>
          <w:sz w:val="24"/>
          <w:szCs w:val="24"/>
        </w:rPr>
        <w:t xml:space="preserve"> (Accessed </w:t>
      </w:r>
      <w:r w:rsidR="00CB4879">
        <w:rPr>
          <w:rFonts w:ascii="Arial" w:hAnsi="Arial" w:cs="Arial"/>
          <w:sz w:val="24"/>
          <w:szCs w:val="24"/>
        </w:rPr>
        <w:t>21 February 2026).</w:t>
      </w:r>
    </w:p>
    <w:p w14:paraId="22E09FF5" w14:textId="0E5114DA" w:rsidR="00FA624E" w:rsidRDefault="00FA624E" w:rsidP="00A639A2">
      <w:pPr>
        <w:pStyle w:val="ListParagraph"/>
        <w:numPr>
          <w:ilvl w:val="0"/>
          <w:numId w:val="2"/>
        </w:numPr>
        <w:spacing w:line="360" w:lineRule="auto"/>
        <w:jc w:val="both"/>
        <w:rPr>
          <w:rFonts w:ascii="Arial" w:hAnsi="Arial" w:cs="Arial"/>
          <w:sz w:val="24"/>
          <w:szCs w:val="24"/>
        </w:rPr>
      </w:pPr>
      <w:r w:rsidRPr="00FA624E">
        <w:rPr>
          <w:rFonts w:ascii="Arial" w:hAnsi="Arial" w:cs="Arial"/>
          <w:sz w:val="24"/>
          <w:szCs w:val="24"/>
        </w:rPr>
        <w:t>Siggelkow, N. (2007)</w:t>
      </w:r>
      <w:r>
        <w:rPr>
          <w:rFonts w:ascii="Arial" w:hAnsi="Arial" w:cs="Arial"/>
          <w:sz w:val="24"/>
          <w:szCs w:val="24"/>
        </w:rPr>
        <w:t xml:space="preserve">. </w:t>
      </w:r>
      <w:r w:rsidRPr="00FA624E">
        <w:rPr>
          <w:rFonts w:ascii="Arial" w:hAnsi="Arial" w:cs="Arial"/>
          <w:sz w:val="24"/>
          <w:szCs w:val="24"/>
        </w:rPr>
        <w:t xml:space="preserve">Persuasion with case studies, </w:t>
      </w:r>
      <w:r w:rsidRPr="00FA624E">
        <w:rPr>
          <w:rFonts w:ascii="Arial" w:hAnsi="Arial" w:cs="Arial"/>
          <w:i/>
          <w:iCs/>
          <w:sz w:val="24"/>
          <w:szCs w:val="24"/>
        </w:rPr>
        <w:t>Academy of Management Journal</w:t>
      </w:r>
      <w:r w:rsidRPr="00FA624E">
        <w:rPr>
          <w:rFonts w:ascii="Arial" w:hAnsi="Arial" w:cs="Arial"/>
          <w:sz w:val="24"/>
          <w:szCs w:val="24"/>
        </w:rPr>
        <w:t xml:space="preserve">, 50(1), pp. 20–24. Available at: </w:t>
      </w:r>
      <w:hyperlink r:id="rId59" w:history="1">
        <w:r w:rsidRPr="00FB248E">
          <w:rPr>
            <w:rStyle w:val="Hyperlink"/>
            <w:rFonts w:ascii="Arial" w:hAnsi="Arial" w:cs="Arial"/>
            <w:sz w:val="24"/>
            <w:szCs w:val="24"/>
          </w:rPr>
          <w:t>https://doi.org/10.5465/amj.2007.24160882</w:t>
        </w:r>
      </w:hyperlink>
      <w:r>
        <w:rPr>
          <w:rFonts w:ascii="Arial" w:hAnsi="Arial" w:cs="Arial"/>
          <w:sz w:val="24"/>
          <w:szCs w:val="24"/>
        </w:rPr>
        <w:t xml:space="preserve"> (Accessed 21 January 2026).</w:t>
      </w:r>
    </w:p>
    <w:p w14:paraId="35933675" w14:textId="1D5CB0F5" w:rsidR="00E95903" w:rsidRDefault="00E95903" w:rsidP="00A639A2">
      <w:pPr>
        <w:pStyle w:val="ListParagraph"/>
        <w:numPr>
          <w:ilvl w:val="0"/>
          <w:numId w:val="2"/>
        </w:numPr>
        <w:spacing w:line="360" w:lineRule="auto"/>
        <w:jc w:val="both"/>
        <w:rPr>
          <w:rFonts w:ascii="Arial" w:hAnsi="Arial" w:cs="Arial"/>
          <w:sz w:val="24"/>
          <w:szCs w:val="24"/>
        </w:rPr>
      </w:pPr>
      <w:r w:rsidRPr="00E95903">
        <w:rPr>
          <w:rFonts w:ascii="Arial" w:hAnsi="Arial" w:cs="Arial"/>
          <w:sz w:val="24"/>
          <w:szCs w:val="24"/>
        </w:rPr>
        <w:t>Thomas, J. and Harden, A. (2008)</w:t>
      </w:r>
      <w:r>
        <w:rPr>
          <w:rFonts w:ascii="Arial" w:hAnsi="Arial" w:cs="Arial"/>
          <w:sz w:val="24"/>
          <w:szCs w:val="24"/>
        </w:rPr>
        <w:t xml:space="preserve">. </w:t>
      </w:r>
      <w:r w:rsidRPr="00E95903">
        <w:rPr>
          <w:rFonts w:ascii="Arial" w:hAnsi="Arial" w:cs="Arial"/>
          <w:sz w:val="24"/>
          <w:szCs w:val="24"/>
        </w:rPr>
        <w:t xml:space="preserve">Methods for thematic synthesis of qualitative research, </w:t>
      </w:r>
      <w:r w:rsidRPr="00E95903">
        <w:rPr>
          <w:rFonts w:ascii="Arial" w:hAnsi="Arial" w:cs="Arial"/>
          <w:i/>
          <w:iCs/>
          <w:sz w:val="24"/>
          <w:szCs w:val="24"/>
        </w:rPr>
        <w:t>BMC Medical Research Methodology</w:t>
      </w:r>
      <w:r w:rsidRPr="00E95903">
        <w:rPr>
          <w:rFonts w:ascii="Arial" w:hAnsi="Arial" w:cs="Arial"/>
          <w:sz w:val="24"/>
          <w:szCs w:val="24"/>
        </w:rPr>
        <w:t xml:space="preserve">, 8, 45. Available at: </w:t>
      </w:r>
      <w:hyperlink r:id="rId60" w:history="1">
        <w:r w:rsidRPr="00CD099F">
          <w:rPr>
            <w:rStyle w:val="Hyperlink"/>
            <w:rFonts w:ascii="Arial" w:hAnsi="Arial" w:cs="Arial"/>
            <w:sz w:val="24"/>
            <w:szCs w:val="24"/>
          </w:rPr>
          <w:t>https://doi.org/10.1186/1471-2288-8-45</w:t>
        </w:r>
      </w:hyperlink>
      <w:r>
        <w:rPr>
          <w:rFonts w:ascii="Arial" w:hAnsi="Arial" w:cs="Arial"/>
          <w:sz w:val="24"/>
          <w:szCs w:val="24"/>
        </w:rPr>
        <w:t xml:space="preserve"> (Accessed 26 January 2026).</w:t>
      </w:r>
    </w:p>
    <w:p w14:paraId="471E8DC4" w14:textId="52844CAD" w:rsidR="002C0E41" w:rsidRPr="00A639A2" w:rsidRDefault="002C0E41" w:rsidP="00A639A2">
      <w:pPr>
        <w:pStyle w:val="ListParagraph"/>
        <w:numPr>
          <w:ilvl w:val="0"/>
          <w:numId w:val="2"/>
        </w:numPr>
        <w:spacing w:line="360" w:lineRule="auto"/>
        <w:jc w:val="both"/>
        <w:rPr>
          <w:rFonts w:ascii="Arial" w:hAnsi="Arial" w:cs="Arial"/>
          <w:sz w:val="24"/>
          <w:szCs w:val="24"/>
        </w:rPr>
      </w:pPr>
      <w:r w:rsidRPr="002C0E41">
        <w:rPr>
          <w:rFonts w:ascii="Arial" w:hAnsi="Arial" w:cs="Arial"/>
          <w:sz w:val="24"/>
          <w:szCs w:val="24"/>
        </w:rPr>
        <w:lastRenderedPageBreak/>
        <w:t>Timmermans, S. and Tavory, I. (2012)</w:t>
      </w:r>
      <w:r>
        <w:rPr>
          <w:rFonts w:ascii="Arial" w:hAnsi="Arial" w:cs="Arial"/>
          <w:sz w:val="24"/>
          <w:szCs w:val="24"/>
        </w:rPr>
        <w:t xml:space="preserve">. </w:t>
      </w:r>
      <w:r w:rsidRPr="002C0E41">
        <w:rPr>
          <w:rFonts w:ascii="Arial" w:hAnsi="Arial" w:cs="Arial"/>
          <w:sz w:val="24"/>
          <w:szCs w:val="24"/>
        </w:rPr>
        <w:t xml:space="preserve">Theory construction in qualitative research, </w:t>
      </w:r>
      <w:r w:rsidRPr="002C0E41">
        <w:rPr>
          <w:rFonts w:ascii="Arial" w:hAnsi="Arial" w:cs="Arial"/>
          <w:i/>
          <w:iCs/>
          <w:sz w:val="24"/>
          <w:szCs w:val="24"/>
        </w:rPr>
        <w:t>Sociological Theory</w:t>
      </w:r>
      <w:r w:rsidRPr="002C0E41">
        <w:rPr>
          <w:rFonts w:ascii="Arial" w:hAnsi="Arial" w:cs="Arial"/>
          <w:sz w:val="24"/>
          <w:szCs w:val="24"/>
        </w:rPr>
        <w:t xml:space="preserve">, 30(3), pp. 167–186. Available at: </w:t>
      </w:r>
      <w:hyperlink r:id="rId61" w:history="1">
        <w:r w:rsidRPr="00FB248E">
          <w:rPr>
            <w:rStyle w:val="Hyperlink"/>
            <w:rFonts w:ascii="Arial" w:hAnsi="Arial" w:cs="Arial"/>
            <w:sz w:val="24"/>
            <w:szCs w:val="24"/>
          </w:rPr>
          <w:t>https://doi.org/10.1177/0735275112457914</w:t>
        </w:r>
      </w:hyperlink>
      <w:r>
        <w:rPr>
          <w:rFonts w:ascii="Arial" w:hAnsi="Arial" w:cs="Arial"/>
          <w:sz w:val="24"/>
          <w:szCs w:val="24"/>
        </w:rPr>
        <w:t xml:space="preserve"> (Accessed 20 January 2026).</w:t>
      </w:r>
    </w:p>
    <w:p w14:paraId="0B0A9FF2" w14:textId="2BE8A858" w:rsidR="001222DA" w:rsidRDefault="00F8680F" w:rsidP="00F8680F">
      <w:pPr>
        <w:pStyle w:val="ListParagraph"/>
        <w:numPr>
          <w:ilvl w:val="0"/>
          <w:numId w:val="2"/>
        </w:numPr>
        <w:spacing w:line="360" w:lineRule="auto"/>
        <w:jc w:val="both"/>
        <w:rPr>
          <w:rFonts w:ascii="Arial" w:hAnsi="Arial" w:cs="Arial"/>
          <w:sz w:val="24"/>
          <w:szCs w:val="24"/>
        </w:rPr>
      </w:pPr>
      <w:r w:rsidRPr="00F8680F">
        <w:rPr>
          <w:rFonts w:ascii="Arial" w:hAnsi="Arial" w:cs="Arial"/>
          <w:sz w:val="24"/>
          <w:szCs w:val="24"/>
        </w:rPr>
        <w:t>UKHospitality (2024)</w:t>
      </w:r>
      <w:r>
        <w:rPr>
          <w:rFonts w:ascii="Arial" w:hAnsi="Arial" w:cs="Arial"/>
          <w:sz w:val="24"/>
          <w:szCs w:val="24"/>
        </w:rPr>
        <w:t>.</w:t>
      </w:r>
      <w:r w:rsidRPr="00F8680F">
        <w:rPr>
          <w:rFonts w:ascii="Arial" w:hAnsi="Arial" w:cs="Arial"/>
          <w:sz w:val="24"/>
          <w:szCs w:val="24"/>
        </w:rPr>
        <w:t xml:space="preserve"> </w:t>
      </w:r>
      <w:r w:rsidRPr="00F8680F">
        <w:rPr>
          <w:rFonts w:ascii="Arial" w:hAnsi="Arial" w:cs="Arial"/>
          <w:i/>
          <w:iCs/>
          <w:sz w:val="24"/>
          <w:szCs w:val="24"/>
        </w:rPr>
        <w:t>Workforce and labour shortages in hospitality</w:t>
      </w:r>
      <w:r w:rsidRPr="00F8680F">
        <w:rPr>
          <w:rFonts w:ascii="Arial" w:hAnsi="Arial" w:cs="Arial"/>
          <w:sz w:val="24"/>
          <w:szCs w:val="24"/>
        </w:rPr>
        <w:t>. Available at:</w:t>
      </w:r>
      <w:r>
        <w:rPr>
          <w:rFonts w:ascii="Arial" w:hAnsi="Arial" w:cs="Arial"/>
          <w:sz w:val="24"/>
          <w:szCs w:val="24"/>
        </w:rPr>
        <w:t xml:space="preserve"> </w:t>
      </w:r>
      <w:hyperlink r:id="rId62" w:history="1">
        <w:r w:rsidRPr="00FB248E">
          <w:rPr>
            <w:rStyle w:val="Hyperlink"/>
            <w:rFonts w:ascii="Arial" w:hAnsi="Arial" w:cs="Arial"/>
            <w:sz w:val="24"/>
            <w:szCs w:val="24"/>
          </w:rPr>
          <w:t>https://www.ukhospitality.org.uk/campaign/workforce/</w:t>
        </w:r>
      </w:hyperlink>
      <w:r>
        <w:rPr>
          <w:rFonts w:ascii="Arial" w:hAnsi="Arial" w:cs="Arial"/>
          <w:sz w:val="24"/>
          <w:szCs w:val="24"/>
        </w:rPr>
        <w:t xml:space="preserve"> </w:t>
      </w:r>
      <w:r w:rsidRPr="00F8680F">
        <w:rPr>
          <w:rFonts w:ascii="Arial" w:hAnsi="Arial" w:cs="Arial"/>
          <w:sz w:val="24"/>
          <w:szCs w:val="24"/>
        </w:rPr>
        <w:t>(Accessed</w:t>
      </w:r>
      <w:r>
        <w:rPr>
          <w:rFonts w:ascii="Arial" w:hAnsi="Arial" w:cs="Arial"/>
          <w:sz w:val="24"/>
          <w:szCs w:val="24"/>
        </w:rPr>
        <w:t xml:space="preserve"> 15 January 2026</w:t>
      </w:r>
      <w:r w:rsidRPr="00F8680F">
        <w:rPr>
          <w:rFonts w:ascii="Arial" w:hAnsi="Arial" w:cs="Arial"/>
          <w:sz w:val="24"/>
          <w:szCs w:val="24"/>
        </w:rPr>
        <w:t>).</w:t>
      </w:r>
    </w:p>
    <w:p w14:paraId="1F2B60AE" w14:textId="7FE11EBE" w:rsidR="005476FA" w:rsidRDefault="005476FA" w:rsidP="00F8680F">
      <w:pPr>
        <w:pStyle w:val="ListParagraph"/>
        <w:numPr>
          <w:ilvl w:val="0"/>
          <w:numId w:val="2"/>
        </w:numPr>
        <w:spacing w:line="360" w:lineRule="auto"/>
        <w:jc w:val="both"/>
        <w:rPr>
          <w:rFonts w:ascii="Arial" w:hAnsi="Arial" w:cs="Arial"/>
          <w:sz w:val="24"/>
          <w:szCs w:val="24"/>
        </w:rPr>
      </w:pPr>
      <w:r w:rsidRPr="005476FA">
        <w:rPr>
          <w:rFonts w:ascii="Arial" w:hAnsi="Arial" w:cs="Arial"/>
          <w:sz w:val="24"/>
          <w:szCs w:val="24"/>
        </w:rPr>
        <w:t>Vargo, S.L. and Lusch, R.F. (2004)</w:t>
      </w:r>
      <w:r>
        <w:rPr>
          <w:rFonts w:ascii="Arial" w:hAnsi="Arial" w:cs="Arial"/>
          <w:sz w:val="24"/>
          <w:szCs w:val="24"/>
        </w:rPr>
        <w:t xml:space="preserve">. </w:t>
      </w:r>
      <w:r w:rsidRPr="005476FA">
        <w:rPr>
          <w:rFonts w:ascii="Arial" w:hAnsi="Arial" w:cs="Arial"/>
          <w:sz w:val="24"/>
          <w:szCs w:val="24"/>
        </w:rPr>
        <w:t xml:space="preserve">Evolving to a new dominant logic for marketing, </w:t>
      </w:r>
      <w:r w:rsidRPr="005476FA">
        <w:rPr>
          <w:rFonts w:ascii="Arial" w:hAnsi="Arial" w:cs="Arial"/>
          <w:i/>
          <w:iCs/>
          <w:sz w:val="24"/>
          <w:szCs w:val="24"/>
        </w:rPr>
        <w:t>Journal of Marketing</w:t>
      </w:r>
      <w:r w:rsidRPr="005476FA">
        <w:rPr>
          <w:rFonts w:ascii="Arial" w:hAnsi="Arial" w:cs="Arial"/>
          <w:sz w:val="24"/>
          <w:szCs w:val="24"/>
        </w:rPr>
        <w:t xml:space="preserve">, 68(1), pp. 1–17. </w:t>
      </w:r>
      <w:r>
        <w:rPr>
          <w:rFonts w:ascii="Arial" w:hAnsi="Arial" w:cs="Arial"/>
          <w:sz w:val="24"/>
          <w:szCs w:val="24"/>
        </w:rPr>
        <w:t xml:space="preserve">Available at: </w:t>
      </w:r>
      <w:hyperlink r:id="rId63" w:history="1">
        <w:r w:rsidR="000E4118" w:rsidRPr="008832AC">
          <w:rPr>
            <w:rStyle w:val="Hyperlink"/>
            <w:rFonts w:ascii="Arial" w:hAnsi="Arial" w:cs="Arial"/>
            <w:sz w:val="24"/>
            <w:szCs w:val="24"/>
          </w:rPr>
          <w:t>https://doi.org/10.1509/jmkg.68.1.1.24036</w:t>
        </w:r>
      </w:hyperlink>
      <w:r w:rsidR="000E4118">
        <w:rPr>
          <w:rFonts w:ascii="Arial" w:hAnsi="Arial" w:cs="Arial"/>
          <w:sz w:val="24"/>
          <w:szCs w:val="24"/>
        </w:rPr>
        <w:t xml:space="preserve"> (Accessed 10 February 2026).</w:t>
      </w:r>
    </w:p>
    <w:p w14:paraId="08A9C129" w14:textId="682A9B9F" w:rsidR="007D73AB" w:rsidRDefault="007D73AB" w:rsidP="00F8680F">
      <w:pPr>
        <w:pStyle w:val="ListParagraph"/>
        <w:numPr>
          <w:ilvl w:val="0"/>
          <w:numId w:val="2"/>
        </w:numPr>
        <w:spacing w:line="360" w:lineRule="auto"/>
        <w:jc w:val="both"/>
        <w:rPr>
          <w:rFonts w:ascii="Arial" w:hAnsi="Arial" w:cs="Arial"/>
          <w:sz w:val="24"/>
          <w:szCs w:val="24"/>
        </w:rPr>
      </w:pPr>
      <w:r w:rsidRPr="007D73AB">
        <w:rPr>
          <w:rFonts w:ascii="Arial" w:hAnsi="Arial" w:cs="Arial"/>
          <w:sz w:val="24"/>
          <w:szCs w:val="24"/>
        </w:rPr>
        <w:t>Vargo, S.L. and Lusch, R.F. (2008)</w:t>
      </w:r>
      <w:r>
        <w:rPr>
          <w:rFonts w:ascii="Arial" w:hAnsi="Arial" w:cs="Arial"/>
          <w:sz w:val="24"/>
          <w:szCs w:val="24"/>
        </w:rPr>
        <w:t xml:space="preserve">. </w:t>
      </w:r>
      <w:r w:rsidRPr="007D73AB">
        <w:rPr>
          <w:rFonts w:ascii="Arial" w:hAnsi="Arial" w:cs="Arial"/>
          <w:sz w:val="24"/>
          <w:szCs w:val="24"/>
        </w:rPr>
        <w:t xml:space="preserve">Service-dominant logic, </w:t>
      </w:r>
      <w:r w:rsidRPr="007D73AB">
        <w:rPr>
          <w:rFonts w:ascii="Arial" w:hAnsi="Arial" w:cs="Arial"/>
          <w:i/>
          <w:iCs/>
          <w:sz w:val="24"/>
          <w:szCs w:val="24"/>
        </w:rPr>
        <w:t>Journal of the Academy of Marketing Science</w:t>
      </w:r>
      <w:r w:rsidRPr="007D73AB">
        <w:rPr>
          <w:rFonts w:ascii="Arial" w:hAnsi="Arial" w:cs="Arial"/>
          <w:sz w:val="24"/>
          <w:szCs w:val="24"/>
        </w:rPr>
        <w:t xml:space="preserve">, 36, pp. 1–10. </w:t>
      </w:r>
      <w:r>
        <w:rPr>
          <w:rFonts w:ascii="Arial" w:hAnsi="Arial" w:cs="Arial"/>
          <w:sz w:val="24"/>
          <w:szCs w:val="24"/>
        </w:rPr>
        <w:t xml:space="preserve">Available at: </w:t>
      </w:r>
      <w:hyperlink r:id="rId64" w:history="1">
        <w:r w:rsidRPr="008832AC">
          <w:rPr>
            <w:rStyle w:val="Hyperlink"/>
            <w:rFonts w:ascii="Arial" w:hAnsi="Arial" w:cs="Arial"/>
            <w:sz w:val="24"/>
            <w:szCs w:val="24"/>
          </w:rPr>
          <w:t>https://doi.org/10.1007/s11747-007-0069-6</w:t>
        </w:r>
      </w:hyperlink>
      <w:r>
        <w:rPr>
          <w:rFonts w:ascii="Arial" w:hAnsi="Arial" w:cs="Arial"/>
          <w:sz w:val="24"/>
          <w:szCs w:val="24"/>
        </w:rPr>
        <w:t xml:space="preserve"> (Accessed 10 February 2026).</w:t>
      </w:r>
    </w:p>
    <w:p w14:paraId="6E6A2EFF" w14:textId="25AC65BE" w:rsidR="001D247B" w:rsidRDefault="001D247B" w:rsidP="00F8680F">
      <w:pPr>
        <w:pStyle w:val="ListParagraph"/>
        <w:numPr>
          <w:ilvl w:val="0"/>
          <w:numId w:val="2"/>
        </w:numPr>
        <w:spacing w:line="360" w:lineRule="auto"/>
        <w:jc w:val="both"/>
        <w:rPr>
          <w:rFonts w:ascii="Arial" w:hAnsi="Arial" w:cs="Arial"/>
          <w:sz w:val="24"/>
          <w:szCs w:val="24"/>
        </w:rPr>
      </w:pPr>
      <w:r w:rsidRPr="001D247B">
        <w:rPr>
          <w:rFonts w:ascii="Arial" w:hAnsi="Arial" w:cs="Arial"/>
          <w:sz w:val="24"/>
          <w:szCs w:val="24"/>
        </w:rPr>
        <w:t>Veal, A.J. (2018</w:t>
      </w:r>
      <w:r w:rsidRPr="00467D83">
        <w:rPr>
          <w:rFonts w:ascii="Arial" w:hAnsi="Arial" w:cs="Arial"/>
          <w:i/>
          <w:iCs/>
          <w:sz w:val="24"/>
          <w:szCs w:val="24"/>
        </w:rPr>
        <w:t>). Research Methods for Leisure and Tourism</w:t>
      </w:r>
      <w:r w:rsidRPr="001D247B">
        <w:rPr>
          <w:rFonts w:ascii="Arial" w:hAnsi="Arial" w:cs="Arial"/>
          <w:sz w:val="24"/>
          <w:szCs w:val="24"/>
        </w:rPr>
        <w:t>. 5th edn. Harlow: Pearson.</w:t>
      </w:r>
    </w:p>
    <w:p w14:paraId="466D3E0F" w14:textId="1CF343A4" w:rsidR="002210E0" w:rsidRPr="002210E0" w:rsidRDefault="002210E0" w:rsidP="002210E0">
      <w:pPr>
        <w:pStyle w:val="ListParagraph"/>
        <w:numPr>
          <w:ilvl w:val="0"/>
          <w:numId w:val="2"/>
        </w:numPr>
        <w:spacing w:line="360" w:lineRule="auto"/>
        <w:jc w:val="both"/>
        <w:rPr>
          <w:rFonts w:ascii="Arial" w:hAnsi="Arial" w:cs="Arial"/>
          <w:sz w:val="24"/>
          <w:szCs w:val="24"/>
        </w:rPr>
      </w:pPr>
      <w:r w:rsidRPr="002210E0">
        <w:rPr>
          <w:rFonts w:ascii="Arial" w:hAnsi="Arial" w:cs="Arial"/>
          <w:sz w:val="24"/>
          <w:szCs w:val="24"/>
        </w:rPr>
        <w:t>Walker, V. and Nickson, D. (2025)</w:t>
      </w:r>
      <w:r>
        <w:rPr>
          <w:rFonts w:ascii="Arial" w:hAnsi="Arial" w:cs="Arial"/>
          <w:sz w:val="24"/>
          <w:szCs w:val="24"/>
        </w:rPr>
        <w:t xml:space="preserve">. </w:t>
      </w:r>
      <w:r w:rsidRPr="002210E0">
        <w:rPr>
          <w:rFonts w:ascii="Arial" w:hAnsi="Arial" w:cs="Arial"/>
          <w:sz w:val="24"/>
          <w:szCs w:val="24"/>
        </w:rPr>
        <w:t xml:space="preserve">Socially irresponsible HRM: Findings from the UK hotel sector, </w:t>
      </w:r>
      <w:r w:rsidRPr="00B35800">
        <w:rPr>
          <w:rFonts w:ascii="Arial" w:hAnsi="Arial" w:cs="Arial"/>
          <w:i/>
          <w:iCs/>
          <w:sz w:val="24"/>
          <w:szCs w:val="24"/>
        </w:rPr>
        <w:t>Journal of Business Ethics</w:t>
      </w:r>
      <w:r w:rsidRPr="002210E0">
        <w:rPr>
          <w:rFonts w:ascii="Arial" w:hAnsi="Arial" w:cs="Arial"/>
          <w:sz w:val="24"/>
          <w:szCs w:val="24"/>
        </w:rPr>
        <w:t xml:space="preserve">, 197(3), pp. 581–595. Available at: </w:t>
      </w:r>
      <w:hyperlink r:id="rId65" w:history="1">
        <w:r w:rsidRPr="00FB248E">
          <w:rPr>
            <w:rStyle w:val="Hyperlink"/>
            <w:rFonts w:ascii="Arial" w:hAnsi="Arial" w:cs="Arial"/>
            <w:sz w:val="24"/>
            <w:szCs w:val="24"/>
          </w:rPr>
          <w:t>https://doi.org/10.1007/s10551-024-05761-5</w:t>
        </w:r>
      </w:hyperlink>
      <w:r>
        <w:rPr>
          <w:rFonts w:ascii="Arial" w:hAnsi="Arial" w:cs="Arial"/>
          <w:sz w:val="24"/>
          <w:szCs w:val="24"/>
        </w:rPr>
        <w:t xml:space="preserve"> </w:t>
      </w:r>
      <w:r w:rsidRPr="002210E0">
        <w:rPr>
          <w:rFonts w:ascii="Arial" w:hAnsi="Arial" w:cs="Arial"/>
          <w:sz w:val="24"/>
          <w:szCs w:val="24"/>
        </w:rPr>
        <w:t>(Accessed</w:t>
      </w:r>
      <w:r w:rsidR="00B35800">
        <w:rPr>
          <w:rFonts w:ascii="Arial" w:hAnsi="Arial" w:cs="Arial"/>
          <w:sz w:val="24"/>
          <w:szCs w:val="24"/>
        </w:rPr>
        <w:t xml:space="preserve"> 1</w:t>
      </w:r>
      <w:r w:rsidR="00E047F6">
        <w:rPr>
          <w:rFonts w:ascii="Arial" w:hAnsi="Arial" w:cs="Arial"/>
          <w:sz w:val="24"/>
          <w:szCs w:val="24"/>
        </w:rPr>
        <w:t>8 January 2026</w:t>
      </w:r>
      <w:r w:rsidRPr="002210E0">
        <w:rPr>
          <w:rFonts w:ascii="Arial" w:hAnsi="Arial" w:cs="Arial"/>
          <w:sz w:val="24"/>
          <w:szCs w:val="24"/>
        </w:rPr>
        <w:t>).</w:t>
      </w:r>
    </w:p>
    <w:p w14:paraId="6C3C6A15" w14:textId="2E05E046" w:rsidR="00586109" w:rsidRDefault="0076268A" w:rsidP="0076268A">
      <w:pPr>
        <w:pStyle w:val="ListParagraph"/>
        <w:numPr>
          <w:ilvl w:val="0"/>
          <w:numId w:val="2"/>
        </w:numPr>
        <w:spacing w:line="360" w:lineRule="auto"/>
        <w:jc w:val="both"/>
        <w:rPr>
          <w:rFonts w:ascii="Arial" w:hAnsi="Arial" w:cs="Arial"/>
          <w:sz w:val="24"/>
          <w:szCs w:val="24"/>
        </w:rPr>
      </w:pPr>
      <w:r w:rsidRPr="0076268A">
        <w:rPr>
          <w:rFonts w:ascii="Arial" w:hAnsi="Arial" w:cs="Arial"/>
          <w:sz w:val="24"/>
          <w:szCs w:val="24"/>
        </w:rPr>
        <w:t>Wang, C.-J. (2020)</w:t>
      </w:r>
      <w:r>
        <w:rPr>
          <w:rFonts w:ascii="Arial" w:hAnsi="Arial" w:cs="Arial"/>
          <w:sz w:val="24"/>
          <w:szCs w:val="24"/>
        </w:rPr>
        <w:t xml:space="preserve">. </w:t>
      </w:r>
      <w:r w:rsidRPr="0076268A">
        <w:rPr>
          <w:rFonts w:ascii="Arial" w:hAnsi="Arial" w:cs="Arial"/>
          <w:sz w:val="24"/>
          <w:szCs w:val="24"/>
        </w:rPr>
        <w:t xml:space="preserve">Managing emotional labor for service quality: A cross-level analysis among hotel employees, </w:t>
      </w:r>
      <w:r w:rsidRPr="0076268A">
        <w:rPr>
          <w:rFonts w:ascii="Arial" w:hAnsi="Arial" w:cs="Arial"/>
          <w:i/>
          <w:iCs/>
          <w:sz w:val="24"/>
          <w:szCs w:val="24"/>
        </w:rPr>
        <w:t>International Journal of Hospitality Management</w:t>
      </w:r>
      <w:r w:rsidRPr="0076268A">
        <w:rPr>
          <w:rFonts w:ascii="Arial" w:hAnsi="Arial" w:cs="Arial"/>
          <w:sz w:val="24"/>
          <w:szCs w:val="24"/>
        </w:rPr>
        <w:t xml:space="preserve">, 88, 102396. Available at: </w:t>
      </w:r>
      <w:hyperlink r:id="rId66" w:history="1">
        <w:r w:rsidRPr="00FB248E">
          <w:rPr>
            <w:rStyle w:val="Hyperlink"/>
            <w:rFonts w:ascii="Arial" w:hAnsi="Arial" w:cs="Arial"/>
            <w:sz w:val="24"/>
            <w:szCs w:val="24"/>
          </w:rPr>
          <w:t>https://doi.org/10.1016/j.ijhm.2019.102396</w:t>
        </w:r>
      </w:hyperlink>
      <w:r>
        <w:rPr>
          <w:rFonts w:ascii="Arial" w:hAnsi="Arial" w:cs="Arial"/>
          <w:sz w:val="24"/>
          <w:szCs w:val="24"/>
        </w:rPr>
        <w:t xml:space="preserve"> </w:t>
      </w:r>
      <w:r w:rsidRPr="0076268A">
        <w:rPr>
          <w:rFonts w:ascii="Arial" w:hAnsi="Arial" w:cs="Arial"/>
          <w:sz w:val="24"/>
          <w:szCs w:val="24"/>
        </w:rPr>
        <w:t xml:space="preserve">(Accessed: </w:t>
      </w:r>
      <w:r>
        <w:rPr>
          <w:rFonts w:ascii="Arial" w:hAnsi="Arial" w:cs="Arial"/>
          <w:sz w:val="24"/>
          <w:szCs w:val="24"/>
        </w:rPr>
        <w:t>16 January 2026</w:t>
      </w:r>
      <w:r w:rsidRPr="0076268A">
        <w:rPr>
          <w:rFonts w:ascii="Arial" w:hAnsi="Arial" w:cs="Arial"/>
          <w:sz w:val="24"/>
          <w:szCs w:val="24"/>
        </w:rPr>
        <w:t>).</w:t>
      </w:r>
    </w:p>
    <w:p w14:paraId="2B6AE273" w14:textId="68A5C354" w:rsidR="00DE0EA5" w:rsidRDefault="00DE0EA5" w:rsidP="0076268A">
      <w:pPr>
        <w:pStyle w:val="ListParagraph"/>
        <w:numPr>
          <w:ilvl w:val="0"/>
          <w:numId w:val="2"/>
        </w:numPr>
        <w:spacing w:line="360" w:lineRule="auto"/>
        <w:jc w:val="both"/>
        <w:rPr>
          <w:rFonts w:ascii="Arial" w:hAnsi="Arial" w:cs="Arial"/>
          <w:sz w:val="24"/>
          <w:szCs w:val="24"/>
        </w:rPr>
      </w:pPr>
      <w:r w:rsidRPr="00DE0EA5">
        <w:rPr>
          <w:rFonts w:ascii="Arial" w:hAnsi="Arial" w:cs="Arial"/>
          <w:sz w:val="24"/>
          <w:szCs w:val="24"/>
        </w:rPr>
        <w:t>Yin, R.K. (2018)</w:t>
      </w:r>
      <w:r>
        <w:rPr>
          <w:rFonts w:ascii="Arial" w:hAnsi="Arial" w:cs="Arial"/>
          <w:sz w:val="24"/>
          <w:szCs w:val="24"/>
        </w:rPr>
        <w:t xml:space="preserve">. </w:t>
      </w:r>
      <w:r w:rsidRPr="00CF7FCF">
        <w:rPr>
          <w:rFonts w:ascii="Arial" w:hAnsi="Arial" w:cs="Arial"/>
          <w:i/>
          <w:iCs/>
          <w:sz w:val="24"/>
          <w:szCs w:val="24"/>
        </w:rPr>
        <w:t>Case Study Research and Applications</w:t>
      </w:r>
      <w:r w:rsidRPr="00DE0EA5">
        <w:rPr>
          <w:rFonts w:ascii="Arial" w:hAnsi="Arial" w:cs="Arial"/>
          <w:sz w:val="24"/>
          <w:szCs w:val="24"/>
        </w:rPr>
        <w:t>. 6th edn. Thousand Oaks: SAGE.</w:t>
      </w:r>
    </w:p>
    <w:p w14:paraId="0D4340B4" w14:textId="3521927D" w:rsidR="00B405CD" w:rsidRPr="00B405CD" w:rsidRDefault="00B405CD" w:rsidP="00B405CD">
      <w:pPr>
        <w:pStyle w:val="ListParagraph"/>
        <w:numPr>
          <w:ilvl w:val="0"/>
          <w:numId w:val="2"/>
        </w:numPr>
        <w:spacing w:line="360" w:lineRule="auto"/>
        <w:jc w:val="both"/>
        <w:rPr>
          <w:rFonts w:ascii="Arial" w:hAnsi="Arial" w:cs="Arial"/>
          <w:sz w:val="24"/>
          <w:szCs w:val="24"/>
        </w:rPr>
      </w:pPr>
      <w:r w:rsidRPr="00B405CD">
        <w:rPr>
          <w:rFonts w:ascii="Arial" w:hAnsi="Arial" w:cs="Arial"/>
          <w:sz w:val="24"/>
          <w:szCs w:val="24"/>
        </w:rPr>
        <w:t>Yoon, M.H. and Suh, J. (2003)</w:t>
      </w:r>
      <w:r>
        <w:rPr>
          <w:rFonts w:ascii="Arial" w:hAnsi="Arial" w:cs="Arial"/>
          <w:sz w:val="24"/>
          <w:szCs w:val="24"/>
        </w:rPr>
        <w:t xml:space="preserve">. </w:t>
      </w:r>
      <w:r w:rsidRPr="00B405CD">
        <w:rPr>
          <w:rFonts w:ascii="Arial" w:hAnsi="Arial" w:cs="Arial"/>
          <w:sz w:val="24"/>
          <w:szCs w:val="24"/>
        </w:rPr>
        <w:t xml:space="preserve">Organizational citizenship behaviors and service quality as external effectiveness of contact employees, </w:t>
      </w:r>
      <w:r w:rsidRPr="00B405CD">
        <w:rPr>
          <w:rFonts w:ascii="Arial" w:hAnsi="Arial" w:cs="Arial"/>
          <w:i/>
          <w:iCs/>
          <w:sz w:val="24"/>
          <w:szCs w:val="24"/>
        </w:rPr>
        <w:t>Journal of Business Research</w:t>
      </w:r>
      <w:r w:rsidRPr="00B405CD">
        <w:rPr>
          <w:rFonts w:ascii="Arial" w:hAnsi="Arial" w:cs="Arial"/>
          <w:sz w:val="24"/>
          <w:szCs w:val="24"/>
        </w:rPr>
        <w:t>, 56(8), pp. 597–611.</w:t>
      </w:r>
      <w:r>
        <w:rPr>
          <w:rFonts w:ascii="Arial" w:hAnsi="Arial" w:cs="Arial"/>
          <w:sz w:val="24"/>
          <w:szCs w:val="24"/>
        </w:rPr>
        <w:t xml:space="preserve"> Available</w:t>
      </w:r>
      <w:r w:rsidR="008434E7">
        <w:rPr>
          <w:rFonts w:ascii="Arial" w:hAnsi="Arial" w:cs="Arial"/>
          <w:sz w:val="24"/>
          <w:szCs w:val="24"/>
        </w:rPr>
        <w:t xml:space="preserve"> at:</w:t>
      </w:r>
      <w:r>
        <w:rPr>
          <w:rFonts w:ascii="Arial" w:hAnsi="Arial" w:cs="Arial"/>
          <w:sz w:val="24"/>
          <w:szCs w:val="24"/>
        </w:rPr>
        <w:t xml:space="preserve"> </w:t>
      </w:r>
      <w:hyperlink r:id="rId67" w:history="1">
        <w:r w:rsidR="008434E7" w:rsidRPr="00E416FD">
          <w:rPr>
            <w:rStyle w:val="Hyperlink"/>
            <w:rFonts w:ascii="Arial" w:hAnsi="Arial" w:cs="Arial"/>
            <w:sz w:val="24"/>
            <w:szCs w:val="24"/>
          </w:rPr>
          <w:t>https://doi.org/10.1016/S0148-2963(01)00290-9</w:t>
        </w:r>
      </w:hyperlink>
      <w:r w:rsidR="008434E7">
        <w:rPr>
          <w:rFonts w:ascii="Arial" w:hAnsi="Arial" w:cs="Arial"/>
          <w:sz w:val="24"/>
          <w:szCs w:val="24"/>
        </w:rPr>
        <w:t xml:space="preserve"> (Accessed 22 February 2026).</w:t>
      </w:r>
    </w:p>
    <w:p w14:paraId="09F9795D" w14:textId="3AC13507" w:rsidR="006B7BC6" w:rsidRPr="004C54D5" w:rsidRDefault="006B7BC6" w:rsidP="004C54D5">
      <w:pPr>
        <w:pStyle w:val="ListParagraph"/>
        <w:numPr>
          <w:ilvl w:val="0"/>
          <w:numId w:val="2"/>
        </w:numPr>
        <w:spacing w:line="360" w:lineRule="auto"/>
        <w:jc w:val="both"/>
        <w:rPr>
          <w:rFonts w:ascii="Arial" w:hAnsi="Arial" w:cs="Arial"/>
          <w:sz w:val="24"/>
          <w:szCs w:val="24"/>
        </w:rPr>
      </w:pPr>
      <w:r w:rsidRPr="006B7BC6">
        <w:rPr>
          <w:rFonts w:ascii="Arial" w:hAnsi="Arial" w:cs="Arial"/>
          <w:sz w:val="24"/>
          <w:szCs w:val="24"/>
        </w:rPr>
        <w:t>Zientara, P., Adamska-Mieruszewska, J. &amp; Bąk, M. (2023)</w:t>
      </w:r>
      <w:r>
        <w:rPr>
          <w:rFonts w:ascii="Arial" w:hAnsi="Arial" w:cs="Arial"/>
          <w:sz w:val="24"/>
          <w:szCs w:val="24"/>
        </w:rPr>
        <w:t xml:space="preserve">. </w:t>
      </w:r>
      <w:r w:rsidRPr="006B7BC6">
        <w:rPr>
          <w:rFonts w:ascii="Arial" w:hAnsi="Arial" w:cs="Arial"/>
          <w:sz w:val="24"/>
          <w:szCs w:val="24"/>
        </w:rPr>
        <w:t xml:space="preserve">Unpicking the mechanism underlying hospitality workers’ intention to join a union and intention to quit a job. </w:t>
      </w:r>
      <w:r w:rsidRPr="004C54D5">
        <w:rPr>
          <w:rFonts w:ascii="Arial" w:hAnsi="Arial" w:cs="Arial"/>
          <w:i/>
          <w:iCs/>
          <w:sz w:val="24"/>
          <w:szCs w:val="24"/>
        </w:rPr>
        <w:t>International Journal of Hospitality Management</w:t>
      </w:r>
      <w:r w:rsidRPr="006B7BC6">
        <w:rPr>
          <w:rFonts w:ascii="Arial" w:hAnsi="Arial" w:cs="Arial"/>
          <w:sz w:val="24"/>
          <w:szCs w:val="24"/>
        </w:rPr>
        <w:t>, 108, 103355.</w:t>
      </w:r>
      <w:r w:rsidR="004C54D5">
        <w:rPr>
          <w:rFonts w:ascii="Arial" w:hAnsi="Arial" w:cs="Arial"/>
          <w:sz w:val="24"/>
          <w:szCs w:val="24"/>
        </w:rPr>
        <w:t xml:space="preserve"> Available at: </w:t>
      </w:r>
      <w:hyperlink r:id="rId68" w:history="1">
        <w:r w:rsidR="004C54D5" w:rsidRPr="00D42641">
          <w:rPr>
            <w:rStyle w:val="Hyperlink"/>
            <w:rFonts w:ascii="Arial" w:hAnsi="Arial" w:cs="Arial"/>
            <w:sz w:val="24"/>
            <w:szCs w:val="24"/>
          </w:rPr>
          <w:t>https://doi.org/10.1016/j.ijhm.2022.103355</w:t>
        </w:r>
      </w:hyperlink>
      <w:r w:rsidR="004C54D5">
        <w:rPr>
          <w:rFonts w:ascii="Arial" w:hAnsi="Arial" w:cs="Arial"/>
          <w:sz w:val="24"/>
          <w:szCs w:val="24"/>
        </w:rPr>
        <w:t xml:space="preserve"> (Accessed 4 February 2026).</w:t>
      </w:r>
    </w:p>
    <w:p w14:paraId="1BA32A84" w14:textId="77777777" w:rsidR="000D522D" w:rsidRPr="00742921" w:rsidRDefault="000D522D" w:rsidP="000D522D">
      <w:pPr>
        <w:spacing w:line="360" w:lineRule="auto"/>
        <w:jc w:val="both"/>
        <w:rPr>
          <w:rFonts w:ascii="Arial" w:hAnsi="Arial" w:cs="Arial"/>
          <w:sz w:val="24"/>
          <w:szCs w:val="24"/>
        </w:rPr>
      </w:pPr>
    </w:p>
    <w:p w14:paraId="47F38F01" w14:textId="77777777" w:rsidR="000D522D" w:rsidRPr="00742921" w:rsidRDefault="000D522D" w:rsidP="000D522D">
      <w:pPr>
        <w:spacing w:line="360" w:lineRule="auto"/>
        <w:jc w:val="both"/>
        <w:rPr>
          <w:rFonts w:ascii="Arial" w:hAnsi="Arial" w:cs="Arial"/>
          <w:sz w:val="24"/>
          <w:szCs w:val="24"/>
        </w:rPr>
      </w:pPr>
    </w:p>
    <w:p w14:paraId="5A995AB6" w14:textId="77777777" w:rsidR="000D522D" w:rsidRPr="00742921" w:rsidRDefault="000D522D" w:rsidP="000D522D">
      <w:pPr>
        <w:spacing w:line="360" w:lineRule="auto"/>
        <w:jc w:val="both"/>
        <w:rPr>
          <w:rFonts w:ascii="Arial" w:hAnsi="Arial" w:cs="Arial"/>
          <w:sz w:val="24"/>
          <w:szCs w:val="24"/>
        </w:rPr>
      </w:pPr>
    </w:p>
    <w:p w14:paraId="6E778751" w14:textId="77777777" w:rsidR="000D522D" w:rsidRPr="000D522D" w:rsidRDefault="000D522D" w:rsidP="000D522D">
      <w:pPr>
        <w:spacing w:line="360" w:lineRule="auto"/>
        <w:jc w:val="both"/>
        <w:rPr>
          <w:rFonts w:ascii="Arial" w:hAnsi="Arial" w:cs="Arial"/>
          <w:sz w:val="24"/>
          <w:szCs w:val="24"/>
        </w:rPr>
      </w:pPr>
    </w:p>
    <w:sectPr w:rsidR="000D522D" w:rsidRPr="000D522D" w:rsidSect="0001245D">
      <w:footerReference w:type="default" r:id="rId6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98AC03" w14:textId="77777777" w:rsidR="00DD1595" w:rsidRDefault="00DD1595" w:rsidP="00D4314E">
      <w:pPr>
        <w:spacing w:after="0" w:line="240" w:lineRule="auto"/>
      </w:pPr>
      <w:r>
        <w:separator/>
      </w:r>
    </w:p>
  </w:endnote>
  <w:endnote w:type="continuationSeparator" w:id="0">
    <w:p w14:paraId="1A38E0D4" w14:textId="77777777" w:rsidR="00DD1595" w:rsidRDefault="00DD1595" w:rsidP="00D43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1470785"/>
      <w:docPartObj>
        <w:docPartGallery w:val="Page Numbers (Bottom of Page)"/>
        <w:docPartUnique/>
      </w:docPartObj>
    </w:sdtPr>
    <w:sdtEndPr>
      <w:rPr>
        <w:noProof/>
      </w:rPr>
    </w:sdtEndPr>
    <w:sdtContent>
      <w:p w14:paraId="2F847AE7" w14:textId="774C153B" w:rsidR="00D4314E" w:rsidRDefault="00D431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23531C" w14:textId="77777777" w:rsidR="00D4314E" w:rsidRDefault="00D431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7423F1" w14:textId="77777777" w:rsidR="00DD1595" w:rsidRDefault="00DD1595" w:rsidP="00D4314E">
      <w:pPr>
        <w:spacing w:after="0" w:line="240" w:lineRule="auto"/>
      </w:pPr>
      <w:r>
        <w:separator/>
      </w:r>
    </w:p>
  </w:footnote>
  <w:footnote w:type="continuationSeparator" w:id="0">
    <w:p w14:paraId="14657D39" w14:textId="77777777" w:rsidR="00DD1595" w:rsidRDefault="00DD1595" w:rsidP="00D431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13CB8"/>
    <w:multiLevelType w:val="multilevel"/>
    <w:tmpl w:val="4C90802A"/>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81259AC"/>
    <w:multiLevelType w:val="hybridMultilevel"/>
    <w:tmpl w:val="C02A86FE"/>
    <w:lvl w:ilvl="0" w:tplc="AC98CFC2">
      <w:start w:val="1"/>
      <w:numFmt w:val="decimal"/>
      <w:lvlText w:val="%1."/>
      <w:lvlJc w:val="left"/>
      <w:pPr>
        <w:ind w:left="840" w:hanging="36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2" w15:restartNumberingAfterBreak="0">
    <w:nsid w:val="1BEC74BB"/>
    <w:multiLevelType w:val="hybridMultilevel"/>
    <w:tmpl w:val="4768C1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654B93"/>
    <w:multiLevelType w:val="hybridMultilevel"/>
    <w:tmpl w:val="DD00D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5F37CD"/>
    <w:multiLevelType w:val="hybridMultilevel"/>
    <w:tmpl w:val="F60CDC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F40A53"/>
    <w:multiLevelType w:val="hybridMultilevel"/>
    <w:tmpl w:val="2F7E4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9614A2"/>
    <w:multiLevelType w:val="hybridMultilevel"/>
    <w:tmpl w:val="25905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9F36EE"/>
    <w:multiLevelType w:val="hybridMultilevel"/>
    <w:tmpl w:val="9CDC1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BE3351"/>
    <w:multiLevelType w:val="hybridMultilevel"/>
    <w:tmpl w:val="3C68D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7F2FF8"/>
    <w:multiLevelType w:val="hybridMultilevel"/>
    <w:tmpl w:val="163E875C"/>
    <w:lvl w:ilvl="0" w:tplc="AC98CFC2">
      <w:start w:val="1"/>
      <w:numFmt w:val="decimal"/>
      <w:lvlText w:val="%1."/>
      <w:lvlJc w:val="left"/>
      <w:pPr>
        <w:ind w:left="8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BD1DB8"/>
    <w:multiLevelType w:val="hybridMultilevel"/>
    <w:tmpl w:val="8D904E02"/>
    <w:lvl w:ilvl="0" w:tplc="0809000F">
      <w:start w:val="1"/>
      <w:numFmt w:val="decimal"/>
      <w:lvlText w:val="%1."/>
      <w:lvlJc w:val="left"/>
      <w:pPr>
        <w:ind w:left="1560" w:hanging="360"/>
      </w:pPr>
    </w:lvl>
    <w:lvl w:ilvl="1" w:tplc="08090019" w:tentative="1">
      <w:start w:val="1"/>
      <w:numFmt w:val="lowerLetter"/>
      <w:lvlText w:val="%2."/>
      <w:lvlJc w:val="left"/>
      <w:pPr>
        <w:ind w:left="2280" w:hanging="360"/>
      </w:pPr>
    </w:lvl>
    <w:lvl w:ilvl="2" w:tplc="0809001B" w:tentative="1">
      <w:start w:val="1"/>
      <w:numFmt w:val="lowerRoman"/>
      <w:lvlText w:val="%3."/>
      <w:lvlJc w:val="right"/>
      <w:pPr>
        <w:ind w:left="3000" w:hanging="180"/>
      </w:pPr>
    </w:lvl>
    <w:lvl w:ilvl="3" w:tplc="0809000F" w:tentative="1">
      <w:start w:val="1"/>
      <w:numFmt w:val="decimal"/>
      <w:lvlText w:val="%4."/>
      <w:lvlJc w:val="left"/>
      <w:pPr>
        <w:ind w:left="3720" w:hanging="360"/>
      </w:pPr>
    </w:lvl>
    <w:lvl w:ilvl="4" w:tplc="08090019" w:tentative="1">
      <w:start w:val="1"/>
      <w:numFmt w:val="lowerLetter"/>
      <w:lvlText w:val="%5."/>
      <w:lvlJc w:val="left"/>
      <w:pPr>
        <w:ind w:left="4440" w:hanging="360"/>
      </w:pPr>
    </w:lvl>
    <w:lvl w:ilvl="5" w:tplc="0809001B" w:tentative="1">
      <w:start w:val="1"/>
      <w:numFmt w:val="lowerRoman"/>
      <w:lvlText w:val="%6."/>
      <w:lvlJc w:val="right"/>
      <w:pPr>
        <w:ind w:left="5160" w:hanging="180"/>
      </w:pPr>
    </w:lvl>
    <w:lvl w:ilvl="6" w:tplc="0809000F" w:tentative="1">
      <w:start w:val="1"/>
      <w:numFmt w:val="decimal"/>
      <w:lvlText w:val="%7."/>
      <w:lvlJc w:val="left"/>
      <w:pPr>
        <w:ind w:left="5880" w:hanging="360"/>
      </w:pPr>
    </w:lvl>
    <w:lvl w:ilvl="7" w:tplc="08090019" w:tentative="1">
      <w:start w:val="1"/>
      <w:numFmt w:val="lowerLetter"/>
      <w:lvlText w:val="%8."/>
      <w:lvlJc w:val="left"/>
      <w:pPr>
        <w:ind w:left="6600" w:hanging="360"/>
      </w:pPr>
    </w:lvl>
    <w:lvl w:ilvl="8" w:tplc="0809001B" w:tentative="1">
      <w:start w:val="1"/>
      <w:numFmt w:val="lowerRoman"/>
      <w:lvlText w:val="%9."/>
      <w:lvlJc w:val="right"/>
      <w:pPr>
        <w:ind w:left="7320" w:hanging="180"/>
      </w:pPr>
    </w:lvl>
  </w:abstractNum>
  <w:abstractNum w:abstractNumId="11" w15:restartNumberingAfterBreak="0">
    <w:nsid w:val="6539156F"/>
    <w:multiLevelType w:val="hybridMultilevel"/>
    <w:tmpl w:val="0B82B9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68018FC"/>
    <w:multiLevelType w:val="hybridMultilevel"/>
    <w:tmpl w:val="4C8A9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546FDF"/>
    <w:multiLevelType w:val="hybridMultilevel"/>
    <w:tmpl w:val="61B49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691448"/>
    <w:multiLevelType w:val="hybridMultilevel"/>
    <w:tmpl w:val="6B8E85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8A22CBE"/>
    <w:multiLevelType w:val="hybridMultilevel"/>
    <w:tmpl w:val="2216F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5414557">
    <w:abstractNumId w:val="0"/>
  </w:num>
  <w:num w:numId="2" w16cid:durableId="1668316116">
    <w:abstractNumId w:val="1"/>
  </w:num>
  <w:num w:numId="3" w16cid:durableId="836918260">
    <w:abstractNumId w:val="10"/>
  </w:num>
  <w:num w:numId="4" w16cid:durableId="421413214">
    <w:abstractNumId w:val="11"/>
  </w:num>
  <w:num w:numId="5" w16cid:durableId="69696025">
    <w:abstractNumId w:val="9"/>
  </w:num>
  <w:num w:numId="6" w16cid:durableId="1099914929">
    <w:abstractNumId w:val="14"/>
  </w:num>
  <w:num w:numId="7" w16cid:durableId="2133941552">
    <w:abstractNumId w:val="6"/>
  </w:num>
  <w:num w:numId="8" w16cid:durableId="806822508">
    <w:abstractNumId w:val="5"/>
  </w:num>
  <w:num w:numId="9" w16cid:durableId="165557479">
    <w:abstractNumId w:val="8"/>
  </w:num>
  <w:num w:numId="10" w16cid:durableId="2006279690">
    <w:abstractNumId w:val="7"/>
  </w:num>
  <w:num w:numId="11" w16cid:durableId="1617567599">
    <w:abstractNumId w:val="4"/>
  </w:num>
  <w:num w:numId="12" w16cid:durableId="1468670613">
    <w:abstractNumId w:val="13"/>
  </w:num>
  <w:num w:numId="13" w16cid:durableId="1633441740">
    <w:abstractNumId w:val="12"/>
  </w:num>
  <w:num w:numId="14" w16cid:durableId="2112357835">
    <w:abstractNumId w:val="15"/>
  </w:num>
  <w:num w:numId="15" w16cid:durableId="981619617">
    <w:abstractNumId w:val="3"/>
  </w:num>
  <w:num w:numId="16" w16cid:durableId="4215329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CAB"/>
    <w:rsid w:val="000006A9"/>
    <w:rsid w:val="00011DD6"/>
    <w:rsid w:val="0001245D"/>
    <w:rsid w:val="0001627F"/>
    <w:rsid w:val="0002631D"/>
    <w:rsid w:val="00032B35"/>
    <w:rsid w:val="000458D4"/>
    <w:rsid w:val="00050555"/>
    <w:rsid w:val="000543DC"/>
    <w:rsid w:val="000640E8"/>
    <w:rsid w:val="000762B5"/>
    <w:rsid w:val="000829CB"/>
    <w:rsid w:val="000953D3"/>
    <w:rsid w:val="00097E3B"/>
    <w:rsid w:val="000A0953"/>
    <w:rsid w:val="000A14F5"/>
    <w:rsid w:val="000A5A24"/>
    <w:rsid w:val="000B52C1"/>
    <w:rsid w:val="000C0712"/>
    <w:rsid w:val="000D1B3F"/>
    <w:rsid w:val="000D522D"/>
    <w:rsid w:val="000E4118"/>
    <w:rsid w:val="000F000B"/>
    <w:rsid w:val="000F382F"/>
    <w:rsid w:val="000F4BE7"/>
    <w:rsid w:val="0010209F"/>
    <w:rsid w:val="00106631"/>
    <w:rsid w:val="00107668"/>
    <w:rsid w:val="00110A43"/>
    <w:rsid w:val="00112D1C"/>
    <w:rsid w:val="001178A0"/>
    <w:rsid w:val="001222DA"/>
    <w:rsid w:val="001227F5"/>
    <w:rsid w:val="00136239"/>
    <w:rsid w:val="00144C5E"/>
    <w:rsid w:val="00152F9D"/>
    <w:rsid w:val="00153855"/>
    <w:rsid w:val="00170AEE"/>
    <w:rsid w:val="00172368"/>
    <w:rsid w:val="00177750"/>
    <w:rsid w:val="00183D4D"/>
    <w:rsid w:val="001919CB"/>
    <w:rsid w:val="00197942"/>
    <w:rsid w:val="001B2B4A"/>
    <w:rsid w:val="001B4010"/>
    <w:rsid w:val="001B6245"/>
    <w:rsid w:val="001C7DFA"/>
    <w:rsid w:val="001D247B"/>
    <w:rsid w:val="001F4F0A"/>
    <w:rsid w:val="002210E0"/>
    <w:rsid w:val="002331D1"/>
    <w:rsid w:val="00234185"/>
    <w:rsid w:val="00236FBC"/>
    <w:rsid w:val="002569B5"/>
    <w:rsid w:val="002647E2"/>
    <w:rsid w:val="00273849"/>
    <w:rsid w:val="0027660B"/>
    <w:rsid w:val="00282AB7"/>
    <w:rsid w:val="0029079C"/>
    <w:rsid w:val="00291523"/>
    <w:rsid w:val="002920D6"/>
    <w:rsid w:val="0029289D"/>
    <w:rsid w:val="002C0E41"/>
    <w:rsid w:val="002D4C04"/>
    <w:rsid w:val="002E3344"/>
    <w:rsid w:val="002F1FBD"/>
    <w:rsid w:val="002F2085"/>
    <w:rsid w:val="00321BDF"/>
    <w:rsid w:val="00331F2E"/>
    <w:rsid w:val="003370FF"/>
    <w:rsid w:val="003621D7"/>
    <w:rsid w:val="00373F85"/>
    <w:rsid w:val="003A0054"/>
    <w:rsid w:val="003A0DCB"/>
    <w:rsid w:val="003A4060"/>
    <w:rsid w:val="003B5586"/>
    <w:rsid w:val="003B6762"/>
    <w:rsid w:val="003D2899"/>
    <w:rsid w:val="003E58F4"/>
    <w:rsid w:val="003F2F5E"/>
    <w:rsid w:val="004000C3"/>
    <w:rsid w:val="00421775"/>
    <w:rsid w:val="00456F53"/>
    <w:rsid w:val="00467D83"/>
    <w:rsid w:val="004808AA"/>
    <w:rsid w:val="00482B5A"/>
    <w:rsid w:val="004B256C"/>
    <w:rsid w:val="004C2EE4"/>
    <w:rsid w:val="004C54D5"/>
    <w:rsid w:val="004D5AAA"/>
    <w:rsid w:val="004E354B"/>
    <w:rsid w:val="005063EE"/>
    <w:rsid w:val="00534E7B"/>
    <w:rsid w:val="005476FA"/>
    <w:rsid w:val="005668A7"/>
    <w:rsid w:val="00570A6B"/>
    <w:rsid w:val="00586109"/>
    <w:rsid w:val="00591D62"/>
    <w:rsid w:val="0059660B"/>
    <w:rsid w:val="005A40A9"/>
    <w:rsid w:val="005B0F76"/>
    <w:rsid w:val="005B2644"/>
    <w:rsid w:val="005C561E"/>
    <w:rsid w:val="005C5837"/>
    <w:rsid w:val="005D126B"/>
    <w:rsid w:val="005E4FB0"/>
    <w:rsid w:val="005E6370"/>
    <w:rsid w:val="006259D1"/>
    <w:rsid w:val="00630287"/>
    <w:rsid w:val="006457AB"/>
    <w:rsid w:val="00646A19"/>
    <w:rsid w:val="00664607"/>
    <w:rsid w:val="006742A5"/>
    <w:rsid w:val="006744F0"/>
    <w:rsid w:val="00682B72"/>
    <w:rsid w:val="00686644"/>
    <w:rsid w:val="00697746"/>
    <w:rsid w:val="006B3887"/>
    <w:rsid w:val="006B7BC6"/>
    <w:rsid w:val="006C10B1"/>
    <w:rsid w:val="006C645B"/>
    <w:rsid w:val="006E4F6D"/>
    <w:rsid w:val="006E5534"/>
    <w:rsid w:val="006F177E"/>
    <w:rsid w:val="006F5BDA"/>
    <w:rsid w:val="007028ED"/>
    <w:rsid w:val="00710C97"/>
    <w:rsid w:val="00711ACD"/>
    <w:rsid w:val="007120EB"/>
    <w:rsid w:val="00715CED"/>
    <w:rsid w:val="0072687D"/>
    <w:rsid w:val="007320F8"/>
    <w:rsid w:val="00742921"/>
    <w:rsid w:val="00745843"/>
    <w:rsid w:val="0074724B"/>
    <w:rsid w:val="007510DC"/>
    <w:rsid w:val="007517D9"/>
    <w:rsid w:val="0076268A"/>
    <w:rsid w:val="0077469F"/>
    <w:rsid w:val="00784C46"/>
    <w:rsid w:val="00786115"/>
    <w:rsid w:val="00787EA0"/>
    <w:rsid w:val="00787F6D"/>
    <w:rsid w:val="007937F0"/>
    <w:rsid w:val="007938FE"/>
    <w:rsid w:val="0079458B"/>
    <w:rsid w:val="007A2BBF"/>
    <w:rsid w:val="007A2C50"/>
    <w:rsid w:val="007B0175"/>
    <w:rsid w:val="007C4DA4"/>
    <w:rsid w:val="007D73AB"/>
    <w:rsid w:val="007D7D4D"/>
    <w:rsid w:val="007E1F30"/>
    <w:rsid w:val="00801012"/>
    <w:rsid w:val="00805F46"/>
    <w:rsid w:val="00841B3D"/>
    <w:rsid w:val="008434E7"/>
    <w:rsid w:val="00843B8D"/>
    <w:rsid w:val="008440BD"/>
    <w:rsid w:val="008C20C4"/>
    <w:rsid w:val="008C338C"/>
    <w:rsid w:val="008C7F2A"/>
    <w:rsid w:val="008D2209"/>
    <w:rsid w:val="008D3F1E"/>
    <w:rsid w:val="008D404C"/>
    <w:rsid w:val="008D6EC1"/>
    <w:rsid w:val="0090375F"/>
    <w:rsid w:val="0090388D"/>
    <w:rsid w:val="0090707B"/>
    <w:rsid w:val="00910077"/>
    <w:rsid w:val="009212B8"/>
    <w:rsid w:val="00923132"/>
    <w:rsid w:val="0092496F"/>
    <w:rsid w:val="0092664A"/>
    <w:rsid w:val="00940B24"/>
    <w:rsid w:val="00940D40"/>
    <w:rsid w:val="00964A28"/>
    <w:rsid w:val="009737F9"/>
    <w:rsid w:val="00973B99"/>
    <w:rsid w:val="00977C38"/>
    <w:rsid w:val="00977D8F"/>
    <w:rsid w:val="0098464C"/>
    <w:rsid w:val="00984C27"/>
    <w:rsid w:val="0098665A"/>
    <w:rsid w:val="009923CD"/>
    <w:rsid w:val="009A62B8"/>
    <w:rsid w:val="009A631E"/>
    <w:rsid w:val="009B0ABB"/>
    <w:rsid w:val="009B4340"/>
    <w:rsid w:val="009C39FE"/>
    <w:rsid w:val="009D1651"/>
    <w:rsid w:val="009D7626"/>
    <w:rsid w:val="009E1789"/>
    <w:rsid w:val="009E1FE1"/>
    <w:rsid w:val="009F409E"/>
    <w:rsid w:val="009F4584"/>
    <w:rsid w:val="00A119E2"/>
    <w:rsid w:val="00A27D43"/>
    <w:rsid w:val="00A32AC0"/>
    <w:rsid w:val="00A33BB7"/>
    <w:rsid w:val="00A52041"/>
    <w:rsid w:val="00A572F4"/>
    <w:rsid w:val="00A57A84"/>
    <w:rsid w:val="00A6031E"/>
    <w:rsid w:val="00A639A2"/>
    <w:rsid w:val="00A6647B"/>
    <w:rsid w:val="00A6774E"/>
    <w:rsid w:val="00A81791"/>
    <w:rsid w:val="00A81AB3"/>
    <w:rsid w:val="00A8638E"/>
    <w:rsid w:val="00AA23AA"/>
    <w:rsid w:val="00AA4675"/>
    <w:rsid w:val="00AB194C"/>
    <w:rsid w:val="00AB2AB1"/>
    <w:rsid w:val="00AB48A6"/>
    <w:rsid w:val="00AC6145"/>
    <w:rsid w:val="00AD4F9D"/>
    <w:rsid w:val="00AE13B0"/>
    <w:rsid w:val="00AE6B31"/>
    <w:rsid w:val="00AE75F8"/>
    <w:rsid w:val="00B07D30"/>
    <w:rsid w:val="00B32913"/>
    <w:rsid w:val="00B35800"/>
    <w:rsid w:val="00B36746"/>
    <w:rsid w:val="00B368F9"/>
    <w:rsid w:val="00B405CD"/>
    <w:rsid w:val="00B45FEC"/>
    <w:rsid w:val="00B526D3"/>
    <w:rsid w:val="00B54525"/>
    <w:rsid w:val="00B5475E"/>
    <w:rsid w:val="00B742EA"/>
    <w:rsid w:val="00B771E3"/>
    <w:rsid w:val="00B84396"/>
    <w:rsid w:val="00B844FC"/>
    <w:rsid w:val="00B874A1"/>
    <w:rsid w:val="00B91A6F"/>
    <w:rsid w:val="00B91BFB"/>
    <w:rsid w:val="00B97EE0"/>
    <w:rsid w:val="00BC6370"/>
    <w:rsid w:val="00BD6085"/>
    <w:rsid w:val="00BE3DA5"/>
    <w:rsid w:val="00BF5F0F"/>
    <w:rsid w:val="00C06E97"/>
    <w:rsid w:val="00C11CAB"/>
    <w:rsid w:val="00C12A63"/>
    <w:rsid w:val="00C1742A"/>
    <w:rsid w:val="00C25A3D"/>
    <w:rsid w:val="00C41621"/>
    <w:rsid w:val="00C43E28"/>
    <w:rsid w:val="00C7086F"/>
    <w:rsid w:val="00C7183B"/>
    <w:rsid w:val="00C77D54"/>
    <w:rsid w:val="00C87BEB"/>
    <w:rsid w:val="00C94781"/>
    <w:rsid w:val="00C9561E"/>
    <w:rsid w:val="00C9749C"/>
    <w:rsid w:val="00CB4879"/>
    <w:rsid w:val="00CB572B"/>
    <w:rsid w:val="00CC6E6C"/>
    <w:rsid w:val="00CD11FF"/>
    <w:rsid w:val="00CD125F"/>
    <w:rsid w:val="00CD1658"/>
    <w:rsid w:val="00CD2EE1"/>
    <w:rsid w:val="00CD7001"/>
    <w:rsid w:val="00CE0F2E"/>
    <w:rsid w:val="00CF7484"/>
    <w:rsid w:val="00CF7FCF"/>
    <w:rsid w:val="00D0545B"/>
    <w:rsid w:val="00D07552"/>
    <w:rsid w:val="00D23FA5"/>
    <w:rsid w:val="00D25E5A"/>
    <w:rsid w:val="00D26E2A"/>
    <w:rsid w:val="00D41F13"/>
    <w:rsid w:val="00D4314E"/>
    <w:rsid w:val="00D4394C"/>
    <w:rsid w:val="00D43F88"/>
    <w:rsid w:val="00D44FF4"/>
    <w:rsid w:val="00D54A31"/>
    <w:rsid w:val="00D64D70"/>
    <w:rsid w:val="00D677EA"/>
    <w:rsid w:val="00D67941"/>
    <w:rsid w:val="00D70D6D"/>
    <w:rsid w:val="00D738C4"/>
    <w:rsid w:val="00D74A4A"/>
    <w:rsid w:val="00D824AC"/>
    <w:rsid w:val="00D83275"/>
    <w:rsid w:val="00D86B51"/>
    <w:rsid w:val="00D913B9"/>
    <w:rsid w:val="00D96065"/>
    <w:rsid w:val="00DA0585"/>
    <w:rsid w:val="00DB6530"/>
    <w:rsid w:val="00DC7062"/>
    <w:rsid w:val="00DD1595"/>
    <w:rsid w:val="00DD6D38"/>
    <w:rsid w:val="00DE0EA5"/>
    <w:rsid w:val="00DE70BB"/>
    <w:rsid w:val="00E047F6"/>
    <w:rsid w:val="00E07DD2"/>
    <w:rsid w:val="00E12174"/>
    <w:rsid w:val="00E122EC"/>
    <w:rsid w:val="00E14186"/>
    <w:rsid w:val="00E23C3B"/>
    <w:rsid w:val="00E23D3B"/>
    <w:rsid w:val="00E244F9"/>
    <w:rsid w:val="00E40209"/>
    <w:rsid w:val="00E47E6A"/>
    <w:rsid w:val="00E6686D"/>
    <w:rsid w:val="00E86A6D"/>
    <w:rsid w:val="00E95903"/>
    <w:rsid w:val="00E97349"/>
    <w:rsid w:val="00EB6B95"/>
    <w:rsid w:val="00EC2346"/>
    <w:rsid w:val="00EC741E"/>
    <w:rsid w:val="00EE0546"/>
    <w:rsid w:val="00EE1E4D"/>
    <w:rsid w:val="00EE4EC4"/>
    <w:rsid w:val="00EE6A8D"/>
    <w:rsid w:val="00EE7ECD"/>
    <w:rsid w:val="00F01BE4"/>
    <w:rsid w:val="00F0758F"/>
    <w:rsid w:val="00F10DA7"/>
    <w:rsid w:val="00F11DD4"/>
    <w:rsid w:val="00F17FCF"/>
    <w:rsid w:val="00F50D6B"/>
    <w:rsid w:val="00F561B1"/>
    <w:rsid w:val="00F6550B"/>
    <w:rsid w:val="00F66514"/>
    <w:rsid w:val="00F8680F"/>
    <w:rsid w:val="00F93B69"/>
    <w:rsid w:val="00FA624E"/>
    <w:rsid w:val="00FA71FE"/>
    <w:rsid w:val="00FB21CA"/>
    <w:rsid w:val="00FC3B45"/>
    <w:rsid w:val="00FC5285"/>
    <w:rsid w:val="00FD1108"/>
    <w:rsid w:val="00FD161E"/>
    <w:rsid w:val="00FD7CEC"/>
    <w:rsid w:val="00FF7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EB541"/>
  <w15:chartTrackingRefBased/>
  <w15:docId w15:val="{25161B8B-9C45-4F33-88AC-83E6B88B9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1CA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11CA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11CA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11CA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11CA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11C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1C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1C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1C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CA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11CA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11CA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11C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11C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11C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1C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1C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1CAB"/>
    <w:rPr>
      <w:rFonts w:eastAsiaTheme="majorEastAsia" w:cstheme="majorBidi"/>
      <w:color w:val="272727" w:themeColor="text1" w:themeTint="D8"/>
    </w:rPr>
  </w:style>
  <w:style w:type="paragraph" w:styleId="Title">
    <w:name w:val="Title"/>
    <w:basedOn w:val="Normal"/>
    <w:next w:val="Normal"/>
    <w:link w:val="TitleChar"/>
    <w:uiPriority w:val="10"/>
    <w:qFormat/>
    <w:rsid w:val="00C11C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1C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1C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1C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1CAB"/>
    <w:pPr>
      <w:spacing w:before="160"/>
      <w:jc w:val="center"/>
    </w:pPr>
    <w:rPr>
      <w:i/>
      <w:iCs/>
      <w:color w:val="404040" w:themeColor="text1" w:themeTint="BF"/>
    </w:rPr>
  </w:style>
  <w:style w:type="character" w:customStyle="1" w:styleId="QuoteChar">
    <w:name w:val="Quote Char"/>
    <w:basedOn w:val="DefaultParagraphFont"/>
    <w:link w:val="Quote"/>
    <w:uiPriority w:val="29"/>
    <w:rsid w:val="00C11CAB"/>
    <w:rPr>
      <w:i/>
      <w:iCs/>
      <w:color w:val="404040" w:themeColor="text1" w:themeTint="BF"/>
    </w:rPr>
  </w:style>
  <w:style w:type="paragraph" w:styleId="ListParagraph">
    <w:name w:val="List Paragraph"/>
    <w:basedOn w:val="Normal"/>
    <w:uiPriority w:val="34"/>
    <w:qFormat/>
    <w:rsid w:val="00C11CAB"/>
    <w:pPr>
      <w:ind w:left="720"/>
      <w:contextualSpacing/>
    </w:pPr>
  </w:style>
  <w:style w:type="character" w:styleId="IntenseEmphasis">
    <w:name w:val="Intense Emphasis"/>
    <w:basedOn w:val="DefaultParagraphFont"/>
    <w:uiPriority w:val="21"/>
    <w:qFormat/>
    <w:rsid w:val="00C11CAB"/>
    <w:rPr>
      <w:i/>
      <w:iCs/>
      <w:color w:val="2F5496" w:themeColor="accent1" w:themeShade="BF"/>
    </w:rPr>
  </w:style>
  <w:style w:type="paragraph" w:styleId="IntenseQuote">
    <w:name w:val="Intense Quote"/>
    <w:basedOn w:val="Normal"/>
    <w:next w:val="Normal"/>
    <w:link w:val="IntenseQuoteChar"/>
    <w:uiPriority w:val="30"/>
    <w:qFormat/>
    <w:rsid w:val="00C11C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11CAB"/>
    <w:rPr>
      <w:i/>
      <w:iCs/>
      <w:color w:val="2F5496" w:themeColor="accent1" w:themeShade="BF"/>
    </w:rPr>
  </w:style>
  <w:style w:type="character" w:styleId="IntenseReference">
    <w:name w:val="Intense Reference"/>
    <w:basedOn w:val="DefaultParagraphFont"/>
    <w:uiPriority w:val="32"/>
    <w:qFormat/>
    <w:rsid w:val="00C11CAB"/>
    <w:rPr>
      <w:b/>
      <w:bCs/>
      <w:smallCaps/>
      <w:color w:val="2F5496" w:themeColor="accent1" w:themeShade="BF"/>
      <w:spacing w:val="5"/>
    </w:rPr>
  </w:style>
  <w:style w:type="paragraph" w:styleId="NoSpacing">
    <w:name w:val="No Spacing"/>
    <w:link w:val="NoSpacingChar"/>
    <w:uiPriority w:val="1"/>
    <w:qFormat/>
    <w:rsid w:val="0001245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1245D"/>
    <w:rPr>
      <w:rFonts w:eastAsiaTheme="minorEastAsia"/>
      <w:kern w:val="0"/>
      <w:lang w:val="en-US"/>
      <w14:ligatures w14:val="none"/>
    </w:rPr>
  </w:style>
  <w:style w:type="paragraph" w:styleId="TOCHeading">
    <w:name w:val="TOC Heading"/>
    <w:basedOn w:val="Heading1"/>
    <w:next w:val="Normal"/>
    <w:uiPriority w:val="39"/>
    <w:unhideWhenUsed/>
    <w:qFormat/>
    <w:rsid w:val="00AE75F8"/>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C87BEB"/>
    <w:rPr>
      <w:color w:val="0563C1" w:themeColor="hyperlink"/>
      <w:u w:val="single"/>
    </w:rPr>
  </w:style>
  <w:style w:type="character" w:styleId="UnresolvedMention">
    <w:name w:val="Unresolved Mention"/>
    <w:basedOn w:val="DefaultParagraphFont"/>
    <w:uiPriority w:val="99"/>
    <w:semiHidden/>
    <w:unhideWhenUsed/>
    <w:rsid w:val="00C87BEB"/>
    <w:rPr>
      <w:color w:val="605E5C"/>
      <w:shd w:val="clear" w:color="auto" w:fill="E1DFDD"/>
    </w:rPr>
  </w:style>
  <w:style w:type="paragraph" w:styleId="TOC1">
    <w:name w:val="toc 1"/>
    <w:basedOn w:val="Normal"/>
    <w:next w:val="Normal"/>
    <w:autoRedefine/>
    <w:uiPriority w:val="39"/>
    <w:unhideWhenUsed/>
    <w:rsid w:val="00742921"/>
    <w:pPr>
      <w:spacing w:after="100"/>
    </w:pPr>
  </w:style>
  <w:style w:type="paragraph" w:styleId="TOC2">
    <w:name w:val="toc 2"/>
    <w:basedOn w:val="Normal"/>
    <w:next w:val="Normal"/>
    <w:autoRedefine/>
    <w:uiPriority w:val="39"/>
    <w:unhideWhenUsed/>
    <w:rsid w:val="00742921"/>
    <w:pPr>
      <w:spacing w:after="100"/>
      <w:ind w:left="220"/>
    </w:pPr>
  </w:style>
  <w:style w:type="paragraph" w:styleId="TOC3">
    <w:name w:val="toc 3"/>
    <w:basedOn w:val="Normal"/>
    <w:next w:val="Normal"/>
    <w:autoRedefine/>
    <w:uiPriority w:val="39"/>
    <w:unhideWhenUsed/>
    <w:rsid w:val="00EE7ECD"/>
    <w:pPr>
      <w:spacing w:after="100"/>
      <w:ind w:left="440"/>
    </w:pPr>
  </w:style>
  <w:style w:type="character" w:styleId="FollowedHyperlink">
    <w:name w:val="FollowedHyperlink"/>
    <w:basedOn w:val="DefaultParagraphFont"/>
    <w:uiPriority w:val="99"/>
    <w:semiHidden/>
    <w:unhideWhenUsed/>
    <w:rsid w:val="009F4584"/>
    <w:rPr>
      <w:color w:val="954F72" w:themeColor="followedHyperlink"/>
      <w:u w:val="single"/>
    </w:rPr>
  </w:style>
  <w:style w:type="paragraph" w:styleId="Header">
    <w:name w:val="header"/>
    <w:basedOn w:val="Normal"/>
    <w:link w:val="HeaderChar"/>
    <w:uiPriority w:val="99"/>
    <w:unhideWhenUsed/>
    <w:rsid w:val="00D431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14E"/>
  </w:style>
  <w:style w:type="paragraph" w:styleId="Footer">
    <w:name w:val="footer"/>
    <w:basedOn w:val="Normal"/>
    <w:link w:val="FooterChar"/>
    <w:uiPriority w:val="99"/>
    <w:unhideWhenUsed/>
    <w:rsid w:val="00D431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1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2307/2666999" TargetMode="External"/><Relationship Id="rId21" Type="http://schemas.openxmlformats.org/officeDocument/2006/relationships/hyperlink" Target="https://doi.org/10.1016/j.ijhm.2008.08.003" TargetMode="External"/><Relationship Id="rId42" Type="http://schemas.openxmlformats.org/officeDocument/2006/relationships/hyperlink" Target="https://doi.org/10.1016/j.ijhm.2004.05.004" TargetMode="External"/><Relationship Id="rId47" Type="http://schemas.openxmlformats.org/officeDocument/2006/relationships/hyperlink" Target="https://doi.org/10.1080/15332845.2024.2335127" TargetMode="External"/><Relationship Id="rId63" Type="http://schemas.openxmlformats.org/officeDocument/2006/relationships/hyperlink" Target="https://doi.org/10.1509/jmkg.68.1.1.24036" TargetMode="External"/><Relationship Id="rId68" Type="http://schemas.openxmlformats.org/officeDocument/2006/relationships/hyperlink" Target="https://doi.org/10.1016/j.ijhm.2022.103355" TargetMode="Externa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77/002224299205600205" TargetMode="External"/><Relationship Id="rId29" Type="http://schemas.openxmlformats.org/officeDocument/2006/relationships/hyperlink" Target="https://doi.org/10.1080/19368623.2021.1841704" TargetMode="External"/><Relationship Id="rId11" Type="http://schemas.openxmlformats.org/officeDocument/2006/relationships/hyperlink" Target="https://doi.org/10.1108/02683940710733115" TargetMode="External"/><Relationship Id="rId24" Type="http://schemas.openxmlformats.org/officeDocument/2006/relationships/hyperlink" Target="https://www.cipd.org/globalassets/media/knowledge/knowledge-hub/reports/2023-pdfs/2023-migrant-workers-skills-shortages-uk-report.pdf" TargetMode="External"/><Relationship Id="rId32" Type="http://schemas.openxmlformats.org/officeDocument/2006/relationships/hyperlink" Target="https://doi.org/10.1037/apl0000103" TargetMode="External"/><Relationship Id="rId37" Type="http://schemas.openxmlformats.org/officeDocument/2006/relationships/hyperlink" Target="https://doi.org/10.1016/j.ijhm.2008.12.002" TargetMode="External"/><Relationship Id="rId40" Type="http://schemas.openxmlformats.org/officeDocument/2006/relationships/hyperlink" Target="https://doi.org/10.1177/0149206310365901" TargetMode="External"/><Relationship Id="rId45" Type="http://schemas.openxmlformats.org/officeDocument/2006/relationships/hyperlink" Target="https://doi.org/10.1016/j.ijhm.2021.102995" TargetMode="External"/><Relationship Id="rId53" Type="http://schemas.openxmlformats.org/officeDocument/2006/relationships/hyperlink" Target="https://doi.org/10.1136/bmj.n71" TargetMode="External"/><Relationship Id="rId58" Type="http://schemas.openxmlformats.org/officeDocument/2006/relationships/hyperlink" Target="https://doi.org/10.1177/1094670509336743" TargetMode="External"/><Relationship Id="rId66" Type="http://schemas.openxmlformats.org/officeDocument/2006/relationships/hyperlink" Target="https://doi.org/10.1016/j.ijhm.2019.102396" TargetMode="External"/><Relationship Id="rId5" Type="http://schemas.openxmlformats.org/officeDocument/2006/relationships/webSettings" Target="webSettings.xml"/><Relationship Id="rId61" Type="http://schemas.openxmlformats.org/officeDocument/2006/relationships/hyperlink" Target="https://doi.org/10.1177/0735275112457914" TargetMode="External"/><Relationship Id="rId19" Type="http://schemas.openxmlformats.org/officeDocument/2006/relationships/hyperlink" Target="https://doi.org/10.1191/1478088706qp063oa" TargetMode="External"/><Relationship Id="rId14" Type="http://schemas.openxmlformats.org/officeDocument/2006/relationships/hyperlink" Target="https://doi.org/10.1108/IJCHM-04-2020-0314" TargetMode="External"/><Relationship Id="rId22" Type="http://schemas.openxmlformats.org/officeDocument/2006/relationships/hyperlink" Target="https://doi.org/10.1177/1938965509333557" TargetMode="External"/><Relationship Id="rId27" Type="http://schemas.openxmlformats.org/officeDocument/2006/relationships/hyperlink" Target="https://doi.org/10.1177/1077800405284363" TargetMode="External"/><Relationship Id="rId30" Type="http://schemas.openxmlformats.org/officeDocument/2006/relationships/hyperlink" Target="https://doi.org/10.1108/09555340810886585" TargetMode="External"/><Relationship Id="rId35" Type="http://schemas.openxmlformats.org/officeDocument/2006/relationships/hyperlink" Target="https://doi.org/10.1016/j.ijhm.2014.01.007" TargetMode="External"/><Relationship Id="rId43" Type="http://schemas.openxmlformats.org/officeDocument/2006/relationships/hyperlink" Target="https://doi.org/10.1016/j.ijhm.2020.102610" TargetMode="External"/><Relationship Id="rId48" Type="http://schemas.openxmlformats.org/officeDocument/2006/relationships/hyperlink" Target="https://migrationobservatory.ox.ac.uk/resources/briefings/eu-migration-to-and-from-the-uk/" TargetMode="External"/><Relationship Id="rId56" Type="http://schemas.openxmlformats.org/officeDocument/2006/relationships/hyperlink" Target="https://doi.org/10.1037/0021-9010.90.6.1217" TargetMode="External"/><Relationship Id="rId64" Type="http://schemas.openxmlformats.org/officeDocument/2006/relationships/hyperlink" Target="https://doi.org/10.1007/s11747-007-0069-6" TargetMode="External"/><Relationship Id="rId69" Type="http://schemas.openxmlformats.org/officeDocument/2006/relationships/footer" Target="footer1.xml"/><Relationship Id="rId8" Type="http://schemas.openxmlformats.org/officeDocument/2006/relationships/hyperlink" Target="https://doi.org/10.1016/j.ijhm.2017.09.010" TargetMode="External"/><Relationship Id="rId51" Type="http://schemas.openxmlformats.org/officeDocument/2006/relationships/hyperlink" Target="https://www.ons.gov.uk/employmentandlabourmarket/peopleinwork/employmentandemployeetypes/timeseries/jp9o/unem" TargetMode="External"/><Relationship Id="rId3" Type="http://schemas.openxmlformats.org/officeDocument/2006/relationships/styles" Target="styles.xml"/><Relationship Id="rId12" Type="http://schemas.openxmlformats.org/officeDocument/2006/relationships/hyperlink" Target="https://doi.org/10.1177/014920639101700108" TargetMode="External"/><Relationship Id="rId17" Type="http://schemas.openxmlformats.org/officeDocument/2006/relationships/hyperlink" Target="https://doi.org/10.1111/1475-5890.12232" TargetMode="External"/><Relationship Id="rId25" Type="http://schemas.openxmlformats.org/officeDocument/2006/relationships/hyperlink" Target="https://doi.org/10.1037/0021-9010.86.3.499" TargetMode="External"/><Relationship Id="rId33" Type="http://schemas.openxmlformats.org/officeDocument/2006/relationships/hyperlink" Target="https://doi.org/10.1080/15256480.2014.872898" TargetMode="External"/><Relationship Id="rId38" Type="http://schemas.openxmlformats.org/officeDocument/2006/relationships/hyperlink" Target="https://doi.org/10.1016/j.ijhm.2009.02.003" TargetMode="External"/><Relationship Id="rId46" Type="http://schemas.openxmlformats.org/officeDocument/2006/relationships/hyperlink" Target="https://doi.org/10.1108/IJCHM-07-2014-0360" TargetMode="External"/><Relationship Id="rId59" Type="http://schemas.openxmlformats.org/officeDocument/2006/relationships/hyperlink" Target="https://doi.org/10.5465/amj.2007.24160882" TargetMode="External"/><Relationship Id="rId67" Type="http://schemas.openxmlformats.org/officeDocument/2006/relationships/hyperlink" Target="https://doi.org/10.1016/S0148-2963(01)00290-9" TargetMode="External"/><Relationship Id="rId20" Type="http://schemas.openxmlformats.org/officeDocument/2006/relationships/hyperlink" Target="https://doi.org/10.1016/j.ijhm.2025.104440" TargetMode="External"/><Relationship Id="rId41" Type="http://schemas.openxmlformats.org/officeDocument/2006/relationships/hyperlink" Target="https://doi.org/10.1016/j.ijhm.2007.07.019" TargetMode="External"/><Relationship Id="rId54" Type="http://schemas.openxmlformats.org/officeDocument/2006/relationships/hyperlink" Target="https://doi.org/10.1016/j.ijhm.2020.102599" TargetMode="External"/><Relationship Id="rId62" Type="http://schemas.openxmlformats.org/officeDocument/2006/relationships/hyperlink" Target="https://www.ukhospitality.org.uk/campaign/workforce/"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08/WHATT-09-2024-0229" TargetMode="External"/><Relationship Id="rId23" Type="http://schemas.openxmlformats.org/officeDocument/2006/relationships/hyperlink" Target="https://www.cipd.org/uk/knowledge/reports/labour-market-outlook/" TargetMode="External"/><Relationship Id="rId28" Type="http://schemas.openxmlformats.org/officeDocument/2006/relationships/hyperlink" Target="https://doi.org/10.1037/1076-8998.5.1.95" TargetMode="External"/><Relationship Id="rId36" Type="http://schemas.openxmlformats.org/officeDocument/2006/relationships/hyperlink" Target="https://doi.org/10.1108/09596111311322952" TargetMode="External"/><Relationship Id="rId49" Type="http://schemas.openxmlformats.org/officeDocument/2006/relationships/hyperlink" Target="https://doi.org/10.1300/J150v14n02_04" TargetMode="External"/><Relationship Id="rId57" Type="http://schemas.openxmlformats.org/officeDocument/2006/relationships/hyperlink" Target="https://doi.org/10.5465/amj.2005.19573107" TargetMode="External"/><Relationship Id="rId10" Type="http://schemas.openxmlformats.org/officeDocument/2006/relationships/hyperlink" Target="https://doi.org/10.1080/15256480802427339" TargetMode="External"/><Relationship Id="rId31" Type="http://schemas.openxmlformats.org/officeDocument/2006/relationships/hyperlink" Target="https://doi.org/10.1108/IHR-09-2020-0050" TargetMode="External"/><Relationship Id="rId44" Type="http://schemas.openxmlformats.org/officeDocument/2006/relationships/hyperlink" Target="https://www.jstor.org/stable/20159559" TargetMode="External"/><Relationship Id="rId52" Type="http://schemas.openxmlformats.org/officeDocument/2006/relationships/hyperlink" Target="https://doi.org/10.1177/1096348019864653" TargetMode="External"/><Relationship Id="rId60" Type="http://schemas.openxmlformats.org/officeDocument/2006/relationships/hyperlink" Target="https://doi.org/10.1186/1471-2288-8-45" TargetMode="External"/><Relationship Id="rId65" Type="http://schemas.openxmlformats.org/officeDocument/2006/relationships/hyperlink" Target="https://doi.org/10.1007/s10551-024-05761-5" TargetMode="External"/><Relationship Id="rId4" Type="http://schemas.openxmlformats.org/officeDocument/2006/relationships/settings" Target="settings.xml"/><Relationship Id="rId9" Type="http://schemas.openxmlformats.org/officeDocument/2006/relationships/hyperlink" Target="https://doi.org/10.1080/09585192.2012.679950" TargetMode="External"/><Relationship Id="rId13" Type="http://schemas.openxmlformats.org/officeDocument/2006/relationships/hyperlink" Target="https://doi.org/10.1016/j.tourman.2015.02.001" TargetMode="External"/><Relationship Id="rId18" Type="http://schemas.openxmlformats.org/officeDocument/2006/relationships/hyperlink" Target="https://doi.org/10.1108/09564230010310295" TargetMode="External"/><Relationship Id="rId39" Type="http://schemas.openxmlformats.org/officeDocument/2006/relationships/hyperlink" Target="https://doi.org/10.1002/jtr.1894" TargetMode="External"/><Relationship Id="rId34" Type="http://schemas.openxmlformats.org/officeDocument/2006/relationships/hyperlink" Target="https://doi.org/10.3389/fpsyg.2021.698027" TargetMode="External"/><Relationship Id="rId50" Type="http://schemas.openxmlformats.org/officeDocument/2006/relationships/hyperlink" Target="https://www.ons.gov.uk/employmentandlabourmarket/peopleinwork/employmentandemployeetypes/datasets/workforcejobsbyindustryjobs02" TargetMode="External"/><Relationship Id="rId55" Type="http://schemas.openxmlformats.org/officeDocument/2006/relationships/hyperlink" Target="https://doi.org/10.1016/j.tmp.2022.1010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2A6EE2-1DE5-4B10-B762-A0706706DF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43</Pages>
  <Words>12859</Words>
  <Characters>73297</Characters>
  <Application>Microsoft Office Word</Application>
  <DocSecurity>0</DocSecurity>
  <Lines>610</Lines>
  <Paragraphs>171</Paragraphs>
  <ScaleCrop>false</ScaleCrop>
  <Company/>
  <LinksUpToDate>false</LinksUpToDate>
  <CharactersWithSpaces>85985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 Gherasim (2242387)</dc:creator>
  <cp:keywords/>
  <dc:description/>
  <cp:lastModifiedBy>Eugen Gherasim (2242387)</cp:lastModifiedBy>
  <cp:revision>318</cp:revision>
  <dcterms:created xsi:type="dcterms:W3CDTF">2026-02-12T15:30:00Z</dcterms:created>
  <dcterms:modified xsi:type="dcterms:W3CDTF">2026-02-25T21:19:00Z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1f26ebc3-2595-48a7-bf25-3b7ff578ffb6</vt:lpwstr>
  </property>
</Properties>
</file>