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BBB10" w14:textId="77777777" w:rsidR="00EC4012" w:rsidRDefault="00EC4012">
      <w:pPr>
        <w:spacing w:before="3000"/>
      </w:pPr>
    </w:p>
    <w:p w14:paraId="7DE44221" w14:textId="77777777" w:rsidR="00EC4012" w:rsidRDefault="00B95D17">
      <w:pPr>
        <w:spacing w:after="120"/>
        <w:jc w:val="center"/>
      </w:pPr>
      <w:r>
        <w:rPr>
          <w:b/>
          <w:bCs/>
          <w:sz w:val="36"/>
          <w:szCs w:val="36"/>
        </w:rPr>
        <w:t>BMHP5015</w:t>
      </w:r>
    </w:p>
    <w:p w14:paraId="38C9ECCA" w14:textId="77777777" w:rsidR="00EC4012" w:rsidRDefault="00B95D17">
      <w:pPr>
        <w:spacing w:after="60"/>
        <w:jc w:val="center"/>
      </w:pPr>
      <w:r>
        <w:rPr>
          <w:b/>
          <w:bCs/>
          <w:sz w:val="32"/>
          <w:szCs w:val="32"/>
        </w:rPr>
        <w:t>Changemakers: Building Your Personal Brand</w:t>
      </w:r>
    </w:p>
    <w:p w14:paraId="358DE484" w14:textId="77777777" w:rsidR="00EC4012" w:rsidRDefault="00B95D17">
      <w:pPr>
        <w:spacing w:after="400"/>
        <w:jc w:val="center"/>
      </w:pPr>
      <w:r>
        <w:rPr>
          <w:b/>
          <w:bCs/>
          <w:sz w:val="32"/>
          <w:szCs w:val="32"/>
        </w:rPr>
        <w:t>for Sustainable Employment</w:t>
      </w:r>
    </w:p>
    <w:p w14:paraId="1F845B58" w14:textId="77777777" w:rsidR="00EC4012" w:rsidRDefault="00B95D17">
      <w:pPr>
        <w:spacing w:after="600"/>
        <w:jc w:val="center"/>
      </w:pPr>
      <w:r>
        <w:rPr>
          <w:sz w:val="28"/>
          <w:szCs w:val="28"/>
        </w:rPr>
        <w:t>Component 1: Online Portfolio</w:t>
      </w:r>
    </w:p>
    <w:p w14:paraId="33B10C12" w14:textId="77777777" w:rsidR="00EC4012" w:rsidRDefault="00B95D17">
      <w:pPr>
        <w:spacing w:after="80"/>
        <w:jc w:val="center"/>
      </w:pPr>
      <w:r>
        <w:rPr>
          <w:sz w:val="24"/>
          <w:szCs w:val="24"/>
        </w:rPr>
        <w:t>Student Name: Andreea Anca</w:t>
      </w:r>
    </w:p>
    <w:p w14:paraId="2A28E4DC" w14:textId="5AC63ACF" w:rsidR="00EC4012" w:rsidRDefault="00B95D17">
      <w:pPr>
        <w:spacing w:after="80"/>
        <w:jc w:val="center"/>
      </w:pPr>
      <w:r>
        <w:rPr>
          <w:sz w:val="24"/>
          <w:szCs w:val="24"/>
        </w:rPr>
        <w:t xml:space="preserve">Student ID: </w:t>
      </w:r>
      <w:r w:rsidR="006706FE">
        <w:rPr>
          <w:sz w:val="24"/>
          <w:szCs w:val="24"/>
        </w:rPr>
        <w:t>2327259</w:t>
      </w:r>
    </w:p>
    <w:p w14:paraId="7DE088FC" w14:textId="77777777" w:rsidR="00EC4012" w:rsidRDefault="00B95D17">
      <w:pPr>
        <w:spacing w:after="80"/>
        <w:jc w:val="center"/>
      </w:pPr>
      <w:r>
        <w:rPr>
          <w:sz w:val="24"/>
          <w:szCs w:val="24"/>
        </w:rPr>
        <w:t>Programme: BSc (Hons) Health and Social Care</w:t>
      </w:r>
    </w:p>
    <w:p w14:paraId="29F42D2D" w14:textId="77777777" w:rsidR="00EC4012" w:rsidRDefault="00B95D17">
      <w:pPr>
        <w:spacing w:after="80"/>
        <w:jc w:val="center"/>
      </w:pPr>
      <w:r>
        <w:rPr>
          <w:sz w:val="24"/>
          <w:szCs w:val="24"/>
        </w:rPr>
        <w:t>Module Code: BMHP5015</w:t>
      </w:r>
    </w:p>
    <w:p w14:paraId="1775D41E" w14:textId="77777777" w:rsidR="00EC4012" w:rsidRDefault="00B95D17">
      <w:pPr>
        <w:spacing w:after="80"/>
        <w:jc w:val="center"/>
      </w:pPr>
      <w:r>
        <w:rPr>
          <w:sz w:val="24"/>
          <w:szCs w:val="24"/>
        </w:rPr>
        <w:t>Lecturer: Caroline Salami / Christopher Mafuva</w:t>
      </w:r>
    </w:p>
    <w:p w14:paraId="1E57424A" w14:textId="77777777" w:rsidR="00EC4012" w:rsidRDefault="00B95D17">
      <w:pPr>
        <w:spacing w:after="80"/>
        <w:jc w:val="center"/>
      </w:pPr>
      <w:r>
        <w:rPr>
          <w:sz w:val="24"/>
          <w:szCs w:val="24"/>
        </w:rPr>
        <w:t>Submission Date: 13th April 2026</w:t>
      </w:r>
    </w:p>
    <w:p w14:paraId="1496DDFD" w14:textId="77777777" w:rsidR="00EC4012" w:rsidRDefault="00B95D17">
      <w:r>
        <w:br w:type="page"/>
      </w:r>
    </w:p>
    <w:p w14:paraId="7ACEE2DC" w14:textId="617305E3" w:rsidR="00EC4012" w:rsidRDefault="00B95D17">
      <w:pPr>
        <w:pStyle w:val="Titlu1"/>
        <w:spacing w:line="360" w:lineRule="auto"/>
      </w:pPr>
      <w:r>
        <w:lastRenderedPageBreak/>
        <w:t>Introduction</w:t>
      </w:r>
      <w:r w:rsidR="00992202">
        <w:t>:</w:t>
      </w:r>
    </w:p>
    <w:p w14:paraId="369D22D2" w14:textId="3B21E824" w:rsidR="003533FA" w:rsidRDefault="003533FA">
      <w:pPr>
        <w:pStyle w:val="p1"/>
      </w:pPr>
      <w:r>
        <w:rPr>
          <w:rStyle w:val="s1"/>
        </w:rPr>
        <w:t xml:space="preserve">This assignment reflects on my learning across the four units of the BMHP5015 module, </w:t>
      </w:r>
      <w:r>
        <w:rPr>
          <w:rStyle w:val="s2"/>
        </w:rPr>
        <w:t>Changemakers: Building Your Personal Brand for Sustainable Employment</w:t>
      </w:r>
      <w:r>
        <w:rPr>
          <w:rStyle w:val="s1"/>
        </w:rPr>
        <w:t>. The units focused on personal branding, global connections, opportunity recognition, and wellbeing, each playing an important role in shaping my development as a future health and social care professional. In this reflection, I discuss the key concepts, theories, and models covered in lectures and online activities, and consider how they have influenced my understanding of building a professional identity. I also provide evidence of my participation in the module’s online forum discussions and incorporate relevant academic literature to show how this learning will support my future career in health and social care (Capela, 2021; Bridgstock, 2009).</w:t>
      </w:r>
    </w:p>
    <w:p w14:paraId="6DE21BB6" w14:textId="454DA5E9" w:rsidR="00EC4012" w:rsidRDefault="00EC4012">
      <w:pPr>
        <w:spacing w:after="120" w:line="360" w:lineRule="auto"/>
        <w:jc w:val="both"/>
      </w:pPr>
    </w:p>
    <w:p w14:paraId="164E16D2" w14:textId="77777777" w:rsidR="00EC4012" w:rsidRDefault="00B95D17">
      <w:pPr>
        <w:pStyle w:val="Titlu1"/>
        <w:spacing w:line="360" w:lineRule="auto"/>
      </w:pPr>
      <w:r>
        <w:t>Reflection on Unit 1: Brand You</w:t>
      </w:r>
    </w:p>
    <w:p w14:paraId="4CCE39F3" w14:textId="77777777" w:rsidR="00EC4012" w:rsidRDefault="00B95D17">
      <w:pPr>
        <w:spacing w:after="120" w:line="360" w:lineRule="auto"/>
        <w:jc w:val="both"/>
      </w:pPr>
      <w:r>
        <w:t>Unit 1, Brand You, introduced me to the concept of personal branding and its significance in professional contexts. This unit encouraged me to consider how I present myself to others and how my personal brand can influence career opportunities within health and social care. Three key concepts stood out during this unit: personal branding, self-awareness, and emotional intelligence.</w:t>
      </w:r>
    </w:p>
    <w:p w14:paraId="1E91F9F1" w14:textId="77777777" w:rsidR="00EC4012" w:rsidRDefault="00B95D17">
      <w:pPr>
        <w:spacing w:after="120" w:line="360" w:lineRule="auto"/>
        <w:jc w:val="both"/>
      </w:pPr>
      <w:r>
        <w:t xml:space="preserve">The concept of personal branding, as defined by Arruda (2003), refers to the process of identifying and communicating what makes an individual unique and valuable in a professional context. In health and social care, developing a clear personal brand helps practitioners communicate their values to employers and service users. During the first online activity, I reflected on my career aspirations and articulated my goal of advancing into a senior care home position, such as a deputy manager or care manager. </w:t>
      </w:r>
      <w:r>
        <w:t>This exercise helped me recognise that my personal brand encompasses my behaviour, communication style, and professional values (Khedher, 2014).</w:t>
      </w:r>
    </w:p>
    <w:p w14:paraId="612E6425" w14:textId="77777777" w:rsidR="00EC4012" w:rsidRDefault="00B95D17">
      <w:pPr>
        <w:pStyle w:val="Titlu2"/>
        <w:spacing w:line="360" w:lineRule="auto"/>
      </w:pPr>
      <w:r>
        <w:t>Screenshot 1: Activity 1 – Career Aspirations Forum Post</w:t>
      </w:r>
    </w:p>
    <w:p w14:paraId="4BC4D83A" w14:textId="77777777" w:rsidR="00EC4012" w:rsidRDefault="00B95D17">
      <w:pPr>
        <w:spacing w:before="200" w:after="60"/>
        <w:jc w:val="center"/>
      </w:pPr>
      <w:r>
        <w:rPr>
          <w:noProof/>
        </w:rPr>
        <w:lastRenderedPageBreak/>
        <w:drawing>
          <wp:inline distT="0" distB="0" distL="0" distR="0" wp14:anchorId="64E687B7" wp14:editId="7AF152E4">
            <wp:extent cx="4286250" cy="34959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286250" cy="3495973"/>
                    </a:xfrm>
                    <a:prstGeom prst="rect">
                      <a:avLst/>
                    </a:prstGeom>
                  </pic:spPr>
                </pic:pic>
              </a:graphicData>
            </a:graphic>
          </wp:inline>
        </w:drawing>
      </w:r>
    </w:p>
    <w:p w14:paraId="59A7FB6A" w14:textId="77777777" w:rsidR="00EC4012" w:rsidRDefault="00B95D17">
      <w:pPr>
        <w:spacing w:before="60" w:after="200" w:line="360" w:lineRule="auto"/>
        <w:jc w:val="center"/>
      </w:pPr>
      <w:r>
        <w:rPr>
          <w:i/>
          <w:iCs/>
          <w:color w:val="555555"/>
          <w:sz w:val="20"/>
          <w:szCs w:val="20"/>
        </w:rPr>
        <w:t>Figure 1: Week 1 forum post reflecting on career aspirations within health and social care.</w:t>
      </w:r>
    </w:p>
    <w:p w14:paraId="1C650340" w14:textId="77777777" w:rsidR="00EC4012" w:rsidRDefault="00B95D17">
      <w:pPr>
        <w:spacing w:after="120" w:line="360" w:lineRule="auto"/>
        <w:jc w:val="both"/>
      </w:pPr>
      <w:r>
        <w:t>Self-awareness was another central theme in this unit. Luft and Ingham's (1955) Johari Window model helped me understand the different dimensions of self-awareness, including aspects known to others and those that remain hidden. Through the forum activity, I reflected on how recognising one's emotions, abilities, and limits is crucial in health and social care, as it directly influences professional relationships. Increasing my open area through feedback and self-disclosure could strengthen both my personal</w:t>
      </w:r>
      <w:r>
        <w:t xml:space="preserve"> brand and my practice. This aligns with Goleman (1995), who argues that self-awareness is a foundational component of emotional intelligence.</w:t>
      </w:r>
    </w:p>
    <w:p w14:paraId="6A3A7DBF" w14:textId="77777777" w:rsidR="00EC4012" w:rsidRDefault="00B95D17">
      <w:pPr>
        <w:pStyle w:val="Titlu2"/>
        <w:spacing w:line="360" w:lineRule="auto"/>
      </w:pPr>
      <w:r>
        <w:t>Screenshot 2: Self-Awareness Forum Post</w:t>
      </w:r>
    </w:p>
    <w:p w14:paraId="60F6FDDF" w14:textId="77777777" w:rsidR="00EC4012" w:rsidRDefault="00B95D17">
      <w:pPr>
        <w:spacing w:before="200" w:after="60"/>
        <w:jc w:val="center"/>
      </w:pPr>
      <w:r>
        <w:rPr>
          <w:noProof/>
        </w:rPr>
        <w:lastRenderedPageBreak/>
        <w:drawing>
          <wp:inline distT="0" distB="0" distL="0" distR="0" wp14:anchorId="1705E5BF" wp14:editId="584BA009">
            <wp:extent cx="4286250" cy="2580639"/>
            <wp:effectExtent l="0" t="0" r="0" b="0"/>
            <wp:docPr id="1445851169" name="Picture 1445851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286250" cy="2580639"/>
                    </a:xfrm>
                    <a:prstGeom prst="rect">
                      <a:avLst/>
                    </a:prstGeom>
                  </pic:spPr>
                </pic:pic>
              </a:graphicData>
            </a:graphic>
          </wp:inline>
        </w:drawing>
      </w:r>
    </w:p>
    <w:p w14:paraId="7E764D04" w14:textId="77777777" w:rsidR="00EC4012" w:rsidRDefault="00B95D17">
      <w:pPr>
        <w:spacing w:before="60" w:after="200" w:line="360" w:lineRule="auto"/>
        <w:jc w:val="center"/>
      </w:pPr>
      <w:r>
        <w:rPr>
          <w:i/>
          <w:iCs/>
          <w:color w:val="555555"/>
          <w:sz w:val="20"/>
          <w:szCs w:val="20"/>
        </w:rPr>
        <w:t>Figure 2: Forum post exploring the importance of self-awareness in health and social care.</w:t>
      </w:r>
    </w:p>
    <w:p w14:paraId="1B75A012" w14:textId="77777777" w:rsidR="00EC4012" w:rsidRDefault="00B95D17">
      <w:pPr>
        <w:spacing w:after="120" w:line="360" w:lineRule="auto"/>
        <w:jc w:val="both"/>
      </w:pPr>
      <w:r>
        <w:t xml:space="preserve">Furthermore, I explored the role of emotional intelligence in health and social care practice. During the brainstorming activity, I identified five key reasons why emotional intelligence matters in care settings: it improves patient and client care, enhances communication, supports teamwork, reduces burnout and stress, and builds trust and rapport. Buckingham and Clifton (2001) suggest that focusing on strengths rather than weaknesses leads to greater professional satisfaction and performance. I found this </w:t>
      </w:r>
      <w:r>
        <w:t>perspective encouraging, as it shifted my mindset towards building on my existing competencies, such as empathy and effective communication, which are highly valued in the health and social care profession.</w:t>
      </w:r>
    </w:p>
    <w:p w14:paraId="0A8A91B5" w14:textId="77777777" w:rsidR="00EC4012" w:rsidRDefault="00B95D17">
      <w:pPr>
        <w:pStyle w:val="Titlu2"/>
        <w:spacing w:line="360" w:lineRule="auto"/>
      </w:pPr>
      <w:r>
        <w:t>Screenshot 3: Brainstorm – Emotional Intelligence in Health and Social Care</w:t>
      </w:r>
    </w:p>
    <w:p w14:paraId="010484F4" w14:textId="77777777" w:rsidR="00EC4012" w:rsidRDefault="00B95D17">
      <w:pPr>
        <w:spacing w:before="200" w:after="60"/>
        <w:jc w:val="center"/>
      </w:pPr>
      <w:r>
        <w:rPr>
          <w:noProof/>
        </w:rPr>
        <w:lastRenderedPageBreak/>
        <w:drawing>
          <wp:inline distT="0" distB="0" distL="0" distR="0" wp14:anchorId="68475654" wp14:editId="13C7C549">
            <wp:extent cx="4286250" cy="3447752"/>
            <wp:effectExtent l="0" t="0" r="0" b="0"/>
            <wp:docPr id="1582478258" name="Picture 1582478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286250" cy="3447752"/>
                    </a:xfrm>
                    <a:prstGeom prst="rect">
                      <a:avLst/>
                    </a:prstGeom>
                  </pic:spPr>
                </pic:pic>
              </a:graphicData>
            </a:graphic>
          </wp:inline>
        </w:drawing>
      </w:r>
    </w:p>
    <w:p w14:paraId="256D40F6" w14:textId="77777777" w:rsidR="00EC4012" w:rsidRDefault="00B95D17">
      <w:pPr>
        <w:spacing w:before="60" w:after="200" w:line="360" w:lineRule="auto"/>
        <w:jc w:val="center"/>
      </w:pPr>
      <w:r>
        <w:rPr>
          <w:i/>
          <w:iCs/>
          <w:color w:val="555555"/>
          <w:sz w:val="20"/>
          <w:szCs w:val="20"/>
        </w:rPr>
        <w:t>Figure 3: Brainstorm activity on the importance of emotional intelligence in health and social care.</w:t>
      </w:r>
    </w:p>
    <w:p w14:paraId="6B61D94F" w14:textId="77777777" w:rsidR="00EC4012" w:rsidRDefault="00B95D17">
      <w:pPr>
        <w:pStyle w:val="Titlu1"/>
        <w:spacing w:line="360" w:lineRule="auto"/>
      </w:pPr>
      <w:r>
        <w:t>Reflection on Unit 2: It’s a Small World</w:t>
      </w:r>
    </w:p>
    <w:p w14:paraId="23DA9D08" w14:textId="77777777" w:rsidR="00EC4012" w:rsidRDefault="00B95D17">
      <w:pPr>
        <w:spacing w:after="120" w:line="360" w:lineRule="auto"/>
        <w:jc w:val="both"/>
      </w:pPr>
      <w:r>
        <w:t>Unit 2, It’s a Small World, broadened my understanding of global connections and modern employment patterns within health and social care. This unit challenged me to think beyond traditional career structures and consider how globalisation, flexible working, and evolving labour markets shape the delivery of care services. The key themes explored included boundaryless careers, the gig economy, and transferable skills for employability.</w:t>
      </w:r>
    </w:p>
    <w:p w14:paraId="14C6F860" w14:textId="0EFCB393" w:rsidR="00EC4012" w:rsidRDefault="00B95D17">
      <w:pPr>
        <w:spacing w:after="120" w:line="360" w:lineRule="auto"/>
        <w:jc w:val="both"/>
      </w:pPr>
      <w:r>
        <w:t xml:space="preserve">The concept of the boundaryless career was a particularly significant topic. Arthur and Rousseau (1996) define a boundaryless career as one </w:t>
      </w:r>
      <w:r w:rsidR="00760908">
        <w:t>did not confine</w:t>
      </w:r>
      <w:r>
        <w:t xml:space="preserve"> to a single employer or linear progression. During the forum discussion, I reflected on how this applies to health and social care, where professionals can adapt to diverse settings, using their skills in clinical work, research, and policy. I realised that building a strong personal brand is closely linked to embracing career flexibility, as it allows practitioners to demonstrate their value across different organisational contexts (Sullivan and Arthur, 2006).</w:t>
      </w:r>
    </w:p>
    <w:p w14:paraId="303344C1" w14:textId="77777777" w:rsidR="00EC4012" w:rsidRDefault="00B95D17">
      <w:pPr>
        <w:pStyle w:val="Titlu2"/>
        <w:spacing w:line="360" w:lineRule="auto"/>
      </w:pPr>
      <w:r>
        <w:t>Screenshot 1: Boundaryless Career Forum Post</w:t>
      </w:r>
    </w:p>
    <w:p w14:paraId="39E17DB3" w14:textId="77777777" w:rsidR="00EC4012" w:rsidRDefault="00B95D17">
      <w:pPr>
        <w:spacing w:before="200" w:after="60"/>
        <w:jc w:val="center"/>
      </w:pPr>
      <w:r>
        <w:rPr>
          <w:noProof/>
        </w:rPr>
        <w:lastRenderedPageBreak/>
        <w:drawing>
          <wp:inline distT="0" distB="0" distL="0" distR="0" wp14:anchorId="71E84327" wp14:editId="766533DD">
            <wp:extent cx="4286250" cy="3153073"/>
            <wp:effectExtent l="0" t="0" r="0" b="0"/>
            <wp:docPr id="1187968797" name="Picture 1187968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286250" cy="3153073"/>
                    </a:xfrm>
                    <a:prstGeom prst="rect">
                      <a:avLst/>
                    </a:prstGeom>
                  </pic:spPr>
                </pic:pic>
              </a:graphicData>
            </a:graphic>
          </wp:inline>
        </w:drawing>
      </w:r>
    </w:p>
    <w:p w14:paraId="1AA010D9" w14:textId="77777777" w:rsidR="00EC4012" w:rsidRDefault="00B95D17">
      <w:pPr>
        <w:spacing w:before="60" w:after="200" w:line="360" w:lineRule="auto"/>
        <w:jc w:val="center"/>
      </w:pPr>
      <w:r>
        <w:rPr>
          <w:i/>
          <w:iCs/>
          <w:color w:val="555555"/>
          <w:sz w:val="20"/>
          <w:szCs w:val="20"/>
        </w:rPr>
        <w:t>Figure 4: Week 2 forum post discussing the concept of boundaryless careers in health and social care.</w:t>
      </w:r>
    </w:p>
    <w:p w14:paraId="09B31FFD" w14:textId="77777777" w:rsidR="00EC4012" w:rsidRDefault="00B95D17">
      <w:pPr>
        <w:spacing w:after="120" w:line="360" w:lineRule="auto"/>
        <w:jc w:val="both"/>
      </w:pPr>
      <w:r>
        <w:t>The gig economy was another important theme. During the forum activity, I explored how agency staff and workers on zero-hours contracts represent the gig economy within health and social care. I noted that while this model offers operational flexibility, it may compromise continuity of care and weaken team cohesion. In care home environments, consistent staffing is fundamental to establishing therapeutic relationships and ensuring high-quality, person-centred care (Bywaters, Ali, and Sheridan, 2022).</w:t>
      </w:r>
    </w:p>
    <w:p w14:paraId="37DEE781" w14:textId="77777777" w:rsidR="00EC4012" w:rsidRDefault="00B95D17">
      <w:pPr>
        <w:pStyle w:val="Titlu2"/>
        <w:spacing w:line="360" w:lineRule="auto"/>
      </w:pPr>
      <w:r>
        <w:t>Screenshot 2: Gig Economy Forum Post</w:t>
      </w:r>
    </w:p>
    <w:p w14:paraId="7D641B59" w14:textId="77777777" w:rsidR="00EC4012" w:rsidRDefault="00B95D17">
      <w:pPr>
        <w:spacing w:before="200" w:after="60"/>
        <w:jc w:val="center"/>
      </w:pPr>
      <w:r>
        <w:rPr>
          <w:noProof/>
        </w:rPr>
        <w:lastRenderedPageBreak/>
        <w:drawing>
          <wp:inline distT="0" distB="0" distL="0" distR="0" wp14:anchorId="23839980" wp14:editId="0AA492DA">
            <wp:extent cx="4286250" cy="3621881"/>
            <wp:effectExtent l="0" t="0" r="0" b="0"/>
            <wp:docPr id="408894915" name="Picture 408894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286250" cy="3621881"/>
                    </a:xfrm>
                    <a:prstGeom prst="rect">
                      <a:avLst/>
                    </a:prstGeom>
                  </pic:spPr>
                </pic:pic>
              </a:graphicData>
            </a:graphic>
          </wp:inline>
        </w:drawing>
      </w:r>
    </w:p>
    <w:p w14:paraId="047A1D39" w14:textId="77777777" w:rsidR="00EC4012" w:rsidRDefault="00B95D17">
      <w:pPr>
        <w:spacing w:before="60" w:after="200" w:line="360" w:lineRule="auto"/>
        <w:jc w:val="center"/>
      </w:pPr>
      <w:r>
        <w:rPr>
          <w:i/>
          <w:iCs/>
          <w:color w:val="555555"/>
          <w:sz w:val="20"/>
          <w:szCs w:val="20"/>
        </w:rPr>
        <w:t>Figure 5: Forum post analysing the gig economy within health and social care settings.</w:t>
      </w:r>
    </w:p>
    <w:p w14:paraId="5BBFB8CC" w14:textId="77777777" w:rsidR="00EC4012" w:rsidRDefault="00B95D17">
      <w:pPr>
        <w:spacing w:after="120" w:line="360" w:lineRule="auto"/>
        <w:jc w:val="both"/>
      </w:pPr>
      <w:r>
        <w:t>Additionally, the unit introduced the importance of identifying transferable skills and using career resources for professional development. Through the National Careers Service activity, I explored key points about recognising qualities such as problem-solving and teamwork, using assessment tools to identify skill gaps, and upskilling through online courses and volunteering. Cottrell (2015) emphasises that building professional networks and continuously developing one’s skill set are crucial for career adv</w:t>
      </w:r>
      <w:r>
        <w:t>ancement. I found this activity particularly useful in helping me map my existing competencies against the requirements of the health and social care sector.</w:t>
      </w:r>
    </w:p>
    <w:p w14:paraId="65214093" w14:textId="77777777" w:rsidR="00EC4012" w:rsidRDefault="00B95D17">
      <w:pPr>
        <w:pStyle w:val="Titlu2"/>
        <w:spacing w:line="360" w:lineRule="auto"/>
      </w:pPr>
      <w:r>
        <w:t>Screenshot 3: Key Points from National Careers Service</w:t>
      </w:r>
    </w:p>
    <w:p w14:paraId="47B738C5" w14:textId="77777777" w:rsidR="00EC4012" w:rsidRDefault="00B95D17">
      <w:pPr>
        <w:spacing w:before="200" w:after="60"/>
        <w:jc w:val="center"/>
      </w:pPr>
      <w:r>
        <w:rPr>
          <w:noProof/>
        </w:rPr>
        <w:lastRenderedPageBreak/>
        <w:drawing>
          <wp:inline distT="0" distB="0" distL="0" distR="0" wp14:anchorId="66A27662" wp14:editId="01A4687E">
            <wp:extent cx="4286250" cy="3326520"/>
            <wp:effectExtent l="0" t="0" r="0" b="0"/>
            <wp:docPr id="967520325" name="Picture 967520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286250" cy="3326520"/>
                    </a:xfrm>
                    <a:prstGeom prst="rect">
                      <a:avLst/>
                    </a:prstGeom>
                  </pic:spPr>
                </pic:pic>
              </a:graphicData>
            </a:graphic>
          </wp:inline>
        </w:drawing>
      </w:r>
    </w:p>
    <w:p w14:paraId="5B09B096" w14:textId="77777777" w:rsidR="00EC4012" w:rsidRDefault="00B95D17">
      <w:pPr>
        <w:spacing w:before="60" w:after="200" w:line="360" w:lineRule="auto"/>
        <w:jc w:val="center"/>
      </w:pPr>
      <w:r>
        <w:rPr>
          <w:i/>
          <w:iCs/>
          <w:color w:val="555555"/>
          <w:sz w:val="20"/>
          <w:szCs w:val="20"/>
        </w:rPr>
        <w:t>Figure 6: Forum post summarising key employability points from the National Careers Service.</w:t>
      </w:r>
    </w:p>
    <w:p w14:paraId="1DC84E39" w14:textId="77777777" w:rsidR="00EC4012" w:rsidRDefault="00B95D17">
      <w:pPr>
        <w:pStyle w:val="Titlu1"/>
        <w:spacing w:line="360" w:lineRule="auto"/>
      </w:pPr>
      <w:r>
        <w:t>Reflection on Unit 3: Opportunity Knocks</w:t>
      </w:r>
    </w:p>
    <w:p w14:paraId="286DB17B" w14:textId="77777777" w:rsidR="00EC4012" w:rsidRDefault="00B95D17">
      <w:pPr>
        <w:spacing w:after="120" w:line="360" w:lineRule="auto"/>
        <w:jc w:val="both"/>
      </w:pPr>
      <w:r>
        <w:t>Unit 3, Opportunity Knocks, focused on helping me recognise and capitalise on opportunities for personal and professional development. The topics covered included goal setting, applying transferable skills to new contexts, and the concept of autonomy in professional practice. These are all directly relevant to building a sustainable career in health and social care.</w:t>
      </w:r>
    </w:p>
    <w:p w14:paraId="133E8E2F" w14:textId="77777777" w:rsidR="00EC4012" w:rsidRDefault="00B95D17">
      <w:pPr>
        <w:spacing w:after="120" w:line="360" w:lineRule="auto"/>
        <w:jc w:val="both"/>
      </w:pPr>
      <w:r>
        <w:t>One of the most impactful exercises in this unit involved analysing how transferable skills from one professional context can be applied to another. During the forum activity, I examined how a teaching assistant transitioning into health and social care could leverage skills such as safeguarding, communication, and documentation. I also considered how aligning personal values with the NHS 6 Cs framework can strengthen one’s professional identity. Doran’s (1981) SMART goal-setting model was useful in structu</w:t>
      </w:r>
      <w:r>
        <w:t>ring this analysis, encouraging me to think about specific, measurable steps for career progression.</w:t>
      </w:r>
    </w:p>
    <w:p w14:paraId="61E15406" w14:textId="77777777" w:rsidR="00EC4012" w:rsidRDefault="00B95D17">
      <w:pPr>
        <w:pStyle w:val="Titlu2"/>
        <w:spacing w:line="360" w:lineRule="auto"/>
      </w:pPr>
      <w:r>
        <w:t>Screenshot 1: Transferable Skills Analysis Forum Post</w:t>
      </w:r>
    </w:p>
    <w:p w14:paraId="1C6157CD" w14:textId="77777777" w:rsidR="00EC4012" w:rsidRDefault="00B95D17">
      <w:pPr>
        <w:spacing w:before="200" w:after="60"/>
        <w:jc w:val="center"/>
      </w:pPr>
      <w:r>
        <w:rPr>
          <w:noProof/>
        </w:rPr>
        <w:lastRenderedPageBreak/>
        <w:drawing>
          <wp:inline distT="0" distB="0" distL="0" distR="0" wp14:anchorId="1B4969EA" wp14:editId="6A70FC11">
            <wp:extent cx="3619500" cy="5207914"/>
            <wp:effectExtent l="0" t="0" r="0" b="0"/>
            <wp:docPr id="389587288" name="Picture 389587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619500" cy="5207914"/>
                    </a:xfrm>
                    <a:prstGeom prst="rect">
                      <a:avLst/>
                    </a:prstGeom>
                  </pic:spPr>
                </pic:pic>
              </a:graphicData>
            </a:graphic>
          </wp:inline>
        </w:drawing>
      </w:r>
    </w:p>
    <w:p w14:paraId="5D722358" w14:textId="77777777" w:rsidR="00EC4012" w:rsidRDefault="00B95D17">
      <w:pPr>
        <w:spacing w:before="60" w:after="200" w:line="360" w:lineRule="auto"/>
        <w:jc w:val="center"/>
      </w:pPr>
      <w:r>
        <w:rPr>
          <w:i/>
          <w:iCs/>
          <w:color w:val="555555"/>
          <w:sz w:val="20"/>
          <w:szCs w:val="20"/>
        </w:rPr>
        <w:t>Figure 7: Forum post analysing how transferable skills can be applied to health and social care roles.</w:t>
      </w:r>
    </w:p>
    <w:p w14:paraId="7EC2D8EE" w14:textId="77777777" w:rsidR="00EC4012" w:rsidRDefault="00B95D17">
      <w:pPr>
        <w:spacing w:after="120" w:line="360" w:lineRule="auto"/>
        <w:jc w:val="both"/>
      </w:pPr>
      <w:r>
        <w:t>Setting clear career goals was another central theme. During the online activity, I articulated my goal of becoming a specialist in mental health support for adults in social care. I aligned this with the steps discussed in lectures: self-assessment, sector exploration, and learning-practice alignment. Gibbs’ (1988) Reflective Cycle helped me evaluate how my completed modules on care regulations, safeguarding, and psychological health have prepared me for this career path (Schön, 1983).</w:t>
      </w:r>
    </w:p>
    <w:p w14:paraId="14092D3B" w14:textId="77777777" w:rsidR="00EC4012" w:rsidRDefault="00B95D17">
      <w:pPr>
        <w:pStyle w:val="Titlu2"/>
        <w:spacing w:line="360" w:lineRule="auto"/>
      </w:pPr>
      <w:r>
        <w:t>Screenshot 2: Career Goal in Health and Social Care</w:t>
      </w:r>
    </w:p>
    <w:p w14:paraId="3F18F332" w14:textId="77777777" w:rsidR="00EC4012" w:rsidRDefault="00B95D17">
      <w:pPr>
        <w:spacing w:before="200" w:after="60"/>
        <w:jc w:val="center"/>
      </w:pPr>
      <w:r>
        <w:rPr>
          <w:noProof/>
        </w:rPr>
        <w:lastRenderedPageBreak/>
        <w:drawing>
          <wp:inline distT="0" distB="0" distL="0" distR="0" wp14:anchorId="0B82F727" wp14:editId="3A503C3B">
            <wp:extent cx="4000500" cy="3692769"/>
            <wp:effectExtent l="0" t="0" r="0" b="0"/>
            <wp:docPr id="1449540416" name="Picture 1449540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000500" cy="3692769"/>
                    </a:xfrm>
                    <a:prstGeom prst="rect">
                      <a:avLst/>
                    </a:prstGeom>
                  </pic:spPr>
                </pic:pic>
              </a:graphicData>
            </a:graphic>
          </wp:inline>
        </w:drawing>
      </w:r>
    </w:p>
    <w:p w14:paraId="3B3698EF" w14:textId="77777777" w:rsidR="00EC4012" w:rsidRDefault="00B95D17">
      <w:pPr>
        <w:spacing w:before="60" w:after="200" w:line="360" w:lineRule="auto"/>
        <w:jc w:val="center"/>
      </w:pPr>
      <w:r>
        <w:rPr>
          <w:i/>
          <w:iCs/>
          <w:color w:val="555555"/>
          <w:sz w:val="20"/>
          <w:szCs w:val="20"/>
        </w:rPr>
        <w:t>Figure 8: Forum post outlining my career goal as a specialist in mental health support.</w:t>
      </w:r>
    </w:p>
    <w:p w14:paraId="3895E583" w14:textId="77777777" w:rsidR="00EC4012" w:rsidRDefault="00B95D17">
      <w:pPr>
        <w:spacing w:after="120" w:line="360" w:lineRule="auto"/>
        <w:jc w:val="both"/>
      </w:pPr>
      <w:r>
        <w:t>The concept of autonomy was also explored in this unit, and I found it to be a fundamental principle underpinning ethical practice in health and social care. During the forum discussion, I reflected on how autonomy refers to an individual’s right to exercise self-determination and make informed decisions without external pressure. In care settings, this principle ensures that service users are empowered to direct their own care plans. I recognised that understanding and promoting autonomy is essential for d</w:t>
      </w:r>
      <w:r>
        <w:t>elivering person-centred care and upholding human dignity (Beauchamp and Childress, 2019).</w:t>
      </w:r>
    </w:p>
    <w:p w14:paraId="6992A083" w14:textId="77777777" w:rsidR="00EC4012" w:rsidRDefault="00B95D17">
      <w:pPr>
        <w:pStyle w:val="Titlu2"/>
        <w:spacing w:line="360" w:lineRule="auto"/>
      </w:pPr>
      <w:r>
        <w:t>Screenshot 3: What is Autonomy? Forum Post</w:t>
      </w:r>
    </w:p>
    <w:p w14:paraId="3924BE32" w14:textId="77777777" w:rsidR="00EC4012" w:rsidRDefault="00B95D17">
      <w:pPr>
        <w:spacing w:before="200" w:after="60"/>
        <w:jc w:val="center"/>
      </w:pPr>
      <w:r>
        <w:rPr>
          <w:noProof/>
        </w:rPr>
        <w:drawing>
          <wp:inline distT="0" distB="0" distL="0" distR="0" wp14:anchorId="33236B97" wp14:editId="70E3569F">
            <wp:extent cx="4286250" cy="2494062"/>
            <wp:effectExtent l="0" t="0" r="0" b="0"/>
            <wp:docPr id="1680590860" name="Picture 1680590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286250" cy="2494062"/>
                    </a:xfrm>
                    <a:prstGeom prst="rect">
                      <a:avLst/>
                    </a:prstGeom>
                  </pic:spPr>
                </pic:pic>
              </a:graphicData>
            </a:graphic>
          </wp:inline>
        </w:drawing>
      </w:r>
    </w:p>
    <w:p w14:paraId="51A160A0" w14:textId="77777777" w:rsidR="00EC4012" w:rsidRDefault="00B95D17">
      <w:pPr>
        <w:spacing w:before="60" w:after="200" w:line="360" w:lineRule="auto"/>
        <w:jc w:val="center"/>
      </w:pPr>
      <w:r>
        <w:rPr>
          <w:i/>
          <w:iCs/>
          <w:color w:val="555555"/>
          <w:sz w:val="20"/>
          <w:szCs w:val="20"/>
        </w:rPr>
        <w:lastRenderedPageBreak/>
        <w:t>Figure 9: Forum post reflecting on the meaning and importance of autonomy in health and social care.</w:t>
      </w:r>
    </w:p>
    <w:p w14:paraId="3704B982" w14:textId="77777777" w:rsidR="00EC4012" w:rsidRDefault="00B95D17">
      <w:pPr>
        <w:pStyle w:val="Titlu1"/>
        <w:spacing w:line="360" w:lineRule="auto"/>
      </w:pPr>
      <w:r>
        <w:t>Reflection on Unit 4: The Pursuit of Happiness</w:t>
      </w:r>
    </w:p>
    <w:p w14:paraId="4B4D92D5" w14:textId="77777777" w:rsidR="00EC4012" w:rsidRDefault="00B95D17">
      <w:pPr>
        <w:spacing w:after="120" w:line="360" w:lineRule="auto"/>
        <w:jc w:val="both"/>
      </w:pPr>
      <w:r>
        <w:t>Unit 4, The Pursuit of Happiness, explored themes of wellbeing, resilience, and innovation in mental health support, all of which are vital for sustaining a long and fulfilling career in health and social care. This unit encouraged me to consider not only how I support others but also how I maintain my own mental and emotional health as a practitioner.</w:t>
      </w:r>
    </w:p>
    <w:p w14:paraId="7A06D0B7" w14:textId="77777777" w:rsidR="00EC4012" w:rsidRDefault="00B95D17">
      <w:pPr>
        <w:spacing w:after="120" w:line="360" w:lineRule="auto"/>
        <w:jc w:val="both"/>
      </w:pPr>
      <w:r>
        <w:t>Seligman’s (2011) PERMA model of wellbeing was a central framework in this unit, identifying five pillars of flourishing: Positive Emotion, Engagement, Relationships, Meaning, and Accomplishment. I found this model relevant because it offers a holistic view of wellbeing beyond the absence of illness. I assessed my own wellbeing against each pillar and identified that while I have strong relationships and a sense of meaning, I need to invest more in activities that promote positive emotion and personal accom</w:t>
      </w:r>
      <w:r>
        <w:t>plishment.</w:t>
      </w:r>
    </w:p>
    <w:p w14:paraId="7281E66D" w14:textId="77777777" w:rsidR="00EC4012" w:rsidRDefault="00B95D17">
      <w:pPr>
        <w:spacing w:after="120" w:line="360" w:lineRule="auto"/>
        <w:jc w:val="both"/>
      </w:pPr>
      <w:r>
        <w:t>Resilience was another significant theme. Jackson, Firtko, and Edenborough (2007) define resilience as the ability to adapt positively in the face of adversity, arguing it is critical for healthcare professionals who frequently encounter stressful situations. I recognised that building resilience requires deliberate strategies such as seeking peer support, engaging in reflective practice, and maintaining professional boundaries. The lectures helped me understand that resilience is not innate but a skill tha</w:t>
      </w:r>
      <w:r>
        <w:t>t can be developed.</w:t>
      </w:r>
    </w:p>
    <w:p w14:paraId="70710B8C" w14:textId="388B398A" w:rsidR="00E529FE" w:rsidRDefault="00B95D17" w:rsidP="00E529FE">
      <w:pPr>
        <w:spacing w:after="120" w:line="360" w:lineRule="auto"/>
        <w:jc w:val="both"/>
      </w:pPr>
      <w:r>
        <w:t>A key highlight of this unit was the development of the MindStream poster, an innovative digital health campaign designed to address youth mental health in the UK. This project allowed me to apply module concepts to a real-world scenario by combining social media awareness with an AI-driven peer support application. I explored gaps in care provision, including accessibility barriers, long CAMHS waiting lists, and social stigma, while considering implementation strategies and contributions to reducing the NH</w:t>
      </w:r>
      <w:r>
        <w:t>S burden (Maslach and Leiter, 2016). This exercise reinforced my understanding that sustainable employment in health and social care requires both clinical skills and creativity in addressing service delivery challenges.</w:t>
      </w:r>
    </w:p>
    <w:p w14:paraId="25FFCBEF" w14:textId="77777777" w:rsidR="00E529FE" w:rsidRDefault="00E529FE" w:rsidP="00E529FE">
      <w:pPr>
        <w:spacing w:after="120" w:line="360" w:lineRule="auto"/>
        <w:jc w:val="both"/>
      </w:pPr>
    </w:p>
    <w:p w14:paraId="72622263" w14:textId="77777777" w:rsidR="00E529FE" w:rsidRDefault="00E529FE" w:rsidP="00E529FE">
      <w:pPr>
        <w:spacing w:before="60" w:after="200" w:line="360" w:lineRule="auto"/>
      </w:pPr>
    </w:p>
    <w:p w14:paraId="34ECE106" w14:textId="77777777" w:rsidR="00E529FE" w:rsidRDefault="00E529FE" w:rsidP="00E529FE">
      <w:pPr>
        <w:spacing w:before="60" w:after="200" w:line="360" w:lineRule="auto"/>
      </w:pPr>
    </w:p>
    <w:p w14:paraId="4686B2EE" w14:textId="77777777" w:rsidR="00E529FE" w:rsidRDefault="00E529FE" w:rsidP="00E529FE">
      <w:pPr>
        <w:spacing w:before="60" w:after="200" w:line="360" w:lineRule="auto"/>
      </w:pPr>
    </w:p>
    <w:p w14:paraId="02C61026" w14:textId="613F4984" w:rsidR="00EC4012" w:rsidRDefault="00EC4012" w:rsidP="00E529FE">
      <w:pPr>
        <w:spacing w:before="60" w:after="200" w:line="360" w:lineRule="auto"/>
      </w:pPr>
    </w:p>
    <w:p w14:paraId="036630A4" w14:textId="77777777" w:rsidR="00EC4012" w:rsidRDefault="00B95D17">
      <w:pPr>
        <w:pStyle w:val="Titlu1"/>
        <w:spacing w:line="360" w:lineRule="auto"/>
      </w:pPr>
      <w:r>
        <w:lastRenderedPageBreak/>
        <w:t>Conclusion</w:t>
      </w:r>
    </w:p>
    <w:p w14:paraId="0264A4DA" w14:textId="77777777" w:rsidR="00EC4012" w:rsidRDefault="00B95D17">
      <w:pPr>
        <w:spacing w:after="120" w:line="360" w:lineRule="auto"/>
        <w:jc w:val="both"/>
      </w:pPr>
      <w:r>
        <w:t>In conclusion, the Changemakers module has provided me with a comprehensive foundation for personal and professional development within health and social care. Through the four units, I gained a deeper understanding of personal branding, the impact of globalisation and flexible employment, the importance of seizing professional opportunities, and the role of wellbeing in sustaining a fulfilling career. The theories explored, including the Johari Window, boundaryless career concept, SMART goals, Gibbs’ Refle</w:t>
      </w:r>
      <w:r>
        <w:t>ctive Cycle, and the PERMA model, have equipped me with practical tools for future practice. I have also developed transferable skills such as reflective thinking, goal setting, and critical analysis. Moving forward, I am committed to pursuing my goal of becoming a specialist in mental health support for adults in social care, continuing my professional development, and maintaining my wellbeing as I progress in my career.</w:t>
      </w:r>
    </w:p>
    <w:p w14:paraId="6A14FC2D" w14:textId="77777777" w:rsidR="00EC4012" w:rsidRDefault="00B95D17">
      <w:pPr>
        <w:pStyle w:val="Titlu1"/>
        <w:spacing w:line="360" w:lineRule="auto"/>
      </w:pPr>
      <w:r>
        <w:t>References</w:t>
      </w:r>
    </w:p>
    <w:p w14:paraId="421B35C0" w14:textId="77777777" w:rsidR="00EC4012" w:rsidRDefault="00B95D17">
      <w:pPr>
        <w:spacing w:after="160" w:line="360" w:lineRule="auto"/>
        <w:ind w:left="720" w:hanging="720"/>
      </w:pPr>
      <w:r>
        <w:t>Arruda, W. (2003) ‘An introduction to personal branding: a revolution in the way we manage our careers’, Reach Communications, pp. 1–12.</w:t>
      </w:r>
    </w:p>
    <w:p w14:paraId="28E9E3D0" w14:textId="77777777" w:rsidR="00EC4012" w:rsidRDefault="00B95D17">
      <w:pPr>
        <w:spacing w:after="160" w:line="360" w:lineRule="auto"/>
        <w:ind w:left="720" w:hanging="720"/>
      </w:pPr>
      <w:r>
        <w:t>Arthur, M.B. and Rousseau, D.M. (1996) The Boundaryless Career: A New Employment Principle for a New Organizational Era. New York: Oxford University Press.</w:t>
      </w:r>
    </w:p>
    <w:p w14:paraId="2FD56CF8" w14:textId="77777777" w:rsidR="00EC4012" w:rsidRDefault="00B95D17">
      <w:pPr>
        <w:spacing w:after="160" w:line="360" w:lineRule="auto"/>
        <w:ind w:left="720" w:hanging="720"/>
      </w:pPr>
      <w:r>
        <w:t>Beauchamp, T.L. and Childress, J.F. (2019) Principles of Biomedical Ethics. 8th edn. New York: Oxford University Press.</w:t>
      </w:r>
    </w:p>
    <w:p w14:paraId="29C227BC" w14:textId="77777777" w:rsidR="00EC4012" w:rsidRDefault="00B95D17">
      <w:pPr>
        <w:spacing w:after="160" w:line="360" w:lineRule="auto"/>
        <w:ind w:left="720" w:hanging="720"/>
      </w:pPr>
      <w:r>
        <w:t>Bridgstock, R. (2009) ‘The graduate attributes we’ve overlooked: enhancing graduate employability through career management skills’, Higher Education Research and Development, 28(1), pp. 31–44.</w:t>
      </w:r>
    </w:p>
    <w:p w14:paraId="187B0F45" w14:textId="77777777" w:rsidR="00EC4012" w:rsidRDefault="00B95D17">
      <w:pPr>
        <w:spacing w:after="160" w:line="360" w:lineRule="auto"/>
        <w:ind w:left="720" w:hanging="720"/>
      </w:pPr>
      <w:r>
        <w:t>Buckingham, M. and Clifton, D.O. (2001) Now, Discover Your Strengths. New York: Free Press.</w:t>
      </w:r>
    </w:p>
    <w:p w14:paraId="440597D8" w14:textId="77777777" w:rsidR="00EC4012" w:rsidRDefault="00B95D17">
      <w:pPr>
        <w:spacing w:after="160" w:line="360" w:lineRule="auto"/>
        <w:ind w:left="720" w:hanging="720"/>
      </w:pPr>
      <w:r>
        <w:t>Bywaters, P., Ali, Z. and Sheridan, L. (2022) ‘Globalisation and social work in health care’, in Bywaters, P. and McLeod, E. (eds.) Social Work, Health and International Development. Bristol: Policy Press, pp. 15–34.</w:t>
      </w:r>
    </w:p>
    <w:p w14:paraId="259F01C7" w14:textId="77777777" w:rsidR="00EC4012" w:rsidRDefault="00B95D17">
      <w:pPr>
        <w:spacing w:after="160" w:line="360" w:lineRule="auto"/>
        <w:ind w:left="720" w:hanging="720"/>
      </w:pPr>
      <w:r>
        <w:t>Capela, M. (2021) Personal Branding for Career Success. London: Kogan Page.</w:t>
      </w:r>
    </w:p>
    <w:p w14:paraId="6013EDA2" w14:textId="77777777" w:rsidR="00EC4012" w:rsidRDefault="00B95D17">
      <w:pPr>
        <w:spacing w:after="160" w:line="360" w:lineRule="auto"/>
        <w:ind w:left="720" w:hanging="720"/>
      </w:pPr>
      <w:r>
        <w:t>Cottrell, S. (2015) Skills for Success: Personal Development and Employability. 3rd edn. London: Red Globe Press.</w:t>
      </w:r>
    </w:p>
    <w:p w14:paraId="77903E7C" w14:textId="77777777" w:rsidR="00EC4012" w:rsidRDefault="00B95D17">
      <w:pPr>
        <w:spacing w:after="160" w:line="360" w:lineRule="auto"/>
        <w:ind w:left="720" w:hanging="720"/>
      </w:pPr>
      <w:r>
        <w:lastRenderedPageBreak/>
        <w:t>Doran, G.T. (1981) ‘There’s a S.M.A.R.T. way to write management’s goals and objectives’, Management Review, 70(11), pp. 35–36.</w:t>
      </w:r>
    </w:p>
    <w:p w14:paraId="73BA04B1" w14:textId="77777777" w:rsidR="00EC4012" w:rsidRDefault="00B95D17">
      <w:pPr>
        <w:spacing w:after="160" w:line="360" w:lineRule="auto"/>
        <w:ind w:left="720" w:hanging="720"/>
      </w:pPr>
      <w:r>
        <w:t>Gibbs, G. (1988) Learning by Doing: A Guide to Teaching and Learning Methods. Oxford: Oxford Polytechnic.</w:t>
      </w:r>
    </w:p>
    <w:p w14:paraId="4252FF00" w14:textId="77777777" w:rsidR="00EC4012" w:rsidRDefault="00B95D17">
      <w:pPr>
        <w:spacing w:after="160" w:line="360" w:lineRule="auto"/>
        <w:ind w:left="720" w:hanging="720"/>
      </w:pPr>
      <w:r>
        <w:t>Goleman, D. (1995) Emotional Intelligence: Why It Can Matter More Than IQ. New York: Bantam Books.</w:t>
      </w:r>
    </w:p>
    <w:p w14:paraId="050D70DB" w14:textId="77777777" w:rsidR="00EC4012" w:rsidRDefault="00B95D17">
      <w:pPr>
        <w:spacing w:after="160" w:line="360" w:lineRule="auto"/>
        <w:ind w:left="720" w:hanging="720"/>
      </w:pPr>
      <w:r>
        <w:t>Jackson, D., Firtko, A. and Edenborough, M. (2007) ‘Personal resilience as a strategy for surviving and thriving in the face of workplace adversity: a literature review’, Journal of Advanced Nursing, 60(1), pp. 1–9.</w:t>
      </w:r>
    </w:p>
    <w:p w14:paraId="6FAF2A78" w14:textId="77777777" w:rsidR="00EC4012" w:rsidRDefault="00B95D17">
      <w:pPr>
        <w:spacing w:after="160" w:line="360" w:lineRule="auto"/>
        <w:ind w:left="720" w:hanging="720"/>
      </w:pPr>
      <w:r>
        <w:t>Khedher, M. (2014) ‘Personal branding phenomenon’, International Journal of Information, Business and Management, 6(2), pp. 29–40.</w:t>
      </w:r>
    </w:p>
    <w:p w14:paraId="2DFD1E2E" w14:textId="77777777" w:rsidR="00EC4012" w:rsidRDefault="00B95D17">
      <w:pPr>
        <w:spacing w:after="160" w:line="360" w:lineRule="auto"/>
        <w:ind w:left="720" w:hanging="720"/>
      </w:pPr>
      <w:r>
        <w:t>Luft, J. and Ingham, H. (1955) ‘The Johari Window: a graphic model of interpersonal awareness’, Proceedings of the Western Training Laboratory in Group Development. Los Angeles: University of California.</w:t>
      </w:r>
    </w:p>
    <w:p w14:paraId="627B836E" w14:textId="77777777" w:rsidR="00EC4012" w:rsidRDefault="00B95D17">
      <w:pPr>
        <w:spacing w:after="160" w:line="360" w:lineRule="auto"/>
        <w:ind w:left="720" w:hanging="720"/>
      </w:pPr>
      <w:r>
        <w:t>Maslach, C. and Leiter, M.P. (2016) ‘Burnout’, in Fink, G. (ed.) Stress: Concepts, Cognition, Emotion, and Behavior. London: Academic Press, pp. 351–357.</w:t>
      </w:r>
    </w:p>
    <w:p w14:paraId="376E000F" w14:textId="77777777" w:rsidR="00EC4012" w:rsidRDefault="00B95D17">
      <w:pPr>
        <w:spacing w:after="160" w:line="360" w:lineRule="auto"/>
        <w:ind w:left="720" w:hanging="720"/>
      </w:pPr>
      <w:r>
        <w:t>Schön, D.A. (1983) The Reflective Practitioner: How Professionals Think in Action. New York: Basic Books.</w:t>
      </w:r>
    </w:p>
    <w:p w14:paraId="120504E9" w14:textId="77777777" w:rsidR="00EC4012" w:rsidRDefault="00B95D17">
      <w:pPr>
        <w:spacing w:after="160" w:line="360" w:lineRule="auto"/>
        <w:ind w:left="720" w:hanging="720"/>
      </w:pPr>
      <w:r>
        <w:t>Seligman, M.E.P. (2011) Flourish: A Visionary New Understanding of Happiness and Well-being. New York: Atria Books.</w:t>
      </w:r>
    </w:p>
    <w:p w14:paraId="659A20BB" w14:textId="77777777" w:rsidR="00EC4012" w:rsidRDefault="00B95D17">
      <w:pPr>
        <w:spacing w:after="160" w:line="360" w:lineRule="auto"/>
        <w:ind w:left="720" w:hanging="720"/>
      </w:pPr>
      <w:r>
        <w:t>Sullivan, S.E. and Arthur, M.B. (2006) ‘The evolution of the boundaryless career concept: examining physical and psychological mobility’, Journal of Vocational Behavior, 69(1), pp. 19–29.</w:t>
      </w:r>
    </w:p>
    <w:sectPr w:rsidR="00EC4012">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A0DDB" w14:textId="77777777" w:rsidR="00297A8F" w:rsidRDefault="00297A8F">
      <w:r>
        <w:separator/>
      </w:r>
    </w:p>
  </w:endnote>
  <w:endnote w:type="continuationSeparator" w:id="0">
    <w:p w14:paraId="25751289" w14:textId="77777777" w:rsidR="00297A8F" w:rsidRDefault="00297A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DEA59" w14:textId="77777777" w:rsidR="00EC4012" w:rsidRDefault="00B95D17">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E529FE">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95B10" w14:textId="77777777" w:rsidR="00297A8F" w:rsidRDefault="00297A8F">
      <w:r>
        <w:separator/>
      </w:r>
    </w:p>
  </w:footnote>
  <w:footnote w:type="continuationSeparator" w:id="0">
    <w:p w14:paraId="252C77E9" w14:textId="77777777" w:rsidR="00297A8F" w:rsidRDefault="00297A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5CCD2" w14:textId="77777777" w:rsidR="00EC4012" w:rsidRDefault="00B95D17">
    <w:pPr>
      <w:jc w:val="right"/>
    </w:pPr>
    <w:r>
      <w:rPr>
        <w:color w:val="888888"/>
        <w:sz w:val="18"/>
        <w:szCs w:val="18"/>
      </w:rPr>
      <w:t>BMHP5015 – Component 1: Online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03C3A"/>
    <w:multiLevelType w:val="hybridMultilevel"/>
    <w:tmpl w:val="CA1C25D0"/>
    <w:lvl w:ilvl="0" w:tplc="DF38E7B8">
      <w:start w:val="1"/>
      <w:numFmt w:val="bullet"/>
      <w:lvlText w:val="●"/>
      <w:lvlJc w:val="left"/>
      <w:pPr>
        <w:ind w:left="720" w:hanging="360"/>
      </w:pPr>
    </w:lvl>
    <w:lvl w:ilvl="1" w:tplc="285CC750">
      <w:start w:val="1"/>
      <w:numFmt w:val="bullet"/>
      <w:lvlText w:val="○"/>
      <w:lvlJc w:val="left"/>
      <w:pPr>
        <w:ind w:left="1440" w:hanging="360"/>
      </w:pPr>
    </w:lvl>
    <w:lvl w:ilvl="2" w:tplc="D43A587E">
      <w:start w:val="1"/>
      <w:numFmt w:val="bullet"/>
      <w:lvlText w:val="■"/>
      <w:lvlJc w:val="left"/>
      <w:pPr>
        <w:ind w:left="2160" w:hanging="360"/>
      </w:pPr>
    </w:lvl>
    <w:lvl w:ilvl="3" w:tplc="46AA5988">
      <w:start w:val="1"/>
      <w:numFmt w:val="bullet"/>
      <w:lvlText w:val="●"/>
      <w:lvlJc w:val="left"/>
      <w:pPr>
        <w:ind w:left="2880" w:hanging="360"/>
      </w:pPr>
    </w:lvl>
    <w:lvl w:ilvl="4" w:tplc="254E6578">
      <w:start w:val="1"/>
      <w:numFmt w:val="bullet"/>
      <w:lvlText w:val="○"/>
      <w:lvlJc w:val="left"/>
      <w:pPr>
        <w:ind w:left="3600" w:hanging="360"/>
      </w:pPr>
    </w:lvl>
    <w:lvl w:ilvl="5" w:tplc="2A8481FE">
      <w:start w:val="1"/>
      <w:numFmt w:val="bullet"/>
      <w:lvlText w:val="■"/>
      <w:lvlJc w:val="left"/>
      <w:pPr>
        <w:ind w:left="4320" w:hanging="360"/>
      </w:pPr>
    </w:lvl>
    <w:lvl w:ilvl="6" w:tplc="910AC246">
      <w:start w:val="1"/>
      <w:numFmt w:val="bullet"/>
      <w:lvlText w:val="●"/>
      <w:lvlJc w:val="left"/>
      <w:pPr>
        <w:ind w:left="5040" w:hanging="360"/>
      </w:pPr>
    </w:lvl>
    <w:lvl w:ilvl="7" w:tplc="6A5018CC">
      <w:start w:val="1"/>
      <w:numFmt w:val="bullet"/>
      <w:lvlText w:val="●"/>
      <w:lvlJc w:val="left"/>
      <w:pPr>
        <w:ind w:left="5760" w:hanging="360"/>
      </w:pPr>
    </w:lvl>
    <w:lvl w:ilvl="8" w:tplc="CD26C1DA">
      <w:start w:val="1"/>
      <w:numFmt w:val="bullet"/>
      <w:lvlText w:val="●"/>
      <w:lvlJc w:val="left"/>
      <w:pPr>
        <w:ind w:left="6480" w:hanging="360"/>
      </w:pPr>
    </w:lvl>
  </w:abstractNum>
  <w:num w:numId="1" w16cid:durableId="107513212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4012"/>
    <w:rsid w:val="00297A8F"/>
    <w:rsid w:val="003533FA"/>
    <w:rsid w:val="004902D5"/>
    <w:rsid w:val="005E5572"/>
    <w:rsid w:val="006706FE"/>
    <w:rsid w:val="00760908"/>
    <w:rsid w:val="007E1DA8"/>
    <w:rsid w:val="00992202"/>
    <w:rsid w:val="00A31CC5"/>
    <w:rsid w:val="00B02D0C"/>
    <w:rsid w:val="00C678CE"/>
    <w:rsid w:val="00C81CE7"/>
    <w:rsid w:val="00CF431D"/>
    <w:rsid w:val="00D87B84"/>
    <w:rsid w:val="00DF1CD4"/>
    <w:rsid w:val="00E529FE"/>
    <w:rsid w:val="00EB1391"/>
    <w:rsid w:val="00EC4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E4E80"/>
  <w15:docId w15:val="{001E144C-42ED-41ED-83E4-4C9EB18B1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360" w:after="160"/>
      <w:outlineLvl w:val="0"/>
    </w:pPr>
    <w:rPr>
      <w:b/>
      <w:bCs/>
      <w:sz w:val="28"/>
      <w:szCs w:val="28"/>
    </w:rPr>
  </w:style>
  <w:style w:type="paragraph" w:styleId="Titlu2">
    <w:name w:val="heading 2"/>
    <w:uiPriority w:val="9"/>
    <w:unhideWhenUsed/>
    <w:qFormat/>
    <w:pPr>
      <w:spacing w:before="240" w:after="120"/>
      <w:outlineLvl w:val="1"/>
    </w:pPr>
    <w:rPr>
      <w:b/>
      <w:bCs/>
      <w:sz w:val="24"/>
      <w:szCs w:val="24"/>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paragraph" w:customStyle="1" w:styleId="p1">
    <w:name w:val="p1"/>
    <w:basedOn w:val="Normal"/>
    <w:rsid w:val="003533FA"/>
    <w:pPr>
      <w:spacing w:before="100" w:beforeAutospacing="1" w:after="100" w:afterAutospacing="1"/>
    </w:pPr>
    <w:rPr>
      <w:rFonts w:ascii="Times New Roman" w:eastAsiaTheme="minorEastAsia" w:hAnsi="Times New Roman" w:cs="Times New Roman"/>
      <w:sz w:val="24"/>
      <w:szCs w:val="24"/>
      <w:lang w:val="ro-GB" w:eastAsia="ro-RO"/>
    </w:rPr>
  </w:style>
  <w:style w:type="character" w:customStyle="1" w:styleId="s1">
    <w:name w:val="s1"/>
    <w:basedOn w:val="Fontdeparagrafimplicit"/>
    <w:rsid w:val="003533FA"/>
  </w:style>
  <w:style w:type="character" w:customStyle="1" w:styleId="s2">
    <w:name w:val="s2"/>
    <w:basedOn w:val="Fontdeparagrafimplicit"/>
    <w:rsid w:val="00353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2209</Words>
  <Characters>12813</Characters>
  <Application>Microsoft Office Word</Application>
  <DocSecurity>0</DocSecurity>
  <Lines>106</Lines>
  <Paragraphs>29</Paragraphs>
  <ScaleCrop>false</ScaleCrop>
  <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2</cp:revision>
  <dcterms:created xsi:type="dcterms:W3CDTF">2026-04-02T09:16:00Z</dcterms:created>
  <dcterms:modified xsi:type="dcterms:W3CDTF">2026-04-02T09:16:00Z</dcterms:modified>
</cp:coreProperties>
</file>