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90FC0" w14:textId="13DBFB69" w:rsidR="007E4818" w:rsidRPr="00AF447E" w:rsidRDefault="00AF447E" w:rsidP="00AF447E">
      <w:pPr>
        <w:spacing w:line="360" w:lineRule="auto"/>
        <w:jc w:val="center"/>
        <w:rPr>
          <w:rFonts w:ascii="Arial" w:hAnsi="Arial" w:cs="Arial"/>
          <w:sz w:val="22"/>
          <w:szCs w:val="22"/>
        </w:rPr>
      </w:pPr>
      <w:r w:rsidRPr="00AF447E">
        <w:rPr>
          <w:rFonts w:ascii="Arial" w:hAnsi="Arial" w:cs="Arial"/>
          <w:sz w:val="22"/>
          <w:szCs w:val="22"/>
        </w:rPr>
        <w:t>Name: Naznin Sumar</w:t>
      </w:r>
    </w:p>
    <w:p w14:paraId="751087DE" w14:textId="21F00C11" w:rsidR="00AF447E" w:rsidRPr="00AF447E" w:rsidRDefault="00AF447E" w:rsidP="00AF447E">
      <w:pPr>
        <w:spacing w:line="360" w:lineRule="auto"/>
        <w:jc w:val="center"/>
        <w:rPr>
          <w:rFonts w:ascii="Arial" w:hAnsi="Arial" w:cs="Arial"/>
          <w:sz w:val="22"/>
          <w:szCs w:val="22"/>
        </w:rPr>
      </w:pPr>
      <w:r w:rsidRPr="00AF447E">
        <w:rPr>
          <w:rFonts w:ascii="Arial" w:hAnsi="Arial" w:cs="Arial"/>
          <w:sz w:val="22"/>
          <w:szCs w:val="22"/>
        </w:rPr>
        <w:t>Student Number: 2529022</w:t>
      </w:r>
    </w:p>
    <w:p w14:paraId="05340949" w14:textId="4077A6E7" w:rsidR="00AF447E" w:rsidRPr="00AF447E" w:rsidRDefault="00AF447E" w:rsidP="00AF447E">
      <w:pPr>
        <w:spacing w:line="360" w:lineRule="auto"/>
        <w:jc w:val="center"/>
        <w:rPr>
          <w:rFonts w:ascii="Arial" w:hAnsi="Arial" w:cs="Arial"/>
          <w:sz w:val="22"/>
          <w:szCs w:val="22"/>
        </w:rPr>
      </w:pPr>
      <w:r w:rsidRPr="00AF447E">
        <w:rPr>
          <w:rFonts w:ascii="Arial" w:hAnsi="Arial" w:cs="Arial"/>
          <w:sz w:val="22"/>
          <w:szCs w:val="22"/>
        </w:rPr>
        <w:t>Module Code: LCHS4008_BIRM</w:t>
      </w:r>
    </w:p>
    <w:p w14:paraId="550FEF75" w14:textId="39E4A88D" w:rsidR="00AF447E" w:rsidRPr="00AF447E" w:rsidRDefault="00AF447E" w:rsidP="00AF447E">
      <w:pPr>
        <w:spacing w:line="360" w:lineRule="auto"/>
        <w:jc w:val="center"/>
        <w:rPr>
          <w:rFonts w:ascii="Arial" w:hAnsi="Arial" w:cs="Arial"/>
          <w:sz w:val="22"/>
          <w:szCs w:val="22"/>
        </w:rPr>
      </w:pPr>
      <w:r w:rsidRPr="00AF447E">
        <w:rPr>
          <w:rFonts w:ascii="Arial" w:hAnsi="Arial" w:cs="Arial"/>
          <w:sz w:val="22"/>
          <w:szCs w:val="22"/>
        </w:rPr>
        <w:t>Module Title: Introduction To Public Health</w:t>
      </w:r>
    </w:p>
    <w:p w14:paraId="1D5638B4" w14:textId="63CFAAC0" w:rsidR="00AF447E" w:rsidRPr="00AF447E" w:rsidRDefault="00AF447E" w:rsidP="00AF447E">
      <w:pPr>
        <w:spacing w:line="360" w:lineRule="auto"/>
        <w:jc w:val="center"/>
        <w:rPr>
          <w:rFonts w:ascii="Arial" w:hAnsi="Arial" w:cs="Arial"/>
          <w:sz w:val="22"/>
          <w:szCs w:val="22"/>
        </w:rPr>
      </w:pPr>
      <w:r w:rsidRPr="00AF447E">
        <w:rPr>
          <w:rFonts w:ascii="Arial" w:hAnsi="Arial" w:cs="Arial"/>
          <w:sz w:val="22"/>
          <w:szCs w:val="22"/>
        </w:rPr>
        <w:t>Lecturer Name: Mumtaz Goolam</w:t>
      </w:r>
    </w:p>
    <w:p w14:paraId="48DB1F5D" w14:textId="77777777" w:rsidR="00AF447E" w:rsidRPr="00AF447E" w:rsidRDefault="00AF447E" w:rsidP="00AF447E">
      <w:pPr>
        <w:spacing w:after="100" w:line="360" w:lineRule="auto"/>
        <w:jc w:val="center"/>
        <w:rPr>
          <w:rFonts w:ascii="Arial" w:eastAsia="Calibri" w:hAnsi="Arial" w:cs="Arial"/>
          <w:sz w:val="22"/>
          <w:szCs w:val="22"/>
        </w:rPr>
      </w:pPr>
      <w:r w:rsidRPr="00AF447E">
        <w:rPr>
          <w:rFonts w:ascii="Arial" w:hAnsi="Arial" w:cs="Arial"/>
          <w:sz w:val="22"/>
          <w:szCs w:val="22"/>
        </w:rPr>
        <w:t xml:space="preserve">Assignment title: </w:t>
      </w:r>
      <w:proofErr w:type="gramStart"/>
      <w:r w:rsidRPr="00AF447E">
        <w:rPr>
          <w:rFonts w:ascii="Arial" w:eastAsia="Calibri" w:hAnsi="Arial" w:cs="Arial"/>
          <w:sz w:val="22"/>
          <w:szCs w:val="22"/>
        </w:rPr>
        <w:t>Coronary Heart Disease</w:t>
      </w:r>
      <w:proofErr w:type="gramEnd"/>
      <w:r w:rsidRPr="00AF447E">
        <w:rPr>
          <w:rFonts w:ascii="Arial" w:eastAsia="Calibri" w:hAnsi="Arial" w:cs="Arial"/>
          <w:sz w:val="22"/>
          <w:szCs w:val="22"/>
        </w:rPr>
        <w:t>: Prevalence, Impact and Implications for Health and Social Care</w:t>
      </w:r>
    </w:p>
    <w:p w14:paraId="2474310E" w14:textId="522EA907" w:rsidR="00AF447E" w:rsidRPr="00AF447E" w:rsidRDefault="00AF447E" w:rsidP="00AF447E">
      <w:pPr>
        <w:spacing w:after="100" w:line="360" w:lineRule="auto"/>
        <w:rPr>
          <w:rFonts w:ascii="Arial" w:eastAsia="Times New Roman" w:hAnsi="Arial" w:cs="Arial"/>
          <w:sz w:val="22"/>
          <w:szCs w:val="22"/>
        </w:rPr>
      </w:pPr>
    </w:p>
    <w:p w14:paraId="63174BAE" w14:textId="77777777" w:rsidR="00AF447E" w:rsidRPr="00AF447E" w:rsidRDefault="00AF447E" w:rsidP="00AF447E">
      <w:pPr>
        <w:spacing w:line="360" w:lineRule="auto"/>
        <w:rPr>
          <w:rFonts w:ascii="Arial" w:eastAsia="Times New Roman" w:hAnsi="Arial" w:cs="Arial"/>
          <w:sz w:val="22"/>
          <w:szCs w:val="22"/>
        </w:rPr>
      </w:pPr>
      <w:r w:rsidRPr="00AF447E">
        <w:rPr>
          <w:rFonts w:ascii="Arial" w:eastAsia="Times New Roman" w:hAnsi="Arial" w:cs="Arial"/>
          <w:sz w:val="22"/>
          <w:szCs w:val="22"/>
        </w:rPr>
        <w:br w:type="page"/>
      </w:r>
    </w:p>
    <w:p w14:paraId="1540A6D9" w14:textId="77777777" w:rsidR="00AF447E" w:rsidRPr="00AF447E" w:rsidRDefault="00AF447E" w:rsidP="00AF447E">
      <w:pPr>
        <w:pStyle w:val="Heading1"/>
        <w:spacing w:line="360" w:lineRule="auto"/>
        <w:rPr>
          <w:rFonts w:ascii="Arial" w:eastAsia="Calibri" w:hAnsi="Arial" w:cs="Arial"/>
          <w:color w:val="3D85C6"/>
          <w:sz w:val="22"/>
          <w:szCs w:val="22"/>
        </w:rPr>
      </w:pPr>
      <w:r w:rsidRPr="00AF447E">
        <w:rPr>
          <w:rFonts w:ascii="Arial" w:eastAsia="Calibri" w:hAnsi="Arial" w:cs="Arial"/>
          <w:color w:val="3D85C6"/>
          <w:sz w:val="22"/>
          <w:szCs w:val="22"/>
        </w:rPr>
        <w:lastRenderedPageBreak/>
        <w:t>Introduction</w:t>
      </w:r>
    </w:p>
    <w:p w14:paraId="6C4D7F1D" w14:textId="77777777" w:rsidR="00AF447E" w:rsidRPr="00AF447E" w:rsidRDefault="00AF447E" w:rsidP="00AF447E">
      <w:pPr>
        <w:spacing w:line="360" w:lineRule="auto"/>
        <w:rPr>
          <w:rFonts w:ascii="Arial" w:hAnsi="Arial" w:cs="Arial"/>
          <w:sz w:val="22"/>
          <w:szCs w:val="22"/>
        </w:rPr>
      </w:pPr>
    </w:p>
    <w:p w14:paraId="741262C9"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Every few moments, across the UK, a heart silently succumbs to the burden of an illness that many do not anticipate. Coronary heart disease quietly takes lives, constricting the arteries that sustain us until a heart attack suddenly occurs. Coronary Heart Disease (CHD), also referred to as ischaemic heart disease, is when the coronary arteries that provide blood to the heart muscle are less wide because of fatty deposits called atheroma are present (NHS, 2023). As the blood flows less easily, a person feels pain in the chest called angina. If a plaque breaks and a blood clot makes an artery closed, a myocardial infarction or heart attack, is the result (NHS, 2023). For classification purposes, CHD is inside the group of cardiovascular disease (CVD) and is the type of heart disease that doctors identify most often (British Heart Foundation, 2026a). By its nature the condition is present for many years before any signs are visible, which means many individuals are not aware that they have the disease until a cardiac event occurs (NHS, 2023). </w:t>
      </w:r>
    </w:p>
    <w:p w14:paraId="00649E67" w14:textId="77777777" w:rsidR="00AF447E" w:rsidRPr="00AF447E" w:rsidRDefault="00AF447E" w:rsidP="00AF447E">
      <w:pPr>
        <w:spacing w:line="360" w:lineRule="auto"/>
        <w:rPr>
          <w:rFonts w:ascii="Arial" w:hAnsi="Arial" w:cs="Arial"/>
          <w:sz w:val="22"/>
          <w:szCs w:val="22"/>
        </w:rPr>
      </w:pPr>
    </w:p>
    <w:p w14:paraId="2F1D7FC1" w14:textId="77777777" w:rsidR="00AF447E" w:rsidRPr="00AF447E" w:rsidRDefault="00AF447E" w:rsidP="00AF447E">
      <w:pPr>
        <w:pStyle w:val="Heading1"/>
        <w:spacing w:line="360" w:lineRule="auto"/>
        <w:rPr>
          <w:rFonts w:ascii="Arial" w:eastAsia="Calibri" w:hAnsi="Arial" w:cs="Arial"/>
          <w:color w:val="3D85C6"/>
          <w:sz w:val="22"/>
          <w:szCs w:val="22"/>
        </w:rPr>
      </w:pPr>
      <w:bookmarkStart w:id="0" w:name="_maz6msa8jl0z" w:colFirst="0" w:colLast="0"/>
      <w:bookmarkEnd w:id="0"/>
      <w:r w:rsidRPr="00AF447E">
        <w:rPr>
          <w:rFonts w:ascii="Arial" w:eastAsia="Calibri" w:hAnsi="Arial" w:cs="Arial"/>
          <w:color w:val="3D85C6"/>
          <w:sz w:val="22"/>
          <w:szCs w:val="22"/>
        </w:rPr>
        <w:t>Signs and Symptoms</w:t>
      </w:r>
    </w:p>
    <w:p w14:paraId="19BADAA5" w14:textId="77777777" w:rsidR="00AF447E" w:rsidRPr="00AF447E" w:rsidRDefault="00AF447E" w:rsidP="00AF447E">
      <w:pPr>
        <w:spacing w:line="360" w:lineRule="auto"/>
        <w:rPr>
          <w:rFonts w:ascii="Arial" w:hAnsi="Arial" w:cs="Arial"/>
          <w:sz w:val="22"/>
          <w:szCs w:val="22"/>
        </w:rPr>
      </w:pPr>
    </w:p>
    <w:p w14:paraId="3062B167"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Angina, chest pain, or discomfort caused by decreased blood flow to the heart is the primary symptom of CHD. It is frequently characterised as a sensation of tightness or pressure that can spread to the neck, arms, jaw or back. It is usually brought on by exercise or stress and is relieved by rest (NHS, 2023). It’s usual to feel out of breath. Similar but more severe and protracted symptoms, including perspiration, nausea and </w:t>
      </w:r>
      <w:proofErr w:type="spellStart"/>
      <w:r w:rsidRPr="00AF447E">
        <w:rPr>
          <w:rFonts w:ascii="Arial" w:eastAsia="Calibri" w:hAnsi="Arial" w:cs="Arial"/>
          <w:sz w:val="22"/>
          <w:szCs w:val="22"/>
        </w:rPr>
        <w:t>lightheadedness</w:t>
      </w:r>
      <w:proofErr w:type="spellEnd"/>
      <w:r w:rsidRPr="00AF447E">
        <w:rPr>
          <w:rFonts w:ascii="Arial" w:eastAsia="Calibri" w:hAnsi="Arial" w:cs="Arial"/>
          <w:sz w:val="22"/>
          <w:szCs w:val="22"/>
        </w:rPr>
        <w:t xml:space="preserve"> are caused by a heart attack and are not alleviated by rest. Some people, especially those with diabetes and elderly adults, have “silent” heart attacks with little to no discomfort (NHS, 2023). Fear of another incident often results in worry, depression, and a lower quality of life, while CHD can restrict an individual’s everyday activities, employment and independence. </w:t>
      </w:r>
    </w:p>
    <w:p w14:paraId="553C7E81" w14:textId="77777777" w:rsidR="00AF447E" w:rsidRPr="00AF447E" w:rsidRDefault="00AF447E" w:rsidP="00AF447E">
      <w:pPr>
        <w:spacing w:line="360" w:lineRule="auto"/>
        <w:rPr>
          <w:rFonts w:ascii="Arial" w:hAnsi="Arial" w:cs="Arial"/>
          <w:sz w:val="22"/>
          <w:szCs w:val="22"/>
        </w:rPr>
      </w:pPr>
    </w:p>
    <w:p w14:paraId="0CCDFCA6" w14:textId="77777777" w:rsidR="00AF447E" w:rsidRPr="00AF447E" w:rsidRDefault="00AF447E" w:rsidP="00AF447E">
      <w:pPr>
        <w:pStyle w:val="Heading1"/>
        <w:spacing w:line="360" w:lineRule="auto"/>
        <w:rPr>
          <w:rFonts w:ascii="Arial" w:eastAsia="Calibri" w:hAnsi="Arial" w:cs="Arial"/>
          <w:color w:val="3D85C6"/>
          <w:sz w:val="22"/>
          <w:szCs w:val="22"/>
        </w:rPr>
      </w:pPr>
      <w:bookmarkStart w:id="1" w:name="_2e52uw8i9p86" w:colFirst="0" w:colLast="0"/>
      <w:bookmarkEnd w:id="1"/>
      <w:r w:rsidRPr="00AF447E">
        <w:rPr>
          <w:rFonts w:ascii="Arial" w:eastAsia="Calibri" w:hAnsi="Arial" w:cs="Arial"/>
          <w:color w:val="3D85C6"/>
          <w:sz w:val="22"/>
          <w:szCs w:val="22"/>
        </w:rPr>
        <w:t>Incidence and Severity</w:t>
      </w:r>
    </w:p>
    <w:p w14:paraId="5562215A" w14:textId="77777777" w:rsidR="00AF447E" w:rsidRPr="00AF447E" w:rsidRDefault="00AF447E" w:rsidP="00AF447E">
      <w:pPr>
        <w:spacing w:line="360" w:lineRule="auto"/>
        <w:rPr>
          <w:rFonts w:ascii="Arial" w:hAnsi="Arial" w:cs="Arial"/>
          <w:sz w:val="22"/>
          <w:szCs w:val="22"/>
        </w:rPr>
      </w:pPr>
    </w:p>
    <w:p w14:paraId="30A66A9D"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Cardiovascular disease (CVD) is the leading cause of death globally, with an anticipated 19.8 million fatalities in 2022, roughly one in three deaths - with more than three quarters of those deaths happening in low and middle-income countries (World Health Organisation, </w:t>
      </w:r>
      <w:r w:rsidRPr="00AF447E">
        <w:rPr>
          <w:rFonts w:ascii="Arial" w:eastAsia="Calibri" w:hAnsi="Arial" w:cs="Arial"/>
          <w:sz w:val="22"/>
          <w:szCs w:val="22"/>
        </w:rPr>
        <w:lastRenderedPageBreak/>
        <w:t xml:space="preserve">2025). Approximately 240 million individuals worldwide suffer from congestive heart failure (CHD), which is the leading cause of death globally, accounting for one of the seven fatalities annually (British Heart Foundation, 2026b). According to data from the Global Burden of Disease, the incidence of ischemic heart disease more than doubled between 1990 and 2021, reaching an estimated 31.9 million cases. The Middle East and North African region had the highest incidence rate of any region in the world (Liu et al., 2025).  </w:t>
      </w:r>
    </w:p>
    <w:p w14:paraId="7B54D89B" w14:textId="77777777" w:rsidR="00AF447E" w:rsidRPr="00AF447E" w:rsidRDefault="00AF447E" w:rsidP="00AF447E">
      <w:pPr>
        <w:spacing w:line="360" w:lineRule="auto"/>
        <w:rPr>
          <w:rFonts w:ascii="Arial" w:eastAsia="Calibri" w:hAnsi="Arial" w:cs="Arial"/>
          <w:sz w:val="22"/>
          <w:szCs w:val="22"/>
        </w:rPr>
      </w:pPr>
    </w:p>
    <w:p w14:paraId="0106AEC5"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In the UK, the incidence of CHD differs by ethnicity. Due to increased rates of central obesity and diabetes, South Asians are about twice as likely as White Europeans to have CHD (Ali et al., 2021). Ethnic disparities vary with disease, with Black African and Caribbean communities having a higher risk of stroke but a reduced risk of CHD (Ali et al., 2021). </w:t>
      </w:r>
    </w:p>
    <w:p w14:paraId="786B63CD" w14:textId="77777777" w:rsidR="00AF447E" w:rsidRPr="00AF447E" w:rsidRDefault="00AF447E" w:rsidP="00AF447E">
      <w:pPr>
        <w:spacing w:line="360" w:lineRule="auto"/>
        <w:rPr>
          <w:rFonts w:ascii="Arial" w:eastAsia="Calibri" w:hAnsi="Arial" w:cs="Arial"/>
          <w:sz w:val="22"/>
          <w:szCs w:val="22"/>
        </w:rPr>
      </w:pPr>
    </w:p>
    <w:p w14:paraId="4AE09E11"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According to the British Health Foundation (2026a), CHD is the primary cause of premature death before the age of 75 and one of the major causes of death overall in the UK. In England and Wales, ischemic heart disease accounted for 57,875 fatalities in 2023, or 10.0% of all recorded deaths, making it the top cause of death for males (Office of National Statistics, 2024). Several million people with a diagnosis of CHD are listed in GP disease registers maintained under the Quality and Outcomes Framework throughout England, demonstrating the prevalence of the illness in standard primary care (NHS Digital, 2022). Approximately one in six deaths in England are caused by heart and circulation illness combined, with 1.9 million people living with CHD (British Heart Foundation, 2026a). Although CHD kills more women annually in the UK than breast cancer, mortality increases dramatically with age and is consistently greater in males (British Heart Foundation, 2026a). The most disadvantaged neighbourhoods are disproportionately affected by CHD; according to a large UK population survey, the incidence of acute coronary syndrome was 55% higher in the most deprived areas than in the least deprived (Conrad et al., 2024). Congenital heart disease in children is rather uncommon; CHD primarily affects adults, with the greatest burden falling on those 65 and older and increasing around age 50 (British Heart Foundation, 2026a). </w:t>
      </w:r>
    </w:p>
    <w:p w14:paraId="261CDB74" w14:textId="77777777" w:rsidR="00AF447E" w:rsidRPr="00AF447E" w:rsidRDefault="00AF447E" w:rsidP="00AF447E">
      <w:pPr>
        <w:spacing w:line="360" w:lineRule="auto"/>
        <w:rPr>
          <w:rFonts w:ascii="Arial" w:eastAsia="Calibri" w:hAnsi="Arial" w:cs="Arial"/>
          <w:sz w:val="22"/>
          <w:szCs w:val="22"/>
        </w:rPr>
      </w:pPr>
    </w:p>
    <w:p w14:paraId="3C1BAC7C" w14:textId="77777777" w:rsidR="00AF447E" w:rsidRPr="00AF447E" w:rsidRDefault="00AF447E" w:rsidP="00AF447E">
      <w:pPr>
        <w:spacing w:line="360" w:lineRule="auto"/>
        <w:rPr>
          <w:rFonts w:ascii="Arial" w:eastAsia="Calibri" w:hAnsi="Arial" w:cs="Arial"/>
          <w:sz w:val="22"/>
          <w:szCs w:val="22"/>
        </w:rPr>
      </w:pPr>
    </w:p>
    <w:p w14:paraId="0CB4E57F" w14:textId="77777777" w:rsidR="00AF447E" w:rsidRPr="00AF447E" w:rsidRDefault="00AF447E" w:rsidP="00AF447E">
      <w:pPr>
        <w:spacing w:before="150" w:after="60" w:line="360" w:lineRule="auto"/>
        <w:jc w:val="center"/>
        <w:rPr>
          <w:rFonts w:ascii="Arial" w:eastAsia="Calibri" w:hAnsi="Arial" w:cs="Arial"/>
          <w:sz w:val="22"/>
          <w:szCs w:val="22"/>
        </w:rPr>
      </w:pPr>
      <w:r w:rsidRPr="00AF447E">
        <w:rPr>
          <w:rFonts w:ascii="Arial" w:eastAsia="Calibri" w:hAnsi="Arial" w:cs="Arial"/>
          <w:noProof/>
          <w:sz w:val="22"/>
          <w:szCs w:val="22"/>
        </w:rPr>
        <w:lastRenderedPageBreak/>
        <w:drawing>
          <wp:inline distT="0" distB="0" distL="0" distR="0" wp14:anchorId="4EB10DD4" wp14:editId="70CCE026">
            <wp:extent cx="4191000" cy="2581275"/>
            <wp:effectExtent l="0" t="0" r="0" b="0"/>
            <wp:docPr id="1" name="image1.png" descr="A graph of number of patient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graph of number of patients&#10;&#10;AI-generated content may be incorrect."/>
                    <pic:cNvPicPr preferRelativeResize="0"/>
                  </pic:nvPicPr>
                  <pic:blipFill>
                    <a:blip r:embed="rId6"/>
                    <a:srcRect/>
                    <a:stretch>
                      <a:fillRect/>
                    </a:stretch>
                  </pic:blipFill>
                  <pic:spPr>
                    <a:xfrm>
                      <a:off x="0" y="0"/>
                      <a:ext cx="4191000" cy="2581275"/>
                    </a:xfrm>
                    <a:prstGeom prst="rect">
                      <a:avLst/>
                    </a:prstGeom>
                    <a:ln/>
                  </pic:spPr>
                </pic:pic>
              </a:graphicData>
            </a:graphic>
          </wp:inline>
        </w:drawing>
      </w:r>
    </w:p>
    <w:p w14:paraId="12D4E174" w14:textId="77777777" w:rsidR="00AF447E" w:rsidRPr="00AF447E" w:rsidRDefault="00AF447E" w:rsidP="00AF447E">
      <w:pPr>
        <w:spacing w:after="40" w:line="360" w:lineRule="auto"/>
        <w:jc w:val="center"/>
        <w:rPr>
          <w:rFonts w:ascii="Arial" w:eastAsia="Calibri" w:hAnsi="Arial" w:cs="Arial"/>
          <w:sz w:val="22"/>
          <w:szCs w:val="22"/>
        </w:rPr>
      </w:pPr>
      <w:r w:rsidRPr="00AF447E">
        <w:rPr>
          <w:rFonts w:ascii="Arial" w:eastAsia="Calibri" w:hAnsi="Arial" w:cs="Arial"/>
          <w:i/>
          <w:iCs/>
          <w:sz w:val="22"/>
          <w:szCs w:val="22"/>
        </w:rPr>
        <w:t>Figure 1: Registered deaths from ischaemic heart disease, England and Wales, 2019-2023.</w:t>
      </w:r>
    </w:p>
    <w:p w14:paraId="0BD9C7FB" w14:textId="77777777" w:rsidR="00AF447E" w:rsidRPr="00AF447E" w:rsidRDefault="00AF447E" w:rsidP="00AF447E">
      <w:pPr>
        <w:spacing w:after="200" w:line="360" w:lineRule="auto"/>
        <w:jc w:val="center"/>
        <w:rPr>
          <w:rFonts w:ascii="Arial" w:eastAsia="Calibri" w:hAnsi="Arial" w:cs="Arial"/>
          <w:i/>
          <w:iCs/>
          <w:color w:val="595959"/>
          <w:sz w:val="22"/>
          <w:szCs w:val="22"/>
        </w:rPr>
      </w:pPr>
      <w:r w:rsidRPr="00AF447E">
        <w:rPr>
          <w:rFonts w:ascii="Arial" w:eastAsia="Calibri" w:hAnsi="Arial" w:cs="Arial"/>
          <w:i/>
          <w:iCs/>
          <w:color w:val="595959"/>
          <w:sz w:val="22"/>
          <w:szCs w:val="22"/>
        </w:rPr>
        <w:t>Source: Office for National Statistics (2021, 2024).</w:t>
      </w:r>
    </w:p>
    <w:p w14:paraId="3CD99B6F" w14:textId="77777777" w:rsidR="00AF447E" w:rsidRPr="00AF447E" w:rsidRDefault="00AF447E" w:rsidP="00AF447E">
      <w:pPr>
        <w:spacing w:after="200" w:line="360" w:lineRule="auto"/>
        <w:jc w:val="center"/>
        <w:rPr>
          <w:rFonts w:ascii="Arial" w:eastAsia="Calibri" w:hAnsi="Arial" w:cs="Arial"/>
          <w:i/>
          <w:iCs/>
          <w:color w:val="595959"/>
          <w:sz w:val="22"/>
          <w:szCs w:val="22"/>
        </w:rPr>
      </w:pPr>
    </w:p>
    <w:p w14:paraId="032CD475" w14:textId="77777777" w:rsidR="00AF447E" w:rsidRPr="00AF447E" w:rsidRDefault="00AF447E" w:rsidP="00AF447E">
      <w:pPr>
        <w:spacing w:after="200" w:line="360" w:lineRule="auto"/>
        <w:jc w:val="center"/>
        <w:rPr>
          <w:rFonts w:ascii="Arial" w:eastAsia="Calibri" w:hAnsi="Arial" w:cs="Arial"/>
          <w:i/>
          <w:iCs/>
          <w:color w:val="595959"/>
          <w:sz w:val="22"/>
          <w:szCs w:val="22"/>
        </w:rPr>
      </w:pPr>
    </w:p>
    <w:p w14:paraId="69DF4BE4"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Figure 1 illustrates that after years of reduction, recorded deaths increased from 55,064 in 2019 to 59,356 in 2022 before slightly declining to 57,895 in 2023. This suggests that the fight against CHD mortality has halted recently (Office for National Statistics, 2021, 2024).</w:t>
      </w:r>
    </w:p>
    <w:p w14:paraId="366F5D4C" w14:textId="77777777" w:rsidR="00AF447E" w:rsidRPr="00AF447E" w:rsidRDefault="00AF447E" w:rsidP="00AF447E">
      <w:pPr>
        <w:spacing w:line="360" w:lineRule="auto"/>
        <w:rPr>
          <w:rFonts w:ascii="Arial" w:hAnsi="Arial" w:cs="Arial"/>
          <w:sz w:val="22"/>
          <w:szCs w:val="22"/>
        </w:rPr>
      </w:pPr>
    </w:p>
    <w:p w14:paraId="695AF390" w14:textId="77777777" w:rsidR="00AF447E" w:rsidRPr="00AF447E" w:rsidRDefault="00AF447E" w:rsidP="00AF447E">
      <w:pPr>
        <w:spacing w:line="360" w:lineRule="auto"/>
        <w:rPr>
          <w:rFonts w:ascii="Arial" w:hAnsi="Arial" w:cs="Arial"/>
          <w:sz w:val="22"/>
          <w:szCs w:val="22"/>
        </w:rPr>
      </w:pPr>
    </w:p>
    <w:p w14:paraId="613EDC0A" w14:textId="77777777" w:rsidR="00AF447E" w:rsidRPr="00AF447E" w:rsidRDefault="00AF447E" w:rsidP="00AF447E">
      <w:pPr>
        <w:pStyle w:val="Heading1"/>
        <w:spacing w:line="360" w:lineRule="auto"/>
        <w:rPr>
          <w:rFonts w:ascii="Arial" w:eastAsia="Calibri" w:hAnsi="Arial" w:cs="Arial"/>
          <w:color w:val="3D85C6"/>
          <w:sz w:val="22"/>
          <w:szCs w:val="22"/>
        </w:rPr>
      </w:pPr>
      <w:bookmarkStart w:id="2" w:name="_xmu5p6j8n37" w:colFirst="0" w:colLast="0"/>
      <w:bookmarkEnd w:id="2"/>
      <w:r w:rsidRPr="00AF447E">
        <w:rPr>
          <w:rFonts w:ascii="Arial" w:eastAsia="Calibri" w:hAnsi="Arial" w:cs="Arial"/>
          <w:color w:val="3D85C6"/>
          <w:sz w:val="22"/>
          <w:szCs w:val="22"/>
        </w:rPr>
        <w:t>Control, Prevention and Management</w:t>
      </w:r>
    </w:p>
    <w:p w14:paraId="438C47B8" w14:textId="77777777" w:rsidR="00AF447E" w:rsidRPr="00AF447E" w:rsidRDefault="00AF447E" w:rsidP="00AF447E">
      <w:pPr>
        <w:spacing w:line="360" w:lineRule="auto"/>
        <w:rPr>
          <w:rFonts w:ascii="Arial" w:hAnsi="Arial" w:cs="Arial"/>
          <w:sz w:val="22"/>
          <w:szCs w:val="22"/>
        </w:rPr>
      </w:pPr>
    </w:p>
    <w:p w14:paraId="77A840BF"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Primary prevention, which targets individuals without a diagnosis, and secondary prevention, which targets those with a diagnosis, are two ways that healthcare manages CHD (</w:t>
      </w: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xml:space="preserve"> et al., 2021). Primary prevention measures overall cardiovascular risk and focuses on modifiable factors like smoking, inactivity, poor diet, obesity, and high blood pressure or cholesterol. It begins with changing one’s lifestyle and adds medications like statins or antihypertensives when the risk is still high (</w:t>
      </w: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xml:space="preserve"> et al., 2021). Secondary prevention for individuals who have already received a diagnosis involves medication therapy, such as beta-blockers, ACE inhibitors, statins, and antiplatelets, with procedures like angioplasty or bypass surgery when necessary to restore blood flow (</w:t>
      </w: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xml:space="preserve"> et al., 2021). Since control of risk factors tends to deteriorate over time without continuous treatment, structured cardiac </w:t>
      </w:r>
      <w:r w:rsidRPr="00AF447E">
        <w:rPr>
          <w:rFonts w:ascii="Arial" w:eastAsia="Calibri" w:hAnsi="Arial" w:cs="Arial"/>
          <w:sz w:val="22"/>
          <w:szCs w:val="22"/>
        </w:rPr>
        <w:lastRenderedPageBreak/>
        <w:t>rehabilitation and ongoing follow-up are also advised. This means control of CHD requires ongoing rather than one-time healthcare input (</w:t>
      </w: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xml:space="preserve"> et al., 2021). </w:t>
      </w:r>
    </w:p>
    <w:p w14:paraId="0CC8D69A" w14:textId="77777777" w:rsidR="00AF447E" w:rsidRPr="00AF447E" w:rsidRDefault="00AF447E" w:rsidP="00AF447E">
      <w:pPr>
        <w:spacing w:line="360" w:lineRule="auto"/>
        <w:rPr>
          <w:rFonts w:ascii="Arial" w:hAnsi="Arial" w:cs="Arial"/>
          <w:sz w:val="22"/>
          <w:szCs w:val="22"/>
        </w:rPr>
      </w:pPr>
    </w:p>
    <w:p w14:paraId="0FDD8520" w14:textId="77777777" w:rsidR="00AF447E" w:rsidRPr="00AF447E" w:rsidRDefault="00AF447E" w:rsidP="00AF447E">
      <w:pPr>
        <w:spacing w:line="360" w:lineRule="auto"/>
        <w:rPr>
          <w:rFonts w:ascii="Arial" w:hAnsi="Arial" w:cs="Arial"/>
          <w:sz w:val="22"/>
          <w:szCs w:val="22"/>
        </w:rPr>
      </w:pPr>
    </w:p>
    <w:p w14:paraId="4048D26C" w14:textId="77777777" w:rsidR="00AF447E" w:rsidRPr="00AF447E" w:rsidRDefault="00AF447E" w:rsidP="00AF447E">
      <w:pPr>
        <w:pStyle w:val="Heading1"/>
        <w:spacing w:line="360" w:lineRule="auto"/>
        <w:rPr>
          <w:rFonts w:ascii="Arial" w:eastAsia="Calibri" w:hAnsi="Arial" w:cs="Arial"/>
          <w:color w:val="3D85C6"/>
          <w:sz w:val="22"/>
          <w:szCs w:val="22"/>
        </w:rPr>
      </w:pPr>
      <w:bookmarkStart w:id="3" w:name="_lypiwixdi7fg" w:colFirst="0" w:colLast="0"/>
      <w:bookmarkEnd w:id="3"/>
      <w:r w:rsidRPr="00AF447E">
        <w:rPr>
          <w:rFonts w:ascii="Arial" w:eastAsia="Calibri" w:hAnsi="Arial" w:cs="Arial"/>
          <w:color w:val="3D85C6"/>
          <w:sz w:val="22"/>
          <w:szCs w:val="22"/>
        </w:rPr>
        <w:t>Factors Influencing the Health and Wellbeing of People Around Them</w:t>
      </w:r>
    </w:p>
    <w:p w14:paraId="44BD631C" w14:textId="77777777" w:rsidR="00AF447E" w:rsidRPr="00AF447E" w:rsidRDefault="00AF447E" w:rsidP="00AF447E">
      <w:pPr>
        <w:spacing w:line="360" w:lineRule="auto"/>
        <w:rPr>
          <w:rFonts w:ascii="Arial" w:hAnsi="Arial" w:cs="Arial"/>
          <w:sz w:val="22"/>
          <w:szCs w:val="22"/>
        </w:rPr>
      </w:pPr>
    </w:p>
    <w:p w14:paraId="308FF5E6"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In addition to the patient, CHD also has an impact on the health and well-being of family members and caregivers. A significant percentage of family caregivers of individuals with heart failure, a common consequence of congestive heart failure, report stress and anxiety directly related to caregiving, along with disruption to their own daily lives and employment. These caregivers devote a significant amount of time each week to providing practical and emotional support, such as assistance with daily activities coordinating medical care (Lahoz et al., 2021). In addition to being influenced by the caregiver’s age, gender, health and the number of hours of care needed each week, this burden rises as the patient’s condition worsens (Lahoz et al., 2021). Therefore, </w:t>
      </w:r>
      <w:proofErr w:type="gramStart"/>
      <w:r w:rsidRPr="00AF447E">
        <w:rPr>
          <w:rFonts w:ascii="Arial" w:eastAsia="Calibri" w:hAnsi="Arial" w:cs="Arial"/>
          <w:sz w:val="22"/>
          <w:szCs w:val="22"/>
        </w:rPr>
        <w:t>in order to</w:t>
      </w:r>
      <w:proofErr w:type="gramEnd"/>
      <w:r w:rsidRPr="00AF447E">
        <w:rPr>
          <w:rFonts w:ascii="Arial" w:eastAsia="Calibri" w:hAnsi="Arial" w:cs="Arial"/>
          <w:sz w:val="22"/>
          <w:szCs w:val="22"/>
        </w:rPr>
        <w:t xml:space="preserve"> safeguard the wellbeing of the entire family, effective care for CHD should also </w:t>
      </w:r>
      <w:proofErr w:type="gramStart"/>
      <w:r w:rsidRPr="00AF447E">
        <w:rPr>
          <w:rFonts w:ascii="Arial" w:eastAsia="Calibri" w:hAnsi="Arial" w:cs="Arial"/>
          <w:sz w:val="22"/>
          <w:szCs w:val="22"/>
        </w:rPr>
        <w:t>take into account</w:t>
      </w:r>
      <w:proofErr w:type="gramEnd"/>
      <w:r w:rsidRPr="00AF447E">
        <w:rPr>
          <w:rFonts w:ascii="Arial" w:eastAsia="Calibri" w:hAnsi="Arial" w:cs="Arial"/>
          <w:sz w:val="22"/>
          <w:szCs w:val="22"/>
        </w:rPr>
        <w:t xml:space="preserve"> the requirements of carers, such as through education, respite assistance, and monitoring of their own physical and emotional health (Lahoz et al., 2021). </w:t>
      </w:r>
    </w:p>
    <w:p w14:paraId="1DD95265" w14:textId="77777777" w:rsidR="00AF447E" w:rsidRPr="00AF447E" w:rsidRDefault="00AF447E" w:rsidP="00AF447E">
      <w:pPr>
        <w:spacing w:line="360" w:lineRule="auto"/>
        <w:rPr>
          <w:rFonts w:ascii="Arial" w:hAnsi="Arial" w:cs="Arial"/>
          <w:sz w:val="22"/>
          <w:szCs w:val="22"/>
        </w:rPr>
      </w:pPr>
    </w:p>
    <w:p w14:paraId="353ABE5D" w14:textId="77777777" w:rsidR="00AF447E" w:rsidRPr="00AF447E" w:rsidRDefault="00AF447E" w:rsidP="00AF447E">
      <w:pPr>
        <w:spacing w:line="360" w:lineRule="auto"/>
        <w:rPr>
          <w:rFonts w:ascii="Arial" w:hAnsi="Arial" w:cs="Arial"/>
          <w:sz w:val="22"/>
          <w:szCs w:val="22"/>
        </w:rPr>
      </w:pPr>
    </w:p>
    <w:p w14:paraId="29A5CF2D" w14:textId="77777777" w:rsidR="00AF447E" w:rsidRPr="00AF447E" w:rsidRDefault="00AF447E" w:rsidP="00AF447E">
      <w:pPr>
        <w:pStyle w:val="Heading1"/>
        <w:spacing w:line="360" w:lineRule="auto"/>
        <w:rPr>
          <w:rFonts w:ascii="Arial" w:eastAsia="Calibri" w:hAnsi="Arial" w:cs="Arial"/>
          <w:color w:val="3D85C6"/>
          <w:sz w:val="22"/>
          <w:szCs w:val="22"/>
        </w:rPr>
      </w:pPr>
      <w:bookmarkStart w:id="4" w:name="_quzthqqw7ddp" w:colFirst="0" w:colLast="0"/>
      <w:bookmarkEnd w:id="4"/>
      <w:r w:rsidRPr="00AF447E">
        <w:rPr>
          <w:rFonts w:ascii="Arial" w:eastAsia="Calibri" w:hAnsi="Arial" w:cs="Arial"/>
          <w:color w:val="3D85C6"/>
          <w:sz w:val="22"/>
          <w:szCs w:val="22"/>
        </w:rPr>
        <w:t>Effects on Community and NHS</w:t>
      </w:r>
    </w:p>
    <w:p w14:paraId="5909BF92" w14:textId="77777777" w:rsidR="00AF447E" w:rsidRPr="00AF447E" w:rsidRDefault="00AF447E" w:rsidP="00AF447E">
      <w:pPr>
        <w:spacing w:line="360" w:lineRule="auto"/>
        <w:rPr>
          <w:rFonts w:ascii="Arial" w:hAnsi="Arial" w:cs="Arial"/>
          <w:sz w:val="22"/>
          <w:szCs w:val="22"/>
        </w:rPr>
      </w:pPr>
    </w:p>
    <w:p w14:paraId="66073627"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 xml:space="preserve">A long-term connection with health services, including medication, potential revascularization, rehabilitation, and lifetime risk-factor management, is initiated by CHD beyond immediate disease (NHS, 2023). Due to its strong correlation with impoverishment and the significant regional and social group variations in premature cardiovascular death, CHD significantly contributes to health disparity in the broader society (The King’s Fund, 2022; British Heart Foundation, 2026a). Because CHD affects both working-age individuals and elderly folks, it also has an impact on local economies by increasing the need for social care and causing lost productivity (British Heart Foundation, 2026a). </w:t>
      </w:r>
    </w:p>
    <w:p w14:paraId="3DB56882" w14:textId="77777777" w:rsidR="00AF447E" w:rsidRPr="00AF447E" w:rsidRDefault="00AF447E" w:rsidP="00AF447E">
      <w:pPr>
        <w:spacing w:line="360" w:lineRule="auto"/>
        <w:rPr>
          <w:rFonts w:ascii="Arial" w:eastAsia="Calibri" w:hAnsi="Arial" w:cs="Arial"/>
          <w:sz w:val="22"/>
          <w:szCs w:val="22"/>
        </w:rPr>
      </w:pPr>
    </w:p>
    <w:p w14:paraId="7377241B"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lastRenderedPageBreak/>
        <w:t xml:space="preserve">Primary care, emergency services, cardiology, surgery, and community rehabilitation are all significantly impacted (The King’s Fund, 2022). According to the Care Quality Commission (2022), the health and social care system is severely strained due to growing demand, a lack of workers, and lengthy wait times for both routine and emergency care, all of which might impede the prompt diagnosis and treatment of chronic illness such as congestive heart failure. Since many people with CHD also have other conditions like diabetes or chronic kidney disease, they require timely risk assessment and screening to identify high blood pressure and elevated cholesterol early, timely access to diagnosis and evidence-based treatment, structures cardiac rehabilitation to support recovery, and coordinated, ongoing care over the long term (The King’s Fund, 2022). The King’s Fund (2022) contends that </w:t>
      </w:r>
      <w:proofErr w:type="gramStart"/>
      <w:r w:rsidRPr="00AF447E">
        <w:rPr>
          <w:rFonts w:ascii="Arial" w:eastAsia="Calibri" w:hAnsi="Arial" w:cs="Arial"/>
          <w:sz w:val="22"/>
          <w:szCs w:val="22"/>
        </w:rPr>
        <w:t>in order to</w:t>
      </w:r>
      <w:proofErr w:type="gramEnd"/>
      <w:r w:rsidRPr="00AF447E">
        <w:rPr>
          <w:rFonts w:ascii="Arial" w:eastAsia="Calibri" w:hAnsi="Arial" w:cs="Arial"/>
          <w:sz w:val="22"/>
          <w:szCs w:val="22"/>
        </w:rPr>
        <w:t xml:space="preserve"> enhance patient outcomes and lessen the strain on an already overburdened system, a more coordinated national plan is required in addition to greater primary and secondary prevention. </w:t>
      </w:r>
    </w:p>
    <w:p w14:paraId="3CB11AB1" w14:textId="77777777" w:rsidR="00AF447E" w:rsidRPr="00AF447E" w:rsidRDefault="00AF447E" w:rsidP="00AF447E">
      <w:pPr>
        <w:spacing w:line="360" w:lineRule="auto"/>
        <w:rPr>
          <w:rFonts w:ascii="Arial" w:hAnsi="Arial" w:cs="Arial"/>
          <w:sz w:val="22"/>
          <w:szCs w:val="22"/>
        </w:rPr>
      </w:pPr>
    </w:p>
    <w:p w14:paraId="7159CDF1" w14:textId="77777777" w:rsidR="00AF447E" w:rsidRPr="00AF447E" w:rsidRDefault="00AF447E" w:rsidP="00AF447E">
      <w:pPr>
        <w:pStyle w:val="Heading1"/>
        <w:spacing w:line="360" w:lineRule="auto"/>
        <w:rPr>
          <w:rFonts w:ascii="Arial" w:eastAsia="Calibri" w:hAnsi="Arial" w:cs="Arial"/>
          <w:color w:val="3D85C6"/>
          <w:sz w:val="22"/>
          <w:szCs w:val="22"/>
        </w:rPr>
      </w:pPr>
      <w:bookmarkStart w:id="5" w:name="_blwte5ywyl2p" w:colFirst="0" w:colLast="0"/>
      <w:bookmarkEnd w:id="5"/>
      <w:r w:rsidRPr="00AF447E">
        <w:rPr>
          <w:rFonts w:ascii="Arial" w:eastAsia="Calibri" w:hAnsi="Arial" w:cs="Arial"/>
          <w:color w:val="3D85C6"/>
          <w:sz w:val="22"/>
          <w:szCs w:val="22"/>
        </w:rPr>
        <w:t>Conclusion</w:t>
      </w:r>
    </w:p>
    <w:p w14:paraId="1D3E87FF" w14:textId="77777777" w:rsidR="00AF447E" w:rsidRPr="00AF447E" w:rsidRDefault="00AF447E" w:rsidP="00AF447E">
      <w:pPr>
        <w:spacing w:line="360" w:lineRule="auto"/>
        <w:rPr>
          <w:rFonts w:ascii="Arial" w:hAnsi="Arial" w:cs="Arial"/>
          <w:sz w:val="22"/>
          <w:szCs w:val="22"/>
        </w:rPr>
      </w:pPr>
    </w:p>
    <w:p w14:paraId="02F3F544" w14:textId="77777777" w:rsidR="00AF447E" w:rsidRPr="00AF447E" w:rsidRDefault="00AF447E" w:rsidP="00AF447E">
      <w:pPr>
        <w:spacing w:line="360" w:lineRule="auto"/>
        <w:rPr>
          <w:rFonts w:ascii="Arial" w:eastAsia="Calibri" w:hAnsi="Arial" w:cs="Arial"/>
          <w:sz w:val="22"/>
          <w:szCs w:val="22"/>
        </w:rPr>
      </w:pPr>
      <w:r w:rsidRPr="00AF447E">
        <w:rPr>
          <w:rFonts w:ascii="Arial" w:eastAsia="Calibri" w:hAnsi="Arial" w:cs="Arial"/>
          <w:sz w:val="22"/>
          <w:szCs w:val="22"/>
        </w:rPr>
        <w:t>One of the principal causes of death and disability in the UK and around the world, coronary heart disease disproportionately affects men, older people, and residents of underprivileged areas. It has far-reaching effects on families, caregivers, and the National Health Service (NHS). A combination of primary prevention, which lowers modifiable risk factors like high blood pressure, smoking, poor diet, and secondary prevention, which includes medication, revascularization, and structured cardiac rehabilitation after the condition is diagnosed, is necessary for effective control of CHD (</w:t>
      </w: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xml:space="preserve"> et al., 2021). However, the degree of assistance and the severity of the sickness have a direct impact on the well-being of those who are close to the patient, especially family caregivers (Lahoz et al., 2021). Therefore, consistent investment in prevention, prompt treatment, and support that acknowledges the needs of patients and their families together is necessary to reduce the overall burden of CHD. </w:t>
      </w:r>
    </w:p>
    <w:p w14:paraId="6414EAF2" w14:textId="77777777" w:rsidR="00AF447E" w:rsidRPr="00AF447E" w:rsidRDefault="00AF447E" w:rsidP="00AF447E">
      <w:pPr>
        <w:spacing w:line="360" w:lineRule="auto"/>
        <w:rPr>
          <w:rFonts w:ascii="Arial" w:eastAsia="Calibri" w:hAnsi="Arial" w:cs="Arial"/>
          <w:sz w:val="22"/>
          <w:szCs w:val="22"/>
        </w:rPr>
      </w:pPr>
    </w:p>
    <w:p w14:paraId="11863D6E" w14:textId="77777777" w:rsidR="00AF447E" w:rsidRPr="00AF447E" w:rsidRDefault="00AF447E" w:rsidP="00AF447E">
      <w:pPr>
        <w:spacing w:line="360" w:lineRule="auto"/>
        <w:rPr>
          <w:rFonts w:ascii="Arial" w:eastAsia="Calibri" w:hAnsi="Arial" w:cs="Arial"/>
          <w:sz w:val="22"/>
          <w:szCs w:val="22"/>
        </w:rPr>
      </w:pPr>
    </w:p>
    <w:p w14:paraId="65EF6493" w14:textId="77777777" w:rsidR="00AF447E" w:rsidRPr="00AF447E" w:rsidRDefault="00AF447E" w:rsidP="00AF447E">
      <w:pPr>
        <w:spacing w:line="360" w:lineRule="auto"/>
        <w:rPr>
          <w:rFonts w:ascii="Arial" w:eastAsia="Calibri" w:hAnsi="Arial" w:cs="Arial"/>
          <w:sz w:val="22"/>
          <w:szCs w:val="22"/>
        </w:rPr>
      </w:pPr>
    </w:p>
    <w:p w14:paraId="2BF23D69" w14:textId="77777777" w:rsidR="00AF447E" w:rsidRPr="00AF447E" w:rsidRDefault="00AF447E" w:rsidP="00AF447E">
      <w:pPr>
        <w:pStyle w:val="Heading1"/>
        <w:spacing w:line="360" w:lineRule="auto"/>
        <w:rPr>
          <w:rFonts w:ascii="Arial" w:eastAsia="Calibri" w:hAnsi="Arial" w:cs="Arial"/>
          <w:color w:val="3D85C6"/>
          <w:sz w:val="22"/>
          <w:szCs w:val="22"/>
        </w:rPr>
      </w:pPr>
      <w:bookmarkStart w:id="6" w:name="_bu9ed5nu47e3" w:colFirst="0" w:colLast="0"/>
      <w:bookmarkEnd w:id="6"/>
      <w:r w:rsidRPr="00AF447E">
        <w:rPr>
          <w:rFonts w:ascii="Arial" w:eastAsia="Calibri" w:hAnsi="Arial" w:cs="Arial"/>
          <w:color w:val="3D85C6"/>
          <w:sz w:val="22"/>
          <w:szCs w:val="22"/>
        </w:rPr>
        <w:lastRenderedPageBreak/>
        <w:t>Reference List</w:t>
      </w:r>
    </w:p>
    <w:p w14:paraId="072AAF1A" w14:textId="77777777" w:rsidR="00AF447E" w:rsidRPr="00AF447E" w:rsidRDefault="00AF447E" w:rsidP="00AF447E">
      <w:pPr>
        <w:spacing w:line="360" w:lineRule="auto"/>
        <w:rPr>
          <w:rFonts w:ascii="Arial" w:hAnsi="Arial" w:cs="Arial"/>
          <w:sz w:val="22"/>
          <w:szCs w:val="22"/>
        </w:rPr>
      </w:pPr>
    </w:p>
    <w:p w14:paraId="0B8C36A4"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 xml:space="preserve">Ali, R., Chowdhury, A., </w:t>
      </w:r>
      <w:proofErr w:type="spellStart"/>
      <w:r w:rsidRPr="00AF447E">
        <w:rPr>
          <w:rFonts w:ascii="Arial" w:eastAsia="Calibri" w:hAnsi="Arial" w:cs="Arial"/>
          <w:sz w:val="22"/>
          <w:szCs w:val="22"/>
        </w:rPr>
        <w:t>Forouhi</w:t>
      </w:r>
      <w:proofErr w:type="spellEnd"/>
      <w:r w:rsidRPr="00AF447E">
        <w:rPr>
          <w:rFonts w:ascii="Arial" w:eastAsia="Calibri" w:hAnsi="Arial" w:cs="Arial"/>
          <w:sz w:val="22"/>
          <w:szCs w:val="22"/>
        </w:rPr>
        <w:t>, N. and Wareham, N. (2021) Ethnic Disparities in the Major Causes of Mortality and Their Risk Factors: A Rapid Review. GOV.UK. Available at: https://www.gov.uk/government/publications/the-report-of-the-commission-on-race-and-ethnic-disparities-supporting-research/ethnic-disparities-in-the-major-causes-of-mortality-and-their-risk-factors-by-dr-raghib-ali-et-al (Accessed: 16 July 2026).</w:t>
      </w:r>
    </w:p>
    <w:p w14:paraId="1D18DBEA"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British Heart Foundation (2026a) UK Cardiovascular Disease Factsheet. Available at: https://www.bhf.org.uk/-/media/files/for-professionals/research/heart-statistics/bhf-cvd-statistics-uk-factsheet-jan26.pdf (Accessed: 8 July 2026).</w:t>
      </w:r>
    </w:p>
    <w:p w14:paraId="5DB96B89"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British Heart Foundation (2026b) Global Cardiovascular Disease Factsheet. Available at: https://www.bhf.org.uk/-/media/files/for-professionals/research/heart-statistics/bhf-cvd-statistics-global-factsheet-jan26.pdf (Accessed: 8 July 2026).</w:t>
      </w:r>
    </w:p>
    <w:p w14:paraId="2D5F4435"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Care Quality Commission (2022) State of Care: The State of Health Care and Adult Social Care in England 2021/22. Available at: https://www.cqc.org.uk/publication/state-care-202122 (Accessed: 8 July 2026).</w:t>
      </w:r>
    </w:p>
    <w:p w14:paraId="3AC86C23"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 xml:space="preserve">Conrad, N., </w:t>
      </w:r>
      <w:proofErr w:type="spellStart"/>
      <w:r w:rsidRPr="00AF447E">
        <w:rPr>
          <w:rFonts w:ascii="Arial" w:eastAsia="Calibri" w:hAnsi="Arial" w:cs="Arial"/>
          <w:sz w:val="22"/>
          <w:szCs w:val="22"/>
        </w:rPr>
        <w:t>Molenberghs</w:t>
      </w:r>
      <w:proofErr w:type="spellEnd"/>
      <w:r w:rsidRPr="00AF447E">
        <w:rPr>
          <w:rFonts w:ascii="Arial" w:eastAsia="Calibri" w:hAnsi="Arial" w:cs="Arial"/>
          <w:sz w:val="22"/>
          <w:szCs w:val="22"/>
        </w:rPr>
        <w:t xml:space="preserve">, G., Verbeke, G., Zaccardi, F., Lawson, C., Friday, J.M., Su, H., </w:t>
      </w:r>
      <w:proofErr w:type="spellStart"/>
      <w:r w:rsidRPr="00AF447E">
        <w:rPr>
          <w:rFonts w:ascii="Arial" w:eastAsia="Calibri" w:hAnsi="Arial" w:cs="Arial"/>
          <w:sz w:val="22"/>
          <w:szCs w:val="22"/>
        </w:rPr>
        <w:t>Jhund</w:t>
      </w:r>
      <w:proofErr w:type="spellEnd"/>
      <w:r w:rsidRPr="00AF447E">
        <w:rPr>
          <w:rFonts w:ascii="Arial" w:eastAsia="Calibri" w:hAnsi="Arial" w:cs="Arial"/>
          <w:sz w:val="22"/>
          <w:szCs w:val="22"/>
        </w:rPr>
        <w:t xml:space="preserve">, P.S., Sattar, N., Rahimi, K., Cleland, J.G., </w:t>
      </w:r>
      <w:proofErr w:type="spellStart"/>
      <w:r w:rsidRPr="00AF447E">
        <w:rPr>
          <w:rFonts w:ascii="Arial" w:eastAsia="Calibri" w:hAnsi="Arial" w:cs="Arial"/>
          <w:sz w:val="22"/>
          <w:szCs w:val="22"/>
        </w:rPr>
        <w:t>Budts</w:t>
      </w:r>
      <w:proofErr w:type="spellEnd"/>
      <w:r w:rsidRPr="00AF447E">
        <w:rPr>
          <w:rFonts w:ascii="Arial" w:eastAsia="Calibri" w:hAnsi="Arial" w:cs="Arial"/>
          <w:sz w:val="22"/>
          <w:szCs w:val="22"/>
        </w:rPr>
        <w:t>, W. and McMurray, J.J.V. (2024) 'Trends in cardiovascular disease incidence among 22 million people in the UK over 20 years: population based study', BMJ, 385, e078523. Available at: https://doi.org/10.1136/bmj-2023-078523 (Accessed: 16 July 2026).</w:t>
      </w:r>
    </w:p>
    <w:p w14:paraId="35E94E1C"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 xml:space="preserve">Lahoz, R., Proudfoot, C., Fonseca, A.F., </w:t>
      </w:r>
      <w:proofErr w:type="spellStart"/>
      <w:r w:rsidRPr="00AF447E">
        <w:rPr>
          <w:rFonts w:ascii="Arial" w:eastAsia="Calibri" w:hAnsi="Arial" w:cs="Arial"/>
          <w:sz w:val="22"/>
          <w:szCs w:val="22"/>
        </w:rPr>
        <w:t>Loefroth</w:t>
      </w:r>
      <w:proofErr w:type="spellEnd"/>
      <w:r w:rsidRPr="00AF447E">
        <w:rPr>
          <w:rFonts w:ascii="Arial" w:eastAsia="Calibri" w:hAnsi="Arial" w:cs="Arial"/>
          <w:sz w:val="22"/>
          <w:szCs w:val="22"/>
        </w:rPr>
        <w:t>, E., Corda, S., Jackson, J., Cotton, S. and Studer, R. (2021) 'Caregivers of patients with heart failure: burden and the determinants of health-related quality of life', Patient Preference and Adherence, 15, pp. 1153-1164. Available at: https://doi.org/10.2147/PPA.S297816 (Accessed: 8 July 2026).</w:t>
      </w:r>
    </w:p>
    <w:p w14:paraId="52666861"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Liu, C., Jin, Q., Han, C. and Jiao, M. (2025) 'Global, regional, and national burden of ischaemic heart disease from 1990 to 2021: a comprehensive analysis based on the Global Burden of Disease study 2021', Journal of Global Health, 15, 04291. Available at: https://doi.org/10.7189/jogh.15.04291 (Accessed: 13 July 2026).</w:t>
      </w:r>
    </w:p>
    <w:p w14:paraId="3DBF33C5"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lastRenderedPageBreak/>
        <w:t xml:space="preserve">NHS (2023) </w:t>
      </w:r>
      <w:proofErr w:type="gramStart"/>
      <w:r w:rsidRPr="00AF447E">
        <w:rPr>
          <w:rFonts w:ascii="Arial" w:eastAsia="Calibri" w:hAnsi="Arial" w:cs="Arial"/>
          <w:sz w:val="22"/>
          <w:szCs w:val="22"/>
        </w:rPr>
        <w:t>Coronary Heart Disease</w:t>
      </w:r>
      <w:proofErr w:type="gramEnd"/>
      <w:r w:rsidRPr="00AF447E">
        <w:rPr>
          <w:rFonts w:ascii="Arial" w:eastAsia="Calibri" w:hAnsi="Arial" w:cs="Arial"/>
          <w:sz w:val="22"/>
          <w:szCs w:val="22"/>
        </w:rPr>
        <w:t>. Available at: https://www.nhs.uk/conditions/coronary-heart-disease/ (Accessed: 8 July 2026).</w:t>
      </w:r>
    </w:p>
    <w:p w14:paraId="6B31E0EF"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NHS Digital (2022) Quality and Outcomes Framework, 2021-22. Available at: https://digital.nhs.uk/data-and-information/publications/statistical/quality-and-outcomes-framework-achievement-prevalence-and-exceptions-data/2021-22 (Accessed: 8 July 2026).</w:t>
      </w:r>
    </w:p>
    <w:p w14:paraId="738F1EE4"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Office for National Statistics (2021) Deaths Registered in England and Wales: 2021. Available at: https://www.ons.gov.uk/peoplepopulationandcommunity/birthsdeathsandmarriages/deaths/bulletins/deathsregistrationsummarytables/2021 (Accessed: 8 July 2026).</w:t>
      </w:r>
    </w:p>
    <w:p w14:paraId="54A10A96"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Office for National Statistics (2024) Deaths Registered in England and Wales: 2023. Available at: https://www.ons.gov.uk/peoplepopulationandcommunity/birthsdeathsandmarriages/deaths/bulletins/deathsregistrationsummarytables/2023 (Accessed: 8 July 2026).</w:t>
      </w:r>
    </w:p>
    <w:p w14:paraId="411FFCC6" w14:textId="77777777" w:rsidR="00AF447E" w:rsidRPr="00AF447E" w:rsidRDefault="00AF447E" w:rsidP="00AF447E">
      <w:pPr>
        <w:spacing w:after="200" w:line="360" w:lineRule="auto"/>
        <w:ind w:left="720"/>
        <w:rPr>
          <w:rFonts w:ascii="Arial" w:eastAsia="Times New Roman" w:hAnsi="Arial" w:cs="Arial"/>
          <w:sz w:val="22"/>
          <w:szCs w:val="22"/>
        </w:rPr>
      </w:pPr>
      <w:r w:rsidRPr="00AF447E">
        <w:rPr>
          <w:rFonts w:ascii="Arial" w:eastAsia="Calibri" w:hAnsi="Arial" w:cs="Arial"/>
          <w:sz w:val="22"/>
          <w:szCs w:val="22"/>
        </w:rPr>
        <w:t xml:space="preserve">The King's Fund (2022) </w:t>
      </w:r>
      <w:proofErr w:type="gramStart"/>
      <w:r w:rsidRPr="00AF447E">
        <w:rPr>
          <w:rFonts w:ascii="Arial" w:eastAsia="Calibri" w:hAnsi="Arial" w:cs="Arial"/>
          <w:sz w:val="22"/>
          <w:szCs w:val="22"/>
        </w:rPr>
        <w:t>Cardiovascular Disease</w:t>
      </w:r>
      <w:proofErr w:type="gramEnd"/>
      <w:r w:rsidRPr="00AF447E">
        <w:rPr>
          <w:rFonts w:ascii="Arial" w:eastAsia="Calibri" w:hAnsi="Arial" w:cs="Arial"/>
          <w:sz w:val="22"/>
          <w:szCs w:val="22"/>
        </w:rPr>
        <w:t xml:space="preserve"> in England: Supporting Leaders to </w:t>
      </w:r>
      <w:proofErr w:type="gramStart"/>
      <w:r w:rsidRPr="00AF447E">
        <w:rPr>
          <w:rFonts w:ascii="Arial" w:eastAsia="Calibri" w:hAnsi="Arial" w:cs="Arial"/>
          <w:sz w:val="22"/>
          <w:szCs w:val="22"/>
        </w:rPr>
        <w:t>Take Action</w:t>
      </w:r>
      <w:proofErr w:type="gramEnd"/>
      <w:r w:rsidRPr="00AF447E">
        <w:rPr>
          <w:rFonts w:ascii="Arial" w:eastAsia="Calibri" w:hAnsi="Arial" w:cs="Arial"/>
          <w:sz w:val="22"/>
          <w:szCs w:val="22"/>
        </w:rPr>
        <w:t>. Available at: https://www.kingsfund.org.uk/insight-and-analysis/reports/cardiovascular-disease-england (Accessed: 8 July 2026).</w:t>
      </w:r>
    </w:p>
    <w:p w14:paraId="0331216F" w14:textId="77777777" w:rsidR="00AF447E" w:rsidRPr="00AF447E" w:rsidRDefault="00AF447E" w:rsidP="00AF447E">
      <w:pPr>
        <w:spacing w:after="200" w:line="360" w:lineRule="auto"/>
        <w:ind w:left="720"/>
        <w:rPr>
          <w:rFonts w:ascii="Arial" w:eastAsia="Times New Roman" w:hAnsi="Arial" w:cs="Arial"/>
          <w:sz w:val="22"/>
          <w:szCs w:val="22"/>
        </w:rPr>
      </w:pPr>
      <w:proofErr w:type="spellStart"/>
      <w:r w:rsidRPr="00AF447E">
        <w:rPr>
          <w:rFonts w:ascii="Arial" w:eastAsia="Calibri" w:hAnsi="Arial" w:cs="Arial"/>
          <w:sz w:val="22"/>
          <w:szCs w:val="22"/>
        </w:rPr>
        <w:t>Visseren</w:t>
      </w:r>
      <w:proofErr w:type="spellEnd"/>
      <w:r w:rsidRPr="00AF447E">
        <w:rPr>
          <w:rFonts w:ascii="Arial" w:eastAsia="Calibri" w:hAnsi="Arial" w:cs="Arial"/>
          <w:sz w:val="22"/>
          <w:szCs w:val="22"/>
        </w:rPr>
        <w:t>, F.L.J. et al. (2021) '2021 ESC Guidelines on cardiovascular disease prevention in clinical practice', European Heart Journal, 42(34), pp. 3227-3337. Available at: https://doi.org/10.1093/eurheartj/ehab484 (Accessed: 8 July 2026).</w:t>
      </w:r>
    </w:p>
    <w:p w14:paraId="0EDC4936" w14:textId="77777777" w:rsidR="00AF447E" w:rsidRPr="00AF447E" w:rsidRDefault="00AF447E" w:rsidP="00AF447E">
      <w:pPr>
        <w:spacing w:after="200" w:line="360" w:lineRule="auto"/>
        <w:ind w:left="720"/>
        <w:rPr>
          <w:rFonts w:ascii="Arial" w:hAnsi="Arial" w:cs="Arial"/>
          <w:sz w:val="22"/>
          <w:szCs w:val="22"/>
        </w:rPr>
      </w:pPr>
      <w:r w:rsidRPr="00AF447E">
        <w:rPr>
          <w:rFonts w:ascii="Arial" w:eastAsia="Calibri" w:hAnsi="Arial" w:cs="Arial"/>
          <w:sz w:val="22"/>
          <w:szCs w:val="22"/>
        </w:rPr>
        <w:t xml:space="preserve">World Health Organization (2025) </w:t>
      </w:r>
      <w:proofErr w:type="gramStart"/>
      <w:r w:rsidRPr="00AF447E">
        <w:rPr>
          <w:rFonts w:ascii="Arial" w:eastAsia="Calibri" w:hAnsi="Arial" w:cs="Arial"/>
          <w:sz w:val="22"/>
          <w:szCs w:val="22"/>
        </w:rPr>
        <w:t>Cardiovascular Diseases</w:t>
      </w:r>
      <w:proofErr w:type="gramEnd"/>
      <w:r w:rsidRPr="00AF447E">
        <w:rPr>
          <w:rFonts w:ascii="Arial" w:eastAsia="Calibri" w:hAnsi="Arial" w:cs="Arial"/>
          <w:sz w:val="22"/>
          <w:szCs w:val="22"/>
        </w:rPr>
        <w:t xml:space="preserve"> (CVDs). Available at: https://www.who.int/news-room/fact-sheets/detail/cardiovascular-diseases-(cvds) (Accessed: 8 July 2026).</w:t>
      </w:r>
    </w:p>
    <w:p w14:paraId="33F164B4" w14:textId="77777777" w:rsidR="00AF447E" w:rsidRPr="00AF447E" w:rsidRDefault="00AF447E" w:rsidP="00AF447E">
      <w:pPr>
        <w:spacing w:line="360" w:lineRule="auto"/>
        <w:rPr>
          <w:rFonts w:ascii="Arial" w:eastAsia="Calibri" w:hAnsi="Arial" w:cs="Arial"/>
          <w:sz w:val="22"/>
          <w:szCs w:val="22"/>
        </w:rPr>
      </w:pPr>
    </w:p>
    <w:p w14:paraId="7EC1217D" w14:textId="77777777" w:rsidR="00AF447E" w:rsidRPr="00AF447E" w:rsidRDefault="00AF447E" w:rsidP="00AF447E">
      <w:pPr>
        <w:spacing w:after="100" w:line="360" w:lineRule="auto"/>
        <w:rPr>
          <w:rFonts w:ascii="Arial" w:eastAsia="Times New Roman" w:hAnsi="Arial" w:cs="Arial"/>
          <w:sz w:val="22"/>
          <w:szCs w:val="22"/>
        </w:rPr>
      </w:pPr>
    </w:p>
    <w:p w14:paraId="309AB3C8" w14:textId="194F2128" w:rsidR="00AF447E" w:rsidRPr="00AF447E" w:rsidRDefault="00AF447E" w:rsidP="00AF447E">
      <w:pPr>
        <w:spacing w:line="360" w:lineRule="auto"/>
        <w:rPr>
          <w:rFonts w:ascii="Arial" w:hAnsi="Arial" w:cs="Arial"/>
          <w:sz w:val="22"/>
          <w:szCs w:val="22"/>
        </w:rPr>
      </w:pPr>
    </w:p>
    <w:sectPr w:rsidR="00AF447E" w:rsidRPr="00AF447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2624" w14:textId="77777777" w:rsidR="00D642A4" w:rsidRDefault="00D642A4" w:rsidP="00AF447E">
      <w:pPr>
        <w:spacing w:after="0" w:line="240" w:lineRule="auto"/>
      </w:pPr>
      <w:r>
        <w:separator/>
      </w:r>
    </w:p>
  </w:endnote>
  <w:endnote w:type="continuationSeparator" w:id="0">
    <w:p w14:paraId="6795DB19" w14:textId="77777777" w:rsidR="00D642A4" w:rsidRDefault="00D642A4" w:rsidP="00AF4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67842" w14:textId="77777777" w:rsidR="00AF447E" w:rsidRDefault="00AF4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0315" w14:textId="77777777" w:rsidR="00AF447E" w:rsidRDefault="00AF447E">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1BD85CB6" w14:textId="77777777" w:rsidR="00AF447E" w:rsidRDefault="00AF44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D4CA" w14:textId="77777777" w:rsidR="00AF447E" w:rsidRDefault="00AF4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AFB2E" w14:textId="77777777" w:rsidR="00D642A4" w:rsidRDefault="00D642A4" w:rsidP="00AF447E">
      <w:pPr>
        <w:spacing w:after="0" w:line="240" w:lineRule="auto"/>
      </w:pPr>
      <w:r>
        <w:separator/>
      </w:r>
    </w:p>
  </w:footnote>
  <w:footnote w:type="continuationSeparator" w:id="0">
    <w:p w14:paraId="19EECCAC" w14:textId="77777777" w:rsidR="00D642A4" w:rsidRDefault="00D642A4" w:rsidP="00AF4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9CB61" w14:textId="77777777" w:rsidR="00AF447E" w:rsidRDefault="00AF4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F516" w14:textId="77777777" w:rsidR="00AF447E" w:rsidRDefault="00AF44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C4D0E" w14:textId="77777777" w:rsidR="00AF447E" w:rsidRDefault="00AF44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7E"/>
    <w:rsid w:val="002C4FD4"/>
    <w:rsid w:val="004C6189"/>
    <w:rsid w:val="007E4818"/>
    <w:rsid w:val="00AF447E"/>
    <w:rsid w:val="00D642A4"/>
    <w:rsid w:val="00DD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AAE4C0"/>
  <w15:chartTrackingRefBased/>
  <w15:docId w15:val="{8B5B7109-94D3-A34B-9DB3-42F56B6E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47E"/>
    <w:rPr>
      <w:rFonts w:eastAsiaTheme="majorEastAsia" w:cstheme="majorBidi"/>
      <w:color w:val="272727" w:themeColor="text1" w:themeTint="D8"/>
    </w:rPr>
  </w:style>
  <w:style w:type="paragraph" w:styleId="Title">
    <w:name w:val="Title"/>
    <w:basedOn w:val="Normal"/>
    <w:next w:val="Normal"/>
    <w:link w:val="TitleChar"/>
    <w:uiPriority w:val="10"/>
    <w:qFormat/>
    <w:rsid w:val="00AF4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47E"/>
    <w:pPr>
      <w:spacing w:before="160"/>
      <w:jc w:val="center"/>
    </w:pPr>
    <w:rPr>
      <w:i/>
      <w:iCs/>
      <w:color w:val="404040" w:themeColor="text1" w:themeTint="BF"/>
    </w:rPr>
  </w:style>
  <w:style w:type="character" w:customStyle="1" w:styleId="QuoteChar">
    <w:name w:val="Quote Char"/>
    <w:basedOn w:val="DefaultParagraphFont"/>
    <w:link w:val="Quote"/>
    <w:uiPriority w:val="29"/>
    <w:rsid w:val="00AF447E"/>
    <w:rPr>
      <w:i/>
      <w:iCs/>
      <w:color w:val="404040" w:themeColor="text1" w:themeTint="BF"/>
    </w:rPr>
  </w:style>
  <w:style w:type="paragraph" w:styleId="ListParagraph">
    <w:name w:val="List Paragraph"/>
    <w:basedOn w:val="Normal"/>
    <w:uiPriority w:val="34"/>
    <w:qFormat/>
    <w:rsid w:val="00AF447E"/>
    <w:pPr>
      <w:ind w:left="720"/>
      <w:contextualSpacing/>
    </w:pPr>
  </w:style>
  <w:style w:type="character" w:styleId="IntenseEmphasis">
    <w:name w:val="Intense Emphasis"/>
    <w:basedOn w:val="DefaultParagraphFont"/>
    <w:uiPriority w:val="21"/>
    <w:qFormat/>
    <w:rsid w:val="00AF447E"/>
    <w:rPr>
      <w:i/>
      <w:iCs/>
      <w:color w:val="0F4761" w:themeColor="accent1" w:themeShade="BF"/>
    </w:rPr>
  </w:style>
  <w:style w:type="paragraph" w:styleId="IntenseQuote">
    <w:name w:val="Intense Quote"/>
    <w:basedOn w:val="Normal"/>
    <w:next w:val="Normal"/>
    <w:link w:val="IntenseQuoteChar"/>
    <w:uiPriority w:val="30"/>
    <w:qFormat/>
    <w:rsid w:val="00AF4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47E"/>
    <w:rPr>
      <w:i/>
      <w:iCs/>
      <w:color w:val="0F4761" w:themeColor="accent1" w:themeShade="BF"/>
    </w:rPr>
  </w:style>
  <w:style w:type="character" w:styleId="IntenseReference">
    <w:name w:val="Intense Reference"/>
    <w:basedOn w:val="DefaultParagraphFont"/>
    <w:uiPriority w:val="32"/>
    <w:qFormat/>
    <w:rsid w:val="00AF447E"/>
    <w:rPr>
      <w:b/>
      <w:bCs/>
      <w:smallCaps/>
      <w:color w:val="0F4761" w:themeColor="accent1" w:themeShade="BF"/>
      <w:spacing w:val="5"/>
    </w:rPr>
  </w:style>
  <w:style w:type="paragraph" w:styleId="Header">
    <w:name w:val="header"/>
    <w:basedOn w:val="Normal"/>
    <w:link w:val="HeaderChar"/>
    <w:uiPriority w:val="99"/>
    <w:unhideWhenUsed/>
    <w:rsid w:val="00AF4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47E"/>
  </w:style>
  <w:style w:type="paragraph" w:styleId="Footer">
    <w:name w:val="footer"/>
    <w:basedOn w:val="Normal"/>
    <w:link w:val="FooterChar"/>
    <w:uiPriority w:val="99"/>
    <w:unhideWhenUsed/>
    <w:rsid w:val="00AF4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2087</Words>
  <Characters>11902</Characters>
  <Application>Microsoft Office Word</Application>
  <DocSecurity>0</DocSecurity>
  <Lines>99</Lines>
  <Paragraphs>27</Paragraphs>
  <ScaleCrop>false</ScaleCrop>
  <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juma</dc:creator>
  <cp:keywords/>
  <dc:description/>
  <cp:lastModifiedBy>naznin juma</cp:lastModifiedBy>
  <cp:revision>1</cp:revision>
  <dcterms:created xsi:type="dcterms:W3CDTF">2026-07-19T19:08:00Z</dcterms:created>
  <dcterms:modified xsi:type="dcterms:W3CDTF">2026-07-19T19:18:00Z</dcterms:modified>
</cp:coreProperties>
</file>