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9AD375" w14:textId="77777777" w:rsidR="00204604" w:rsidRDefault="00204604">
      <w:pPr>
        <w:rPr>
          <w:rFonts w:ascii="Arial" w:hAnsi="Arial" w:cs="Arial"/>
        </w:rPr>
      </w:pPr>
    </w:p>
    <w:p w14:paraId="7A286E24" w14:textId="77777777" w:rsidR="00204604" w:rsidRDefault="00204604">
      <w:pPr>
        <w:rPr>
          <w:rFonts w:ascii="Arial" w:hAnsi="Arial" w:cs="Arial"/>
        </w:rPr>
      </w:pPr>
    </w:p>
    <w:p w14:paraId="7F571ABB" w14:textId="77777777" w:rsidR="00204604" w:rsidRDefault="00204604">
      <w:pPr>
        <w:rPr>
          <w:rFonts w:ascii="Arial" w:hAnsi="Arial" w:cs="Arial"/>
        </w:rPr>
      </w:pPr>
    </w:p>
    <w:p w14:paraId="409D9B03" w14:textId="77777777" w:rsidR="00204604" w:rsidRDefault="00204604">
      <w:pPr>
        <w:rPr>
          <w:rFonts w:ascii="Arial" w:hAnsi="Arial" w:cs="Arial"/>
        </w:rPr>
      </w:pPr>
    </w:p>
    <w:p w14:paraId="2477EB44" w14:textId="77777777" w:rsidR="00204604" w:rsidRDefault="00204604">
      <w:pPr>
        <w:rPr>
          <w:rFonts w:ascii="Arial" w:hAnsi="Arial" w:cs="Arial"/>
        </w:rPr>
      </w:pPr>
    </w:p>
    <w:p w14:paraId="5872C6EA" w14:textId="77777777" w:rsidR="00204604" w:rsidRDefault="00204604">
      <w:pPr>
        <w:rPr>
          <w:rFonts w:ascii="Arial" w:hAnsi="Arial" w:cs="Arial"/>
        </w:rPr>
      </w:pPr>
    </w:p>
    <w:p w14:paraId="042925A4" w14:textId="77777777" w:rsidR="00204604" w:rsidRDefault="00204604">
      <w:pPr>
        <w:rPr>
          <w:rFonts w:ascii="Arial" w:hAnsi="Arial" w:cs="Arial"/>
        </w:rPr>
      </w:pPr>
    </w:p>
    <w:p w14:paraId="4001FFEA" w14:textId="77777777" w:rsidR="00204604" w:rsidRDefault="00204604">
      <w:pPr>
        <w:rPr>
          <w:rFonts w:ascii="Arial" w:hAnsi="Arial" w:cs="Arial"/>
        </w:rPr>
      </w:pPr>
    </w:p>
    <w:p w14:paraId="11FDA856" w14:textId="77777777" w:rsidR="00204604" w:rsidRDefault="00204604">
      <w:pPr>
        <w:rPr>
          <w:rFonts w:ascii="Arial" w:hAnsi="Arial" w:cs="Arial"/>
        </w:rPr>
      </w:pPr>
    </w:p>
    <w:p w14:paraId="006F61E9" w14:textId="77777777" w:rsidR="00204604" w:rsidRDefault="00204604">
      <w:pPr>
        <w:rPr>
          <w:rFonts w:ascii="Arial" w:hAnsi="Arial" w:cs="Arial"/>
        </w:rPr>
      </w:pPr>
    </w:p>
    <w:p w14:paraId="7F5D74DC" w14:textId="77777777" w:rsidR="00204604" w:rsidRDefault="00204604">
      <w:pPr>
        <w:rPr>
          <w:rFonts w:ascii="Arial" w:hAnsi="Arial" w:cs="Arial"/>
        </w:rPr>
      </w:pPr>
    </w:p>
    <w:p w14:paraId="2003DB88" w14:textId="3CCAB8A3" w:rsidR="00204604" w:rsidRPr="00204604" w:rsidRDefault="00204604" w:rsidP="00BB21CC">
      <w:pPr>
        <w:jc w:val="center"/>
        <w:rPr>
          <w:rFonts w:ascii="Arial" w:hAnsi="Arial" w:cs="Arial"/>
          <w:b/>
          <w:bCs/>
        </w:rPr>
      </w:pPr>
      <w:r w:rsidRPr="00204604">
        <w:rPr>
          <w:rFonts w:ascii="Arial" w:hAnsi="Arial" w:cs="Arial"/>
          <w:b/>
          <w:bCs/>
        </w:rPr>
        <w:t>AI Declaration</w:t>
      </w:r>
    </w:p>
    <w:p w14:paraId="6BFF2619" w14:textId="6548FEFD" w:rsidR="00204604" w:rsidRPr="00BB21CC" w:rsidRDefault="00BB21CC" w:rsidP="00BB21CC">
      <w:pPr>
        <w:jc w:val="center"/>
        <w:rPr>
          <w:rFonts w:ascii="Arial" w:eastAsiaTheme="majorEastAsia" w:hAnsi="Arial" w:cs="Arial"/>
        </w:rPr>
      </w:pPr>
      <w:r w:rsidRPr="00BB21CC">
        <w:rPr>
          <w:rFonts w:ascii="Arial" w:hAnsi="Arial" w:cs="Arial"/>
        </w:rPr>
        <w:t>I confirm that I have not presented any AI generated text as my own work.</w:t>
      </w:r>
      <w:r w:rsidR="00204604" w:rsidRPr="00BB21CC">
        <w:rPr>
          <w:rFonts w:ascii="Arial" w:hAnsi="Arial" w:cs="Arial"/>
        </w:rPr>
        <w:br w:type="page"/>
      </w:r>
    </w:p>
    <w:p w14:paraId="7BE52BE0" w14:textId="0E4E50B4" w:rsidR="00204604" w:rsidRPr="00204604" w:rsidRDefault="009D694E" w:rsidP="00204604">
      <w:pPr>
        <w:rPr>
          <w:rFonts w:ascii="Arial" w:hAnsi="Arial" w:cs="Arial"/>
          <w:b/>
          <w:bCs/>
        </w:rPr>
      </w:pPr>
      <w:r w:rsidRPr="00204604">
        <w:rPr>
          <w:rFonts w:ascii="Arial" w:hAnsi="Arial" w:cs="Arial"/>
          <w:b/>
          <w:bCs/>
        </w:rPr>
        <w:lastRenderedPageBreak/>
        <w:t xml:space="preserve">Understanding </w:t>
      </w:r>
      <w:r w:rsidR="00204604" w:rsidRPr="00204604">
        <w:rPr>
          <w:rFonts w:ascii="Arial" w:hAnsi="Arial" w:cs="Arial"/>
          <w:b/>
          <w:bCs/>
        </w:rPr>
        <w:t>Gender and Disability in an International Approach.</w:t>
      </w:r>
    </w:p>
    <w:p w14:paraId="1814092D" w14:textId="77777777" w:rsidR="00204604" w:rsidRPr="00204604" w:rsidRDefault="00204604" w:rsidP="00204604">
      <w:pPr>
        <w:rPr>
          <w:rFonts w:ascii="Calibri" w:hAnsi="Calibri" w:cs="Calibri"/>
          <w:b/>
          <w:bCs/>
        </w:rPr>
      </w:pPr>
    </w:p>
    <w:sdt>
      <w:sdtPr>
        <w:id w:val="-276719336"/>
        <w:docPartObj>
          <w:docPartGallery w:val="Table of Contents"/>
          <w:docPartUnique/>
        </w:docPartObj>
      </w:sdtPr>
      <w:sdtEndPr>
        <w:rPr>
          <w:rFonts w:asciiTheme="minorHAnsi" w:eastAsiaTheme="minorHAnsi" w:hAnsiTheme="minorHAnsi" w:cstheme="minorHAnsi"/>
          <w:b/>
          <w:bCs/>
          <w:noProof/>
          <w:color w:val="auto"/>
          <w:kern w:val="2"/>
          <w:sz w:val="24"/>
          <w:szCs w:val="24"/>
          <w:lang w:val="en-GB"/>
          <w14:ligatures w14:val="standardContextual"/>
        </w:rPr>
      </w:sdtEndPr>
      <w:sdtContent>
        <w:p w14:paraId="5EEC3592" w14:textId="46D1C00B" w:rsidR="00204604" w:rsidRDefault="00204604">
          <w:pPr>
            <w:pStyle w:val="TOCHeading"/>
            <w:rPr>
              <w:rFonts w:ascii="Arial" w:hAnsi="Arial" w:cs="Arial"/>
              <w:b/>
              <w:bCs/>
              <w:color w:val="auto"/>
              <w:sz w:val="24"/>
              <w:szCs w:val="24"/>
            </w:rPr>
          </w:pPr>
          <w:r w:rsidRPr="00204604">
            <w:rPr>
              <w:rFonts w:ascii="Arial" w:hAnsi="Arial" w:cs="Arial"/>
              <w:b/>
              <w:bCs/>
              <w:color w:val="auto"/>
              <w:sz w:val="24"/>
              <w:szCs w:val="24"/>
            </w:rPr>
            <w:t>Contents</w:t>
          </w:r>
        </w:p>
        <w:p w14:paraId="3E46E19A" w14:textId="77777777" w:rsidR="00204604" w:rsidRPr="00204604" w:rsidRDefault="00204604" w:rsidP="00204604">
          <w:pPr>
            <w:rPr>
              <w:lang w:val="en-US"/>
            </w:rPr>
          </w:pPr>
        </w:p>
        <w:p w14:paraId="10EFCC84" w14:textId="6BACF750" w:rsidR="00945420" w:rsidRPr="00945420" w:rsidRDefault="00204604">
          <w:pPr>
            <w:pStyle w:val="TOC1"/>
            <w:tabs>
              <w:tab w:val="right" w:leader="dot" w:pos="9016"/>
            </w:tabs>
            <w:rPr>
              <w:rFonts w:eastAsiaTheme="minorEastAsia" w:cstheme="minorBidi"/>
              <w:noProof/>
              <w:lang w:eastAsia="en-GB"/>
            </w:rPr>
          </w:pPr>
          <w:r>
            <w:fldChar w:fldCharType="begin"/>
          </w:r>
          <w:r>
            <w:instrText xml:space="preserve"> TOC \o "1-3" \h \z \u </w:instrText>
          </w:r>
          <w:r>
            <w:fldChar w:fldCharType="separate"/>
          </w:r>
          <w:hyperlink w:anchor="_Toc222069513" w:history="1">
            <w:r w:rsidR="00945420" w:rsidRPr="00945420">
              <w:rPr>
                <w:rStyle w:val="Hyperlink"/>
                <w:rFonts w:ascii="Arial" w:hAnsi="Arial" w:cs="Arial"/>
                <w:noProof/>
              </w:rPr>
              <w:t>Introduction</w:t>
            </w:r>
            <w:r w:rsidR="00945420" w:rsidRPr="00945420">
              <w:rPr>
                <w:noProof/>
                <w:webHidden/>
              </w:rPr>
              <w:tab/>
            </w:r>
            <w:r w:rsidR="00945420" w:rsidRPr="00945420">
              <w:rPr>
                <w:noProof/>
                <w:webHidden/>
              </w:rPr>
              <w:fldChar w:fldCharType="begin"/>
            </w:r>
            <w:r w:rsidR="00945420" w:rsidRPr="00945420">
              <w:rPr>
                <w:noProof/>
                <w:webHidden/>
              </w:rPr>
              <w:instrText xml:space="preserve"> PAGEREF _Toc222069513 \h </w:instrText>
            </w:r>
            <w:r w:rsidR="00945420" w:rsidRPr="00945420">
              <w:rPr>
                <w:noProof/>
                <w:webHidden/>
              </w:rPr>
            </w:r>
            <w:r w:rsidR="00945420" w:rsidRPr="00945420">
              <w:rPr>
                <w:noProof/>
                <w:webHidden/>
              </w:rPr>
              <w:fldChar w:fldCharType="separate"/>
            </w:r>
            <w:r w:rsidR="00945420" w:rsidRPr="00945420">
              <w:rPr>
                <w:noProof/>
                <w:webHidden/>
              </w:rPr>
              <w:t>3</w:t>
            </w:r>
            <w:r w:rsidR="00945420" w:rsidRPr="00945420">
              <w:rPr>
                <w:noProof/>
                <w:webHidden/>
              </w:rPr>
              <w:fldChar w:fldCharType="end"/>
            </w:r>
          </w:hyperlink>
        </w:p>
        <w:p w14:paraId="5A858EF6" w14:textId="29DA1464" w:rsidR="00945420" w:rsidRPr="00945420" w:rsidRDefault="00945420">
          <w:pPr>
            <w:pStyle w:val="TOC1"/>
            <w:tabs>
              <w:tab w:val="right" w:leader="dot" w:pos="9016"/>
            </w:tabs>
            <w:rPr>
              <w:rFonts w:eastAsiaTheme="minorEastAsia" w:cstheme="minorBidi"/>
              <w:noProof/>
              <w:lang w:eastAsia="en-GB"/>
            </w:rPr>
          </w:pPr>
          <w:hyperlink w:anchor="_Toc222069514" w:history="1">
            <w:r w:rsidRPr="00945420">
              <w:rPr>
                <w:rStyle w:val="Hyperlink"/>
                <w:rFonts w:ascii="Arial" w:hAnsi="Arial" w:cs="Arial"/>
                <w:noProof/>
              </w:rPr>
              <w:t>Definition: Gender</w:t>
            </w:r>
            <w:r w:rsidRPr="00945420">
              <w:rPr>
                <w:noProof/>
                <w:webHidden/>
              </w:rPr>
              <w:tab/>
            </w:r>
            <w:r w:rsidRPr="00945420">
              <w:rPr>
                <w:noProof/>
                <w:webHidden/>
              </w:rPr>
              <w:fldChar w:fldCharType="begin"/>
            </w:r>
            <w:r w:rsidRPr="00945420">
              <w:rPr>
                <w:noProof/>
                <w:webHidden/>
              </w:rPr>
              <w:instrText xml:space="preserve"> PAGEREF _Toc222069514 \h </w:instrText>
            </w:r>
            <w:r w:rsidRPr="00945420">
              <w:rPr>
                <w:noProof/>
                <w:webHidden/>
              </w:rPr>
            </w:r>
            <w:r w:rsidRPr="00945420">
              <w:rPr>
                <w:noProof/>
                <w:webHidden/>
              </w:rPr>
              <w:fldChar w:fldCharType="separate"/>
            </w:r>
            <w:r w:rsidRPr="00945420">
              <w:rPr>
                <w:noProof/>
                <w:webHidden/>
              </w:rPr>
              <w:t>3</w:t>
            </w:r>
            <w:r w:rsidRPr="00945420">
              <w:rPr>
                <w:noProof/>
                <w:webHidden/>
              </w:rPr>
              <w:fldChar w:fldCharType="end"/>
            </w:r>
          </w:hyperlink>
        </w:p>
        <w:p w14:paraId="50CA573F" w14:textId="5AE403FA" w:rsidR="00945420" w:rsidRPr="00945420" w:rsidRDefault="00945420">
          <w:pPr>
            <w:pStyle w:val="TOC1"/>
            <w:tabs>
              <w:tab w:val="right" w:leader="dot" w:pos="9016"/>
            </w:tabs>
            <w:rPr>
              <w:rFonts w:eastAsiaTheme="minorEastAsia" w:cstheme="minorBidi"/>
              <w:noProof/>
              <w:lang w:eastAsia="en-GB"/>
            </w:rPr>
          </w:pPr>
          <w:hyperlink w:anchor="_Toc222069515" w:history="1">
            <w:r w:rsidRPr="00945420">
              <w:rPr>
                <w:rStyle w:val="Hyperlink"/>
                <w:rFonts w:ascii="Arial" w:hAnsi="Arial" w:cs="Arial"/>
                <w:noProof/>
              </w:rPr>
              <w:t>Definition: Disability</w:t>
            </w:r>
            <w:r w:rsidRPr="00945420">
              <w:rPr>
                <w:noProof/>
                <w:webHidden/>
              </w:rPr>
              <w:tab/>
            </w:r>
            <w:r w:rsidRPr="00945420">
              <w:rPr>
                <w:noProof/>
                <w:webHidden/>
              </w:rPr>
              <w:fldChar w:fldCharType="begin"/>
            </w:r>
            <w:r w:rsidRPr="00945420">
              <w:rPr>
                <w:noProof/>
                <w:webHidden/>
              </w:rPr>
              <w:instrText xml:space="preserve"> PAGEREF _Toc222069515 \h </w:instrText>
            </w:r>
            <w:r w:rsidRPr="00945420">
              <w:rPr>
                <w:noProof/>
                <w:webHidden/>
              </w:rPr>
            </w:r>
            <w:r w:rsidRPr="00945420">
              <w:rPr>
                <w:noProof/>
                <w:webHidden/>
              </w:rPr>
              <w:fldChar w:fldCharType="separate"/>
            </w:r>
            <w:r w:rsidRPr="00945420">
              <w:rPr>
                <w:noProof/>
                <w:webHidden/>
              </w:rPr>
              <w:t>5</w:t>
            </w:r>
            <w:r w:rsidRPr="00945420">
              <w:rPr>
                <w:noProof/>
                <w:webHidden/>
              </w:rPr>
              <w:fldChar w:fldCharType="end"/>
            </w:r>
          </w:hyperlink>
        </w:p>
        <w:p w14:paraId="7D81EA98" w14:textId="68F43D3D" w:rsidR="00945420" w:rsidRPr="00945420" w:rsidRDefault="00945420">
          <w:pPr>
            <w:pStyle w:val="TOC1"/>
            <w:tabs>
              <w:tab w:val="right" w:leader="dot" w:pos="9016"/>
            </w:tabs>
            <w:rPr>
              <w:rFonts w:eastAsiaTheme="minorEastAsia" w:cstheme="minorBidi"/>
              <w:noProof/>
              <w:lang w:eastAsia="en-GB"/>
            </w:rPr>
          </w:pPr>
          <w:hyperlink w:anchor="_Toc222069516" w:history="1">
            <w:r w:rsidRPr="00945420">
              <w:rPr>
                <w:rStyle w:val="Hyperlink"/>
                <w:rFonts w:ascii="Arial" w:hAnsi="Arial" w:cs="Arial"/>
                <w:noProof/>
              </w:rPr>
              <w:t>Distinct silos</w:t>
            </w:r>
            <w:r w:rsidRPr="00945420">
              <w:rPr>
                <w:noProof/>
                <w:webHidden/>
              </w:rPr>
              <w:tab/>
            </w:r>
            <w:r w:rsidRPr="00945420">
              <w:rPr>
                <w:noProof/>
                <w:webHidden/>
              </w:rPr>
              <w:fldChar w:fldCharType="begin"/>
            </w:r>
            <w:r w:rsidRPr="00945420">
              <w:rPr>
                <w:noProof/>
                <w:webHidden/>
              </w:rPr>
              <w:instrText xml:space="preserve"> PAGEREF _Toc222069516 \h </w:instrText>
            </w:r>
            <w:r w:rsidRPr="00945420">
              <w:rPr>
                <w:noProof/>
                <w:webHidden/>
              </w:rPr>
            </w:r>
            <w:r w:rsidRPr="00945420">
              <w:rPr>
                <w:noProof/>
                <w:webHidden/>
              </w:rPr>
              <w:fldChar w:fldCharType="separate"/>
            </w:r>
            <w:r w:rsidRPr="00945420">
              <w:rPr>
                <w:noProof/>
                <w:webHidden/>
              </w:rPr>
              <w:t>7</w:t>
            </w:r>
            <w:r w:rsidRPr="00945420">
              <w:rPr>
                <w:noProof/>
                <w:webHidden/>
              </w:rPr>
              <w:fldChar w:fldCharType="end"/>
            </w:r>
          </w:hyperlink>
        </w:p>
        <w:p w14:paraId="7C11B9D5" w14:textId="75FD4975" w:rsidR="00945420" w:rsidRPr="00945420" w:rsidRDefault="00945420">
          <w:pPr>
            <w:pStyle w:val="TOC1"/>
            <w:tabs>
              <w:tab w:val="right" w:leader="dot" w:pos="9016"/>
            </w:tabs>
            <w:rPr>
              <w:rFonts w:eastAsiaTheme="minorEastAsia" w:cstheme="minorBidi"/>
              <w:noProof/>
              <w:lang w:eastAsia="en-GB"/>
            </w:rPr>
          </w:pPr>
          <w:hyperlink w:anchor="_Toc222069517" w:history="1">
            <w:r w:rsidRPr="00945420">
              <w:rPr>
                <w:rStyle w:val="Hyperlink"/>
                <w:rFonts w:ascii="Arial" w:hAnsi="Arial" w:cs="Arial"/>
                <w:noProof/>
              </w:rPr>
              <w:t>Definition: Intersectionality</w:t>
            </w:r>
            <w:r w:rsidRPr="00945420">
              <w:rPr>
                <w:noProof/>
                <w:webHidden/>
              </w:rPr>
              <w:tab/>
            </w:r>
            <w:r w:rsidRPr="00945420">
              <w:rPr>
                <w:noProof/>
                <w:webHidden/>
              </w:rPr>
              <w:fldChar w:fldCharType="begin"/>
            </w:r>
            <w:r w:rsidRPr="00945420">
              <w:rPr>
                <w:noProof/>
                <w:webHidden/>
              </w:rPr>
              <w:instrText xml:space="preserve"> PAGEREF _Toc222069517 \h </w:instrText>
            </w:r>
            <w:r w:rsidRPr="00945420">
              <w:rPr>
                <w:noProof/>
                <w:webHidden/>
              </w:rPr>
            </w:r>
            <w:r w:rsidRPr="00945420">
              <w:rPr>
                <w:noProof/>
                <w:webHidden/>
              </w:rPr>
              <w:fldChar w:fldCharType="separate"/>
            </w:r>
            <w:r w:rsidRPr="00945420">
              <w:rPr>
                <w:noProof/>
                <w:webHidden/>
              </w:rPr>
              <w:t>8</w:t>
            </w:r>
            <w:r w:rsidRPr="00945420">
              <w:rPr>
                <w:noProof/>
                <w:webHidden/>
              </w:rPr>
              <w:fldChar w:fldCharType="end"/>
            </w:r>
          </w:hyperlink>
        </w:p>
        <w:p w14:paraId="4F1320E1" w14:textId="140DCEB7" w:rsidR="00945420" w:rsidRPr="00945420" w:rsidRDefault="00945420">
          <w:pPr>
            <w:pStyle w:val="TOC1"/>
            <w:tabs>
              <w:tab w:val="right" w:leader="dot" w:pos="9016"/>
            </w:tabs>
            <w:rPr>
              <w:rFonts w:eastAsiaTheme="minorEastAsia" w:cstheme="minorBidi"/>
              <w:noProof/>
              <w:lang w:eastAsia="en-GB"/>
            </w:rPr>
          </w:pPr>
          <w:hyperlink w:anchor="_Toc222069518" w:history="1">
            <w:r w:rsidRPr="00945420">
              <w:rPr>
                <w:rStyle w:val="Hyperlink"/>
                <w:rFonts w:ascii="Arial" w:hAnsi="Arial" w:cs="Arial"/>
                <w:noProof/>
              </w:rPr>
              <w:t>Employment</w:t>
            </w:r>
            <w:r w:rsidRPr="00945420">
              <w:rPr>
                <w:noProof/>
                <w:webHidden/>
              </w:rPr>
              <w:tab/>
            </w:r>
            <w:r w:rsidRPr="00945420">
              <w:rPr>
                <w:noProof/>
                <w:webHidden/>
              </w:rPr>
              <w:fldChar w:fldCharType="begin"/>
            </w:r>
            <w:r w:rsidRPr="00945420">
              <w:rPr>
                <w:noProof/>
                <w:webHidden/>
              </w:rPr>
              <w:instrText xml:space="preserve"> PAGEREF _Toc222069518 \h </w:instrText>
            </w:r>
            <w:r w:rsidRPr="00945420">
              <w:rPr>
                <w:noProof/>
                <w:webHidden/>
              </w:rPr>
            </w:r>
            <w:r w:rsidRPr="00945420">
              <w:rPr>
                <w:noProof/>
                <w:webHidden/>
              </w:rPr>
              <w:fldChar w:fldCharType="separate"/>
            </w:r>
            <w:r w:rsidRPr="00945420">
              <w:rPr>
                <w:noProof/>
                <w:webHidden/>
              </w:rPr>
              <w:t>9</w:t>
            </w:r>
            <w:r w:rsidRPr="00945420">
              <w:rPr>
                <w:noProof/>
                <w:webHidden/>
              </w:rPr>
              <w:fldChar w:fldCharType="end"/>
            </w:r>
          </w:hyperlink>
        </w:p>
        <w:p w14:paraId="2BE1455C" w14:textId="10B89941" w:rsidR="00945420" w:rsidRPr="00945420" w:rsidRDefault="00945420">
          <w:pPr>
            <w:pStyle w:val="TOC1"/>
            <w:tabs>
              <w:tab w:val="right" w:leader="dot" w:pos="9016"/>
            </w:tabs>
            <w:rPr>
              <w:rFonts w:eastAsiaTheme="minorEastAsia" w:cstheme="minorBidi"/>
              <w:noProof/>
              <w:lang w:eastAsia="en-GB"/>
            </w:rPr>
          </w:pPr>
          <w:hyperlink w:anchor="_Toc222069519" w:history="1">
            <w:r w:rsidRPr="00945420">
              <w:rPr>
                <w:rStyle w:val="Hyperlink"/>
                <w:rFonts w:ascii="Arial" w:hAnsi="Arial" w:cs="Arial"/>
                <w:noProof/>
              </w:rPr>
              <w:t>Conclusion</w:t>
            </w:r>
            <w:r w:rsidRPr="00945420">
              <w:rPr>
                <w:noProof/>
                <w:webHidden/>
              </w:rPr>
              <w:tab/>
            </w:r>
            <w:r w:rsidRPr="00945420">
              <w:rPr>
                <w:noProof/>
                <w:webHidden/>
              </w:rPr>
              <w:fldChar w:fldCharType="begin"/>
            </w:r>
            <w:r w:rsidRPr="00945420">
              <w:rPr>
                <w:noProof/>
                <w:webHidden/>
              </w:rPr>
              <w:instrText xml:space="preserve"> PAGEREF _Toc222069519 \h </w:instrText>
            </w:r>
            <w:r w:rsidRPr="00945420">
              <w:rPr>
                <w:noProof/>
                <w:webHidden/>
              </w:rPr>
            </w:r>
            <w:r w:rsidRPr="00945420">
              <w:rPr>
                <w:noProof/>
                <w:webHidden/>
              </w:rPr>
              <w:fldChar w:fldCharType="separate"/>
            </w:r>
            <w:r w:rsidRPr="00945420">
              <w:rPr>
                <w:noProof/>
                <w:webHidden/>
              </w:rPr>
              <w:t>14</w:t>
            </w:r>
            <w:r w:rsidRPr="00945420">
              <w:rPr>
                <w:noProof/>
                <w:webHidden/>
              </w:rPr>
              <w:fldChar w:fldCharType="end"/>
            </w:r>
          </w:hyperlink>
        </w:p>
        <w:p w14:paraId="7C2EAA4B" w14:textId="59E21B02" w:rsidR="00945420" w:rsidRPr="00945420" w:rsidRDefault="00945420">
          <w:pPr>
            <w:pStyle w:val="TOC1"/>
            <w:tabs>
              <w:tab w:val="right" w:leader="dot" w:pos="9016"/>
            </w:tabs>
            <w:rPr>
              <w:rFonts w:eastAsiaTheme="minorEastAsia" w:cstheme="minorBidi"/>
              <w:noProof/>
              <w:lang w:eastAsia="en-GB"/>
            </w:rPr>
          </w:pPr>
          <w:hyperlink w:anchor="_Toc222069520" w:history="1">
            <w:r w:rsidRPr="00945420">
              <w:rPr>
                <w:rStyle w:val="Hyperlink"/>
                <w:rFonts w:ascii="Arial" w:hAnsi="Arial" w:cs="Arial"/>
                <w:noProof/>
              </w:rPr>
              <w:t>Reference list</w:t>
            </w:r>
            <w:r w:rsidRPr="00945420">
              <w:rPr>
                <w:noProof/>
                <w:webHidden/>
              </w:rPr>
              <w:tab/>
            </w:r>
            <w:r w:rsidRPr="00945420">
              <w:rPr>
                <w:noProof/>
                <w:webHidden/>
              </w:rPr>
              <w:fldChar w:fldCharType="begin"/>
            </w:r>
            <w:r w:rsidRPr="00945420">
              <w:rPr>
                <w:noProof/>
                <w:webHidden/>
              </w:rPr>
              <w:instrText xml:space="preserve"> PAGEREF _Toc222069520 \h </w:instrText>
            </w:r>
            <w:r w:rsidRPr="00945420">
              <w:rPr>
                <w:noProof/>
                <w:webHidden/>
              </w:rPr>
            </w:r>
            <w:r w:rsidRPr="00945420">
              <w:rPr>
                <w:noProof/>
                <w:webHidden/>
              </w:rPr>
              <w:fldChar w:fldCharType="separate"/>
            </w:r>
            <w:r w:rsidRPr="00945420">
              <w:rPr>
                <w:noProof/>
                <w:webHidden/>
              </w:rPr>
              <w:t>15</w:t>
            </w:r>
            <w:r w:rsidRPr="00945420">
              <w:rPr>
                <w:noProof/>
                <w:webHidden/>
              </w:rPr>
              <w:fldChar w:fldCharType="end"/>
            </w:r>
          </w:hyperlink>
        </w:p>
        <w:p w14:paraId="3349C6CA" w14:textId="2547F137" w:rsidR="00204604" w:rsidRDefault="00204604" w:rsidP="00204604">
          <w:pPr>
            <w:rPr>
              <w:b/>
              <w:bCs/>
              <w:noProof/>
            </w:rPr>
          </w:pPr>
          <w:r>
            <w:rPr>
              <w:b/>
              <w:bCs/>
              <w:noProof/>
            </w:rPr>
            <w:fldChar w:fldCharType="end"/>
          </w:r>
        </w:p>
      </w:sdtContent>
    </w:sdt>
    <w:p w14:paraId="493A8312" w14:textId="080E9A80" w:rsidR="00B90C90" w:rsidRPr="00204604" w:rsidRDefault="00B90C90" w:rsidP="00204604">
      <w:r w:rsidRPr="00204604">
        <w:rPr>
          <w:rFonts w:ascii="Calibri" w:hAnsi="Calibri" w:cs="Calibri"/>
          <w:b/>
          <w:bCs/>
        </w:rPr>
        <w:br w:type="page"/>
      </w:r>
    </w:p>
    <w:p w14:paraId="255F27F1" w14:textId="7BBAD2EB" w:rsidR="00331ED0" w:rsidRPr="00204604" w:rsidRDefault="00331ED0" w:rsidP="00204604">
      <w:pPr>
        <w:pStyle w:val="Heading1"/>
        <w:spacing w:line="360" w:lineRule="auto"/>
        <w:jc w:val="both"/>
        <w:rPr>
          <w:rFonts w:ascii="Arial" w:hAnsi="Arial" w:cs="Arial"/>
          <w:b/>
          <w:bCs/>
          <w:color w:val="auto"/>
          <w:sz w:val="24"/>
          <w:szCs w:val="24"/>
        </w:rPr>
      </w:pPr>
      <w:bookmarkStart w:id="0" w:name="_Toc222069513"/>
      <w:r w:rsidRPr="00204604">
        <w:rPr>
          <w:rFonts w:ascii="Arial" w:hAnsi="Arial" w:cs="Arial"/>
          <w:b/>
          <w:bCs/>
          <w:color w:val="auto"/>
          <w:sz w:val="24"/>
          <w:szCs w:val="24"/>
        </w:rPr>
        <w:lastRenderedPageBreak/>
        <w:t>Introduction</w:t>
      </w:r>
      <w:bookmarkEnd w:id="0"/>
    </w:p>
    <w:p w14:paraId="4E8BFD3A" w14:textId="31D6AB46" w:rsidR="00331ED0" w:rsidRPr="00331ED0" w:rsidRDefault="00331ED0" w:rsidP="00204604">
      <w:pPr>
        <w:spacing w:line="360" w:lineRule="auto"/>
        <w:jc w:val="both"/>
        <w:rPr>
          <w:rFonts w:ascii="Arial" w:hAnsi="Arial" w:cs="Arial"/>
        </w:rPr>
      </w:pPr>
      <w:r w:rsidRPr="00331ED0">
        <w:rPr>
          <w:rFonts w:ascii="Arial" w:hAnsi="Arial" w:cs="Arial"/>
        </w:rPr>
        <w:t xml:space="preserve">This essay will address the intersection between gender and disability and analyse any implications of viewing the two groups as distinct silos. The discussions focus on understanding women with disabilities, hereafter abbreviated to WWD, as Chan and Hutchings (2023) and Pastor-Moreno </w:t>
      </w:r>
      <w:r w:rsidRPr="00331ED0">
        <w:rPr>
          <w:rFonts w:ascii="Arial" w:hAnsi="Arial" w:cs="Arial"/>
          <w:i/>
          <w:iCs/>
        </w:rPr>
        <w:t>et al.</w:t>
      </w:r>
      <w:r w:rsidRPr="00331ED0">
        <w:rPr>
          <w:rFonts w:ascii="Arial" w:hAnsi="Arial" w:cs="Arial"/>
        </w:rPr>
        <w:t xml:space="preserve"> (2024) state WWD might experience challenges due to their intersecting gender and disability, creating inequality. The assignment defines gender, disability, and intersectionality, while considering the wider societal discussions regarding these concepts, as understanding perceptions and norms could influence societal discourse and legislative policies. The essay does not define a specific disability, which </w:t>
      </w:r>
      <w:r w:rsidR="00D61C85" w:rsidRPr="00204604">
        <w:rPr>
          <w:rFonts w:ascii="Arial" w:hAnsi="Arial" w:cs="Arial"/>
        </w:rPr>
        <w:t>c</w:t>
      </w:r>
      <w:r w:rsidRPr="00331ED0">
        <w:rPr>
          <w:rFonts w:ascii="Arial" w:hAnsi="Arial" w:cs="Arial"/>
        </w:rPr>
        <w:t xml:space="preserve">ould cause the research to become less focused, as the purpose of this discussion is the intersectionality between women and disability. An argument whether women and disabilities are viewed as distinct silos is presented, which displays how organisations and charities perceive inequalities experienced by these groups. Possible barriers for WWD in employment are considered with reference to visibility of WWD in the workplace, in addition to analysing the pay gap experienced by WWD compared to women and men. Furthermore, addressing healthcare and reproductive barriers are analysed, to understand if there are variations in treatment and attitudes compared to women without disabilities. This discussion does reference biological sex and individuals who have female reproductive organs, but the author acknowledges not everyone </w:t>
      </w:r>
      <w:r w:rsidR="002E32D1" w:rsidRPr="00204604">
        <w:rPr>
          <w:rFonts w:ascii="Arial" w:hAnsi="Arial" w:cs="Arial"/>
        </w:rPr>
        <w:t>who ha</w:t>
      </w:r>
      <w:r w:rsidR="00B3211F" w:rsidRPr="00204604">
        <w:rPr>
          <w:rFonts w:ascii="Arial" w:hAnsi="Arial" w:cs="Arial"/>
        </w:rPr>
        <w:t>s</w:t>
      </w:r>
      <w:r w:rsidR="002E32D1" w:rsidRPr="00204604">
        <w:rPr>
          <w:rFonts w:ascii="Arial" w:hAnsi="Arial" w:cs="Arial"/>
        </w:rPr>
        <w:t xml:space="preserve"> female </w:t>
      </w:r>
      <w:r w:rsidRPr="00331ED0">
        <w:rPr>
          <w:rFonts w:ascii="Arial" w:hAnsi="Arial" w:cs="Arial"/>
        </w:rPr>
        <w:t>organs identi</w:t>
      </w:r>
      <w:r w:rsidR="00B3211F" w:rsidRPr="00204604">
        <w:rPr>
          <w:rFonts w:ascii="Arial" w:hAnsi="Arial" w:cs="Arial"/>
        </w:rPr>
        <w:t>fies</w:t>
      </w:r>
      <w:r w:rsidRPr="00331ED0">
        <w:rPr>
          <w:rFonts w:ascii="Arial" w:hAnsi="Arial" w:cs="Arial"/>
        </w:rPr>
        <w:t xml:space="preserve"> as a woman. Throughout the discussion, the first name of women theorists or researchers may be used, as with surnames, the reader could misgender the author which might cause women not to be recognised for their publication. </w:t>
      </w:r>
    </w:p>
    <w:p w14:paraId="6B7E6825" w14:textId="77777777" w:rsidR="00331ED0" w:rsidRPr="00331ED0" w:rsidRDefault="00331ED0" w:rsidP="00204604">
      <w:pPr>
        <w:spacing w:line="360" w:lineRule="auto"/>
        <w:jc w:val="both"/>
        <w:rPr>
          <w:rFonts w:ascii="Arial" w:hAnsi="Arial" w:cs="Arial"/>
        </w:rPr>
      </w:pPr>
    </w:p>
    <w:p w14:paraId="6B6E379E" w14:textId="77777777" w:rsidR="00331ED0" w:rsidRPr="00204604" w:rsidRDefault="00331ED0" w:rsidP="00204604">
      <w:pPr>
        <w:pStyle w:val="Heading1"/>
        <w:spacing w:line="360" w:lineRule="auto"/>
        <w:jc w:val="both"/>
        <w:rPr>
          <w:rFonts w:ascii="Arial" w:hAnsi="Arial" w:cs="Arial"/>
          <w:b/>
          <w:bCs/>
          <w:color w:val="auto"/>
          <w:sz w:val="24"/>
          <w:szCs w:val="24"/>
        </w:rPr>
      </w:pPr>
      <w:bookmarkStart w:id="1" w:name="_Toc222069514"/>
      <w:r w:rsidRPr="00204604">
        <w:rPr>
          <w:rFonts w:ascii="Arial" w:hAnsi="Arial" w:cs="Arial"/>
          <w:b/>
          <w:bCs/>
          <w:color w:val="auto"/>
          <w:sz w:val="24"/>
          <w:szCs w:val="24"/>
        </w:rPr>
        <w:t>Definition: Gender</w:t>
      </w:r>
      <w:bookmarkEnd w:id="1"/>
      <w:r w:rsidRPr="00204604">
        <w:rPr>
          <w:rFonts w:ascii="Arial" w:hAnsi="Arial" w:cs="Arial"/>
          <w:b/>
          <w:bCs/>
          <w:color w:val="auto"/>
          <w:sz w:val="24"/>
          <w:szCs w:val="24"/>
        </w:rPr>
        <w:t> </w:t>
      </w:r>
    </w:p>
    <w:p w14:paraId="7E58A30D" w14:textId="79EF2A3C" w:rsidR="00331ED0" w:rsidRPr="00331ED0" w:rsidRDefault="00331ED0" w:rsidP="00204604">
      <w:pPr>
        <w:spacing w:line="360" w:lineRule="auto"/>
        <w:jc w:val="both"/>
        <w:rPr>
          <w:rFonts w:ascii="Arial" w:hAnsi="Arial" w:cs="Arial"/>
        </w:rPr>
      </w:pPr>
      <w:r w:rsidRPr="00331ED0">
        <w:rPr>
          <w:rFonts w:ascii="Arial" w:hAnsi="Arial" w:cs="Arial"/>
        </w:rPr>
        <w:t xml:space="preserve">Gender relates to the socially constructed characteristics, assumptions, and norms society attributes to women and men and is considered a primary descriptor of masculinity and femininity (Pryzgoda and Chrisler, 2000; Perry, 2016; World Health Organisation, 2025). The term sex relates to biological factors, and sex categories are binary as it only considers male or female (Joel and Fine, 2022; Kaufman, Eschliman, and Karver, 2023), which indicates the distinction between describing someone as woman or female. The Welsh Government (2023) and Biggs (2024) state gender </w:t>
      </w:r>
      <w:r w:rsidRPr="00331ED0">
        <w:rPr>
          <w:rFonts w:ascii="Arial" w:hAnsi="Arial" w:cs="Arial"/>
        </w:rPr>
        <w:lastRenderedPageBreak/>
        <w:t xml:space="preserve">identity refers to an individual’s opinion of their gender, which may differ from their registered sex at birth. The </w:t>
      </w:r>
      <w:r w:rsidRPr="00331ED0">
        <w:rPr>
          <w:rFonts w:ascii="Arial" w:hAnsi="Arial" w:cs="Arial"/>
          <w:i/>
          <w:iCs/>
        </w:rPr>
        <w:t>Equality Act 2010</w:t>
      </w:r>
      <w:r w:rsidRPr="00331ED0">
        <w:rPr>
          <w:rFonts w:ascii="Arial" w:hAnsi="Arial" w:cs="Arial"/>
        </w:rPr>
        <w:t xml:space="preserve"> defines gender as biological sex, categorising individuals as a man or woman. Recently, in April 2025, the UK Supreme Court in For Women Scotland Ltd vs The Scottish Ministers, declared the legal definition of a woman is based upon biological sex, </w:t>
      </w:r>
      <w:r w:rsidR="00DC4ADC" w:rsidRPr="00204604">
        <w:rPr>
          <w:rFonts w:ascii="Arial" w:hAnsi="Arial" w:cs="Arial"/>
        </w:rPr>
        <w:t xml:space="preserve">due to </w:t>
      </w:r>
      <w:r w:rsidRPr="00331ED0">
        <w:rPr>
          <w:rFonts w:ascii="Arial" w:hAnsi="Arial" w:cs="Arial"/>
        </w:rPr>
        <w:t xml:space="preserve">their interpretation of the protected characteristic of sex in the </w:t>
      </w:r>
      <w:r w:rsidRPr="00331ED0">
        <w:rPr>
          <w:rFonts w:ascii="Arial" w:hAnsi="Arial" w:cs="Arial"/>
          <w:i/>
          <w:iCs/>
        </w:rPr>
        <w:t>Equality Act 2010</w:t>
      </w:r>
      <w:r w:rsidRPr="00331ED0">
        <w:rPr>
          <w:rFonts w:ascii="Arial" w:hAnsi="Arial" w:cs="Arial"/>
        </w:rPr>
        <w:t xml:space="preserve"> (BBC, 2025; CIPD, 2025; House of Commons, 2025). This decision was developed from the </w:t>
      </w:r>
      <w:r w:rsidRPr="00331ED0">
        <w:rPr>
          <w:rFonts w:ascii="Arial" w:hAnsi="Arial" w:cs="Arial"/>
          <w:i/>
          <w:iCs/>
        </w:rPr>
        <w:t>Sex Discrimination Act 1975</w:t>
      </w:r>
      <w:r w:rsidRPr="00331ED0">
        <w:rPr>
          <w:rFonts w:ascii="Arial" w:hAnsi="Arial" w:cs="Arial"/>
        </w:rPr>
        <w:t xml:space="preserve">, as the terms man and woman were used throughout this Act to distinguish between the sex groups, and in the </w:t>
      </w:r>
      <w:r w:rsidRPr="00331ED0">
        <w:rPr>
          <w:rFonts w:ascii="Arial" w:hAnsi="Arial" w:cs="Arial"/>
          <w:i/>
          <w:iCs/>
        </w:rPr>
        <w:t>Equality Act 2010</w:t>
      </w:r>
      <w:r w:rsidRPr="00331ED0">
        <w:rPr>
          <w:rFonts w:ascii="Arial" w:hAnsi="Arial" w:cs="Arial"/>
        </w:rPr>
        <w:t>, no perceived indication on the modification of the meaning of man and woman was discovered (The Supreme Court, 2025). Therefore, as this judgement is recent, the implications require further research, but this decision is likely to influence sex and gender discrimination in the UK (Anderson, 2025), acknowledging how definitions used to legislate gender are important in achieving or impeding gender equality. </w:t>
      </w:r>
    </w:p>
    <w:p w14:paraId="29743744" w14:textId="17128E3D" w:rsidR="00331ED0" w:rsidRPr="00331ED0" w:rsidRDefault="00331ED0" w:rsidP="00204604">
      <w:pPr>
        <w:spacing w:line="360" w:lineRule="auto"/>
        <w:jc w:val="both"/>
        <w:rPr>
          <w:rFonts w:ascii="Arial" w:hAnsi="Arial" w:cs="Arial"/>
        </w:rPr>
      </w:pPr>
      <w:r w:rsidRPr="00331ED0">
        <w:rPr>
          <w:rFonts w:ascii="Arial" w:hAnsi="Arial" w:cs="Arial"/>
        </w:rPr>
        <w:t xml:space="preserve">Perry (2016) and Richardson (2020) addressed gender as having been redefined and reinterpreted in accordance with changing social, medical, and legal interpretations throughout historical periods. In support, Eisenberg </w:t>
      </w:r>
      <w:r w:rsidRPr="00331ED0">
        <w:rPr>
          <w:rFonts w:ascii="Arial" w:hAnsi="Arial" w:cs="Arial"/>
          <w:i/>
          <w:iCs/>
        </w:rPr>
        <w:t>et al.</w:t>
      </w:r>
      <w:r w:rsidRPr="00331ED0">
        <w:rPr>
          <w:rFonts w:ascii="Arial" w:hAnsi="Arial" w:cs="Arial"/>
        </w:rPr>
        <w:t xml:space="preserve"> (2017) and Tripp and Munson (2021) illustrate gender labels might not have definitive meaning and depend on individual interpretation. This draws upon Munroe Beardsley who considered the meaning of a definition as a statement which restricts meaning through isolation and uniqueness (Barker, 1997). In addition, Pryzgoda and Chrisler (2000) and Brown </w:t>
      </w:r>
      <w:r w:rsidRPr="00331ED0">
        <w:rPr>
          <w:rFonts w:ascii="Arial" w:hAnsi="Arial" w:cs="Arial"/>
          <w:i/>
          <w:iCs/>
        </w:rPr>
        <w:t>et al.</w:t>
      </w:r>
      <w:r w:rsidRPr="00331ED0">
        <w:rPr>
          <w:rFonts w:ascii="Arial" w:hAnsi="Arial" w:cs="Arial"/>
        </w:rPr>
        <w:t xml:space="preserve"> (2015) analysed the uncertainty some participants experience regarding the terminology of gender and sex, as political correctness and hidden narratives might cause individuals fear of misgendering or biased assumptions. Nevertheless, Clarke (2022) and Joel and Fine (2022) state the need for an appropriate definition of a woman is essential in gender legislation and policies, which could be juxtaposed by individuals’ rights to gender equality and self-determination. Kennelly, Merz, and Lorber (2001) and Priyashantha, De Alwis, and Welmilla (2021) expressed transforming gender stereotypes may be simpler when considering socially constructed norms compared to biological predispositions of gender roles. Understanding gender definitions could be challenging, as it requires individuals and society to become open-minded, while ensuring people are protected from discrimination, which might require further discussion. </w:t>
      </w:r>
    </w:p>
    <w:p w14:paraId="6A78E3D2" w14:textId="07071EE8" w:rsidR="00331ED0" w:rsidRPr="00331ED0" w:rsidRDefault="00331ED0" w:rsidP="00204604">
      <w:pPr>
        <w:spacing w:line="360" w:lineRule="auto"/>
        <w:jc w:val="both"/>
        <w:rPr>
          <w:rFonts w:ascii="Arial" w:hAnsi="Arial" w:cs="Arial"/>
        </w:rPr>
      </w:pPr>
      <w:r w:rsidRPr="00331ED0">
        <w:rPr>
          <w:rFonts w:ascii="Arial" w:hAnsi="Arial" w:cs="Arial"/>
        </w:rPr>
        <w:lastRenderedPageBreak/>
        <w:t xml:space="preserve">Nevertheless, Conway, Bourque, and Scott (1987) and Lindqvist, Sendén, and Renström (2021) addressed binary gender systems that obscure the complex social and cultural influences </w:t>
      </w:r>
      <w:r w:rsidR="00C20657" w:rsidRPr="00204604">
        <w:rPr>
          <w:rFonts w:ascii="Arial" w:hAnsi="Arial" w:cs="Arial"/>
        </w:rPr>
        <w:t>which</w:t>
      </w:r>
      <w:r w:rsidRPr="00331ED0">
        <w:rPr>
          <w:rFonts w:ascii="Arial" w:hAnsi="Arial" w:cs="Arial"/>
        </w:rPr>
        <w:t xml:space="preserve"> inform gender dynamics,</w:t>
      </w:r>
      <w:r w:rsidR="00C20657" w:rsidRPr="00204604">
        <w:rPr>
          <w:rFonts w:ascii="Arial" w:hAnsi="Arial" w:cs="Arial"/>
        </w:rPr>
        <w:t xml:space="preserve"> </w:t>
      </w:r>
      <w:r w:rsidRPr="00331ED0">
        <w:rPr>
          <w:rFonts w:ascii="Arial" w:hAnsi="Arial" w:cs="Arial"/>
        </w:rPr>
        <w:t>could portray m</w:t>
      </w:r>
      <w:r w:rsidR="00C20657" w:rsidRPr="00204604">
        <w:rPr>
          <w:rFonts w:ascii="Arial" w:hAnsi="Arial" w:cs="Arial"/>
        </w:rPr>
        <w:t>e</w:t>
      </w:r>
      <w:r w:rsidRPr="00331ED0">
        <w:rPr>
          <w:rFonts w:ascii="Arial" w:hAnsi="Arial" w:cs="Arial"/>
        </w:rPr>
        <w:t>n and wom</w:t>
      </w:r>
      <w:r w:rsidR="00C20657" w:rsidRPr="00204604">
        <w:rPr>
          <w:rFonts w:ascii="Arial" w:hAnsi="Arial" w:cs="Arial"/>
        </w:rPr>
        <w:t>e</w:t>
      </w:r>
      <w:r w:rsidRPr="00331ED0">
        <w:rPr>
          <w:rFonts w:ascii="Arial" w:hAnsi="Arial" w:cs="Arial"/>
        </w:rPr>
        <w:t xml:space="preserve">n on an unequal hierarchical order. In support, Udry’s construction of gendered behaviour regarded masculinity and femininity as unequal statuses in the social order (Kennelly, Merz, and Lorber, 2001), which is further addressed by Simone de Beauvoir, who claimed women are inessential compared to men, as the status of women is continuously on the verge of becoming (Barker, 1997). Furthermore, the World Health Organisation (2025) stated, because of the gender hierarchy, inequalities form, as Redhead and Power (2022) and Kaufman, Eschliman, and Karver (2023) stated gender is a social determinant in dictating access to power and opportunities. In addition, Gerda Lerner (1975) articulated women and men may be indoctrinated in conducting their lives within a male-defined value system, </w:t>
      </w:r>
      <w:r w:rsidR="008C1ABD" w:rsidRPr="00204604">
        <w:rPr>
          <w:rFonts w:ascii="Arial" w:hAnsi="Arial" w:cs="Arial"/>
        </w:rPr>
        <w:t xml:space="preserve">as </w:t>
      </w:r>
      <w:r w:rsidRPr="00331ED0">
        <w:rPr>
          <w:rFonts w:ascii="Arial" w:hAnsi="Arial" w:cs="Arial"/>
        </w:rPr>
        <w:t xml:space="preserve">society aims to categorise women while considering men the measure of significance. Therefore, acknowledging the hidden interwoven historical prejudice </w:t>
      </w:r>
      <w:r w:rsidR="008C1ABD" w:rsidRPr="00204604">
        <w:rPr>
          <w:rFonts w:ascii="Arial" w:hAnsi="Arial" w:cs="Arial"/>
        </w:rPr>
        <w:t>toward</w:t>
      </w:r>
      <w:r w:rsidRPr="00331ED0">
        <w:rPr>
          <w:rFonts w:ascii="Arial" w:hAnsi="Arial" w:cs="Arial"/>
        </w:rPr>
        <w:t xml:space="preserve"> gender is informative in achieving gender equality, and ensuring everyone has their identity represented. </w:t>
      </w:r>
    </w:p>
    <w:p w14:paraId="3AC8F15D" w14:textId="77777777" w:rsidR="00331ED0" w:rsidRPr="00331ED0" w:rsidRDefault="00331ED0" w:rsidP="00204604">
      <w:pPr>
        <w:spacing w:line="360" w:lineRule="auto"/>
        <w:jc w:val="both"/>
        <w:rPr>
          <w:rFonts w:ascii="Arial" w:hAnsi="Arial" w:cs="Arial"/>
        </w:rPr>
      </w:pPr>
      <w:r w:rsidRPr="00331ED0">
        <w:rPr>
          <w:rFonts w:ascii="Arial" w:hAnsi="Arial" w:cs="Arial"/>
        </w:rPr>
        <w:t xml:space="preserve">Some countries have increased measures of social acceptance, as supported in Mazzuca </w:t>
      </w:r>
      <w:r w:rsidRPr="00331ED0">
        <w:rPr>
          <w:rFonts w:ascii="Arial" w:hAnsi="Arial" w:cs="Arial"/>
          <w:i/>
          <w:iCs/>
        </w:rPr>
        <w:t xml:space="preserve">et al., </w:t>
      </w:r>
      <w:r w:rsidRPr="00331ED0">
        <w:rPr>
          <w:rFonts w:ascii="Arial" w:hAnsi="Arial" w:cs="Arial"/>
        </w:rPr>
        <w:t>(2023), indicating the diverse global opinion on gender which could influence politics, cultures, and individuals’ beliefs. In the United States of America, the Trump administration defines gender on biological classification and only recognises female and male sex (Richardson, 2020; Wendling and Epstein, 2025). With Western and non-Western power hierarchies, acknowledging America’s legal definition and narrative on gender could be influential as digital technology progresses in the twenty-first century, which requires additional discussions (Agius, 2021; Fernandez and Menon, 2022). The research presents a simplified overview of the depiction of gender in the twenty-first century. While further research is needed to form an appropriate opinion, for this essay, the definition of a woman is inclusive to all individuals who identify with this gender. </w:t>
      </w:r>
    </w:p>
    <w:p w14:paraId="49E06336" w14:textId="77777777" w:rsidR="00331ED0" w:rsidRPr="00331ED0" w:rsidRDefault="00331ED0" w:rsidP="00204604">
      <w:pPr>
        <w:spacing w:line="360" w:lineRule="auto"/>
        <w:jc w:val="both"/>
        <w:rPr>
          <w:rFonts w:ascii="Arial" w:hAnsi="Arial" w:cs="Arial"/>
        </w:rPr>
      </w:pPr>
    </w:p>
    <w:p w14:paraId="404AF412" w14:textId="77777777" w:rsidR="00331ED0" w:rsidRPr="00204604" w:rsidRDefault="00331ED0" w:rsidP="00204604">
      <w:pPr>
        <w:pStyle w:val="Heading1"/>
        <w:spacing w:line="360" w:lineRule="auto"/>
        <w:jc w:val="both"/>
        <w:rPr>
          <w:rFonts w:ascii="Arial" w:hAnsi="Arial" w:cs="Arial"/>
          <w:b/>
          <w:bCs/>
          <w:color w:val="auto"/>
          <w:sz w:val="24"/>
          <w:szCs w:val="24"/>
        </w:rPr>
      </w:pPr>
      <w:bookmarkStart w:id="2" w:name="_Toc222069515"/>
      <w:r w:rsidRPr="00204604">
        <w:rPr>
          <w:rFonts w:ascii="Arial" w:hAnsi="Arial" w:cs="Arial"/>
          <w:b/>
          <w:bCs/>
          <w:color w:val="auto"/>
          <w:sz w:val="24"/>
          <w:szCs w:val="24"/>
        </w:rPr>
        <w:t>Definition: Disability</w:t>
      </w:r>
      <w:bookmarkEnd w:id="2"/>
      <w:r w:rsidRPr="00204604">
        <w:rPr>
          <w:rFonts w:ascii="Arial" w:hAnsi="Arial" w:cs="Arial"/>
          <w:b/>
          <w:bCs/>
          <w:color w:val="auto"/>
          <w:sz w:val="24"/>
          <w:szCs w:val="24"/>
        </w:rPr>
        <w:t> </w:t>
      </w:r>
    </w:p>
    <w:p w14:paraId="16822E22" w14:textId="69C45DEB" w:rsidR="00331ED0" w:rsidRPr="00331ED0" w:rsidRDefault="00331ED0" w:rsidP="00204604">
      <w:pPr>
        <w:spacing w:line="360" w:lineRule="auto"/>
        <w:jc w:val="both"/>
        <w:rPr>
          <w:rFonts w:ascii="Arial" w:hAnsi="Arial" w:cs="Arial"/>
        </w:rPr>
      </w:pPr>
      <w:r w:rsidRPr="00331ED0">
        <w:rPr>
          <w:rFonts w:ascii="Arial" w:hAnsi="Arial" w:cs="Arial"/>
        </w:rPr>
        <w:t xml:space="preserve">The term disability addresses a broad variety of impairments (Leonardi </w:t>
      </w:r>
      <w:r w:rsidRPr="00331ED0">
        <w:rPr>
          <w:rFonts w:ascii="Arial" w:hAnsi="Arial" w:cs="Arial"/>
          <w:i/>
          <w:iCs/>
        </w:rPr>
        <w:t>et al.,</w:t>
      </w:r>
      <w:r w:rsidRPr="00331ED0">
        <w:rPr>
          <w:rFonts w:ascii="Arial" w:hAnsi="Arial" w:cs="Arial"/>
        </w:rPr>
        <w:t xml:space="preserve"> 2006; Swain </w:t>
      </w:r>
      <w:r w:rsidRPr="00331ED0">
        <w:rPr>
          <w:rFonts w:ascii="Arial" w:hAnsi="Arial" w:cs="Arial"/>
          <w:i/>
          <w:iCs/>
        </w:rPr>
        <w:t>et al.,</w:t>
      </w:r>
      <w:r w:rsidRPr="00331ED0">
        <w:rPr>
          <w:rFonts w:ascii="Arial" w:hAnsi="Arial" w:cs="Arial"/>
        </w:rPr>
        <w:t xml:space="preserve"> 2013) including physical, psychosocial, intellectual, and sensory </w:t>
      </w:r>
      <w:r w:rsidRPr="00331ED0">
        <w:rPr>
          <w:rFonts w:ascii="Arial" w:hAnsi="Arial" w:cs="Arial"/>
        </w:rPr>
        <w:lastRenderedPageBreak/>
        <w:t xml:space="preserve">(Disability Rights UK, 2021; UN Women, 2025). Disabilities could be genetic or acquired, in addition to visible or invisible, encompassing the spectrum of impairments individuals could have or develop (Pawłowska-Cyprysiak and Konarska, 2013; Moriña, 2024). In the </w:t>
      </w:r>
      <w:r w:rsidRPr="00331ED0">
        <w:rPr>
          <w:rFonts w:ascii="Arial" w:hAnsi="Arial" w:cs="Arial"/>
          <w:i/>
          <w:iCs/>
        </w:rPr>
        <w:t>Equality Act 2010</w:t>
      </w:r>
      <w:r w:rsidRPr="00331ED0">
        <w:rPr>
          <w:rFonts w:ascii="Arial" w:hAnsi="Arial" w:cs="Arial"/>
        </w:rPr>
        <w:t>, a disability could be substantial, causing challenges with simple daily tasks, or long-term, defined as 12 months or longer. Grönvik (2009) and Chan and Hutchings (2023) stated a disability could pose restrictions to everyday activities, supported by Pawłowska-Cyprysiak and Konarska (2013) and Kapsalis, Jaeger, and Hale (2024) who addressed disabilities could impact an individual's participation in work and society, in addition to well-being and quality of life, which is discussed further in this essay. Furthermore, Withers (2024) and Ladau (2025) acknowledged the importance of people first, people with disabilities, and identity first language, disabled person, when discussing an individual’s disability, respecting individual’s preferences in achieving inclusive practices.</w:t>
      </w:r>
    </w:p>
    <w:p w14:paraId="1B308ECB" w14:textId="77777777" w:rsidR="00331ED0" w:rsidRPr="00331ED0" w:rsidRDefault="00331ED0" w:rsidP="00204604">
      <w:pPr>
        <w:spacing w:line="360" w:lineRule="auto"/>
        <w:jc w:val="both"/>
        <w:rPr>
          <w:rFonts w:ascii="Arial" w:hAnsi="Arial" w:cs="Arial"/>
        </w:rPr>
      </w:pPr>
      <w:r w:rsidRPr="00331ED0">
        <w:rPr>
          <w:rFonts w:ascii="Arial" w:hAnsi="Arial" w:cs="Arial"/>
        </w:rPr>
        <w:t xml:space="preserve">Disability Rights UK (2021) and Withers (2024) expressed disability might not be considered a fixed category, as changing criteria dependant on social, cultural, and political context defines whether an individual is considered disabled, which Grönvik (2009) addresses could produce diverse outcomes, as the legal definitions of disability might vary from societal perceptions. United Nations (2025a) addressed people with disabilities who could experience increased discrimination compared to able-bodied individuals. In addition, McRuer’s crip theory states contrasting opinions on able-bodied and disabled individuals should be reconsidered in favour of analysing disability and accessibility with interest to the majority (Karlsson and Rydström, 2023), because disability could happen to anyone (Lalush, 2023). The social model of disability considers the environmental and societal influences which construct disability, as disability is due to interaction with the environment compared to the disability itself (Altman, 2014; Patel and Brown, 2017). United Nations Convention on the Rights of Persons with Disabilities (2006) recognises that disability could be influenced by interactions, attitudes, and environmental barriers which prevent equal participation alongside others in society (United Nations, 2006). In support, Mitra (2022) states social environments might not consider the different abilities of human bodies in designing, which emphasises Lalush (2023) addressing the future planning government should undertake to ensure society is suitable for all possible disabilities. Furthermore, disability feminism draws upon this concept, as activists educate on the </w:t>
      </w:r>
      <w:r w:rsidRPr="00331ED0">
        <w:rPr>
          <w:rFonts w:ascii="Arial" w:hAnsi="Arial" w:cs="Arial"/>
        </w:rPr>
        <w:lastRenderedPageBreak/>
        <w:t xml:space="preserve">disabling environments and social structures which might promote exclusion (Christoffersen and Emejulu, 2022). Nevertheless, the medical model of disability emphasises medical diagnosis and advocates for interventions and cures for disabilities (Patel and Brown, 2017; Dwyer </w:t>
      </w:r>
      <w:r w:rsidRPr="00331ED0">
        <w:rPr>
          <w:rFonts w:ascii="Arial" w:hAnsi="Arial" w:cs="Arial"/>
          <w:i/>
          <w:iCs/>
        </w:rPr>
        <w:t>et al.,</w:t>
      </w:r>
      <w:r w:rsidRPr="00331ED0">
        <w:rPr>
          <w:rFonts w:ascii="Arial" w:hAnsi="Arial" w:cs="Arial"/>
        </w:rPr>
        <w:t xml:space="preserve"> 2024). However, Collins and Bilge (2020) addressed medical models that might assume the identity of individuals, for example, race, gender, and sexuality, presenting a biased assumption of the effectiveness of medical treatment. In contrast, Brisenden (1998) stated while this model could be necessary in medication treatment, the experiences of disabled people should outweigh the observations of medical experts, which Sum </w:t>
      </w:r>
      <w:r w:rsidRPr="00331ED0">
        <w:rPr>
          <w:rFonts w:ascii="Arial" w:hAnsi="Arial" w:cs="Arial"/>
          <w:i/>
          <w:iCs/>
        </w:rPr>
        <w:t>et al.</w:t>
      </w:r>
      <w:r w:rsidRPr="00331ED0">
        <w:rPr>
          <w:rFonts w:ascii="Arial" w:hAnsi="Arial" w:cs="Arial"/>
        </w:rPr>
        <w:t xml:space="preserve"> (2022) positions as disability justice. Therefore, for this essay, disabilities are defined as impairments which may cause challenges in everyday life, both in the home and in society. </w:t>
      </w:r>
    </w:p>
    <w:p w14:paraId="30E2BD51" w14:textId="77777777" w:rsidR="00331ED0" w:rsidRPr="00331ED0" w:rsidRDefault="00331ED0" w:rsidP="00204604">
      <w:pPr>
        <w:spacing w:line="360" w:lineRule="auto"/>
        <w:jc w:val="both"/>
        <w:rPr>
          <w:rFonts w:ascii="Arial" w:hAnsi="Arial" w:cs="Arial"/>
        </w:rPr>
      </w:pPr>
    </w:p>
    <w:p w14:paraId="05858F6A" w14:textId="77777777" w:rsidR="00331ED0" w:rsidRPr="00204604" w:rsidRDefault="00331ED0" w:rsidP="00204604">
      <w:pPr>
        <w:pStyle w:val="Heading1"/>
        <w:spacing w:line="360" w:lineRule="auto"/>
        <w:jc w:val="both"/>
        <w:rPr>
          <w:rFonts w:ascii="Arial" w:hAnsi="Arial" w:cs="Arial"/>
          <w:b/>
          <w:bCs/>
          <w:color w:val="auto"/>
          <w:sz w:val="24"/>
          <w:szCs w:val="24"/>
        </w:rPr>
      </w:pPr>
      <w:bookmarkStart w:id="3" w:name="_Toc222069516"/>
      <w:r w:rsidRPr="00204604">
        <w:rPr>
          <w:rFonts w:ascii="Arial" w:hAnsi="Arial" w:cs="Arial"/>
          <w:b/>
          <w:bCs/>
          <w:color w:val="auto"/>
          <w:sz w:val="24"/>
          <w:szCs w:val="24"/>
        </w:rPr>
        <w:t>Distinct silos</w:t>
      </w:r>
      <w:bookmarkEnd w:id="3"/>
    </w:p>
    <w:p w14:paraId="6FDB97D1" w14:textId="174394DB" w:rsidR="00331ED0" w:rsidRPr="00331ED0" w:rsidRDefault="00331ED0" w:rsidP="00204604">
      <w:pPr>
        <w:spacing w:line="360" w:lineRule="auto"/>
        <w:jc w:val="both"/>
        <w:rPr>
          <w:rFonts w:ascii="Arial" w:hAnsi="Arial" w:cs="Arial"/>
        </w:rPr>
      </w:pPr>
      <w:r w:rsidRPr="00331ED0">
        <w:rPr>
          <w:rFonts w:ascii="Arial" w:hAnsi="Arial" w:cs="Arial"/>
        </w:rPr>
        <w:t xml:space="preserve">Bento, Tagliabue, and Lorenzo (2020) stated silos may become barriers to open communication and knowledge between groups, reducing collaboration between organisations, which Silberman </w:t>
      </w:r>
      <w:r w:rsidRPr="00331ED0">
        <w:rPr>
          <w:rFonts w:ascii="Arial" w:hAnsi="Arial" w:cs="Arial"/>
          <w:i/>
          <w:iCs/>
        </w:rPr>
        <w:t>et al.</w:t>
      </w:r>
      <w:r w:rsidRPr="00331ED0">
        <w:rPr>
          <w:rFonts w:ascii="Arial" w:hAnsi="Arial" w:cs="Arial"/>
        </w:rPr>
        <w:t xml:space="preserve"> (2022) stated could be broadened to include an array of experiences, interactions, and interventions to enhance inclusivity. Gender and disability may be considered distinct silos as Vaidya (2015) addressed disability rights and women’s rights movement advocates separately, indicating organisations might not consider intersectionality. In support, charities and organisations, for example, Disability Rights UK and Sense, support all individuals with disabilities (Disability Rights UK, 2026; Sense, 2026), however, Women Enabled International has a focused mission on supporting and advocating for WWD (Women Enabled International, 2026), indicating further research is needed into the organisations and charities worldwide to confirm</w:t>
      </w:r>
      <w:r w:rsidR="00B343EE" w:rsidRPr="00204604">
        <w:rPr>
          <w:rFonts w:ascii="Arial" w:hAnsi="Arial" w:cs="Arial"/>
        </w:rPr>
        <w:t xml:space="preserve"> if an intersectional approach is adopted</w:t>
      </w:r>
      <w:r w:rsidRPr="00331ED0">
        <w:rPr>
          <w:rFonts w:ascii="Arial" w:hAnsi="Arial" w:cs="Arial"/>
        </w:rPr>
        <w:t>. Vaidya (2015) and Saxe (2017) state WWD could be devalued and discriminat</w:t>
      </w:r>
      <w:r w:rsidR="00F24525" w:rsidRPr="00204604">
        <w:rPr>
          <w:rFonts w:ascii="Arial" w:hAnsi="Arial" w:cs="Arial"/>
        </w:rPr>
        <w:t xml:space="preserve">ed </w:t>
      </w:r>
      <w:r w:rsidRPr="00331ED0">
        <w:rPr>
          <w:rFonts w:ascii="Arial" w:hAnsi="Arial" w:cs="Arial"/>
        </w:rPr>
        <w:t xml:space="preserve">against due to their gender and disability, and WWD may experience their gender differently compared to an able-bodied woman. This is supported by the United Nations Convention on the Rights of Persons with Disabilities (2006) </w:t>
      </w:r>
      <w:r w:rsidR="00F24525" w:rsidRPr="00204604">
        <w:rPr>
          <w:rFonts w:ascii="Arial" w:hAnsi="Arial" w:cs="Arial"/>
        </w:rPr>
        <w:t xml:space="preserve">which </w:t>
      </w:r>
      <w:r w:rsidRPr="00331ED0">
        <w:rPr>
          <w:rFonts w:ascii="Arial" w:hAnsi="Arial" w:cs="Arial"/>
        </w:rPr>
        <w:t xml:space="preserve">identified WWD are subjected to multiple discriminations due to their identity (United Nations, 2006). Therefore, it represents WWD may be considered as having distinct identities, and support and </w:t>
      </w:r>
      <w:r w:rsidRPr="00331ED0">
        <w:rPr>
          <w:rFonts w:ascii="Arial" w:hAnsi="Arial" w:cs="Arial"/>
        </w:rPr>
        <w:lastRenderedPageBreak/>
        <w:t>resources are available to both groups, however, some challenges may be better addressed when considering an intersection approach. </w:t>
      </w:r>
    </w:p>
    <w:p w14:paraId="565C239C" w14:textId="77777777" w:rsidR="00331ED0" w:rsidRPr="00331ED0" w:rsidRDefault="00331ED0" w:rsidP="00204604">
      <w:pPr>
        <w:spacing w:line="360" w:lineRule="auto"/>
        <w:jc w:val="both"/>
        <w:rPr>
          <w:rFonts w:ascii="Arial" w:hAnsi="Arial" w:cs="Arial"/>
        </w:rPr>
      </w:pPr>
    </w:p>
    <w:p w14:paraId="27CF0D16" w14:textId="77777777" w:rsidR="00331ED0" w:rsidRPr="00204604" w:rsidRDefault="00331ED0" w:rsidP="00204604">
      <w:pPr>
        <w:pStyle w:val="Heading1"/>
        <w:spacing w:line="360" w:lineRule="auto"/>
        <w:jc w:val="both"/>
        <w:rPr>
          <w:rFonts w:ascii="Arial" w:hAnsi="Arial" w:cs="Arial"/>
          <w:b/>
          <w:bCs/>
          <w:color w:val="auto"/>
          <w:sz w:val="24"/>
          <w:szCs w:val="24"/>
        </w:rPr>
      </w:pPr>
      <w:bookmarkStart w:id="4" w:name="_Toc222069517"/>
      <w:r w:rsidRPr="00204604">
        <w:rPr>
          <w:rFonts w:ascii="Arial" w:hAnsi="Arial" w:cs="Arial"/>
          <w:b/>
          <w:bCs/>
          <w:color w:val="auto"/>
          <w:sz w:val="24"/>
          <w:szCs w:val="24"/>
        </w:rPr>
        <w:t>Definition: Intersectionality</w:t>
      </w:r>
      <w:bookmarkEnd w:id="4"/>
      <w:r w:rsidRPr="00204604">
        <w:rPr>
          <w:rFonts w:ascii="Arial" w:hAnsi="Arial" w:cs="Arial"/>
          <w:b/>
          <w:bCs/>
          <w:color w:val="auto"/>
          <w:sz w:val="24"/>
          <w:szCs w:val="24"/>
        </w:rPr>
        <w:t> </w:t>
      </w:r>
    </w:p>
    <w:p w14:paraId="4D35D0AB" w14:textId="38F5FCC2" w:rsidR="00331ED0" w:rsidRPr="00331ED0" w:rsidRDefault="00331ED0" w:rsidP="00204604">
      <w:pPr>
        <w:spacing w:line="360" w:lineRule="auto"/>
        <w:jc w:val="both"/>
        <w:rPr>
          <w:rFonts w:ascii="Arial" w:hAnsi="Arial" w:cs="Arial"/>
        </w:rPr>
      </w:pPr>
      <w:r w:rsidRPr="00331ED0">
        <w:rPr>
          <w:rFonts w:ascii="Arial" w:hAnsi="Arial" w:cs="Arial"/>
        </w:rPr>
        <w:t xml:space="preserve">Kimberlé Crenshaw introduced intersectionality because she argued, in some instances, the experience of discrimination as a Black woman was not based on race and gender, but as an intersection of the two identities (Levon, 2015). Crenshaw stated possible solutions were undermined through sustained resistance or solidarity between the two groups (Carbado </w:t>
      </w:r>
      <w:r w:rsidRPr="00331ED0">
        <w:rPr>
          <w:rFonts w:ascii="Arial" w:hAnsi="Arial" w:cs="Arial"/>
          <w:i/>
          <w:iCs/>
        </w:rPr>
        <w:t xml:space="preserve">et al., </w:t>
      </w:r>
      <w:r w:rsidRPr="00331ED0">
        <w:rPr>
          <w:rFonts w:ascii="Arial" w:hAnsi="Arial" w:cs="Arial"/>
        </w:rPr>
        <w:t>2014). Intersectionality p</w:t>
      </w:r>
      <w:r w:rsidR="00525AF4" w:rsidRPr="00204604">
        <w:rPr>
          <w:rFonts w:ascii="Arial" w:hAnsi="Arial" w:cs="Arial"/>
        </w:rPr>
        <w:t>ro</w:t>
      </w:r>
      <w:r w:rsidRPr="00331ED0">
        <w:rPr>
          <w:rFonts w:ascii="Arial" w:hAnsi="Arial" w:cs="Arial"/>
        </w:rPr>
        <w:t xml:space="preserve">poses individuals could encounter unique experiences of their identities despite another person holding the same identities (Saxe, 2017; UN Women, 2025). Intersectionality emphasises the differences in someone’s identity which present social inequalities as indivisible and interdependent from another (Brown and Moloney, 2018; Christoffersen and Emejulu, 2022), as gender, race, disabilities, age, class, and religion, could interact with one another, and create discrimination and inequalities (Hodge, Davies, and Furlong, 2019). Intersectionality </w:t>
      </w:r>
      <w:r w:rsidR="00525AF4" w:rsidRPr="00204604">
        <w:rPr>
          <w:rFonts w:ascii="Arial" w:hAnsi="Arial" w:cs="Arial"/>
        </w:rPr>
        <w:t>could be positioned as an</w:t>
      </w:r>
      <w:r w:rsidRPr="00331ED0">
        <w:rPr>
          <w:rFonts w:ascii="Arial" w:hAnsi="Arial" w:cs="Arial"/>
        </w:rPr>
        <w:t xml:space="preserve"> analytical framework that examines the intersecting power dynamics of individuals positioning and social systems (Lu, 2025), and without acknowledging the similarities and differences between groups, research and policies may exclude strategies which could improve equity (Al-Faham, Davis, and Ernst, 2019). Esposito (2023) stated humans are unable to be divided by their personal identities or backgrounds and should be viewed as a whole individual. Thomas </w:t>
      </w:r>
      <w:r w:rsidRPr="00331ED0">
        <w:rPr>
          <w:rFonts w:ascii="Arial" w:hAnsi="Arial" w:cs="Arial"/>
          <w:i/>
          <w:iCs/>
        </w:rPr>
        <w:t>et al.</w:t>
      </w:r>
      <w:r w:rsidRPr="00331ED0">
        <w:rPr>
          <w:rFonts w:ascii="Arial" w:hAnsi="Arial" w:cs="Arial"/>
        </w:rPr>
        <w:t xml:space="preserve"> (2021) stated through understanding intersectionality, individuals can examine the additional facets some individual identities contend with, as McCall (2005) and Collins (2015) stated intersectionality provides a narrow insight into specific constructed social groups and identities, while broadly examining alternative intersections. </w:t>
      </w:r>
    </w:p>
    <w:p w14:paraId="24931B7F" w14:textId="60AE6D61" w:rsidR="00331ED0" w:rsidRPr="00331ED0" w:rsidRDefault="00331ED0" w:rsidP="00204604">
      <w:pPr>
        <w:spacing w:line="360" w:lineRule="auto"/>
        <w:jc w:val="both"/>
        <w:rPr>
          <w:rFonts w:ascii="Arial" w:hAnsi="Arial" w:cs="Arial"/>
        </w:rPr>
      </w:pPr>
      <w:r w:rsidRPr="00331ED0">
        <w:rPr>
          <w:rFonts w:ascii="Arial" w:hAnsi="Arial" w:cs="Arial"/>
        </w:rPr>
        <w:t xml:space="preserve">Historical perspectives on inequalities could influence the opinion individuals and societies hold on groups with these characteristics, despite current legislation including the </w:t>
      </w:r>
      <w:r w:rsidRPr="00331ED0">
        <w:rPr>
          <w:rFonts w:ascii="Arial" w:hAnsi="Arial" w:cs="Arial"/>
          <w:i/>
          <w:iCs/>
        </w:rPr>
        <w:t xml:space="preserve">Equality Act 2010 </w:t>
      </w:r>
      <w:r w:rsidRPr="00331ED0">
        <w:rPr>
          <w:rFonts w:ascii="Arial" w:hAnsi="Arial" w:cs="Arial"/>
        </w:rPr>
        <w:t>(United Nations, 2025b). However, Davis (2022) illustrated older generations could be more inclined to learn about social issues with an intersectional approach which incorporates their identities, except Nugin and Kalmus (2018) acknowledged the complexity of individual and generational beliefs</w:t>
      </w:r>
      <w:r w:rsidR="00525AF4" w:rsidRPr="00204604">
        <w:rPr>
          <w:rFonts w:ascii="Arial" w:hAnsi="Arial" w:cs="Arial"/>
        </w:rPr>
        <w:t>,</w:t>
      </w:r>
      <w:r w:rsidRPr="00331ED0">
        <w:rPr>
          <w:rFonts w:ascii="Arial" w:hAnsi="Arial" w:cs="Arial"/>
        </w:rPr>
        <w:t xml:space="preserve"> </w:t>
      </w:r>
      <w:r w:rsidRPr="00331ED0">
        <w:rPr>
          <w:rFonts w:ascii="Arial" w:hAnsi="Arial" w:cs="Arial"/>
        </w:rPr>
        <w:lastRenderedPageBreak/>
        <w:t xml:space="preserve">which require further analysis with reference to intersectionality. Nevertheless, Davis (2020) illustrates through the globalisation of intersectionality; the theory could be perceived to have diverged from its intended purpose. This view is supported by Turcios </w:t>
      </w:r>
      <w:r w:rsidRPr="00331ED0">
        <w:rPr>
          <w:rFonts w:ascii="Arial" w:hAnsi="Arial" w:cs="Arial"/>
          <w:i/>
          <w:iCs/>
        </w:rPr>
        <w:t>et al.</w:t>
      </w:r>
      <w:r w:rsidRPr="00331ED0">
        <w:rPr>
          <w:rFonts w:ascii="Arial" w:hAnsi="Arial" w:cs="Arial"/>
        </w:rPr>
        <w:t xml:space="preserve"> (2025), as some researchers may apply a holistic approach to intersectionality without consideration to the intended purpose. In addition, intersectionality may be depicted as an additive model, where inequalities are added or removed without representing an intersection (Esposito, 2023). This interpretation considers essentialist ideas about inequalities and personal identities, and views intersectionality as ever-changing and non-restrictive (Christoffersen and Emejulu, 2022). Furthermore, Foley (2019) and Bohren </w:t>
      </w:r>
      <w:r w:rsidRPr="00331ED0">
        <w:rPr>
          <w:rFonts w:ascii="Arial" w:hAnsi="Arial" w:cs="Arial"/>
          <w:i/>
          <w:iCs/>
        </w:rPr>
        <w:t>et al.</w:t>
      </w:r>
      <w:r w:rsidRPr="00331ED0">
        <w:rPr>
          <w:rFonts w:ascii="Arial" w:hAnsi="Arial" w:cs="Arial"/>
        </w:rPr>
        <w:t xml:space="preserve"> (2024) states intersectionality might not provide an adequate explanation for the fundamental cause of the inequality, as inequalities might not always be considered equal, requiring various analytical approaches to overcome each individual intersection. Nevertheless, Davis (2008) and Tinner </w:t>
      </w:r>
      <w:r w:rsidRPr="00331ED0">
        <w:rPr>
          <w:rFonts w:ascii="Arial" w:hAnsi="Arial" w:cs="Arial"/>
          <w:i/>
          <w:iCs/>
        </w:rPr>
        <w:t>et al.</w:t>
      </w:r>
      <w:r w:rsidRPr="00331ED0">
        <w:rPr>
          <w:rFonts w:ascii="Arial" w:hAnsi="Arial" w:cs="Arial"/>
        </w:rPr>
        <w:t xml:space="preserve"> (2023) state intersectionality could be developed with a coherent conceptual framework to adequately and effectively address the complexity of inequalities. Therefore, the research presented in this essay could be viewed as a divergence from the intended purpose of intersectionality. However, connections between gender and disabilities are likely, and research should explore this further to understand if WWD encounters inequalities which might be overlooked or ignored. </w:t>
      </w:r>
    </w:p>
    <w:p w14:paraId="59C10B41" w14:textId="77777777" w:rsidR="00DF4A5A" w:rsidRPr="00204604" w:rsidRDefault="00DF4A5A" w:rsidP="00204604">
      <w:pPr>
        <w:spacing w:line="360" w:lineRule="auto"/>
        <w:jc w:val="both"/>
        <w:rPr>
          <w:rFonts w:ascii="Arial" w:hAnsi="Arial" w:cs="Arial"/>
        </w:rPr>
      </w:pPr>
    </w:p>
    <w:p w14:paraId="3A9295C7" w14:textId="152223B8" w:rsidR="00331ED0" w:rsidRPr="00204604" w:rsidRDefault="00331ED0" w:rsidP="00204604">
      <w:pPr>
        <w:pStyle w:val="Heading1"/>
        <w:spacing w:line="360" w:lineRule="auto"/>
        <w:jc w:val="both"/>
        <w:rPr>
          <w:rFonts w:ascii="Arial" w:hAnsi="Arial" w:cs="Arial"/>
          <w:b/>
          <w:bCs/>
          <w:color w:val="auto"/>
          <w:sz w:val="24"/>
          <w:szCs w:val="24"/>
        </w:rPr>
      </w:pPr>
      <w:bookmarkStart w:id="5" w:name="_Toc222069518"/>
      <w:r w:rsidRPr="00204604">
        <w:rPr>
          <w:rFonts w:ascii="Arial" w:hAnsi="Arial" w:cs="Arial"/>
          <w:b/>
          <w:bCs/>
          <w:color w:val="auto"/>
          <w:sz w:val="24"/>
          <w:szCs w:val="24"/>
        </w:rPr>
        <w:t>Employment</w:t>
      </w:r>
      <w:bookmarkEnd w:id="5"/>
      <w:r w:rsidRPr="00204604">
        <w:rPr>
          <w:rFonts w:ascii="Arial" w:hAnsi="Arial" w:cs="Arial"/>
          <w:b/>
          <w:bCs/>
          <w:color w:val="auto"/>
          <w:sz w:val="24"/>
          <w:szCs w:val="24"/>
        </w:rPr>
        <w:t> </w:t>
      </w:r>
    </w:p>
    <w:p w14:paraId="2488C770" w14:textId="14A02506" w:rsidR="00331ED0" w:rsidRPr="00331ED0" w:rsidRDefault="00331ED0" w:rsidP="00204604">
      <w:pPr>
        <w:spacing w:line="360" w:lineRule="auto"/>
        <w:jc w:val="both"/>
        <w:rPr>
          <w:rFonts w:ascii="Arial" w:hAnsi="Arial" w:cs="Arial"/>
        </w:rPr>
      </w:pPr>
      <w:r w:rsidRPr="00331ED0">
        <w:rPr>
          <w:rFonts w:ascii="Arial" w:hAnsi="Arial" w:cs="Arial"/>
        </w:rPr>
        <w:t>Through underrepresentation of WWD in managerial professions, prejudicial attitudes and stereotypes could arise, which could perpetuate the gender gap in career opportunities for WWD (Lindstrom and Benz, 2002; Brown and Moloney, 2018). In support, Hanlon and Taylor (2022) addressed people with disabilities experiencing lower employment rates and receiving fewer management and leadership opportunities</w:t>
      </w:r>
      <w:r w:rsidR="00525AF4" w:rsidRPr="00204604">
        <w:rPr>
          <w:rFonts w:ascii="Arial" w:hAnsi="Arial" w:cs="Arial"/>
        </w:rPr>
        <w:t>,</w:t>
      </w:r>
      <w:r w:rsidRPr="00331ED0">
        <w:rPr>
          <w:rFonts w:ascii="Arial" w:hAnsi="Arial" w:cs="Arial"/>
        </w:rPr>
        <w:t xml:space="preserve"> could inadvertently influence employers’ perception of people with disabilities in senior positions. The FCDO Disability Inclusion and Rights Strategy 2022-2030 </w:t>
      </w:r>
      <w:r w:rsidR="00011976" w:rsidRPr="00204604">
        <w:rPr>
          <w:rFonts w:ascii="Arial" w:hAnsi="Arial" w:cs="Arial"/>
        </w:rPr>
        <w:t>outline</w:t>
      </w:r>
      <w:r w:rsidRPr="00331ED0">
        <w:rPr>
          <w:rFonts w:ascii="Arial" w:hAnsi="Arial" w:cs="Arial"/>
        </w:rPr>
        <w:t xml:space="preserve"> the aim to dismantle exclusionary practices and laws which prevent people with disabilities </w:t>
      </w:r>
      <w:r w:rsidR="00011976" w:rsidRPr="00204604">
        <w:rPr>
          <w:rFonts w:ascii="Arial" w:hAnsi="Arial" w:cs="Arial"/>
        </w:rPr>
        <w:t xml:space="preserve">from </w:t>
      </w:r>
      <w:r w:rsidRPr="00331ED0">
        <w:rPr>
          <w:rFonts w:ascii="Arial" w:hAnsi="Arial" w:cs="Arial"/>
        </w:rPr>
        <w:t xml:space="preserve">equal participation in society, and increase visibility, choice, and voice of disabled people (Foreign, Commonwealth &amp; Development Office, 2022). This strategy has been partially reaffirmed in 2024 (UK Parliament, 2025), </w:t>
      </w:r>
      <w:r w:rsidRPr="00331ED0">
        <w:rPr>
          <w:rFonts w:ascii="Arial" w:hAnsi="Arial" w:cs="Arial"/>
        </w:rPr>
        <w:lastRenderedPageBreak/>
        <w:t xml:space="preserve">which indicates changes in government, political parties, and politicians influence the progress of inclusive practices. Societal expectations and stereotypes on women’s careers and participation in the workplace could influence WWD exclusion from certain occupations (Nosek </w:t>
      </w:r>
      <w:r w:rsidRPr="00331ED0">
        <w:rPr>
          <w:rFonts w:ascii="Arial" w:hAnsi="Arial" w:cs="Arial"/>
          <w:i/>
          <w:iCs/>
        </w:rPr>
        <w:t>et al.,</w:t>
      </w:r>
      <w:r w:rsidRPr="00331ED0">
        <w:rPr>
          <w:rFonts w:ascii="Arial" w:hAnsi="Arial" w:cs="Arial"/>
        </w:rPr>
        <w:t xml:space="preserve"> 2003; Moodley and Graham, 2015). In addition, social cognitive career theory evaluates the external variables which influence an individual's careers, identifying people with disabilities could restrict their interest field due to the absence of opportunities or visibility in education or work (Lindstrom and Benz, 2002). However, career development theory states there could be multitude of factors influencing an individual’s occupational aspirations and career unrelated to their identity or social norms (Lindstrom and Benz, 2002). Nevertheless, O’Hara (2004) and Duignan </w:t>
      </w:r>
      <w:r w:rsidRPr="00331ED0">
        <w:rPr>
          <w:rFonts w:ascii="Arial" w:hAnsi="Arial" w:cs="Arial"/>
          <w:i/>
          <w:iCs/>
        </w:rPr>
        <w:t>et al.</w:t>
      </w:r>
      <w:r w:rsidRPr="00331ED0">
        <w:rPr>
          <w:rFonts w:ascii="Arial" w:hAnsi="Arial" w:cs="Arial"/>
        </w:rPr>
        <w:t xml:space="preserve"> (2023) stated improving society's perception and norms regarding disabilities could mitigate the discrimination and prejudice beliefs society relates to WWD. Gottfredson argued young children hold positive opinions of various occupations, but in maturing, children and young people reduce and limit their career opportunities based on their self-concept (Lindstrom and Benz, 2002). In addition, Rosemarie Garland Thomson’s the normate illustrates the idealised standards of ability that contrasts with disability</w:t>
      </w:r>
      <w:r w:rsidR="004B469C" w:rsidRPr="00204604">
        <w:rPr>
          <w:rFonts w:ascii="Arial" w:hAnsi="Arial" w:cs="Arial"/>
        </w:rPr>
        <w:t>,</w:t>
      </w:r>
      <w:r w:rsidRPr="00331ED0">
        <w:rPr>
          <w:rFonts w:ascii="Arial" w:hAnsi="Arial" w:cs="Arial"/>
        </w:rPr>
        <w:t xml:space="preserve"> as society has not deemed this individual powerful or authoritative (Reynolds, 2019). Allocating formal inclusion training and raising awareness of disabilities could promote the dismantling of biases towards WWD (Hanlon and Taylor, 2022), allowing for younger generations to develop increased belief in their identity. This draws upon the empowerment model as it suggests individuals are unable to become self-sufficient, despite removal of physical barriers as social challenges may remain (O’Hara, 2004), as Nguyen (2020) addressed negative attitudes and stereotypes about disabilities start from an absence of knowledge. In support, the Curriculum for Wales aims to educate young people on respecting individuals’ identities and understand how their actions could influence society (Welsh Government, 2022). However, Saran </w:t>
      </w:r>
      <w:r w:rsidRPr="00331ED0">
        <w:rPr>
          <w:rFonts w:ascii="Arial" w:hAnsi="Arial" w:cs="Arial"/>
          <w:i/>
          <w:iCs/>
        </w:rPr>
        <w:t>et al.</w:t>
      </w:r>
      <w:r w:rsidRPr="00331ED0">
        <w:rPr>
          <w:rFonts w:ascii="Arial" w:hAnsi="Arial" w:cs="Arial"/>
        </w:rPr>
        <w:t xml:space="preserve"> (2023) states the effectiveness of inclusive practices might not consider gender differences and the intersectionality between the two identities in achieving gender equality, requiring further research into possible inclusive interventions. Therefore, WWD experiences barriers to employment due to their disabilities, however, while the research presented might not specify gender, the results could be transferable in acknowledging the intersectional barriers to participation in the workplace.</w:t>
      </w:r>
    </w:p>
    <w:p w14:paraId="69145CC4" w14:textId="77777777" w:rsidR="00204604" w:rsidRDefault="00331ED0" w:rsidP="00204604">
      <w:pPr>
        <w:spacing w:line="360" w:lineRule="auto"/>
        <w:jc w:val="both"/>
        <w:rPr>
          <w:rFonts w:ascii="Arial" w:hAnsi="Arial" w:cs="Arial"/>
        </w:rPr>
      </w:pPr>
      <w:r w:rsidRPr="00331ED0">
        <w:rPr>
          <w:rFonts w:ascii="Arial" w:hAnsi="Arial" w:cs="Arial"/>
        </w:rPr>
        <w:lastRenderedPageBreak/>
        <w:t xml:space="preserve">In employment, there is a disability pay gap, as individuals with disabilities may be less likely to obtain managerial occupations or full-time jobs compared to those without disabilities (Chan and Hutchings, 2023). In the UK, the current disability pay gap between disabled and non-disabled individuals is 12.7%, which has not changed since 2014 (Office for National Statistics, 2024), illustrating 12 years pay disparity upheld under the UK government. In addition, Pawłowska-Cyprysiak and Konarska (2013), Pham </w:t>
      </w:r>
      <w:r w:rsidRPr="00331ED0">
        <w:rPr>
          <w:rFonts w:ascii="Arial" w:hAnsi="Arial" w:cs="Arial"/>
          <w:i/>
          <w:iCs/>
        </w:rPr>
        <w:t>et al.</w:t>
      </w:r>
      <w:r w:rsidRPr="00331ED0">
        <w:rPr>
          <w:rFonts w:ascii="Arial" w:hAnsi="Arial" w:cs="Arial"/>
        </w:rPr>
        <w:t xml:space="preserve"> (2020), and Hirano </w:t>
      </w:r>
      <w:r w:rsidRPr="00331ED0">
        <w:rPr>
          <w:rFonts w:ascii="Arial" w:hAnsi="Arial" w:cs="Arial"/>
          <w:i/>
          <w:iCs/>
        </w:rPr>
        <w:t>et al.</w:t>
      </w:r>
      <w:r w:rsidRPr="00331ED0">
        <w:rPr>
          <w:rFonts w:ascii="Arial" w:hAnsi="Arial" w:cs="Arial"/>
        </w:rPr>
        <w:t xml:space="preserve"> (2021) suggested WWD might earn less than women without disabilities, which could be due to prejudicial beliefs in the workplace regarding WWD with low expectations. In the UK, WWD receives a medium hourly pay of £13.11 compared to women without disabilities, £14.50 (Office for National Statistics, 2024), which, compared to the disability pay gap, this difference could seem positive in advocating for increased pay for all women. However, Pawłowska-Cyprysiak and Konarska (2013) stated WWD may be stereotyped as dependent and passive individuals who might not be capable of professional occupations, which is represented in the pay gap. Furthermore, WWD may be less likely to be employed compared to a man with disabilities (Brown and Moloney, 2018). However, Emmett and Alant (2006) illustrated that while WWD might be disadvantaged in employment opportunities compared to men with disabilities, the gender discrepancies were inconsistent. In the UK, the gender pay gap was 12.8% in April 2025 (Office of National Statistics, 2025), and considering the previous statistics on pay disparities, WWD are likely to encounter financial barriers when participating in society. However, Hodge, Davies, and Furlong (2019) recognised the possible flexibility women might require in their occupations, due to childcare or personal preferences, which could counter their career progress. Nevertheless, Levon (2015) explained that considering principles of dynamism, adopting a process-centered approach to intersectionality, could support the exploration of how policies and practices contribute to the inequality experienced by specific groups. This is in accordance with the Sustainable Development Goal 10</w:t>
      </w:r>
      <w:r w:rsidR="004B469C" w:rsidRPr="00204604">
        <w:rPr>
          <w:rFonts w:ascii="Arial" w:hAnsi="Arial" w:cs="Arial"/>
        </w:rPr>
        <w:t>, which</w:t>
      </w:r>
      <w:r w:rsidRPr="00331ED0">
        <w:rPr>
          <w:rFonts w:ascii="Arial" w:hAnsi="Arial" w:cs="Arial"/>
        </w:rPr>
        <w:t xml:space="preserve"> addresses the target of reducing inequalities by ensuring equal opportunities for all and removing discriminatory policies and practices (United Nations, 2012). Therefore, WWD in employment might encounter barriers to participating within their chosen occupation with pay gaps and biased assumptions on their capabilities. However, government published data acknowledges this disparity, and therefore, progress in achieving equality could be implemented, but further discussions are needed on applying an intersectional approach to achieve equality for WWD.</w:t>
      </w:r>
    </w:p>
    <w:p w14:paraId="1D79FDDB" w14:textId="123DD4AB" w:rsidR="00331ED0" w:rsidRPr="00204604" w:rsidRDefault="00331ED0" w:rsidP="00204604">
      <w:pPr>
        <w:spacing w:line="360" w:lineRule="auto"/>
        <w:jc w:val="both"/>
        <w:rPr>
          <w:rFonts w:ascii="Arial" w:hAnsi="Arial" w:cs="Arial"/>
        </w:rPr>
      </w:pPr>
      <w:r w:rsidRPr="00204604">
        <w:rPr>
          <w:rFonts w:ascii="Arial" w:hAnsi="Arial" w:cs="Arial"/>
          <w:b/>
          <w:bCs/>
        </w:rPr>
        <w:lastRenderedPageBreak/>
        <w:t>Healthcare  </w:t>
      </w:r>
    </w:p>
    <w:p w14:paraId="6C0C8569" w14:textId="5AF5E4A7" w:rsidR="00331ED0" w:rsidRPr="00331ED0" w:rsidRDefault="00331ED0" w:rsidP="00204604">
      <w:pPr>
        <w:spacing w:line="360" w:lineRule="auto"/>
        <w:jc w:val="both"/>
        <w:rPr>
          <w:rFonts w:ascii="Arial" w:hAnsi="Arial" w:cs="Arial"/>
        </w:rPr>
      </w:pPr>
      <w:r w:rsidRPr="00331ED0">
        <w:rPr>
          <w:rFonts w:ascii="Arial" w:hAnsi="Arial" w:cs="Arial"/>
        </w:rPr>
        <w:t xml:space="preserve">Devkota, Kett, and Groce (2019) and Matin </w:t>
      </w:r>
      <w:r w:rsidRPr="00331ED0">
        <w:rPr>
          <w:rFonts w:ascii="Arial" w:hAnsi="Arial" w:cs="Arial"/>
          <w:i/>
          <w:iCs/>
        </w:rPr>
        <w:t>et al.</w:t>
      </w:r>
      <w:r w:rsidRPr="00331ED0">
        <w:rPr>
          <w:rFonts w:ascii="Arial" w:hAnsi="Arial" w:cs="Arial"/>
        </w:rPr>
        <w:t xml:space="preserve"> (2021) stated WWD may encounter challenges from healthcare in preventive services, reproduction, pregnancy, and motherhood, which could demonstrate a cultural and societal norm. This is supported by Sakellariou and Rotarou (2017) who indicated WWD may experience inferior healthcare services and attitudes compared to able-bodied individuals, in addition to receiving low priority status due to pre-existing conditions. Furthermore, Frohmader and Ortoleva (2012) addressed WWD could be perceived as dependent and recipients of care, perpetuating the belief of an inability to care for children. In support, Reed (1999) and Nguyen (2020) indicated WWD may encounter sociocultural stereotypes due to social undesirability and impaired nurturance, which WWD might perceive influences their self-image and their position in society These myths and misconceptions are due to individual beliefs and attitudes, in addition to social and cultural norms (Rade </w:t>
      </w:r>
      <w:r w:rsidRPr="00331ED0">
        <w:rPr>
          <w:rFonts w:ascii="Arial" w:hAnsi="Arial" w:cs="Arial"/>
          <w:i/>
          <w:iCs/>
        </w:rPr>
        <w:t>et al.,</w:t>
      </w:r>
      <w:r w:rsidRPr="00331ED0">
        <w:rPr>
          <w:rFonts w:ascii="Arial" w:hAnsi="Arial" w:cs="Arial"/>
        </w:rPr>
        <w:t xml:space="preserve"> 2023), which could be influential in the opportunities and support WWD receive when starting a family (Ransohoff </w:t>
      </w:r>
      <w:r w:rsidRPr="00331ED0">
        <w:rPr>
          <w:rFonts w:ascii="Arial" w:hAnsi="Arial" w:cs="Arial"/>
          <w:i/>
          <w:iCs/>
        </w:rPr>
        <w:t>et al.,</w:t>
      </w:r>
      <w:r w:rsidRPr="00331ED0">
        <w:rPr>
          <w:rFonts w:ascii="Arial" w:hAnsi="Arial" w:cs="Arial"/>
        </w:rPr>
        <w:t xml:space="preserve"> 2022). </w:t>
      </w:r>
      <w:r w:rsidR="004B469C" w:rsidRPr="00331ED0">
        <w:rPr>
          <w:rFonts w:ascii="Arial" w:hAnsi="Arial" w:cs="Arial"/>
        </w:rPr>
        <w:t xml:space="preserve">Nosek </w:t>
      </w:r>
      <w:r w:rsidR="004B469C" w:rsidRPr="00331ED0">
        <w:rPr>
          <w:rFonts w:ascii="Arial" w:hAnsi="Arial" w:cs="Arial"/>
          <w:i/>
          <w:iCs/>
        </w:rPr>
        <w:t>et al.</w:t>
      </w:r>
      <w:r w:rsidR="004B469C" w:rsidRPr="00331ED0">
        <w:rPr>
          <w:rFonts w:ascii="Arial" w:hAnsi="Arial" w:cs="Arial"/>
        </w:rPr>
        <w:t xml:space="preserve"> (2003) and Brown </w:t>
      </w:r>
      <w:r w:rsidR="004B469C" w:rsidRPr="00331ED0">
        <w:rPr>
          <w:rFonts w:ascii="Arial" w:hAnsi="Arial" w:cs="Arial"/>
          <w:i/>
          <w:iCs/>
        </w:rPr>
        <w:t>et al.</w:t>
      </w:r>
      <w:r w:rsidR="004B469C" w:rsidRPr="00331ED0">
        <w:rPr>
          <w:rFonts w:ascii="Arial" w:hAnsi="Arial" w:cs="Arial"/>
        </w:rPr>
        <w:t xml:space="preserve"> (2022) illustrate mental health issues in WWD may occur because of physical and social barriers that cause challenges to their everyday life.</w:t>
      </w:r>
      <w:r w:rsidR="004B469C" w:rsidRPr="00204604">
        <w:rPr>
          <w:rFonts w:ascii="Arial" w:hAnsi="Arial" w:cs="Arial"/>
        </w:rPr>
        <w:t xml:space="preserve"> </w:t>
      </w:r>
      <w:r w:rsidRPr="00331ED0">
        <w:rPr>
          <w:rFonts w:ascii="Arial" w:hAnsi="Arial" w:cs="Arial"/>
        </w:rPr>
        <w:t xml:space="preserve">Furthermore, Powell (2022) stated uninformed health practitioners could influence WWD decision to become pregnant, as challenging WWD ability to raise children may be questioned. In addition, Silvers, Francis, and Badesch (2016) addressed WWD may have their pregnancies labelled high-risk, when their disabilities may not affect gynaecological ability, but Redshaw </w:t>
      </w:r>
      <w:r w:rsidRPr="00331ED0">
        <w:rPr>
          <w:rFonts w:ascii="Arial" w:hAnsi="Arial" w:cs="Arial"/>
          <w:i/>
          <w:iCs/>
        </w:rPr>
        <w:t>et al.</w:t>
      </w:r>
      <w:r w:rsidRPr="00331ED0">
        <w:rPr>
          <w:rFonts w:ascii="Arial" w:hAnsi="Arial" w:cs="Arial"/>
        </w:rPr>
        <w:t xml:space="preserve"> (2013) argued WWD could experience health complications during pregnancy, indicating the individual approach needed. This could encompass practices of ableism, which allocates privilege to able-bodied individuals and is an ingrained perception about perfect bodies, as disability stigma and biased assumptions might not be presented to women without disabilities (Jóhannsdóttir, Egilson, and Haraldsdóttir, 2022; Ransohoff </w:t>
      </w:r>
      <w:r w:rsidRPr="00331ED0">
        <w:rPr>
          <w:rFonts w:ascii="Arial" w:hAnsi="Arial" w:cs="Arial"/>
          <w:i/>
          <w:iCs/>
        </w:rPr>
        <w:t>et al.,</w:t>
      </w:r>
      <w:r w:rsidRPr="00331ED0">
        <w:rPr>
          <w:rFonts w:ascii="Arial" w:hAnsi="Arial" w:cs="Arial"/>
        </w:rPr>
        <w:t xml:space="preserve"> 2022; Biggs </w:t>
      </w:r>
      <w:r w:rsidRPr="00331ED0">
        <w:rPr>
          <w:rFonts w:ascii="Arial" w:hAnsi="Arial" w:cs="Arial"/>
          <w:i/>
          <w:iCs/>
        </w:rPr>
        <w:t>et al.,</w:t>
      </w:r>
      <w:r w:rsidRPr="00331ED0">
        <w:rPr>
          <w:rFonts w:ascii="Arial" w:hAnsi="Arial" w:cs="Arial"/>
        </w:rPr>
        <w:t xml:space="preserve"> 2023). Due to the inequalities in healthcare, WWD may experience dissatisfaction and an absence of trust towards medical professionals, indicating a barrier to motherhood (Malouf, Henderson, and Redshaw, 2017). However, Macgillivary (2025) addresses disability may not be an indicator of parenting abilities and encourages a strength-based approach that highlights the WWD needs compared to their limitations. In addition, Ayn Rand developed objectivism suggesting an individual’s well-being is </w:t>
      </w:r>
      <w:r w:rsidRPr="00331ED0">
        <w:rPr>
          <w:rFonts w:ascii="Arial" w:hAnsi="Arial" w:cs="Arial"/>
        </w:rPr>
        <w:lastRenderedPageBreak/>
        <w:t>more than their desires and emphasises the pursuit of happiness and individualism (Barnes, 2009)</w:t>
      </w:r>
      <w:r w:rsidR="009D55D2" w:rsidRPr="00204604">
        <w:rPr>
          <w:rFonts w:ascii="Arial" w:hAnsi="Arial" w:cs="Arial"/>
        </w:rPr>
        <w:t>.</w:t>
      </w:r>
      <w:r w:rsidRPr="00331ED0">
        <w:rPr>
          <w:rFonts w:ascii="Arial" w:hAnsi="Arial" w:cs="Arial"/>
        </w:rPr>
        <w:t xml:space="preserve"> Therefore, WWD should be provided with appropriate support to access healthcare services, and by analysing the intersection between women and disability, it could aid practitioners in acknowledging inequalities encountered by WWD. </w:t>
      </w:r>
    </w:p>
    <w:p w14:paraId="045BA4FB" w14:textId="27BE57E1" w:rsidR="00331ED0" w:rsidRPr="00204604" w:rsidRDefault="00331ED0" w:rsidP="00204604">
      <w:pPr>
        <w:spacing w:line="360" w:lineRule="auto"/>
        <w:jc w:val="both"/>
        <w:rPr>
          <w:rFonts w:ascii="Arial" w:hAnsi="Arial" w:cs="Arial"/>
        </w:rPr>
      </w:pPr>
      <w:r w:rsidRPr="00331ED0">
        <w:rPr>
          <w:rFonts w:ascii="Arial" w:hAnsi="Arial" w:cs="Arial"/>
        </w:rPr>
        <w:t xml:space="preserve">Furthermore, WWD might encounter compulsory sterilisation or contraception, as supported by Wu </w:t>
      </w:r>
      <w:r w:rsidRPr="00331ED0">
        <w:rPr>
          <w:rFonts w:ascii="Arial" w:hAnsi="Arial" w:cs="Arial"/>
          <w:i/>
          <w:iCs/>
        </w:rPr>
        <w:t>et al.</w:t>
      </w:r>
      <w:r w:rsidRPr="00331ED0">
        <w:rPr>
          <w:rFonts w:ascii="Arial" w:hAnsi="Arial" w:cs="Arial"/>
        </w:rPr>
        <w:t xml:space="preserve"> (2017) and Powell (2022). The United Nations (2017) addressed that some countries have legal systems which permit healthcare professionals and family members to consent to sterilisation or practitioner-controlled menstruation of WWD. Nevertheless, Cleghorn (2024) stated women experience medical bias, and </w:t>
      </w:r>
      <w:r w:rsidR="00E80AE9" w:rsidRPr="00204604">
        <w:rPr>
          <w:rFonts w:ascii="Arial" w:hAnsi="Arial" w:cs="Arial"/>
        </w:rPr>
        <w:t xml:space="preserve">could be </w:t>
      </w:r>
      <w:r w:rsidRPr="00331ED0">
        <w:rPr>
          <w:rFonts w:ascii="Arial" w:hAnsi="Arial" w:cs="Arial"/>
        </w:rPr>
        <w:t>ignored or dismissed in healthcare, which highlights an intersectional approach is beneficial in understanding the inequalities WWD encounter,</w:t>
      </w:r>
      <w:r w:rsidR="00E80AE9" w:rsidRPr="00204604">
        <w:rPr>
          <w:rFonts w:ascii="Arial" w:hAnsi="Arial" w:cs="Arial"/>
        </w:rPr>
        <w:t xml:space="preserve"> </w:t>
      </w:r>
      <w:r w:rsidR="005C303D" w:rsidRPr="00204604">
        <w:rPr>
          <w:rFonts w:ascii="Arial" w:hAnsi="Arial" w:cs="Arial"/>
        </w:rPr>
        <w:t xml:space="preserve">as </w:t>
      </w:r>
      <w:r w:rsidRPr="00331ED0">
        <w:rPr>
          <w:rFonts w:ascii="Arial" w:hAnsi="Arial" w:cs="Arial"/>
        </w:rPr>
        <w:t xml:space="preserve">gender equity has not yet been achieved. While Pérez-Curiel </w:t>
      </w:r>
      <w:r w:rsidRPr="00331ED0">
        <w:rPr>
          <w:rFonts w:ascii="Arial" w:hAnsi="Arial" w:cs="Arial"/>
          <w:i/>
          <w:iCs/>
        </w:rPr>
        <w:t>et al.</w:t>
      </w:r>
      <w:r w:rsidRPr="00331ED0">
        <w:rPr>
          <w:rFonts w:ascii="Arial" w:hAnsi="Arial" w:cs="Arial"/>
        </w:rPr>
        <w:t xml:space="preserve"> (2023) acknowledges the progress towards WWD rights recognition, Frohmader and Ortoleva (2012) states reproductive rights should be innate for everyone, as individuals have the right to informed decisions about their bodies, which WWD might not experience because of systemic prejudice and violations. In addition, this could be considered an education issue, as Ransohoff </w:t>
      </w:r>
      <w:r w:rsidRPr="00331ED0">
        <w:rPr>
          <w:rFonts w:ascii="Arial" w:hAnsi="Arial" w:cs="Arial"/>
          <w:i/>
          <w:iCs/>
        </w:rPr>
        <w:t>et al.</w:t>
      </w:r>
      <w:r w:rsidRPr="00331ED0">
        <w:rPr>
          <w:rFonts w:ascii="Arial" w:hAnsi="Arial" w:cs="Arial"/>
        </w:rPr>
        <w:t xml:space="preserve"> (2022) stated WWD might not receive equal information about sex or reproductive health education compared to able-bodied peers. In the </w:t>
      </w:r>
      <w:r w:rsidRPr="00331ED0">
        <w:rPr>
          <w:rFonts w:ascii="Arial" w:hAnsi="Arial" w:cs="Arial"/>
          <w:i/>
          <w:iCs/>
        </w:rPr>
        <w:t>Equality Act 2010</w:t>
      </w:r>
      <w:r w:rsidRPr="00331ED0">
        <w:rPr>
          <w:rFonts w:ascii="Arial" w:hAnsi="Arial" w:cs="Arial"/>
        </w:rPr>
        <w:t xml:space="preserve">, it enforces </w:t>
      </w:r>
      <w:r w:rsidR="0032150A" w:rsidRPr="00204604">
        <w:rPr>
          <w:rFonts w:ascii="Arial" w:hAnsi="Arial" w:cs="Arial"/>
        </w:rPr>
        <w:t xml:space="preserve">the </w:t>
      </w:r>
      <w:r w:rsidRPr="00331ED0">
        <w:rPr>
          <w:rFonts w:ascii="Arial" w:hAnsi="Arial" w:cs="Arial"/>
        </w:rPr>
        <w:t xml:space="preserve">anti-discriminatory </w:t>
      </w:r>
      <w:r w:rsidR="0032150A" w:rsidRPr="00204604">
        <w:rPr>
          <w:rFonts w:ascii="Arial" w:hAnsi="Arial" w:cs="Arial"/>
        </w:rPr>
        <w:t xml:space="preserve">policies </w:t>
      </w:r>
      <w:r w:rsidRPr="00331ED0">
        <w:rPr>
          <w:rFonts w:ascii="Arial" w:hAnsi="Arial" w:cs="Arial"/>
        </w:rPr>
        <w:t xml:space="preserve">practitioners should adopt to ensure WWD rights are upheld within health sectors. However, women without disabilities experience healthcare inequalities, due to marginalisation, gender bias, and sexism (Graham, 2023), indicating WWD encounters further barriers because of their disabilities. In addition, Silvers, Francis, and Badesch (2016) explained assumptions from healthcare professionals on WWD intelligence and decision-making could become a barrier to inclusion and acceptance. This could correlate with biased assumptions about WWD in managerial positions, as without seeing someone in positions of authority, some practitioners could view them as incapable. However, Malouf, Henderson, and Redshaw (2017) stated home care provided to WWD after birth was likely to be more responsive, however, Redshaw </w:t>
      </w:r>
      <w:r w:rsidRPr="00331ED0">
        <w:rPr>
          <w:rFonts w:ascii="Arial" w:hAnsi="Arial" w:cs="Arial"/>
          <w:i/>
          <w:iCs/>
        </w:rPr>
        <w:t>et al.</w:t>
      </w:r>
      <w:r w:rsidRPr="00331ED0">
        <w:rPr>
          <w:rFonts w:ascii="Arial" w:hAnsi="Arial" w:cs="Arial"/>
        </w:rPr>
        <w:t xml:space="preserve"> (2013) stated the care received could be dependent on the disability of the woman. In addition, Sakellariou </w:t>
      </w:r>
      <w:r w:rsidRPr="00331ED0">
        <w:rPr>
          <w:rFonts w:ascii="Arial" w:hAnsi="Arial" w:cs="Arial"/>
          <w:i/>
          <w:iCs/>
        </w:rPr>
        <w:t>et al.</w:t>
      </w:r>
      <w:r w:rsidRPr="00331ED0">
        <w:rPr>
          <w:rFonts w:ascii="Arial" w:hAnsi="Arial" w:cs="Arial"/>
        </w:rPr>
        <w:t xml:space="preserve"> (2019) suggested some healthcare professionals may be unwilling to change their practice or emphasise with the disabled person. </w:t>
      </w:r>
      <w:r w:rsidRPr="00331ED0">
        <w:rPr>
          <w:rFonts w:ascii="Arial" w:hAnsi="Arial" w:cs="Arial"/>
        </w:rPr>
        <w:lastRenderedPageBreak/>
        <w:t xml:space="preserve">Nevertheless, the </w:t>
      </w:r>
      <w:r w:rsidRPr="00331ED0">
        <w:rPr>
          <w:rFonts w:ascii="Arial" w:hAnsi="Arial" w:cs="Arial"/>
          <w:i/>
          <w:iCs/>
        </w:rPr>
        <w:t>Care Act 2014</w:t>
      </w:r>
      <w:r w:rsidRPr="00331ED0">
        <w:rPr>
          <w:rFonts w:ascii="Arial" w:hAnsi="Arial" w:cs="Arial"/>
        </w:rPr>
        <w:t xml:space="preserve"> states person-centered care should be provided to individuals, and they should be included within the decision-making process, promoting an inclusive practice. Therefore, </w:t>
      </w:r>
      <w:r w:rsidR="004C146C" w:rsidRPr="00204604">
        <w:rPr>
          <w:rFonts w:ascii="Arial" w:hAnsi="Arial" w:cs="Arial"/>
        </w:rPr>
        <w:t xml:space="preserve">an </w:t>
      </w:r>
      <w:r w:rsidRPr="00331ED0">
        <w:rPr>
          <w:rFonts w:ascii="Arial" w:hAnsi="Arial" w:cs="Arial"/>
        </w:rPr>
        <w:t>intersectional approach to healthcare is likely to present inequalities for WWD, as gender and disability may continue to be a barrier, indicating WWD might not achieve equity if their intersections continue to be marginalised.  </w:t>
      </w:r>
    </w:p>
    <w:p w14:paraId="084C7AED" w14:textId="77777777" w:rsidR="00BD5E3C" w:rsidRPr="00331ED0" w:rsidRDefault="00BD5E3C" w:rsidP="00204604">
      <w:pPr>
        <w:spacing w:line="360" w:lineRule="auto"/>
        <w:jc w:val="both"/>
        <w:rPr>
          <w:rFonts w:ascii="Arial" w:hAnsi="Arial" w:cs="Arial"/>
        </w:rPr>
      </w:pPr>
    </w:p>
    <w:p w14:paraId="4AD4E8C8" w14:textId="77777777" w:rsidR="00331ED0" w:rsidRPr="00204604" w:rsidRDefault="00331ED0" w:rsidP="00204604">
      <w:pPr>
        <w:pStyle w:val="Heading1"/>
        <w:spacing w:line="360" w:lineRule="auto"/>
        <w:jc w:val="both"/>
        <w:rPr>
          <w:rFonts w:ascii="Arial" w:hAnsi="Arial" w:cs="Arial"/>
          <w:b/>
          <w:bCs/>
          <w:color w:val="auto"/>
          <w:sz w:val="24"/>
          <w:szCs w:val="24"/>
        </w:rPr>
      </w:pPr>
      <w:bookmarkStart w:id="6" w:name="_Toc222069519"/>
      <w:r w:rsidRPr="00204604">
        <w:rPr>
          <w:rFonts w:ascii="Arial" w:hAnsi="Arial" w:cs="Arial"/>
          <w:b/>
          <w:bCs/>
          <w:color w:val="auto"/>
          <w:sz w:val="24"/>
          <w:szCs w:val="24"/>
        </w:rPr>
        <w:t>Conclusion</w:t>
      </w:r>
      <w:bookmarkEnd w:id="6"/>
      <w:r w:rsidRPr="00204604">
        <w:rPr>
          <w:rFonts w:ascii="Arial" w:hAnsi="Arial" w:cs="Arial"/>
          <w:b/>
          <w:bCs/>
          <w:color w:val="auto"/>
          <w:sz w:val="24"/>
          <w:szCs w:val="24"/>
        </w:rPr>
        <w:t> </w:t>
      </w:r>
    </w:p>
    <w:p w14:paraId="6AE84518" w14:textId="7C54D226" w:rsidR="00331ED0" w:rsidRDefault="00331ED0" w:rsidP="00204604">
      <w:pPr>
        <w:spacing w:line="360" w:lineRule="auto"/>
        <w:jc w:val="both"/>
        <w:rPr>
          <w:rFonts w:ascii="Arial" w:hAnsi="Arial" w:cs="Arial"/>
        </w:rPr>
      </w:pPr>
      <w:r w:rsidRPr="00204604">
        <w:rPr>
          <w:rFonts w:ascii="Arial" w:hAnsi="Arial" w:cs="Arial"/>
        </w:rPr>
        <w:t>To conclude, the research suggests WWD may experience inequalities within employment and healthcare, and this could affect their inclination to participate in society and their sense of belonging. Governments have acknowledged the disparities encountered by women and disabled people, showing while intersectionality might not be considered, these groups are likely to receive some support and legal discrimination protection. However, th</w:t>
      </w:r>
      <w:r w:rsidR="004C146C" w:rsidRPr="00204604">
        <w:rPr>
          <w:rFonts w:ascii="Arial" w:hAnsi="Arial" w:cs="Arial"/>
        </w:rPr>
        <w:t>r</w:t>
      </w:r>
      <w:r w:rsidRPr="00204604">
        <w:rPr>
          <w:rFonts w:ascii="Arial" w:hAnsi="Arial" w:cs="Arial"/>
        </w:rPr>
        <w:t>ough considering intersectionality, practitioners, researchers, organisation leaders, and government officials, could further understand the exclusion WWD experience in society and adapt inclusive policies and practices to ensure all are protected and able to participate.</w:t>
      </w:r>
    </w:p>
    <w:p w14:paraId="288A1139" w14:textId="77777777" w:rsidR="00D1758D" w:rsidRDefault="00D1758D" w:rsidP="00204604">
      <w:pPr>
        <w:spacing w:line="360" w:lineRule="auto"/>
        <w:jc w:val="both"/>
        <w:rPr>
          <w:rFonts w:ascii="Arial" w:hAnsi="Arial" w:cs="Arial"/>
        </w:rPr>
      </w:pPr>
    </w:p>
    <w:p w14:paraId="10E17777" w14:textId="34B0CE0C" w:rsidR="00D1758D" w:rsidRDefault="00D1758D">
      <w:pPr>
        <w:rPr>
          <w:rFonts w:ascii="Arial" w:hAnsi="Arial" w:cs="Arial"/>
        </w:rPr>
      </w:pPr>
      <w:r>
        <w:rPr>
          <w:rFonts w:ascii="Arial" w:hAnsi="Arial" w:cs="Arial"/>
        </w:rPr>
        <w:br w:type="page"/>
      </w:r>
    </w:p>
    <w:p w14:paraId="7DDD7693" w14:textId="723710D9" w:rsidR="00D1758D" w:rsidRDefault="00D1758D" w:rsidP="00D1758D">
      <w:pPr>
        <w:pStyle w:val="Heading1"/>
        <w:rPr>
          <w:rFonts w:ascii="Arial" w:hAnsi="Arial" w:cs="Arial"/>
          <w:b/>
          <w:bCs/>
          <w:color w:val="auto"/>
          <w:sz w:val="24"/>
          <w:szCs w:val="24"/>
        </w:rPr>
      </w:pPr>
      <w:bookmarkStart w:id="7" w:name="_Toc222069520"/>
      <w:r w:rsidRPr="00D1758D">
        <w:rPr>
          <w:rFonts w:ascii="Arial" w:hAnsi="Arial" w:cs="Arial"/>
          <w:b/>
          <w:bCs/>
          <w:color w:val="auto"/>
          <w:sz w:val="24"/>
          <w:szCs w:val="24"/>
        </w:rPr>
        <w:lastRenderedPageBreak/>
        <w:t>Reference list</w:t>
      </w:r>
      <w:bookmarkEnd w:id="7"/>
    </w:p>
    <w:p w14:paraId="603C2F83" w14:textId="77777777" w:rsidR="00D1758D" w:rsidRPr="00D1758D" w:rsidRDefault="00D1758D" w:rsidP="00D1758D"/>
    <w:p w14:paraId="52F8BB2B"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Agius, C. (2021) ‘‘This is not who we are’: Gendered bordering practices, ontological insecurity, and lines of continuity under the Trump presidency’, </w:t>
      </w:r>
      <w:r w:rsidRPr="00D1758D">
        <w:rPr>
          <w:rFonts w:ascii="Arial" w:eastAsia="Times New Roman" w:hAnsi="Arial" w:cs="Arial"/>
          <w:i/>
          <w:iCs/>
          <w:color w:val="000000"/>
          <w:kern w:val="0"/>
          <w:lang w:eastAsia="en-GB"/>
          <w14:ligatures w14:val="none"/>
        </w:rPr>
        <w:t>Review of International Studies</w:t>
      </w:r>
      <w:r w:rsidRPr="00D1758D">
        <w:rPr>
          <w:rFonts w:ascii="Arial" w:eastAsia="Times New Roman" w:hAnsi="Arial" w:cs="Arial"/>
          <w:color w:val="000000"/>
          <w:kern w:val="0"/>
          <w:lang w:eastAsia="en-GB"/>
          <w14:ligatures w14:val="none"/>
        </w:rPr>
        <w:t>, 48(2), pp. 385-402. Available at: https://doi.org/10.1017/S0260210521000590 </w:t>
      </w:r>
    </w:p>
    <w:p w14:paraId="2B315596"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1EAD23BA"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Al-Faham, H., Davis, A.M. and Ernst, R. (2019) ‘Intersectionality: From Theory to Practice’, </w:t>
      </w:r>
      <w:r w:rsidRPr="00D1758D">
        <w:rPr>
          <w:rFonts w:ascii="Arial" w:eastAsia="Times New Roman" w:hAnsi="Arial" w:cs="Arial"/>
          <w:i/>
          <w:iCs/>
          <w:color w:val="000000"/>
          <w:kern w:val="0"/>
          <w:lang w:eastAsia="en-GB"/>
          <w14:ligatures w14:val="none"/>
        </w:rPr>
        <w:t>Annual Review of Law and Social Science</w:t>
      </w:r>
      <w:r w:rsidRPr="00D1758D">
        <w:rPr>
          <w:rFonts w:ascii="Arial" w:eastAsia="Times New Roman" w:hAnsi="Arial" w:cs="Arial"/>
          <w:color w:val="000000"/>
          <w:kern w:val="0"/>
          <w:lang w:eastAsia="en-GB"/>
          <w14:ligatures w14:val="none"/>
        </w:rPr>
        <w:t>, 15, pp. 247-265. Available at: https://doi.org/10.1146/annurev-lawsocsci-101518-042942 </w:t>
      </w:r>
    </w:p>
    <w:p w14:paraId="73404DF1"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04FAF94F"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Altman, B.M. (2014) ‘Definitions, concepts, and measures of disability’, </w:t>
      </w:r>
      <w:r w:rsidRPr="00D1758D">
        <w:rPr>
          <w:rFonts w:ascii="Arial" w:eastAsia="Times New Roman" w:hAnsi="Arial" w:cs="Arial"/>
          <w:i/>
          <w:iCs/>
          <w:color w:val="000000"/>
          <w:kern w:val="0"/>
          <w:lang w:eastAsia="en-GB"/>
          <w14:ligatures w14:val="none"/>
        </w:rPr>
        <w:t>Annals of Epidemiology,</w:t>
      </w:r>
      <w:r w:rsidRPr="00D1758D">
        <w:rPr>
          <w:rFonts w:ascii="Arial" w:eastAsia="Times New Roman" w:hAnsi="Arial" w:cs="Arial"/>
          <w:color w:val="000000"/>
          <w:kern w:val="0"/>
          <w:lang w:eastAsia="en-GB"/>
          <w14:ligatures w14:val="none"/>
        </w:rPr>
        <w:t xml:space="preserve"> 24(1), pp. 2-7. Available at: https://doi.org/10.1016/j.annepidem.2013.05.018 </w:t>
      </w:r>
    </w:p>
    <w:p w14:paraId="2B3B0EC3"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13B2181F"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Anderson, K. (2025) </w:t>
      </w:r>
      <w:r w:rsidRPr="00D1758D">
        <w:rPr>
          <w:rFonts w:ascii="Arial" w:eastAsia="Times New Roman" w:hAnsi="Arial" w:cs="Arial"/>
          <w:i/>
          <w:iCs/>
          <w:color w:val="000000"/>
          <w:kern w:val="0"/>
          <w:lang w:eastAsia="en-GB"/>
          <w14:ligatures w14:val="none"/>
        </w:rPr>
        <w:t xml:space="preserve">For Women Scotland Ltd v The Scottish Ministers – what are the legal and practical implications for </w:t>
      </w:r>
      <w:proofErr w:type="gramStart"/>
      <w:r w:rsidRPr="00D1758D">
        <w:rPr>
          <w:rFonts w:ascii="Arial" w:eastAsia="Times New Roman" w:hAnsi="Arial" w:cs="Arial"/>
          <w:i/>
          <w:iCs/>
          <w:color w:val="000000"/>
          <w:kern w:val="0"/>
          <w:lang w:eastAsia="en-GB"/>
          <w14:ligatures w14:val="none"/>
        </w:rPr>
        <w:t>employers?.</w:t>
      </w:r>
      <w:proofErr w:type="gramEnd"/>
      <w:r w:rsidRPr="00D1758D">
        <w:rPr>
          <w:rFonts w:ascii="Arial" w:eastAsia="Times New Roman" w:hAnsi="Arial" w:cs="Arial"/>
          <w:i/>
          <w:iCs/>
          <w:color w:val="000000"/>
          <w:kern w:val="0"/>
          <w:lang w:eastAsia="en-GB"/>
          <w14:ligatures w14:val="none"/>
        </w:rPr>
        <w:t xml:space="preserve"> </w:t>
      </w:r>
      <w:r w:rsidRPr="00D1758D">
        <w:rPr>
          <w:rFonts w:ascii="Arial" w:eastAsia="Times New Roman" w:hAnsi="Arial" w:cs="Arial"/>
          <w:color w:val="000000"/>
          <w:kern w:val="0"/>
          <w:lang w:eastAsia="en-GB"/>
          <w14:ligatures w14:val="none"/>
        </w:rPr>
        <w:t>Available at: https://www.3pb.co.uk/content/uploads/For-Women-Scotland-Ltd-v-The-Scottish-Ministers-%E2%80%93-what-are-the-legal-and-practical-implications-for-employers-by-Katherine-Anderson.pdf (Accessed: 12 February 2026). </w:t>
      </w:r>
    </w:p>
    <w:p w14:paraId="32542977"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61C789A7"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Barker, V. (1997) ‘Definition and the Question of "Woman"’, </w:t>
      </w:r>
      <w:r w:rsidRPr="00D1758D">
        <w:rPr>
          <w:rFonts w:ascii="Arial" w:eastAsia="Times New Roman" w:hAnsi="Arial" w:cs="Arial"/>
          <w:i/>
          <w:iCs/>
          <w:color w:val="000000"/>
          <w:kern w:val="0"/>
          <w:lang w:eastAsia="en-GB"/>
          <w14:ligatures w14:val="none"/>
        </w:rPr>
        <w:t>Hypatia,</w:t>
      </w:r>
      <w:r w:rsidRPr="00D1758D">
        <w:rPr>
          <w:rFonts w:ascii="Arial" w:eastAsia="Times New Roman" w:hAnsi="Arial" w:cs="Arial"/>
          <w:color w:val="000000"/>
          <w:kern w:val="0"/>
          <w:lang w:eastAsia="en-GB"/>
          <w14:ligatures w14:val="none"/>
        </w:rPr>
        <w:t xml:space="preserve"> 12(2), pp. 185-215. Available at: https://www.jstor.org/stable/3810477?seq=24 (Accessed: 12 February 2026). </w:t>
      </w:r>
    </w:p>
    <w:p w14:paraId="3EF8BA30"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670B9A34"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Barnes, E. (2009) ‘DISABILITY AND ADAPTIVE PREFERENCE’, </w:t>
      </w:r>
      <w:r w:rsidRPr="00D1758D">
        <w:rPr>
          <w:rFonts w:ascii="Arial" w:eastAsia="Times New Roman" w:hAnsi="Arial" w:cs="Arial"/>
          <w:i/>
          <w:iCs/>
          <w:color w:val="000000"/>
          <w:kern w:val="0"/>
          <w:lang w:eastAsia="en-GB"/>
          <w14:ligatures w14:val="none"/>
        </w:rPr>
        <w:t>Philosophical Perspectives</w:t>
      </w:r>
      <w:r w:rsidRPr="00D1758D">
        <w:rPr>
          <w:rFonts w:ascii="Arial" w:eastAsia="Times New Roman" w:hAnsi="Arial" w:cs="Arial"/>
          <w:color w:val="000000"/>
          <w:kern w:val="0"/>
          <w:lang w:eastAsia="en-GB"/>
          <w14:ligatures w14:val="none"/>
        </w:rPr>
        <w:t>, 23, pp. 1-22. Available at: https://www.jstor.org/stable/40658392?seq=7 (Accessed: 12 February 2026). </w:t>
      </w:r>
    </w:p>
    <w:p w14:paraId="4327A3C4"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62C27F1A"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BBC (2025) </w:t>
      </w:r>
      <w:r w:rsidRPr="00D1758D">
        <w:rPr>
          <w:rFonts w:ascii="Arial" w:eastAsia="Times New Roman" w:hAnsi="Arial" w:cs="Arial"/>
          <w:i/>
          <w:iCs/>
          <w:color w:val="000000"/>
          <w:kern w:val="0"/>
          <w:lang w:eastAsia="en-GB"/>
          <w14:ligatures w14:val="none"/>
        </w:rPr>
        <w:t xml:space="preserve">UK Supreme Court rules legal definition of a woman is based on biological sex. </w:t>
      </w:r>
      <w:r w:rsidRPr="00D1758D">
        <w:rPr>
          <w:rFonts w:ascii="Arial" w:eastAsia="Times New Roman" w:hAnsi="Arial" w:cs="Arial"/>
          <w:color w:val="000000"/>
          <w:kern w:val="0"/>
          <w:lang w:eastAsia="en-GB"/>
          <w14:ligatures w14:val="none"/>
        </w:rPr>
        <w:t>Available at: https://www.bbc.co.uk/news/live/cvgq9ejql39t (Accessed: 11 February 2025). </w:t>
      </w:r>
    </w:p>
    <w:p w14:paraId="5A92EDAC"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51B4C888"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Bento, F., Tagliabue, M. and Lorenzo, F. (2020) ‘Organizational Silos: A Scoping Review Informed by a Behavioral Perspective on Systems and Networks’, </w:t>
      </w:r>
      <w:r w:rsidRPr="00D1758D">
        <w:rPr>
          <w:rFonts w:ascii="Arial" w:eastAsia="Times New Roman" w:hAnsi="Arial" w:cs="Arial"/>
          <w:i/>
          <w:iCs/>
          <w:color w:val="000000"/>
          <w:kern w:val="0"/>
          <w:lang w:eastAsia="en-GB"/>
          <w14:ligatures w14:val="none"/>
        </w:rPr>
        <w:t>Societies</w:t>
      </w:r>
      <w:r w:rsidRPr="00D1758D">
        <w:rPr>
          <w:rFonts w:ascii="Arial" w:eastAsia="Times New Roman" w:hAnsi="Arial" w:cs="Arial"/>
          <w:color w:val="000000"/>
          <w:kern w:val="0"/>
          <w:lang w:eastAsia="en-GB"/>
          <w14:ligatures w14:val="none"/>
        </w:rPr>
        <w:t>, 10(3). Available at: https://doi.org/10.3390/soc10030056 </w:t>
      </w:r>
    </w:p>
    <w:p w14:paraId="1F7DFC93"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3F4F4DD9"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Biggs, M.A, Schroeder, R., Casebolt, M.T., Laureano, B.I., Wilson-Beattie, R.L., Ralph, L.J., Kaller, S., Adler, A. and Gichane, M.W. (2023) ‘Access to Reproductive Health Services Among People With Disabilities’, </w:t>
      </w:r>
      <w:r w:rsidRPr="00D1758D">
        <w:rPr>
          <w:rFonts w:ascii="Arial" w:eastAsia="Times New Roman" w:hAnsi="Arial" w:cs="Arial"/>
          <w:i/>
          <w:iCs/>
          <w:color w:val="000000"/>
          <w:kern w:val="0"/>
          <w:lang w:eastAsia="en-GB"/>
          <w14:ligatures w14:val="none"/>
        </w:rPr>
        <w:t>JAMA Network Open,</w:t>
      </w:r>
      <w:r w:rsidRPr="00D1758D">
        <w:rPr>
          <w:rFonts w:ascii="Arial" w:eastAsia="Times New Roman" w:hAnsi="Arial" w:cs="Arial"/>
          <w:color w:val="000000"/>
          <w:kern w:val="0"/>
          <w:lang w:eastAsia="en-GB"/>
          <w14:ligatures w14:val="none"/>
        </w:rPr>
        <w:t xml:space="preserve"> 6(11). Available at: https://jamanetwork.com/journals/jamanetworkopen/fullarticle/2812360#249364003 (Accessed: 12 February 2026). </w:t>
      </w:r>
    </w:p>
    <w:p w14:paraId="606A4B62"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68DAC85D"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lastRenderedPageBreak/>
        <w:t xml:space="preserve">Biggs, M. (2024) ‘Gender Identity in the 2021 Census of England and Wales: How a Flawed Question Created Spurious Data’, </w:t>
      </w:r>
      <w:r w:rsidRPr="00D1758D">
        <w:rPr>
          <w:rFonts w:ascii="Arial" w:eastAsia="Times New Roman" w:hAnsi="Arial" w:cs="Arial"/>
          <w:i/>
          <w:iCs/>
          <w:color w:val="000000"/>
          <w:kern w:val="0"/>
          <w:lang w:eastAsia="en-GB"/>
          <w14:ligatures w14:val="none"/>
        </w:rPr>
        <w:t>Sociology,</w:t>
      </w:r>
      <w:r w:rsidRPr="00D1758D">
        <w:rPr>
          <w:rFonts w:ascii="Arial" w:eastAsia="Times New Roman" w:hAnsi="Arial" w:cs="Arial"/>
          <w:color w:val="000000"/>
          <w:kern w:val="0"/>
          <w:lang w:eastAsia="en-GB"/>
          <w14:ligatures w14:val="none"/>
        </w:rPr>
        <w:t xml:space="preserve"> 58(6). Available at: https://doi.org/10.1177/00380385241240441 </w:t>
      </w:r>
    </w:p>
    <w:p w14:paraId="2C4588DA"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029FF0B6"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Bohren, M.A., Iyer, A., Barros, A.J.D., Williams, C.R., Hazfiarini, A., Arroyave, L., Filippi, V., Chamberlain, C., Kabakian-</w:t>
      </w:r>
      <w:proofErr w:type="spellStart"/>
      <w:r w:rsidRPr="00D1758D">
        <w:rPr>
          <w:rFonts w:ascii="Arial" w:eastAsia="Times New Roman" w:hAnsi="Arial" w:cs="Arial"/>
          <w:color w:val="000000"/>
          <w:kern w:val="0"/>
          <w:lang w:eastAsia="en-GB"/>
          <w14:ligatures w14:val="none"/>
        </w:rPr>
        <w:t>Khasholian</w:t>
      </w:r>
      <w:proofErr w:type="spellEnd"/>
      <w:r w:rsidRPr="00D1758D">
        <w:rPr>
          <w:rFonts w:ascii="Arial" w:eastAsia="Times New Roman" w:hAnsi="Arial" w:cs="Arial"/>
          <w:color w:val="000000"/>
          <w:kern w:val="0"/>
          <w:lang w:eastAsia="en-GB"/>
          <w14:ligatures w14:val="none"/>
        </w:rPr>
        <w:t xml:space="preserve">, T., Mayra, K., Gill, R., Vogel, J.P., Chou, D., George, A.S. and Oladapo, O.T. (2024) ‘Towards a better tomorrow: addressing intersectional gender power relations to eradicate inequities in maternal health’, </w:t>
      </w:r>
      <w:proofErr w:type="spellStart"/>
      <w:r w:rsidRPr="00D1758D">
        <w:rPr>
          <w:rFonts w:ascii="Arial" w:eastAsia="Times New Roman" w:hAnsi="Arial" w:cs="Arial"/>
          <w:i/>
          <w:iCs/>
          <w:color w:val="000000"/>
          <w:kern w:val="0"/>
          <w:lang w:eastAsia="en-GB"/>
          <w14:ligatures w14:val="none"/>
        </w:rPr>
        <w:t>eClinicalMedicine</w:t>
      </w:r>
      <w:proofErr w:type="spellEnd"/>
      <w:r w:rsidRPr="00D1758D">
        <w:rPr>
          <w:rFonts w:ascii="Arial" w:eastAsia="Times New Roman" w:hAnsi="Arial" w:cs="Arial"/>
          <w:color w:val="000000"/>
          <w:kern w:val="0"/>
          <w:lang w:eastAsia="en-GB"/>
          <w14:ligatures w14:val="none"/>
        </w:rPr>
        <w:t>, 67 (January) article 102180. Available at: https://www.thelancet.com/journals/eclinm/article/PIIS2589-5370(23)00357-7/fulltext (Accessed: 12 February 2026). </w:t>
      </w:r>
    </w:p>
    <w:p w14:paraId="4CE21D9B"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19969296"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Brisenden, S. (1998) ‘Independent Living and the Medical Model of Disability’, in. T. Shakespeare (ed) </w:t>
      </w:r>
      <w:r w:rsidRPr="00D1758D">
        <w:rPr>
          <w:rFonts w:ascii="Arial" w:eastAsia="Times New Roman" w:hAnsi="Arial" w:cs="Arial"/>
          <w:i/>
          <w:iCs/>
          <w:color w:val="000000"/>
          <w:kern w:val="0"/>
          <w:lang w:eastAsia="en-GB"/>
          <w14:ligatures w14:val="none"/>
        </w:rPr>
        <w:t xml:space="preserve">The Disability Reader: Social Science Perspectives. </w:t>
      </w:r>
      <w:r w:rsidRPr="00D1758D">
        <w:rPr>
          <w:rFonts w:ascii="Arial" w:eastAsia="Times New Roman" w:hAnsi="Arial" w:cs="Arial"/>
          <w:color w:val="000000"/>
          <w:kern w:val="0"/>
          <w:lang w:eastAsia="en-GB"/>
          <w14:ligatures w14:val="none"/>
        </w:rPr>
        <w:t>Continuum, pp. 20-27. </w:t>
      </w:r>
    </w:p>
    <w:p w14:paraId="408255B7"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631F236C"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Brown, H.K., Vigod, S.V., Fung, K., Chen, S., Guttmann, A., Havercamp, S.M., Parish, S.L., Ray, J.G. and Lunsky, Y. (2022) ‘Perinatal mental illness among women with disabilities: a population-based cohort study’, </w:t>
      </w:r>
      <w:r w:rsidRPr="00D1758D">
        <w:rPr>
          <w:rFonts w:ascii="Arial" w:eastAsia="Times New Roman" w:hAnsi="Arial" w:cs="Arial"/>
          <w:i/>
          <w:iCs/>
          <w:color w:val="000000"/>
          <w:kern w:val="0"/>
          <w:lang w:eastAsia="en-GB"/>
          <w14:ligatures w14:val="none"/>
        </w:rPr>
        <w:t>Social Psychiatry and Psychiatric Epidemiology</w:t>
      </w:r>
      <w:r w:rsidRPr="00D1758D">
        <w:rPr>
          <w:rFonts w:ascii="Arial" w:eastAsia="Times New Roman" w:hAnsi="Arial" w:cs="Arial"/>
          <w:color w:val="000000"/>
          <w:kern w:val="0"/>
          <w:lang w:eastAsia="en-GB"/>
          <w14:ligatures w14:val="none"/>
        </w:rPr>
        <w:t>, 57, pp. 2217-2228. Available at: https://doi.org/10.1007/s00127-022-02347-2 </w:t>
      </w:r>
    </w:p>
    <w:p w14:paraId="3C9ECD30"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333273F1"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Brown, L.B. (2015) ‘What's in a Name? Examining the Creation and Use of Sexual Orientation and Gender Identity Labels’,</w:t>
      </w:r>
      <w:r w:rsidRPr="00D1758D">
        <w:rPr>
          <w:rFonts w:ascii="Arial" w:eastAsia="Times New Roman" w:hAnsi="Arial" w:cs="Arial"/>
          <w:i/>
          <w:iCs/>
          <w:color w:val="000000"/>
          <w:kern w:val="0"/>
          <w:lang w:eastAsia="en-GB"/>
          <w14:ligatures w14:val="none"/>
        </w:rPr>
        <w:t xml:space="preserve"> Issues in Religion and Psychotherapy, </w:t>
      </w:r>
      <w:r w:rsidRPr="00D1758D">
        <w:rPr>
          <w:rFonts w:ascii="Arial" w:eastAsia="Times New Roman" w:hAnsi="Arial" w:cs="Arial"/>
          <w:color w:val="000000"/>
          <w:kern w:val="0"/>
          <w:lang w:eastAsia="en-GB"/>
          <w14:ligatures w14:val="none"/>
        </w:rPr>
        <w:t>37(1), pp. 23-32. Available at: https://scholarsarchive.byu.edu/irp/vol37/iss1/8 </w:t>
      </w:r>
    </w:p>
    <w:p w14:paraId="3196C5A9"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0029A776"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Brown, R.L. and Moloney, M.E. (2018) ‘Intersectionality, Work, and Well-Being: The Effects of Gender and Disability’, </w:t>
      </w:r>
      <w:r w:rsidRPr="00D1758D">
        <w:rPr>
          <w:rFonts w:ascii="Arial" w:eastAsia="Times New Roman" w:hAnsi="Arial" w:cs="Arial"/>
          <w:i/>
          <w:iCs/>
          <w:color w:val="000000"/>
          <w:kern w:val="0"/>
          <w:lang w:eastAsia="en-GB"/>
          <w14:ligatures w14:val="none"/>
        </w:rPr>
        <w:t>Gender &amp; Society,</w:t>
      </w:r>
      <w:r w:rsidRPr="00D1758D">
        <w:rPr>
          <w:rFonts w:ascii="Arial" w:eastAsia="Times New Roman" w:hAnsi="Arial" w:cs="Arial"/>
          <w:color w:val="000000"/>
          <w:kern w:val="0"/>
          <w:lang w:eastAsia="en-GB"/>
          <w14:ligatures w14:val="none"/>
        </w:rPr>
        <w:t xml:space="preserve"> 33(1). Available at: </w:t>
      </w:r>
      <w:hyperlink r:id="rId11" w:history="1">
        <w:r w:rsidRPr="00D1758D">
          <w:rPr>
            <w:rFonts w:ascii="Arial" w:eastAsia="Times New Roman" w:hAnsi="Arial" w:cs="Arial"/>
            <w:color w:val="000000"/>
            <w:kern w:val="0"/>
            <w:lang w:eastAsia="en-GB"/>
            <w14:ligatures w14:val="none"/>
          </w:rPr>
          <w:t>https://doi.org/10.1177/0891243218800636</w:t>
        </w:r>
      </w:hyperlink>
    </w:p>
    <w:p w14:paraId="5909FCC8"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w:t>
      </w:r>
    </w:p>
    <w:p w14:paraId="6F337738"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Carbado, D.W., Crenshaw, K.W., Mays, V.M. and Tomlinson, B. (2014) ‘INTERSECTIONALITY: Mapping the Movements of a Theory’, </w:t>
      </w:r>
      <w:r w:rsidRPr="00D1758D">
        <w:rPr>
          <w:rFonts w:ascii="Arial" w:eastAsia="Times New Roman" w:hAnsi="Arial" w:cs="Arial"/>
          <w:i/>
          <w:iCs/>
          <w:color w:val="000000"/>
          <w:kern w:val="0"/>
          <w:lang w:eastAsia="en-GB"/>
          <w14:ligatures w14:val="none"/>
        </w:rPr>
        <w:t>Du Bois Review: Social Science Research on Race</w:t>
      </w:r>
      <w:r w:rsidRPr="00D1758D">
        <w:rPr>
          <w:rFonts w:ascii="Arial" w:eastAsia="Times New Roman" w:hAnsi="Arial" w:cs="Arial"/>
          <w:color w:val="000000"/>
          <w:kern w:val="0"/>
          <w:lang w:eastAsia="en-GB"/>
          <w14:ligatures w14:val="none"/>
        </w:rPr>
        <w:t>, 10(2), pp. 303-312. Available at: https://doi.org/10.1017/S1742058X13000349 </w:t>
      </w:r>
    </w:p>
    <w:p w14:paraId="2471A385"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369AE8AE"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i/>
          <w:iCs/>
          <w:color w:val="000000"/>
          <w:kern w:val="0"/>
          <w:lang w:eastAsia="en-GB"/>
          <w14:ligatures w14:val="none"/>
        </w:rPr>
        <w:t>Care Act 2014, c. 23.</w:t>
      </w:r>
      <w:r w:rsidRPr="00D1758D">
        <w:rPr>
          <w:rFonts w:ascii="Arial" w:eastAsia="Times New Roman" w:hAnsi="Arial" w:cs="Arial"/>
          <w:color w:val="000000"/>
          <w:kern w:val="0"/>
          <w:lang w:eastAsia="en-GB"/>
          <w14:ligatures w14:val="none"/>
        </w:rPr>
        <w:t xml:space="preserve"> Available at: https://www.legislation.gov.uk/ukpga/2014/23/section/77/enacted (Accessed: 12 February 2026).</w:t>
      </w:r>
    </w:p>
    <w:p w14:paraId="6FDD1A00"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103B5416"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Chan, X.W. and Hutchings, K. (2023) ‘Inequalities, barriers, intersectionality, and facilitators of careers of women with disabilities: Themes and future research agenda from a scoping review’, </w:t>
      </w:r>
      <w:r w:rsidRPr="00D1758D">
        <w:rPr>
          <w:rFonts w:ascii="Arial" w:eastAsia="Times New Roman" w:hAnsi="Arial" w:cs="Arial"/>
          <w:i/>
          <w:iCs/>
          <w:color w:val="000000"/>
          <w:kern w:val="0"/>
          <w:lang w:eastAsia="en-GB"/>
          <w14:ligatures w14:val="none"/>
        </w:rPr>
        <w:t>Frontiers in Psychology</w:t>
      </w:r>
      <w:r w:rsidRPr="00D1758D">
        <w:rPr>
          <w:rFonts w:ascii="Arial" w:eastAsia="Times New Roman" w:hAnsi="Arial" w:cs="Arial"/>
          <w:color w:val="000000"/>
          <w:kern w:val="0"/>
          <w:lang w:eastAsia="en-GB"/>
          <w14:ligatures w14:val="none"/>
        </w:rPr>
        <w:t>, 14. Available at: https://doi.org/10.3389/fpsyg.2023.1104784 </w:t>
      </w:r>
    </w:p>
    <w:p w14:paraId="4F157AA0"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060E3388"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lastRenderedPageBreak/>
        <w:t xml:space="preserve">Christoffersen, A. and Emejulu, A. (2022) ‘“Diversity Within”: The Problems with “Intersectional” White Feminism in Practise’, </w:t>
      </w:r>
      <w:r w:rsidRPr="00D1758D">
        <w:rPr>
          <w:rFonts w:ascii="Arial" w:eastAsia="Times New Roman" w:hAnsi="Arial" w:cs="Arial"/>
          <w:i/>
          <w:iCs/>
          <w:color w:val="000000"/>
          <w:kern w:val="0"/>
          <w:lang w:eastAsia="en-GB"/>
          <w14:ligatures w14:val="none"/>
        </w:rPr>
        <w:t>Social Politics: International Studies in Gender, State &amp; Society</w:t>
      </w:r>
      <w:r w:rsidRPr="00D1758D">
        <w:rPr>
          <w:rFonts w:ascii="Arial" w:eastAsia="Times New Roman" w:hAnsi="Arial" w:cs="Arial"/>
          <w:color w:val="000000"/>
          <w:kern w:val="0"/>
          <w:lang w:eastAsia="en-GB"/>
          <w14:ligatures w14:val="none"/>
        </w:rPr>
        <w:t>, 30(2), pp. 630-653. Available at: https://doi.org/10.1093/sp/jxac044 </w:t>
      </w:r>
    </w:p>
    <w:p w14:paraId="69DB8EFE"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27099505"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CIPD (2025) </w:t>
      </w:r>
      <w:r w:rsidRPr="00D1758D">
        <w:rPr>
          <w:rFonts w:ascii="Arial" w:eastAsia="Times New Roman" w:hAnsi="Arial" w:cs="Arial"/>
          <w:i/>
          <w:iCs/>
          <w:color w:val="000000"/>
          <w:kern w:val="0"/>
          <w:lang w:eastAsia="en-GB"/>
          <w14:ligatures w14:val="none"/>
        </w:rPr>
        <w:t>Briefing | Supreme Court clarifies definition of “sex” in Equality Act.</w:t>
      </w:r>
      <w:r w:rsidRPr="00D1758D">
        <w:rPr>
          <w:rFonts w:ascii="Arial" w:eastAsia="Times New Roman" w:hAnsi="Arial" w:cs="Arial"/>
          <w:color w:val="000000"/>
          <w:kern w:val="0"/>
          <w:lang w:eastAsia="en-GB"/>
          <w14:ligatures w14:val="none"/>
        </w:rPr>
        <w:t xml:space="preserve"> Available at: https://www.cipd.org/uk/views-and-insights/thought-leadership/insight/definition-sex-equality-act/ (Accessed: 13 February 2026). </w:t>
      </w:r>
    </w:p>
    <w:p w14:paraId="35A6A620"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553FF423"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Clarke, J.A. (2022) ‘SEX ASSIGNED AT BIRTH’, </w:t>
      </w:r>
      <w:r w:rsidRPr="00D1758D">
        <w:rPr>
          <w:rFonts w:ascii="Arial" w:eastAsia="Times New Roman" w:hAnsi="Arial" w:cs="Arial"/>
          <w:i/>
          <w:iCs/>
          <w:color w:val="000000"/>
          <w:kern w:val="0"/>
          <w:lang w:eastAsia="en-GB"/>
          <w14:ligatures w14:val="none"/>
        </w:rPr>
        <w:t>Columbia Law Review,</w:t>
      </w:r>
      <w:r w:rsidRPr="00D1758D">
        <w:rPr>
          <w:rFonts w:ascii="Arial" w:eastAsia="Times New Roman" w:hAnsi="Arial" w:cs="Arial"/>
          <w:color w:val="000000"/>
          <w:kern w:val="0"/>
          <w:lang w:eastAsia="en-GB"/>
          <w14:ligatures w14:val="none"/>
        </w:rPr>
        <w:t xml:space="preserve"> 122(7), pp. 1821-1898. Available at: https://www.jstor.org/stable/27178460 (Accessed: 12 February 2026). </w:t>
      </w:r>
    </w:p>
    <w:p w14:paraId="1185CCBE"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550C4953" w14:textId="77777777" w:rsidR="00D1758D" w:rsidRPr="00D1758D" w:rsidRDefault="00D1758D" w:rsidP="00D1758D">
      <w:pPr>
        <w:spacing w:after="0" w:line="276" w:lineRule="auto"/>
        <w:ind w:left="-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Cleghorn, E. (2022) </w:t>
      </w:r>
      <w:r w:rsidRPr="00D1758D">
        <w:rPr>
          <w:rFonts w:ascii="Arial" w:eastAsia="Times New Roman" w:hAnsi="Arial" w:cs="Arial"/>
          <w:i/>
          <w:iCs/>
          <w:color w:val="000000"/>
          <w:kern w:val="0"/>
          <w:lang w:eastAsia="en-GB"/>
          <w14:ligatures w14:val="none"/>
        </w:rPr>
        <w:t xml:space="preserve">Unwell Women: A Journey Through Medicine and Myth in a Man-Made World. </w:t>
      </w:r>
      <w:r w:rsidRPr="00D1758D">
        <w:rPr>
          <w:rFonts w:ascii="Arial" w:eastAsia="Times New Roman" w:hAnsi="Arial" w:cs="Arial"/>
          <w:color w:val="000000"/>
          <w:kern w:val="0"/>
          <w:lang w:eastAsia="en-GB"/>
          <w14:ligatures w14:val="none"/>
        </w:rPr>
        <w:t>(2nd edn). Weidenfeld and Nicolson. </w:t>
      </w:r>
    </w:p>
    <w:p w14:paraId="5365C6C0"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0286862D"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Collins, P.H. (2015) ‘Intersectionality's Definitional Dilemmas’, </w:t>
      </w:r>
      <w:r w:rsidRPr="00D1758D">
        <w:rPr>
          <w:rFonts w:ascii="Arial" w:eastAsia="Times New Roman" w:hAnsi="Arial" w:cs="Arial"/>
          <w:i/>
          <w:iCs/>
          <w:color w:val="000000"/>
          <w:kern w:val="0"/>
          <w:lang w:eastAsia="en-GB"/>
          <w14:ligatures w14:val="none"/>
        </w:rPr>
        <w:t>Annual Review of Sociology</w:t>
      </w:r>
      <w:r w:rsidRPr="00D1758D">
        <w:rPr>
          <w:rFonts w:ascii="Arial" w:eastAsia="Times New Roman" w:hAnsi="Arial" w:cs="Arial"/>
          <w:color w:val="000000"/>
          <w:kern w:val="0"/>
          <w:lang w:eastAsia="en-GB"/>
          <w14:ligatures w14:val="none"/>
        </w:rPr>
        <w:t>, 41, pp. 1-20. Available at: https://doi.org/10.1146/annurev-soc-073014-112142 </w:t>
      </w:r>
    </w:p>
    <w:p w14:paraId="7DD61854"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19704043"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Collins, P.H. and Bilge, S. (2020) </w:t>
      </w:r>
      <w:r w:rsidRPr="00D1758D">
        <w:rPr>
          <w:rFonts w:ascii="Arial" w:eastAsia="Times New Roman" w:hAnsi="Arial" w:cs="Arial"/>
          <w:i/>
          <w:iCs/>
          <w:color w:val="000000"/>
          <w:kern w:val="0"/>
          <w:lang w:eastAsia="en-GB"/>
          <w14:ligatures w14:val="none"/>
        </w:rPr>
        <w:t xml:space="preserve">Intersectionality. </w:t>
      </w:r>
      <w:r w:rsidRPr="00D1758D">
        <w:rPr>
          <w:rFonts w:ascii="Arial" w:eastAsia="Times New Roman" w:hAnsi="Arial" w:cs="Arial"/>
          <w:color w:val="000000"/>
          <w:kern w:val="0"/>
          <w:lang w:eastAsia="en-GB"/>
          <w14:ligatures w14:val="none"/>
        </w:rPr>
        <w:t>2nd edn. Polity Press. </w:t>
      </w:r>
    </w:p>
    <w:p w14:paraId="025E0A8F"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6CC7B69C"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Conway, J.K., Bourque, S.C. and Scott, J.W. (1987) ‘Introduction: The Concept of Gender’, </w:t>
      </w:r>
      <w:r w:rsidRPr="00D1758D">
        <w:rPr>
          <w:rFonts w:ascii="Arial" w:eastAsia="Times New Roman" w:hAnsi="Arial" w:cs="Arial"/>
          <w:i/>
          <w:iCs/>
          <w:color w:val="000000"/>
          <w:kern w:val="0"/>
          <w:lang w:eastAsia="en-GB"/>
          <w14:ligatures w14:val="none"/>
        </w:rPr>
        <w:t xml:space="preserve">Daedalus, </w:t>
      </w:r>
      <w:r w:rsidRPr="00D1758D">
        <w:rPr>
          <w:rFonts w:ascii="Arial" w:eastAsia="Times New Roman" w:hAnsi="Arial" w:cs="Arial"/>
          <w:color w:val="000000"/>
          <w:kern w:val="0"/>
          <w:lang w:eastAsia="en-GB"/>
          <w14:ligatures w14:val="none"/>
        </w:rPr>
        <w:t>116(4). Available at: https://www.jstor.org/stable/20025120?seq=1 (Accessed: 12 February 2026). </w:t>
      </w:r>
    </w:p>
    <w:p w14:paraId="44B57463"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Davis, K. (2008) ‘Intersectionality as buzzword: A sociology of science perspective on what makes a feminist theory successful’, </w:t>
      </w:r>
      <w:r w:rsidRPr="00D1758D">
        <w:rPr>
          <w:rFonts w:ascii="Arial" w:eastAsia="Times New Roman" w:hAnsi="Arial" w:cs="Arial"/>
          <w:i/>
          <w:iCs/>
          <w:color w:val="000000"/>
          <w:kern w:val="0"/>
          <w:lang w:eastAsia="en-GB"/>
          <w14:ligatures w14:val="none"/>
        </w:rPr>
        <w:t>Feminist Theory,</w:t>
      </w:r>
      <w:r w:rsidRPr="00D1758D">
        <w:rPr>
          <w:rFonts w:ascii="Arial" w:eastAsia="Times New Roman" w:hAnsi="Arial" w:cs="Arial"/>
          <w:color w:val="000000"/>
          <w:kern w:val="0"/>
          <w:lang w:eastAsia="en-GB"/>
          <w14:ligatures w14:val="none"/>
        </w:rPr>
        <w:t xml:space="preserve"> 9(1), pp. 67-85. Available at: https://doi.org/10.1177/1464700108086364 </w:t>
      </w:r>
    </w:p>
    <w:p w14:paraId="003ED229"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05111A5B"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Davis, K. (2020) ‘Who owns intersectionality? Some reflections on feminist debates on how theories travel’, </w:t>
      </w:r>
      <w:r w:rsidRPr="00D1758D">
        <w:rPr>
          <w:rFonts w:ascii="Arial" w:eastAsia="Times New Roman" w:hAnsi="Arial" w:cs="Arial"/>
          <w:i/>
          <w:iCs/>
          <w:color w:val="000000"/>
          <w:kern w:val="0"/>
          <w:lang w:eastAsia="en-GB"/>
          <w14:ligatures w14:val="none"/>
        </w:rPr>
        <w:t>European Journal of Women’s Studies</w:t>
      </w:r>
      <w:r w:rsidRPr="00D1758D">
        <w:rPr>
          <w:rFonts w:ascii="Arial" w:eastAsia="Times New Roman" w:hAnsi="Arial" w:cs="Arial"/>
          <w:color w:val="000000"/>
          <w:kern w:val="0"/>
          <w:lang w:eastAsia="en-GB"/>
          <w14:ligatures w14:val="none"/>
        </w:rPr>
        <w:t>, 27(2), pp. 113-127. Available at: https://doi.org/10.1177/1350506819892659 </w:t>
      </w:r>
    </w:p>
    <w:p w14:paraId="7C2CD605"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Disability Rights UK (2021) </w:t>
      </w:r>
      <w:r w:rsidRPr="00D1758D">
        <w:rPr>
          <w:rFonts w:ascii="Arial" w:eastAsia="Times New Roman" w:hAnsi="Arial" w:cs="Arial"/>
          <w:i/>
          <w:iCs/>
          <w:color w:val="000000"/>
          <w:kern w:val="0"/>
          <w:lang w:eastAsia="en-GB"/>
          <w14:ligatures w14:val="none"/>
        </w:rPr>
        <w:t>What counts as disability</w:t>
      </w:r>
      <w:r w:rsidRPr="00D1758D">
        <w:rPr>
          <w:rFonts w:ascii="Arial" w:eastAsia="Times New Roman" w:hAnsi="Arial" w:cs="Arial"/>
          <w:color w:val="000000"/>
          <w:kern w:val="0"/>
          <w:lang w:eastAsia="en-GB"/>
          <w14:ligatures w14:val="none"/>
        </w:rPr>
        <w:t>. Available at: https://www.disabilityrightsuk.org/resources/what-counts-disability (Accessed: 12 February 2026). </w:t>
      </w:r>
    </w:p>
    <w:p w14:paraId="5F1B7889"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3BEBF710"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Davis, M.C. (2022) ‘GENERATIONAL ATTITUDES TOWARD DIGITAL FEMINISM: IS SOCIAL MEDIA THE PATH TO TRUE INTERSECTIONALITY?’,</w:t>
      </w:r>
      <w:r w:rsidRPr="00D1758D">
        <w:rPr>
          <w:rFonts w:ascii="Arial" w:eastAsia="Times New Roman" w:hAnsi="Arial" w:cs="Arial"/>
          <w:i/>
          <w:iCs/>
          <w:color w:val="000000"/>
          <w:kern w:val="0"/>
          <w:lang w:eastAsia="en-GB"/>
          <w14:ligatures w14:val="none"/>
        </w:rPr>
        <w:t xml:space="preserve"> Omnium</w:t>
      </w:r>
      <w:r w:rsidRPr="00D1758D">
        <w:rPr>
          <w:rFonts w:ascii="Arial" w:eastAsia="Times New Roman" w:hAnsi="Arial" w:cs="Arial"/>
          <w:color w:val="000000"/>
          <w:kern w:val="0"/>
          <w:lang w:eastAsia="en-GB"/>
          <w14:ligatures w14:val="none"/>
        </w:rPr>
        <w:t>, 3. Available at: https://omniummedia.wordpress.com/wp-content/uploads/2021/06/davis-hum.pdf (Accessed: 11 February 2026). </w:t>
      </w:r>
    </w:p>
    <w:p w14:paraId="6671EBBD"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120986FC" w14:textId="77777777" w:rsidR="00FC4ABA" w:rsidRDefault="00FC4ABA" w:rsidP="00D1758D">
      <w:pPr>
        <w:spacing w:after="0" w:line="276" w:lineRule="auto"/>
        <w:ind w:hanging="340"/>
        <w:rPr>
          <w:rFonts w:ascii="Arial" w:eastAsia="Times New Roman" w:hAnsi="Arial" w:cs="Arial"/>
          <w:color w:val="000000"/>
          <w:kern w:val="0"/>
          <w:lang w:eastAsia="en-GB"/>
          <w14:ligatures w14:val="none"/>
        </w:rPr>
      </w:pPr>
    </w:p>
    <w:p w14:paraId="27F90BE2" w14:textId="77777777" w:rsidR="00FC4ABA" w:rsidRDefault="00FC4ABA" w:rsidP="00D1758D">
      <w:pPr>
        <w:spacing w:after="0" w:line="276" w:lineRule="auto"/>
        <w:ind w:hanging="340"/>
        <w:rPr>
          <w:rFonts w:ascii="Arial" w:eastAsia="Times New Roman" w:hAnsi="Arial" w:cs="Arial"/>
          <w:color w:val="000000"/>
          <w:kern w:val="0"/>
          <w:lang w:eastAsia="en-GB"/>
          <w14:ligatures w14:val="none"/>
        </w:rPr>
      </w:pPr>
    </w:p>
    <w:p w14:paraId="3B6DA414" w14:textId="128C35CF"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lastRenderedPageBreak/>
        <w:t xml:space="preserve">Devkota, H.R., Kett, M. and Groce, N. (2019) ‘Societal attitude and behaviours towards women with disabilities in rural Nepal: pregnancy, childbirth and motherhood’, </w:t>
      </w:r>
      <w:r w:rsidRPr="00D1758D">
        <w:rPr>
          <w:rFonts w:ascii="Arial" w:eastAsia="Times New Roman" w:hAnsi="Arial" w:cs="Arial"/>
          <w:i/>
          <w:iCs/>
          <w:color w:val="000000"/>
          <w:kern w:val="0"/>
          <w:lang w:eastAsia="en-GB"/>
          <w14:ligatures w14:val="none"/>
        </w:rPr>
        <w:t>BMC Pregnancy and Childbirth,</w:t>
      </w:r>
      <w:r w:rsidRPr="00D1758D">
        <w:rPr>
          <w:rFonts w:ascii="Arial" w:eastAsia="Times New Roman" w:hAnsi="Arial" w:cs="Arial"/>
          <w:color w:val="000000"/>
          <w:kern w:val="0"/>
          <w:lang w:eastAsia="en-GB"/>
          <w14:ligatures w14:val="none"/>
        </w:rPr>
        <w:t xml:space="preserve"> 19 (January) article 20. Available at: https://doi.org/10.1186/s12884-019-2171-4</w:t>
      </w:r>
    </w:p>
    <w:p w14:paraId="783C54C0"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3D8C4083"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Disability Rights UK (2026) </w:t>
      </w:r>
      <w:r w:rsidRPr="00D1758D">
        <w:rPr>
          <w:rFonts w:ascii="Arial" w:eastAsia="Times New Roman" w:hAnsi="Arial" w:cs="Arial"/>
          <w:i/>
          <w:iCs/>
          <w:color w:val="000000"/>
          <w:kern w:val="0"/>
          <w:lang w:eastAsia="en-GB"/>
          <w14:ligatures w14:val="none"/>
        </w:rPr>
        <w:t>What we’re doing</w:t>
      </w:r>
      <w:r w:rsidRPr="00D1758D">
        <w:rPr>
          <w:rFonts w:ascii="Arial" w:eastAsia="Times New Roman" w:hAnsi="Arial" w:cs="Arial"/>
          <w:color w:val="000000"/>
          <w:kern w:val="0"/>
          <w:lang w:eastAsia="en-GB"/>
          <w14:ligatures w14:val="none"/>
        </w:rPr>
        <w:t>. Available at: https://www.disabilityrightsuk.org/what-were-doing (Accessed: 13 February 2026). </w:t>
      </w:r>
    </w:p>
    <w:p w14:paraId="4893B7AF"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65FA8319"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Duignan, M.B., Brittain, I., Hansen, M., Fyall, A., Gerard, S. and Page, S. (2023) ‘Leveraging accessible tourism development through mega-events, and the disability-attitude gap’, </w:t>
      </w:r>
      <w:r w:rsidRPr="00D1758D">
        <w:rPr>
          <w:rFonts w:ascii="Arial" w:eastAsia="Times New Roman" w:hAnsi="Arial" w:cs="Arial"/>
          <w:i/>
          <w:iCs/>
          <w:color w:val="000000"/>
          <w:kern w:val="0"/>
          <w:lang w:eastAsia="en-GB"/>
          <w14:ligatures w14:val="none"/>
        </w:rPr>
        <w:t>Tourism Management</w:t>
      </w:r>
      <w:r w:rsidRPr="00D1758D">
        <w:rPr>
          <w:rFonts w:ascii="Arial" w:eastAsia="Times New Roman" w:hAnsi="Arial" w:cs="Arial"/>
          <w:color w:val="000000"/>
          <w:kern w:val="0"/>
          <w:lang w:eastAsia="en-GB"/>
          <w14:ligatures w14:val="none"/>
        </w:rPr>
        <w:t>, 99 (December) article 104766. Available at: https://doi.org/10.1016/j.tourman.2023.104766 </w:t>
      </w:r>
    </w:p>
    <w:p w14:paraId="56843DB5"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2A402A9D"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Dwyer, P., Gurba, A.N., Kapp, S.K., Kilgallon, E., Hersh, L.H., Chang, D.S., Rivera, S.M. Gillespie-Lynch, K. (2024) ‘Community views of neurodiversity, models of disability and autism intervention: Mixed methods reveal shared goals and key tensions’, </w:t>
      </w:r>
      <w:r w:rsidRPr="00D1758D">
        <w:rPr>
          <w:rFonts w:ascii="Arial" w:eastAsia="Times New Roman" w:hAnsi="Arial" w:cs="Arial"/>
          <w:i/>
          <w:iCs/>
          <w:color w:val="000000"/>
          <w:kern w:val="0"/>
          <w:lang w:eastAsia="en-GB"/>
          <w14:ligatures w14:val="none"/>
        </w:rPr>
        <w:t>Autism,</w:t>
      </w:r>
      <w:r w:rsidRPr="00D1758D">
        <w:rPr>
          <w:rFonts w:ascii="Arial" w:eastAsia="Times New Roman" w:hAnsi="Arial" w:cs="Arial"/>
          <w:color w:val="000000"/>
          <w:kern w:val="0"/>
          <w:lang w:eastAsia="en-GB"/>
          <w14:ligatures w14:val="none"/>
        </w:rPr>
        <w:t xml:space="preserve"> 29(9). Available at: https://doi.org/10.1177/13623613241273029 </w:t>
      </w:r>
    </w:p>
    <w:p w14:paraId="3938D1BC" w14:textId="77777777" w:rsidR="00D1758D" w:rsidRPr="00D1758D" w:rsidRDefault="00D1758D" w:rsidP="00D1758D">
      <w:pPr>
        <w:spacing w:after="0" w:line="276" w:lineRule="auto"/>
        <w:ind w:hanging="340"/>
        <w:rPr>
          <w:rFonts w:ascii="Arial" w:eastAsia="Times New Roman" w:hAnsi="Arial" w:cs="Arial"/>
          <w:color w:val="000000"/>
          <w:kern w:val="0"/>
          <w:lang w:eastAsia="en-GB"/>
          <w14:ligatures w14:val="none"/>
        </w:rPr>
      </w:pPr>
    </w:p>
    <w:p w14:paraId="3A903085" w14:textId="4A0B93FB"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Eisenberg, M., Gower, A., Brown, C., Wood, B. and Porta, C. (2017) ‘“They Want to Put a Label on It:” Patterns and Interpretations of Sexual Orientation and Gender Identity Labels Among Adolescents’, </w:t>
      </w:r>
      <w:r w:rsidRPr="00D1758D">
        <w:rPr>
          <w:rFonts w:ascii="Arial" w:eastAsia="Times New Roman" w:hAnsi="Arial" w:cs="Arial"/>
          <w:i/>
          <w:iCs/>
          <w:color w:val="000000"/>
          <w:kern w:val="0"/>
          <w:lang w:eastAsia="en-GB"/>
          <w14:ligatures w14:val="none"/>
        </w:rPr>
        <w:t>Journal of Adolescent Health</w:t>
      </w:r>
      <w:r w:rsidRPr="00D1758D">
        <w:rPr>
          <w:rFonts w:ascii="Arial" w:eastAsia="Times New Roman" w:hAnsi="Arial" w:cs="Arial"/>
          <w:color w:val="000000"/>
          <w:kern w:val="0"/>
          <w:lang w:eastAsia="en-GB"/>
          <w14:ligatures w14:val="none"/>
        </w:rPr>
        <w:t>, 60(2). Available at: https://www.jahonline.org/article/S1054-139X(16)30468-2/fulltext (Accessed: 10 February 2026). </w:t>
      </w:r>
    </w:p>
    <w:p w14:paraId="48A22E44"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10D5B947"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Emmett, T. and Alant, E. (2006) ‘Women and disability: exploring the interface of multiple disadvantage’, </w:t>
      </w:r>
      <w:r w:rsidRPr="00D1758D">
        <w:rPr>
          <w:rFonts w:ascii="Arial" w:eastAsia="Times New Roman" w:hAnsi="Arial" w:cs="Arial"/>
          <w:i/>
          <w:iCs/>
          <w:color w:val="000000"/>
          <w:kern w:val="0"/>
          <w:lang w:eastAsia="en-GB"/>
          <w14:ligatures w14:val="none"/>
        </w:rPr>
        <w:t>Development Southern Africa</w:t>
      </w:r>
      <w:r w:rsidRPr="00D1758D">
        <w:rPr>
          <w:rFonts w:ascii="Arial" w:eastAsia="Times New Roman" w:hAnsi="Arial" w:cs="Arial"/>
          <w:color w:val="000000"/>
          <w:kern w:val="0"/>
          <w:lang w:eastAsia="en-GB"/>
          <w14:ligatures w14:val="none"/>
        </w:rPr>
        <w:t>, 23(4), pp. 445-460. Available at: https://doi.org/10.1080/03768350600927144 </w:t>
      </w:r>
    </w:p>
    <w:p w14:paraId="723192B6"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72D6399D"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i/>
          <w:iCs/>
          <w:color w:val="000000"/>
          <w:kern w:val="0"/>
          <w:lang w:eastAsia="en-GB"/>
          <w14:ligatures w14:val="none"/>
        </w:rPr>
        <w:t xml:space="preserve">Equality Act 2010, c. 15. </w:t>
      </w:r>
      <w:r w:rsidRPr="00D1758D">
        <w:rPr>
          <w:rFonts w:ascii="Arial" w:eastAsia="Times New Roman" w:hAnsi="Arial" w:cs="Arial"/>
          <w:color w:val="000000"/>
          <w:kern w:val="0"/>
          <w:lang w:eastAsia="en-GB"/>
          <w14:ligatures w14:val="none"/>
        </w:rPr>
        <w:t>Available at: https://www.legislation.gov.uk/ukpga/2010/15/section/6 (Accessed: 11 February 2026).</w:t>
      </w:r>
    </w:p>
    <w:p w14:paraId="1F6D32A6"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3B3CD276"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Esposito, E. (2023) ‘Discourse, intersectionality, critique: theory, methods and practise’, </w:t>
      </w:r>
      <w:r w:rsidRPr="00D1758D">
        <w:rPr>
          <w:rFonts w:ascii="Arial" w:eastAsia="Times New Roman" w:hAnsi="Arial" w:cs="Arial"/>
          <w:i/>
          <w:iCs/>
          <w:color w:val="000000"/>
          <w:kern w:val="0"/>
          <w:lang w:eastAsia="en-GB"/>
          <w14:ligatures w14:val="none"/>
        </w:rPr>
        <w:t>Critical Discourse Studies,</w:t>
      </w:r>
      <w:r w:rsidRPr="00D1758D">
        <w:rPr>
          <w:rFonts w:ascii="Arial" w:eastAsia="Times New Roman" w:hAnsi="Arial" w:cs="Arial"/>
          <w:color w:val="000000"/>
          <w:kern w:val="0"/>
          <w:lang w:eastAsia="en-GB"/>
          <w14:ligatures w14:val="none"/>
        </w:rPr>
        <w:t xml:space="preserve"> 21(5), pp. 505-521. Available at: https://doi.org/10.1080/17405904.2023.2230602 </w:t>
      </w:r>
    </w:p>
    <w:p w14:paraId="2762CFA3"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14C460BB"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Fernandez, M. and Menon, M. (2022) Media Influences on Gender Stereotypes,</w:t>
      </w:r>
      <w:r w:rsidRPr="00D1758D">
        <w:rPr>
          <w:rFonts w:ascii="Arial" w:eastAsia="Times New Roman" w:hAnsi="Arial" w:cs="Arial"/>
          <w:i/>
          <w:iCs/>
          <w:color w:val="000000"/>
          <w:kern w:val="0"/>
          <w:lang w:eastAsia="en-GB"/>
          <w14:ligatures w14:val="none"/>
        </w:rPr>
        <w:t xml:space="preserve"> IAHRW International Journal of Social Sciences Review</w:t>
      </w:r>
      <w:r w:rsidRPr="00D1758D">
        <w:rPr>
          <w:rFonts w:ascii="Arial" w:eastAsia="Times New Roman" w:hAnsi="Arial" w:cs="Arial"/>
          <w:color w:val="000000"/>
          <w:kern w:val="0"/>
          <w:lang w:eastAsia="en-GB"/>
          <w14:ligatures w14:val="none"/>
        </w:rPr>
        <w:t>, 10(2), pp. 121-125. Available at: https://www.proquest.com/docview/2696515328?fromopenview=true&amp;pq-origsite=gscholar&amp;sourcetype=Scholarly%20Journals (Accessed: 12 February 2026). </w:t>
      </w:r>
    </w:p>
    <w:p w14:paraId="4CBFA878"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6FAEE8D2"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Foley, B. (2019) ‘Intersectionality: A Marxist Critique’, </w:t>
      </w:r>
      <w:r w:rsidRPr="00D1758D">
        <w:rPr>
          <w:rFonts w:ascii="Arial" w:eastAsia="Times New Roman" w:hAnsi="Arial" w:cs="Arial"/>
          <w:i/>
          <w:iCs/>
          <w:color w:val="000000"/>
          <w:kern w:val="0"/>
          <w:lang w:eastAsia="en-GB"/>
          <w14:ligatures w14:val="none"/>
        </w:rPr>
        <w:t>New Labor Forum</w:t>
      </w:r>
      <w:r w:rsidRPr="00D1758D">
        <w:rPr>
          <w:rFonts w:ascii="Arial" w:eastAsia="Times New Roman" w:hAnsi="Arial" w:cs="Arial"/>
          <w:color w:val="000000"/>
          <w:kern w:val="0"/>
          <w:lang w:eastAsia="en-GB"/>
          <w14:ligatures w14:val="none"/>
        </w:rPr>
        <w:t>, 28(3), pp. 10-13. Available at: https://doi.org/10.1177/1095796019867944 </w:t>
      </w:r>
    </w:p>
    <w:p w14:paraId="2426A957"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7A3B3B8E"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Foreign, Commonwealth &amp; Development Office (2022) </w:t>
      </w:r>
      <w:r w:rsidRPr="00D1758D">
        <w:rPr>
          <w:rFonts w:ascii="Arial" w:eastAsia="Times New Roman" w:hAnsi="Arial" w:cs="Arial"/>
          <w:i/>
          <w:iCs/>
          <w:color w:val="000000"/>
          <w:kern w:val="0"/>
          <w:lang w:eastAsia="en-GB"/>
          <w14:ligatures w14:val="none"/>
        </w:rPr>
        <w:t>FCDO Disability Inclusion and Rights Strategy </w:t>
      </w:r>
    </w:p>
    <w:p w14:paraId="4D68A554"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i/>
          <w:iCs/>
          <w:color w:val="000000"/>
          <w:kern w:val="0"/>
          <w:lang w:eastAsia="en-GB"/>
          <w14:ligatures w14:val="none"/>
        </w:rPr>
        <w:t xml:space="preserve">2022-2030. </w:t>
      </w:r>
      <w:r w:rsidRPr="00D1758D">
        <w:rPr>
          <w:rFonts w:ascii="Arial" w:eastAsia="Times New Roman" w:hAnsi="Arial" w:cs="Arial"/>
          <w:color w:val="000000"/>
          <w:kern w:val="0"/>
          <w:lang w:eastAsia="en-GB"/>
          <w14:ligatures w14:val="none"/>
        </w:rPr>
        <w:t>Available at: https://assets.publishing.service.gov.uk/media/627a63e9e90e0712dbfd4b3b/Disability-Inclusion-and-Rights-Strategy-2022.pdf (Accessed: 12 February 2026). </w:t>
      </w:r>
    </w:p>
    <w:p w14:paraId="429B7356"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60A492B1"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Frohmader, C. and Ortoleva, S. (2012) </w:t>
      </w:r>
      <w:r w:rsidRPr="00D1758D">
        <w:rPr>
          <w:rFonts w:ascii="Arial" w:eastAsia="Times New Roman" w:hAnsi="Arial" w:cs="Arial"/>
          <w:i/>
          <w:iCs/>
          <w:color w:val="000000"/>
          <w:kern w:val="0"/>
          <w:lang w:eastAsia="en-GB"/>
          <w14:ligatures w14:val="none"/>
        </w:rPr>
        <w:t xml:space="preserve">The Sexual and Reproductive Rights of Women and Girls with Disabilities. </w:t>
      </w:r>
      <w:r w:rsidRPr="00D1758D">
        <w:rPr>
          <w:rFonts w:ascii="Arial" w:eastAsia="Times New Roman" w:hAnsi="Arial" w:cs="Arial"/>
          <w:color w:val="000000"/>
          <w:kern w:val="0"/>
          <w:lang w:eastAsia="en-GB"/>
          <w14:ligatures w14:val="none"/>
        </w:rPr>
        <w:t xml:space="preserve">Available at: </w:t>
      </w:r>
      <w:hyperlink r:id="rId12" w:history="1">
        <w:r w:rsidRPr="00D1758D">
          <w:rPr>
            <w:rFonts w:ascii="Arial" w:eastAsia="Times New Roman" w:hAnsi="Arial" w:cs="Arial"/>
            <w:color w:val="000000"/>
            <w:kern w:val="0"/>
            <w:lang w:eastAsia="en-GB"/>
            <w14:ligatures w14:val="none"/>
          </w:rPr>
          <w:t>https://papers.ssrn.com/sol3/papers.cfm?abstract_id=2444170</w:t>
        </w:r>
      </w:hyperlink>
      <w:r w:rsidRPr="00D1758D">
        <w:rPr>
          <w:rFonts w:ascii="Arial" w:eastAsia="Times New Roman" w:hAnsi="Arial" w:cs="Arial"/>
          <w:color w:val="000000"/>
          <w:kern w:val="0"/>
          <w:lang w:eastAsia="en-GB"/>
          <w14:ligatures w14:val="none"/>
        </w:rPr>
        <w:t xml:space="preserve"> (Accessed: 11 February 2026). </w:t>
      </w:r>
    </w:p>
    <w:p w14:paraId="249C7216"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20D16B0B"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Graham, S. (2023)</w:t>
      </w:r>
      <w:r w:rsidRPr="00D1758D">
        <w:rPr>
          <w:rFonts w:ascii="Arial" w:eastAsia="Times New Roman" w:hAnsi="Arial" w:cs="Arial"/>
          <w:i/>
          <w:iCs/>
          <w:color w:val="000000"/>
          <w:kern w:val="0"/>
          <w:lang w:eastAsia="en-GB"/>
          <w14:ligatures w14:val="none"/>
        </w:rPr>
        <w:t xml:space="preserve"> Rebel Bodies.</w:t>
      </w:r>
      <w:r w:rsidRPr="00D1758D">
        <w:rPr>
          <w:rFonts w:ascii="Arial" w:eastAsia="Times New Roman" w:hAnsi="Arial" w:cs="Arial"/>
          <w:color w:val="000000"/>
          <w:kern w:val="0"/>
          <w:lang w:eastAsia="en-GB"/>
          <w14:ligatures w14:val="none"/>
        </w:rPr>
        <w:t xml:space="preserve"> Green Tree. </w:t>
      </w:r>
    </w:p>
    <w:p w14:paraId="1D044F8D"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496CA3CC"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Grönvik, L. (2009) ‘Defining disability: effects of disability concepts on research outcomes’, </w:t>
      </w:r>
      <w:r w:rsidRPr="00D1758D">
        <w:rPr>
          <w:rFonts w:ascii="Arial" w:eastAsia="Times New Roman" w:hAnsi="Arial" w:cs="Arial"/>
          <w:i/>
          <w:iCs/>
          <w:color w:val="000000"/>
          <w:kern w:val="0"/>
          <w:lang w:eastAsia="en-GB"/>
          <w14:ligatures w14:val="none"/>
        </w:rPr>
        <w:t>International Journal of Social Research Methodology,</w:t>
      </w:r>
      <w:r w:rsidRPr="00D1758D">
        <w:rPr>
          <w:rFonts w:ascii="Arial" w:eastAsia="Times New Roman" w:hAnsi="Arial" w:cs="Arial"/>
          <w:color w:val="000000"/>
          <w:kern w:val="0"/>
          <w:lang w:eastAsia="en-GB"/>
          <w14:ligatures w14:val="none"/>
        </w:rPr>
        <w:t xml:space="preserve"> 12(1), pp. 1-18. Available at: https://doi.org/10.1080/13645570701621977 </w:t>
      </w:r>
    </w:p>
    <w:p w14:paraId="67D49F33"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62EC5C6A"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Hanlon, C. and Taylor, T. (2022) ‘Workplace Experiences of Women With Disability in Sport Organizations’, </w:t>
      </w:r>
      <w:r w:rsidRPr="00D1758D">
        <w:rPr>
          <w:rFonts w:ascii="Arial" w:eastAsia="Times New Roman" w:hAnsi="Arial" w:cs="Arial"/>
          <w:i/>
          <w:iCs/>
          <w:color w:val="000000"/>
          <w:kern w:val="0"/>
          <w:lang w:eastAsia="en-GB"/>
          <w14:ligatures w14:val="none"/>
        </w:rPr>
        <w:t>Frontiers in Sport and Active Living</w:t>
      </w:r>
      <w:r w:rsidRPr="00D1758D">
        <w:rPr>
          <w:rFonts w:ascii="Arial" w:eastAsia="Times New Roman" w:hAnsi="Arial" w:cs="Arial"/>
          <w:color w:val="000000"/>
          <w:kern w:val="0"/>
          <w:lang w:eastAsia="en-GB"/>
          <w14:ligatures w14:val="none"/>
        </w:rPr>
        <w:t>, 4. Available at: https://doi.org/10.3389/fspor.2022.792703 </w:t>
      </w:r>
    </w:p>
    <w:p w14:paraId="5EC37784" w14:textId="77777777" w:rsidR="00D1758D" w:rsidRPr="00D1758D" w:rsidRDefault="00D1758D" w:rsidP="00D1758D">
      <w:pPr>
        <w:spacing w:after="0" w:line="276" w:lineRule="auto"/>
        <w:ind w:hanging="340"/>
        <w:rPr>
          <w:rFonts w:ascii="Arial" w:eastAsia="Times New Roman" w:hAnsi="Arial" w:cs="Arial"/>
          <w:color w:val="000000"/>
          <w:kern w:val="0"/>
          <w:lang w:eastAsia="en-GB"/>
          <w14:ligatures w14:val="none"/>
        </w:rPr>
      </w:pPr>
    </w:p>
    <w:p w14:paraId="0A039836" w14:textId="53D2F30F"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Hirano, K.A., Khurana, A., Lindstrom, L. and DeGarmo, D. (2021) ‘Examining the Role of Peer Support on Work Experiences for Young Women With Disabilities’, </w:t>
      </w:r>
      <w:r w:rsidRPr="00D1758D">
        <w:rPr>
          <w:rFonts w:ascii="Arial" w:eastAsia="Times New Roman" w:hAnsi="Arial" w:cs="Arial"/>
          <w:i/>
          <w:iCs/>
          <w:color w:val="000000"/>
          <w:kern w:val="0"/>
          <w:lang w:eastAsia="en-GB"/>
          <w14:ligatures w14:val="none"/>
        </w:rPr>
        <w:t>Journal of Career Development,</w:t>
      </w:r>
      <w:r w:rsidRPr="00D1758D">
        <w:rPr>
          <w:rFonts w:ascii="Arial" w:eastAsia="Times New Roman" w:hAnsi="Arial" w:cs="Arial"/>
          <w:color w:val="000000"/>
          <w:kern w:val="0"/>
          <w:lang w:eastAsia="en-GB"/>
          <w14:ligatures w14:val="none"/>
        </w:rPr>
        <w:t xml:space="preserve"> 49(3), pp. 632-646. Available at: https://doi.org/10.1177/0894845321991647 </w:t>
      </w:r>
    </w:p>
    <w:p w14:paraId="46F30BA2"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751232A5"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Hodge, P., Davies, N. and Furlong, C. (2019) </w:t>
      </w:r>
      <w:r w:rsidRPr="00D1758D">
        <w:rPr>
          <w:rFonts w:ascii="Arial" w:eastAsia="Times New Roman" w:hAnsi="Arial" w:cs="Arial"/>
          <w:i/>
          <w:iCs/>
          <w:color w:val="000000"/>
          <w:kern w:val="0"/>
          <w:lang w:eastAsia="en-GB"/>
          <w14:ligatures w14:val="none"/>
        </w:rPr>
        <w:t>Gender Equality: A Roadmap for Wales.</w:t>
      </w:r>
      <w:r w:rsidRPr="00D1758D">
        <w:rPr>
          <w:rFonts w:ascii="Arial" w:eastAsia="Times New Roman" w:hAnsi="Arial" w:cs="Arial"/>
          <w:color w:val="000000"/>
          <w:kern w:val="0"/>
          <w:lang w:eastAsia="en-GB"/>
          <w14:ligatures w14:val="none"/>
        </w:rPr>
        <w:t xml:space="preserve"> Available at: https://wenwales.org.uk/wp-content/uploads/2025/06/Gender-Equality-A-Roadmap-for-Wales.pdf (Accessed: 13 February 2026). </w:t>
      </w:r>
    </w:p>
    <w:p w14:paraId="562DDA41"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381AC243"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House of Commons (2025) </w:t>
      </w:r>
      <w:r w:rsidRPr="00D1758D">
        <w:rPr>
          <w:rFonts w:ascii="Arial" w:eastAsia="Times New Roman" w:hAnsi="Arial" w:cs="Arial"/>
          <w:i/>
          <w:iCs/>
          <w:color w:val="000000"/>
          <w:kern w:val="0"/>
          <w:lang w:eastAsia="en-GB"/>
          <w14:ligatures w14:val="none"/>
        </w:rPr>
        <w:t xml:space="preserve">Supreme Court judgment on the meaning of “sex” in the Equality Act 2010: For Women Scotland. </w:t>
      </w:r>
      <w:r w:rsidRPr="00D1758D">
        <w:rPr>
          <w:rFonts w:ascii="Arial" w:eastAsia="Times New Roman" w:hAnsi="Arial" w:cs="Arial"/>
          <w:color w:val="000000"/>
          <w:kern w:val="0"/>
          <w:lang w:eastAsia="en-GB"/>
          <w14:ligatures w14:val="none"/>
        </w:rPr>
        <w:t>Available at: https://commonslibrary.parliament.uk/research-briefings/cbp-10259/ (Accessed: 12 February 2026). </w:t>
      </w:r>
    </w:p>
    <w:p w14:paraId="759B453A"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60BBA772"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Joel, D. and Fine, C. (2022) ‘Who Is a Woman: Sex, Gender and Policy Making’, </w:t>
      </w:r>
      <w:r w:rsidRPr="00D1758D">
        <w:rPr>
          <w:rFonts w:ascii="Arial" w:eastAsia="Times New Roman" w:hAnsi="Arial" w:cs="Arial"/>
          <w:i/>
          <w:iCs/>
          <w:color w:val="000000"/>
          <w:kern w:val="0"/>
          <w:lang w:eastAsia="en-GB"/>
          <w14:ligatures w14:val="none"/>
        </w:rPr>
        <w:t>Journal of Controversial Ideas</w:t>
      </w:r>
      <w:r w:rsidRPr="00D1758D">
        <w:rPr>
          <w:rFonts w:ascii="Arial" w:eastAsia="Times New Roman" w:hAnsi="Arial" w:cs="Arial"/>
          <w:color w:val="000000"/>
          <w:kern w:val="0"/>
          <w:lang w:eastAsia="en-GB"/>
          <w14:ligatures w14:val="none"/>
        </w:rPr>
        <w:t>, 2(2). Available at: https://journalofcontroversialideas.org/article/2/2/211 (Accessed: 12 February 2026). </w:t>
      </w:r>
    </w:p>
    <w:p w14:paraId="1A13B77A"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01728EDA"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Jóhannsdóttir, Á., Egilson, S.Þ. and Haraldsdóttir, F. (2022) ‘Implications of internalised ableism for the health and wellbeing of disabled young people’, </w:t>
      </w:r>
      <w:r w:rsidRPr="00D1758D">
        <w:rPr>
          <w:rFonts w:ascii="Arial" w:eastAsia="Times New Roman" w:hAnsi="Arial" w:cs="Arial"/>
          <w:i/>
          <w:iCs/>
          <w:color w:val="000000"/>
          <w:kern w:val="0"/>
          <w:lang w:eastAsia="en-GB"/>
          <w14:ligatures w14:val="none"/>
        </w:rPr>
        <w:t>Sociology of Health &amp; Illness</w:t>
      </w:r>
      <w:r w:rsidRPr="00D1758D">
        <w:rPr>
          <w:rFonts w:ascii="Arial" w:eastAsia="Times New Roman" w:hAnsi="Arial" w:cs="Arial"/>
          <w:color w:val="000000"/>
          <w:kern w:val="0"/>
          <w:lang w:eastAsia="en-GB"/>
          <w14:ligatures w14:val="none"/>
        </w:rPr>
        <w:t>, 44(2), pp. 360-376. Available at: https://doi.org/10.1111/1467-9566.13425 </w:t>
      </w:r>
    </w:p>
    <w:p w14:paraId="22DEF845"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5EE735F3"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lastRenderedPageBreak/>
        <w:t xml:space="preserve">Kapsalis, E., Jaeger, N. and Hale, J. (2024) ‘Disabled-by-design: effects of inaccessible urban public spaces on users of mobility assistive devices – a systematic review’, </w:t>
      </w:r>
      <w:r w:rsidRPr="00D1758D">
        <w:rPr>
          <w:rFonts w:ascii="Arial" w:eastAsia="Times New Roman" w:hAnsi="Arial" w:cs="Arial"/>
          <w:i/>
          <w:iCs/>
          <w:color w:val="000000"/>
          <w:kern w:val="0"/>
          <w:lang w:eastAsia="en-GB"/>
          <w14:ligatures w14:val="none"/>
        </w:rPr>
        <w:t>Disability and Rehabilitation: Assistive Technology</w:t>
      </w:r>
      <w:r w:rsidRPr="00D1758D">
        <w:rPr>
          <w:rFonts w:ascii="Arial" w:eastAsia="Times New Roman" w:hAnsi="Arial" w:cs="Arial"/>
          <w:color w:val="000000"/>
          <w:kern w:val="0"/>
          <w:lang w:eastAsia="en-GB"/>
          <w14:ligatures w14:val="none"/>
        </w:rPr>
        <w:t>, 3, pp. 604-622. Available at: https://doi.org/10.1080/17483107.2022.2111723 </w:t>
      </w:r>
    </w:p>
    <w:p w14:paraId="670D8A2C"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0D7AA8E2"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Kaufman, M.R., Eschliman, E.L. and Karver, T.S. (2023) ‘Differentiating sex and gender in health research to achieve gender equity’, </w:t>
      </w:r>
      <w:r w:rsidRPr="00D1758D">
        <w:rPr>
          <w:rFonts w:ascii="Arial" w:eastAsia="Times New Roman" w:hAnsi="Arial" w:cs="Arial"/>
          <w:i/>
          <w:iCs/>
          <w:color w:val="000000"/>
          <w:kern w:val="0"/>
          <w:lang w:eastAsia="en-GB"/>
          <w14:ligatures w14:val="none"/>
        </w:rPr>
        <w:t>Bulletin of the World Health Organization</w:t>
      </w:r>
      <w:r w:rsidRPr="00D1758D">
        <w:rPr>
          <w:rFonts w:ascii="Arial" w:eastAsia="Times New Roman" w:hAnsi="Arial" w:cs="Arial"/>
          <w:color w:val="000000"/>
          <w:kern w:val="0"/>
          <w:lang w:eastAsia="en-GB"/>
          <w14:ligatures w14:val="none"/>
        </w:rPr>
        <w:t>, 101(10), pp. 666-671. Available at: https://doi.org/10.2471/BLT.22.289310</w:t>
      </w:r>
    </w:p>
    <w:p w14:paraId="35AD92FC"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5EEC9FD1"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Karlsson, M.M. and Rydström, J. (2023) ‘Crip Theory: A Useful Tool for Social Analysis’, </w:t>
      </w:r>
      <w:r w:rsidRPr="00D1758D">
        <w:rPr>
          <w:rFonts w:ascii="Arial" w:eastAsia="Times New Roman" w:hAnsi="Arial" w:cs="Arial"/>
          <w:i/>
          <w:iCs/>
          <w:color w:val="000000"/>
          <w:kern w:val="0"/>
          <w:lang w:eastAsia="en-GB"/>
          <w14:ligatures w14:val="none"/>
        </w:rPr>
        <w:t>NORA - Nordic Journal of Feminist and Gender Research</w:t>
      </w:r>
      <w:r w:rsidRPr="00D1758D">
        <w:rPr>
          <w:rFonts w:ascii="Arial" w:eastAsia="Times New Roman" w:hAnsi="Arial" w:cs="Arial"/>
          <w:color w:val="000000"/>
          <w:kern w:val="0"/>
          <w:lang w:eastAsia="en-GB"/>
          <w14:ligatures w14:val="none"/>
        </w:rPr>
        <w:t>, 31(4), pp. 395-410. Available at: https://doi.org/10.1080/08038740.2023.2179108 </w:t>
      </w:r>
    </w:p>
    <w:p w14:paraId="36BBFFB3"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654D49A5"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Kennelly, I., Merz, S.N. and Lorber, J. (2001) ‘What is Gender?’, </w:t>
      </w:r>
      <w:r w:rsidRPr="00D1758D">
        <w:rPr>
          <w:rFonts w:ascii="Arial" w:eastAsia="Times New Roman" w:hAnsi="Arial" w:cs="Arial"/>
          <w:i/>
          <w:iCs/>
          <w:color w:val="000000"/>
          <w:kern w:val="0"/>
          <w:lang w:eastAsia="en-GB"/>
          <w14:ligatures w14:val="none"/>
        </w:rPr>
        <w:t>American Sociological Review,</w:t>
      </w:r>
      <w:r w:rsidRPr="00D1758D">
        <w:rPr>
          <w:rFonts w:ascii="Arial" w:eastAsia="Times New Roman" w:hAnsi="Arial" w:cs="Arial"/>
          <w:color w:val="000000"/>
          <w:kern w:val="0"/>
          <w:lang w:eastAsia="en-GB"/>
          <w14:ligatures w14:val="none"/>
        </w:rPr>
        <w:t xml:space="preserve"> 66(4). Available at: https://doi.org/10.1177/000312240106600407 </w:t>
      </w:r>
    </w:p>
    <w:p w14:paraId="610F340D"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1F4CD341"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Ladau, E. (2025) </w:t>
      </w:r>
      <w:r w:rsidRPr="00D1758D">
        <w:rPr>
          <w:rFonts w:ascii="Arial" w:eastAsia="Times New Roman" w:hAnsi="Arial" w:cs="Arial"/>
          <w:i/>
          <w:iCs/>
          <w:color w:val="000000"/>
          <w:kern w:val="0"/>
          <w:lang w:eastAsia="en-GB"/>
          <w14:ligatures w14:val="none"/>
        </w:rPr>
        <w:t>Demystifying Disability: What to Know, What to Say, and How to be an Ally.</w:t>
      </w:r>
      <w:r w:rsidRPr="00D1758D">
        <w:rPr>
          <w:rFonts w:ascii="Arial" w:eastAsia="Times New Roman" w:hAnsi="Arial" w:cs="Arial"/>
          <w:color w:val="000000"/>
          <w:kern w:val="0"/>
          <w:lang w:eastAsia="en-GB"/>
          <w14:ligatures w14:val="none"/>
        </w:rPr>
        <w:t xml:space="preserve"> Ten Speed Press.</w:t>
      </w:r>
    </w:p>
    <w:p w14:paraId="61513A1B"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042F0151"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Lalush, D. (2023) </w:t>
      </w:r>
      <w:r w:rsidRPr="00D1758D">
        <w:rPr>
          <w:rFonts w:ascii="Arial" w:eastAsia="Times New Roman" w:hAnsi="Arial" w:cs="Arial"/>
          <w:i/>
          <w:iCs/>
          <w:color w:val="000000"/>
          <w:kern w:val="0"/>
          <w:lang w:eastAsia="en-GB"/>
          <w14:ligatures w14:val="none"/>
        </w:rPr>
        <w:t xml:space="preserve">A DESIGNER’S CRASH COURSE IN ABLEISM A DESIGN LETTER ON ADDRESSING ABLEISM INTERNALIZED, FOR THE BETTERMENT OF THE CLASSROOM, STUDIO, AND FUTURE DESIGNERS. </w:t>
      </w:r>
      <w:r w:rsidRPr="00D1758D">
        <w:rPr>
          <w:rFonts w:ascii="Arial" w:eastAsia="Times New Roman" w:hAnsi="Arial" w:cs="Arial"/>
          <w:color w:val="000000"/>
          <w:kern w:val="0"/>
          <w:lang w:eastAsia="en-GB"/>
          <w14:ligatures w14:val="none"/>
        </w:rPr>
        <w:t>Available at: https://www.idsa.org/education-paper/a-designers-crash-course-in-ableism/ (Accessed: 13 February 2026). </w:t>
      </w:r>
    </w:p>
    <w:p w14:paraId="1A523C4C"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5FDFE81B"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Leondardi, M., </w:t>
      </w:r>
      <w:proofErr w:type="spellStart"/>
      <w:r w:rsidRPr="00D1758D">
        <w:rPr>
          <w:rFonts w:ascii="Arial" w:eastAsia="Times New Roman" w:hAnsi="Arial" w:cs="Arial"/>
          <w:color w:val="000000"/>
          <w:kern w:val="0"/>
          <w:lang w:eastAsia="en-GB"/>
          <w14:ligatures w14:val="none"/>
        </w:rPr>
        <w:t>Bickenback</w:t>
      </w:r>
      <w:proofErr w:type="spellEnd"/>
      <w:r w:rsidRPr="00D1758D">
        <w:rPr>
          <w:rFonts w:ascii="Arial" w:eastAsia="Times New Roman" w:hAnsi="Arial" w:cs="Arial"/>
          <w:color w:val="000000"/>
          <w:kern w:val="0"/>
          <w:lang w:eastAsia="en-GB"/>
          <w14:ligatures w14:val="none"/>
        </w:rPr>
        <w:t xml:space="preserve">, J., </w:t>
      </w:r>
      <w:proofErr w:type="spellStart"/>
      <w:r w:rsidRPr="00D1758D">
        <w:rPr>
          <w:rFonts w:ascii="Arial" w:eastAsia="Times New Roman" w:hAnsi="Arial" w:cs="Arial"/>
          <w:color w:val="000000"/>
          <w:kern w:val="0"/>
          <w:lang w:eastAsia="en-GB"/>
          <w14:ligatures w14:val="none"/>
        </w:rPr>
        <w:t>Ustun</w:t>
      </w:r>
      <w:proofErr w:type="spellEnd"/>
      <w:r w:rsidRPr="00D1758D">
        <w:rPr>
          <w:rFonts w:ascii="Arial" w:eastAsia="Times New Roman" w:hAnsi="Arial" w:cs="Arial"/>
          <w:color w:val="000000"/>
          <w:kern w:val="0"/>
          <w:lang w:eastAsia="en-GB"/>
          <w14:ligatures w14:val="none"/>
        </w:rPr>
        <w:t xml:space="preserve">, T.B., Kostanjsek, N. and Chatterji, S. (2006) ‘The definition of disability: what is in a name?’, </w:t>
      </w:r>
      <w:r w:rsidRPr="00D1758D">
        <w:rPr>
          <w:rFonts w:ascii="Arial" w:eastAsia="Times New Roman" w:hAnsi="Arial" w:cs="Arial"/>
          <w:i/>
          <w:iCs/>
          <w:color w:val="000000"/>
          <w:kern w:val="0"/>
          <w:lang w:eastAsia="en-GB"/>
          <w14:ligatures w14:val="none"/>
        </w:rPr>
        <w:t>The Lancet,</w:t>
      </w:r>
      <w:r w:rsidRPr="00D1758D">
        <w:rPr>
          <w:rFonts w:ascii="Arial" w:eastAsia="Times New Roman" w:hAnsi="Arial" w:cs="Arial"/>
          <w:color w:val="000000"/>
          <w:kern w:val="0"/>
          <w:lang w:eastAsia="en-GB"/>
          <w14:ligatures w14:val="none"/>
        </w:rPr>
        <w:t xml:space="preserve"> 368(9543), pp. 1219-1221. Available at: https://www.thelancet.com/journals/lancet/article/PIIS0140-6736(06)69498-1/abstract (Accessed: 11 February 2026).</w:t>
      </w:r>
    </w:p>
    <w:p w14:paraId="2BD82C00"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1F1CCDD3"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Lerner, G. (1975) ‘Placing Women in History: Definitions and Challenges’, </w:t>
      </w:r>
      <w:r w:rsidRPr="00D1758D">
        <w:rPr>
          <w:rFonts w:ascii="Arial" w:eastAsia="Times New Roman" w:hAnsi="Arial" w:cs="Arial"/>
          <w:i/>
          <w:iCs/>
          <w:color w:val="000000"/>
          <w:kern w:val="0"/>
          <w:lang w:eastAsia="en-GB"/>
          <w14:ligatures w14:val="none"/>
        </w:rPr>
        <w:t>Feminist Studies,</w:t>
      </w:r>
      <w:r w:rsidRPr="00D1758D">
        <w:rPr>
          <w:rFonts w:ascii="Arial" w:eastAsia="Times New Roman" w:hAnsi="Arial" w:cs="Arial"/>
          <w:color w:val="000000"/>
          <w:kern w:val="0"/>
          <w:lang w:eastAsia="en-GB"/>
          <w14:ligatures w14:val="none"/>
        </w:rPr>
        <w:t xml:space="preserve"> 3(1-2), pp. 5-14. Available at: https://doi.org/10.2307/3518951 </w:t>
      </w:r>
    </w:p>
    <w:p w14:paraId="2F10D89E"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3452EB62"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Levon, E. (2015) ‘Integrating Intersectionality in Language, Gender, and Sexuality Research’, </w:t>
      </w:r>
      <w:r w:rsidRPr="00D1758D">
        <w:rPr>
          <w:rFonts w:ascii="Arial" w:eastAsia="Times New Roman" w:hAnsi="Arial" w:cs="Arial"/>
          <w:i/>
          <w:iCs/>
          <w:color w:val="000000"/>
          <w:kern w:val="0"/>
          <w:lang w:eastAsia="en-GB"/>
          <w14:ligatures w14:val="none"/>
        </w:rPr>
        <w:t>Language and Linguistics Compass</w:t>
      </w:r>
      <w:r w:rsidRPr="00D1758D">
        <w:rPr>
          <w:rFonts w:ascii="Arial" w:eastAsia="Times New Roman" w:hAnsi="Arial" w:cs="Arial"/>
          <w:color w:val="000000"/>
          <w:kern w:val="0"/>
          <w:lang w:eastAsia="en-GB"/>
          <w14:ligatures w14:val="none"/>
        </w:rPr>
        <w:t>, 9(7), pp. 295-308. Available at: https://doi.org/10.1111/lnc3.12147 </w:t>
      </w:r>
    </w:p>
    <w:p w14:paraId="6C1CDB1A"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2A0E5FBF"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Lindstrom, L.E. and Benz, M.R. (2002) ‘Phases of Career Development: Case Studies of Young Women With Learning Disabilities’,</w:t>
      </w:r>
      <w:r w:rsidRPr="00D1758D">
        <w:rPr>
          <w:rFonts w:ascii="Arial" w:eastAsia="Times New Roman" w:hAnsi="Arial" w:cs="Arial"/>
          <w:i/>
          <w:iCs/>
          <w:color w:val="000000"/>
          <w:kern w:val="0"/>
          <w:lang w:eastAsia="en-GB"/>
          <w14:ligatures w14:val="none"/>
        </w:rPr>
        <w:t xml:space="preserve"> Exceptional Children</w:t>
      </w:r>
      <w:r w:rsidRPr="00D1758D">
        <w:rPr>
          <w:rFonts w:ascii="Arial" w:eastAsia="Times New Roman" w:hAnsi="Arial" w:cs="Arial"/>
          <w:color w:val="000000"/>
          <w:kern w:val="0"/>
          <w:lang w:eastAsia="en-GB"/>
          <w14:ligatures w14:val="none"/>
        </w:rPr>
        <w:t>, 69(1), pp. 67-83. Available at: https://doi.org/10.1177/001440290206900105 </w:t>
      </w:r>
    </w:p>
    <w:p w14:paraId="047BDA10"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1E6949B8"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lastRenderedPageBreak/>
        <w:t xml:space="preserve">Lindqvist, A., Sendén, M.G. and Renström, E.A. (2021) ‘What is gender, anyway: a review of the options for operationalising gender’, </w:t>
      </w:r>
      <w:r w:rsidRPr="00D1758D">
        <w:rPr>
          <w:rFonts w:ascii="Arial" w:eastAsia="Times New Roman" w:hAnsi="Arial" w:cs="Arial"/>
          <w:i/>
          <w:iCs/>
          <w:color w:val="000000"/>
          <w:kern w:val="0"/>
          <w:lang w:eastAsia="en-GB"/>
          <w14:ligatures w14:val="none"/>
        </w:rPr>
        <w:t>Psychology &amp; Sexuality</w:t>
      </w:r>
      <w:r w:rsidRPr="00D1758D">
        <w:rPr>
          <w:rFonts w:ascii="Arial" w:eastAsia="Times New Roman" w:hAnsi="Arial" w:cs="Arial"/>
          <w:color w:val="000000"/>
          <w:kern w:val="0"/>
          <w:lang w:eastAsia="en-GB"/>
          <w14:ligatures w14:val="none"/>
        </w:rPr>
        <w:t>, 12(4), pp. 332-344. Available at: https://doi.org/10.1080/19419899.2020.1729844 </w:t>
      </w:r>
    </w:p>
    <w:p w14:paraId="483DCA45"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05859C46"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Lu, W. (2025) ‘No one wants to be a good patient: Intersectionality and agency in the sick role’, Social Science &amp; Medicine, 382 (October) article 118372. Available at: https://doi.org/10.1016/j.socscimed.2025.118372 </w:t>
      </w:r>
    </w:p>
    <w:p w14:paraId="71C8EFC9"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44A3E15D"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roofErr w:type="spellStart"/>
      <w:r w:rsidRPr="00D1758D">
        <w:rPr>
          <w:rFonts w:ascii="Arial" w:eastAsia="Times New Roman" w:hAnsi="Arial" w:cs="Arial"/>
          <w:color w:val="000000"/>
          <w:kern w:val="0"/>
          <w:lang w:eastAsia="en-GB"/>
          <w14:ligatures w14:val="none"/>
        </w:rPr>
        <w:t>Macgillivray</w:t>
      </w:r>
      <w:proofErr w:type="spellEnd"/>
      <w:r w:rsidRPr="00D1758D">
        <w:rPr>
          <w:rFonts w:ascii="Arial" w:eastAsia="Times New Roman" w:hAnsi="Arial" w:cs="Arial"/>
          <w:color w:val="000000"/>
          <w:kern w:val="0"/>
          <w:lang w:eastAsia="en-GB"/>
          <w14:ligatures w14:val="none"/>
        </w:rPr>
        <w:t xml:space="preserve">, E. (2025) </w:t>
      </w:r>
      <w:r w:rsidRPr="00D1758D">
        <w:rPr>
          <w:rFonts w:ascii="Arial" w:eastAsia="Times New Roman" w:hAnsi="Arial" w:cs="Arial"/>
          <w:i/>
          <w:iCs/>
          <w:color w:val="000000"/>
          <w:kern w:val="0"/>
          <w:lang w:eastAsia="en-GB"/>
          <w14:ligatures w14:val="none"/>
        </w:rPr>
        <w:t>Guidelines for the Care of Women with Learning Disabilities and/ or Difficulties Accessing Maternity Services.</w:t>
      </w:r>
      <w:r w:rsidRPr="00D1758D">
        <w:rPr>
          <w:rFonts w:ascii="Arial" w:eastAsia="Times New Roman" w:hAnsi="Arial" w:cs="Arial"/>
          <w:color w:val="000000"/>
          <w:kern w:val="0"/>
          <w:lang w:eastAsia="en-GB"/>
          <w14:ligatures w14:val="none"/>
        </w:rPr>
        <w:t xml:space="preserve"> Available at: https://wisdom.nhs.wales/health-board-guidelines/cwm-taf-maternity-file/guideline-for-the-care-of-women-with-learning-disabilities-andor-difficulty-in-accessing-maternity-services/ (Accessed: 12 February 2026). </w:t>
      </w:r>
    </w:p>
    <w:p w14:paraId="5E0983A0"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2E0B7EF9"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Malouf, R., Henderson, J. and Redshaw, M. (2017) ‘Access and quality of maternity care for disabled women during pregnancy, birth and the postnatal period in England: data from a national survey’,</w:t>
      </w:r>
      <w:r w:rsidRPr="00D1758D">
        <w:rPr>
          <w:rFonts w:ascii="Arial" w:eastAsia="Times New Roman" w:hAnsi="Arial" w:cs="Arial"/>
          <w:i/>
          <w:iCs/>
          <w:color w:val="000000"/>
          <w:kern w:val="0"/>
          <w:lang w:eastAsia="en-GB"/>
          <w14:ligatures w14:val="none"/>
        </w:rPr>
        <w:t xml:space="preserve"> BMJ Open</w:t>
      </w:r>
      <w:r w:rsidRPr="00D1758D">
        <w:rPr>
          <w:rFonts w:ascii="Arial" w:eastAsia="Times New Roman" w:hAnsi="Arial" w:cs="Arial"/>
          <w:color w:val="000000"/>
          <w:kern w:val="0"/>
          <w:lang w:eastAsia="en-GB"/>
          <w14:ligatures w14:val="none"/>
        </w:rPr>
        <w:t>, 7(7). Available at: https://bmjopen.bmj.com/content/7/7/e016757.info (Accessed: 13 February 2026). </w:t>
      </w:r>
    </w:p>
    <w:p w14:paraId="0A12D4E0"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0F7D549E"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Matin, B.K., Williamson, H.J., </w:t>
      </w:r>
      <w:proofErr w:type="spellStart"/>
      <w:r w:rsidRPr="00D1758D">
        <w:rPr>
          <w:rFonts w:ascii="Arial" w:eastAsia="Times New Roman" w:hAnsi="Arial" w:cs="Arial"/>
          <w:color w:val="000000"/>
          <w:kern w:val="0"/>
          <w:lang w:eastAsia="en-GB"/>
          <w14:ligatures w14:val="none"/>
        </w:rPr>
        <w:t>Karyani</w:t>
      </w:r>
      <w:proofErr w:type="spellEnd"/>
      <w:r w:rsidRPr="00D1758D">
        <w:rPr>
          <w:rFonts w:ascii="Arial" w:eastAsia="Times New Roman" w:hAnsi="Arial" w:cs="Arial"/>
          <w:color w:val="000000"/>
          <w:kern w:val="0"/>
          <w:lang w:eastAsia="en-GB"/>
          <w14:ligatures w14:val="none"/>
        </w:rPr>
        <w:t xml:space="preserve">, A.K., Rezaei, S., Soofi, M. and Soltani, S. (2021) ‘Barriers in access to healthcare for women with disabilities: a systematic review in qualitative studies’, </w:t>
      </w:r>
      <w:r w:rsidRPr="00D1758D">
        <w:rPr>
          <w:rFonts w:ascii="Arial" w:eastAsia="Times New Roman" w:hAnsi="Arial" w:cs="Arial"/>
          <w:i/>
          <w:iCs/>
          <w:color w:val="000000"/>
          <w:kern w:val="0"/>
          <w:lang w:eastAsia="en-GB"/>
          <w14:ligatures w14:val="none"/>
        </w:rPr>
        <w:t>BMC Women’s Health,</w:t>
      </w:r>
      <w:r w:rsidRPr="00D1758D">
        <w:rPr>
          <w:rFonts w:ascii="Arial" w:eastAsia="Times New Roman" w:hAnsi="Arial" w:cs="Arial"/>
          <w:color w:val="000000"/>
          <w:kern w:val="0"/>
          <w:lang w:eastAsia="en-GB"/>
          <w14:ligatures w14:val="none"/>
        </w:rPr>
        <w:t xml:space="preserve"> 21 (January) article 44. Available at: https://doi.org/10.1186/s12905-021-01189-5 </w:t>
      </w:r>
    </w:p>
    <w:p w14:paraId="5623F090"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3BD0A2DF"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Mazzuca, C., Borghi, A.M., van Putten, A., Lugli, L., Nicoletti, R. and Majid, A. (2023) ‘Gender is conceptualized in different ways across cultures’,</w:t>
      </w:r>
      <w:r w:rsidRPr="00D1758D">
        <w:rPr>
          <w:rFonts w:ascii="Arial" w:eastAsia="Times New Roman" w:hAnsi="Arial" w:cs="Arial"/>
          <w:i/>
          <w:iCs/>
          <w:color w:val="000000"/>
          <w:kern w:val="0"/>
          <w:lang w:eastAsia="en-GB"/>
          <w14:ligatures w14:val="none"/>
        </w:rPr>
        <w:t xml:space="preserve"> Language and Cognition,</w:t>
      </w:r>
      <w:r w:rsidRPr="00D1758D">
        <w:rPr>
          <w:rFonts w:ascii="Arial" w:eastAsia="Times New Roman" w:hAnsi="Arial" w:cs="Arial"/>
          <w:color w:val="000000"/>
          <w:kern w:val="0"/>
          <w:lang w:eastAsia="en-GB"/>
          <w14:ligatures w14:val="none"/>
        </w:rPr>
        <w:t xml:space="preserve"> 16(2), pp. 353-379. Available at: https://doi.org/10.1017/langcog.2023.40 </w:t>
      </w:r>
    </w:p>
    <w:p w14:paraId="4E0527B1"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36D0939C"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McCall, L. (2005) ‘The Complexity of Intersectionality’, </w:t>
      </w:r>
      <w:r w:rsidRPr="00D1758D">
        <w:rPr>
          <w:rFonts w:ascii="Arial" w:eastAsia="Times New Roman" w:hAnsi="Arial" w:cs="Arial"/>
          <w:i/>
          <w:iCs/>
          <w:color w:val="000000"/>
          <w:kern w:val="0"/>
          <w:lang w:eastAsia="en-GB"/>
          <w14:ligatures w14:val="none"/>
        </w:rPr>
        <w:t>Signs</w:t>
      </w:r>
      <w:r w:rsidRPr="00D1758D">
        <w:rPr>
          <w:rFonts w:ascii="Arial" w:eastAsia="Times New Roman" w:hAnsi="Arial" w:cs="Arial"/>
          <w:color w:val="000000"/>
          <w:kern w:val="0"/>
          <w:lang w:eastAsia="en-GB"/>
          <w14:ligatures w14:val="none"/>
        </w:rPr>
        <w:t>, 30(3), pp. 1771-1800. Available at: https://doi.org/10.1086/426800 </w:t>
      </w:r>
    </w:p>
    <w:p w14:paraId="7ABB8722"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073C1DCA"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Mitra, M., Long-Bellil, L., Moura, I., Miles, A. and Kaye, H.S. (2022) ‘Advancing Health Equity And Reducing Health Disparities For People With Disabilities In The United States’, </w:t>
      </w:r>
      <w:r w:rsidRPr="00D1758D">
        <w:rPr>
          <w:rFonts w:ascii="Arial" w:eastAsia="Times New Roman" w:hAnsi="Arial" w:cs="Arial"/>
          <w:i/>
          <w:iCs/>
          <w:color w:val="000000"/>
          <w:kern w:val="0"/>
          <w:lang w:eastAsia="en-GB"/>
          <w14:ligatures w14:val="none"/>
        </w:rPr>
        <w:t>Health Affairs,</w:t>
      </w:r>
      <w:r w:rsidRPr="00D1758D">
        <w:rPr>
          <w:rFonts w:ascii="Arial" w:eastAsia="Times New Roman" w:hAnsi="Arial" w:cs="Arial"/>
          <w:color w:val="000000"/>
          <w:kern w:val="0"/>
          <w:lang w:eastAsia="en-GB"/>
          <w14:ligatures w14:val="none"/>
        </w:rPr>
        <w:t xml:space="preserve"> 41(10). Available at: https://doi.org/10.1377/hlthaff.2022.00499 </w:t>
      </w:r>
    </w:p>
    <w:p w14:paraId="284F7A5E"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0C163388"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Moodley, J. and Graham, L. (2015) ‘The importance of intersectionality in disability and gender studies’, </w:t>
      </w:r>
      <w:r w:rsidRPr="00D1758D">
        <w:rPr>
          <w:rFonts w:ascii="Arial" w:eastAsia="Times New Roman" w:hAnsi="Arial" w:cs="Arial"/>
          <w:i/>
          <w:iCs/>
          <w:color w:val="000000"/>
          <w:kern w:val="0"/>
          <w:lang w:eastAsia="en-GB"/>
          <w14:ligatures w14:val="none"/>
        </w:rPr>
        <w:t>Disability and Gender</w:t>
      </w:r>
      <w:r w:rsidRPr="00D1758D">
        <w:rPr>
          <w:rFonts w:ascii="Arial" w:eastAsia="Times New Roman" w:hAnsi="Arial" w:cs="Arial"/>
          <w:color w:val="000000"/>
          <w:kern w:val="0"/>
          <w:lang w:eastAsia="en-GB"/>
          <w14:ligatures w14:val="none"/>
        </w:rPr>
        <w:t>, 29(2), pp. 24-33. Available at: https://doi.org/10.1080/10130950.2015.1041802 </w:t>
      </w:r>
    </w:p>
    <w:p w14:paraId="4AC3918B"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4BB3509F"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Moriña, A. (2024) ‘When what is unseen does not exist: disclosure, barriers and supports for students with invisible disabilities in higher education’, </w:t>
      </w:r>
      <w:r w:rsidRPr="00D1758D">
        <w:rPr>
          <w:rFonts w:ascii="Arial" w:eastAsia="Times New Roman" w:hAnsi="Arial" w:cs="Arial"/>
          <w:i/>
          <w:iCs/>
          <w:color w:val="000000"/>
          <w:kern w:val="0"/>
          <w:lang w:eastAsia="en-GB"/>
          <w14:ligatures w14:val="none"/>
        </w:rPr>
        <w:t>Disability &amp; Society,</w:t>
      </w:r>
      <w:r w:rsidRPr="00D1758D">
        <w:rPr>
          <w:rFonts w:ascii="Arial" w:eastAsia="Times New Roman" w:hAnsi="Arial" w:cs="Arial"/>
          <w:color w:val="000000"/>
          <w:kern w:val="0"/>
          <w:lang w:eastAsia="en-GB"/>
          <w14:ligatures w14:val="none"/>
        </w:rPr>
        <w:t xml:space="preserve"> 39(4), pp. 914-932. Available at: https://doi.org/10.1080/09687599.2022.2113038</w:t>
      </w:r>
    </w:p>
    <w:p w14:paraId="3928B669"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69EA9B08"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Nguyen, A. (2020) ‘Challenges for Women with Disabilities Accessing Reproductive Health Care Around the World: A Scoping Review’, </w:t>
      </w:r>
      <w:r w:rsidRPr="00D1758D">
        <w:rPr>
          <w:rFonts w:ascii="Arial" w:eastAsia="Times New Roman" w:hAnsi="Arial" w:cs="Arial"/>
          <w:i/>
          <w:iCs/>
          <w:color w:val="000000"/>
          <w:kern w:val="0"/>
          <w:lang w:eastAsia="en-GB"/>
          <w14:ligatures w14:val="none"/>
        </w:rPr>
        <w:t>Sexuality and Disability</w:t>
      </w:r>
      <w:r w:rsidRPr="00D1758D">
        <w:rPr>
          <w:rFonts w:ascii="Arial" w:eastAsia="Times New Roman" w:hAnsi="Arial" w:cs="Arial"/>
          <w:color w:val="000000"/>
          <w:kern w:val="0"/>
          <w:lang w:eastAsia="en-GB"/>
          <w14:ligatures w14:val="none"/>
        </w:rPr>
        <w:t>, 38, pp. 371-388. Available at: https://doi.org/10.1007/s11195-020-09630-7 </w:t>
      </w:r>
    </w:p>
    <w:p w14:paraId="684A6748"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09692C25"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Pastor-Moreno, G., Saletti-Cuesta, L., Henares-Montiel, J., María J. Escudero-Carretero, M.J., </w:t>
      </w:r>
      <w:proofErr w:type="spellStart"/>
      <w:r w:rsidRPr="00D1758D">
        <w:rPr>
          <w:rFonts w:ascii="Arial" w:eastAsia="Times New Roman" w:hAnsi="Arial" w:cs="Arial"/>
          <w:color w:val="000000"/>
          <w:kern w:val="0"/>
          <w:lang w:eastAsia="en-GB"/>
          <w14:ligatures w14:val="none"/>
        </w:rPr>
        <w:t>Higueras-Callejón</w:t>
      </w:r>
      <w:proofErr w:type="spellEnd"/>
      <w:r w:rsidRPr="00D1758D">
        <w:rPr>
          <w:rFonts w:ascii="Arial" w:eastAsia="Times New Roman" w:hAnsi="Arial" w:cs="Arial"/>
          <w:color w:val="000000"/>
          <w:kern w:val="0"/>
          <w:lang w:eastAsia="en-GB"/>
          <w14:ligatures w14:val="none"/>
        </w:rPr>
        <w:t xml:space="preserve">, C. and Ruiz-Pérez, I. (2024) ‘Systematic review of healthcare interventions for reducing gender-based violence impact on the mental health of women with disabilities’, </w:t>
      </w:r>
      <w:r w:rsidRPr="00D1758D">
        <w:rPr>
          <w:rFonts w:ascii="Arial" w:eastAsia="Times New Roman" w:hAnsi="Arial" w:cs="Arial"/>
          <w:i/>
          <w:iCs/>
          <w:color w:val="000000"/>
          <w:kern w:val="0"/>
          <w:lang w:eastAsia="en-GB"/>
          <w14:ligatures w14:val="none"/>
        </w:rPr>
        <w:t>Journal of Nursing Scholarship</w:t>
      </w:r>
      <w:r w:rsidRPr="00D1758D">
        <w:rPr>
          <w:rFonts w:ascii="Arial" w:eastAsia="Times New Roman" w:hAnsi="Arial" w:cs="Arial"/>
          <w:color w:val="000000"/>
          <w:kern w:val="0"/>
          <w:lang w:eastAsia="en-GB"/>
          <w14:ligatures w14:val="none"/>
        </w:rPr>
        <w:t>, 56(5), pp. 638-652. Available at: https://doi.org/10.1111/jnu.12985 </w:t>
      </w:r>
    </w:p>
    <w:p w14:paraId="22CF4C01"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05A37D8F"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Patel, D.R. and Brown, K.A. (2017) ‘An overview of the conceptual framework and definitions of disability’,</w:t>
      </w:r>
      <w:r w:rsidRPr="00D1758D">
        <w:rPr>
          <w:rFonts w:ascii="Arial" w:eastAsia="Times New Roman" w:hAnsi="Arial" w:cs="Arial"/>
          <w:i/>
          <w:iCs/>
          <w:color w:val="000000"/>
          <w:kern w:val="0"/>
          <w:lang w:eastAsia="en-GB"/>
          <w14:ligatures w14:val="none"/>
        </w:rPr>
        <w:t xml:space="preserve"> International Journal of Child Health and Human Development</w:t>
      </w:r>
      <w:r w:rsidRPr="00D1758D">
        <w:rPr>
          <w:rFonts w:ascii="Arial" w:eastAsia="Times New Roman" w:hAnsi="Arial" w:cs="Arial"/>
          <w:color w:val="000000"/>
          <w:kern w:val="0"/>
          <w:lang w:eastAsia="en-GB"/>
          <w14:ligatures w14:val="none"/>
        </w:rPr>
        <w:t>, 10(3), pp. 247-252. Available at: https://www.proquest.com/docview/1999052730/fulltextPDF/7094729770574B3DPQ/1?accountid=130472&amp;sourcetype=Scholarly%20Journals (Accessed: 10 February 2026). </w:t>
      </w:r>
    </w:p>
    <w:p w14:paraId="6C149D74"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6DE9686B"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Pawłowska-Cyprysiak, K. and Konarska, M. (2015) ‘Working Life of Women With Disabilities—A Review’, </w:t>
      </w:r>
      <w:r w:rsidRPr="00D1758D">
        <w:rPr>
          <w:rFonts w:ascii="Arial" w:eastAsia="Times New Roman" w:hAnsi="Arial" w:cs="Arial"/>
          <w:i/>
          <w:iCs/>
          <w:color w:val="000000"/>
          <w:kern w:val="0"/>
          <w:lang w:eastAsia="en-GB"/>
          <w14:ligatures w14:val="none"/>
        </w:rPr>
        <w:t>International Journal of Occupational Safety and Ergonomics</w:t>
      </w:r>
      <w:r w:rsidRPr="00D1758D">
        <w:rPr>
          <w:rFonts w:ascii="Arial" w:eastAsia="Times New Roman" w:hAnsi="Arial" w:cs="Arial"/>
          <w:color w:val="000000"/>
          <w:kern w:val="0"/>
          <w:lang w:eastAsia="en-GB"/>
          <w14:ligatures w14:val="none"/>
        </w:rPr>
        <w:t>, 19(3), pp. 409-414. Available at: https://doi.org/10.1080/10803548.2013.11076997 </w:t>
      </w:r>
    </w:p>
    <w:p w14:paraId="2E57C5B0"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7847AB4E"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Pérez-Curiel, P., Vicente, E., Morán, M.L. and Gómez, L.E. (2023) ‘The Right to Sexuality, Reproductive Health, and Found a Family for People with Intellectual Disability: A Systematic Review’, </w:t>
      </w:r>
      <w:r w:rsidRPr="00D1758D">
        <w:rPr>
          <w:rFonts w:ascii="Arial" w:eastAsia="Times New Roman" w:hAnsi="Arial" w:cs="Arial"/>
          <w:i/>
          <w:iCs/>
          <w:color w:val="000000"/>
          <w:kern w:val="0"/>
          <w:lang w:eastAsia="en-GB"/>
          <w14:ligatures w14:val="none"/>
        </w:rPr>
        <w:t>International Journal of Environmental Research and Public Health</w:t>
      </w:r>
      <w:r w:rsidRPr="00D1758D">
        <w:rPr>
          <w:rFonts w:ascii="Arial" w:eastAsia="Times New Roman" w:hAnsi="Arial" w:cs="Arial"/>
          <w:color w:val="000000"/>
          <w:kern w:val="0"/>
          <w:lang w:eastAsia="en-GB"/>
          <w14:ligatures w14:val="none"/>
        </w:rPr>
        <w:t>, 20(2). Available at: https://doi.org/10.3390/ijerph20021587 </w:t>
      </w:r>
    </w:p>
    <w:p w14:paraId="7083BC47"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08DAF432"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Perry, M.J. (2016) ‘Defining Gender’, in P.J. Du Plessis, C. Ando and K. </w:t>
      </w:r>
      <w:proofErr w:type="spellStart"/>
      <w:r w:rsidRPr="00D1758D">
        <w:rPr>
          <w:rFonts w:ascii="Arial" w:eastAsia="Times New Roman" w:hAnsi="Arial" w:cs="Arial"/>
          <w:color w:val="000000"/>
          <w:kern w:val="0"/>
          <w:lang w:eastAsia="en-GB"/>
          <w14:ligatures w14:val="none"/>
        </w:rPr>
        <w:t>Tuori</w:t>
      </w:r>
      <w:proofErr w:type="spellEnd"/>
      <w:r w:rsidRPr="00D1758D">
        <w:rPr>
          <w:rFonts w:ascii="Arial" w:eastAsia="Times New Roman" w:hAnsi="Arial" w:cs="Arial"/>
          <w:color w:val="000000"/>
          <w:kern w:val="0"/>
          <w:lang w:eastAsia="en-GB"/>
          <w14:ligatures w14:val="none"/>
        </w:rPr>
        <w:t xml:space="preserve"> (eds) </w:t>
      </w:r>
      <w:r w:rsidRPr="00D1758D">
        <w:rPr>
          <w:rFonts w:ascii="Arial" w:eastAsia="Times New Roman" w:hAnsi="Arial" w:cs="Arial"/>
          <w:i/>
          <w:iCs/>
          <w:color w:val="000000"/>
          <w:kern w:val="0"/>
          <w:lang w:eastAsia="en-GB"/>
          <w14:ligatures w14:val="none"/>
        </w:rPr>
        <w:t>The Oxford Handbook of Roman Law and Society.</w:t>
      </w:r>
      <w:r w:rsidRPr="00D1758D">
        <w:rPr>
          <w:rFonts w:ascii="Arial" w:eastAsia="Times New Roman" w:hAnsi="Arial" w:cs="Arial"/>
          <w:color w:val="000000"/>
          <w:kern w:val="0"/>
          <w:lang w:eastAsia="en-GB"/>
          <w14:ligatures w14:val="none"/>
        </w:rPr>
        <w:t xml:space="preserve"> Oxford University Press, pp. 432-442. </w:t>
      </w:r>
    </w:p>
    <w:p w14:paraId="52D6D424"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169548D7"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Pham, Y.K., Hirano, K.A., Lindstrom, L. and DeGarmo, D.S. (2020) ‘Future Aspirations of Young Women With Disabilities: An Examination of Social Cognitive Career Theory’, </w:t>
      </w:r>
      <w:r w:rsidRPr="00D1758D">
        <w:rPr>
          <w:rFonts w:ascii="Arial" w:eastAsia="Times New Roman" w:hAnsi="Arial" w:cs="Arial"/>
          <w:i/>
          <w:iCs/>
          <w:color w:val="000000"/>
          <w:kern w:val="0"/>
          <w:lang w:eastAsia="en-GB"/>
          <w14:ligatures w14:val="none"/>
        </w:rPr>
        <w:t>Career Development and Transition for Exceptional Individuals</w:t>
      </w:r>
      <w:r w:rsidRPr="00D1758D">
        <w:rPr>
          <w:rFonts w:ascii="Arial" w:eastAsia="Times New Roman" w:hAnsi="Arial" w:cs="Arial"/>
          <w:color w:val="000000"/>
          <w:kern w:val="0"/>
          <w:lang w:eastAsia="en-GB"/>
          <w14:ligatures w14:val="none"/>
        </w:rPr>
        <w:t xml:space="preserve">, 43(3), pp. 169-179. Available at: </w:t>
      </w:r>
      <w:hyperlink r:id="rId13" w:history="1">
        <w:r w:rsidRPr="00D1758D">
          <w:rPr>
            <w:rFonts w:ascii="Arial" w:eastAsia="Times New Roman" w:hAnsi="Arial" w:cs="Arial"/>
            <w:color w:val="000000"/>
            <w:kern w:val="0"/>
            <w:lang w:eastAsia="en-GB"/>
            <w14:ligatures w14:val="none"/>
          </w:rPr>
          <w:t>https://doi.org/10.1177/2165143420920168</w:t>
        </w:r>
      </w:hyperlink>
    </w:p>
    <w:p w14:paraId="781818D3"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4F7D43BF"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Powell, R.M. (2022) ‘DISABILITY REPRODUCTIVE JUSTICE’, </w:t>
      </w:r>
      <w:r w:rsidRPr="00D1758D">
        <w:rPr>
          <w:rFonts w:ascii="Arial" w:eastAsia="Times New Roman" w:hAnsi="Arial" w:cs="Arial"/>
          <w:i/>
          <w:iCs/>
          <w:color w:val="000000"/>
          <w:kern w:val="0"/>
          <w:lang w:eastAsia="en-GB"/>
          <w14:ligatures w14:val="none"/>
        </w:rPr>
        <w:t>University of Pennsylvania Law Review,</w:t>
      </w:r>
      <w:r w:rsidRPr="00D1758D">
        <w:rPr>
          <w:rFonts w:ascii="Arial" w:eastAsia="Times New Roman" w:hAnsi="Arial" w:cs="Arial"/>
          <w:color w:val="000000"/>
          <w:kern w:val="0"/>
          <w:lang w:eastAsia="en-GB"/>
          <w14:ligatures w14:val="none"/>
        </w:rPr>
        <w:t xml:space="preserve"> 170(7), pp. 1851-1903. Available at: https://www.jstor.org/stable/45473496 (Accessed: 11 February 2026). </w:t>
      </w:r>
    </w:p>
    <w:p w14:paraId="139CE236"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049EF3B5"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Priyashantha, K.G., De Alwis, A.C. and Welmilla, I. (2021) ‘Gender stereotypes change outcomes: a systematic literature review’, </w:t>
      </w:r>
      <w:r w:rsidRPr="00D1758D">
        <w:rPr>
          <w:rFonts w:ascii="Arial" w:eastAsia="Times New Roman" w:hAnsi="Arial" w:cs="Arial"/>
          <w:i/>
          <w:iCs/>
          <w:color w:val="000000"/>
          <w:kern w:val="0"/>
          <w:lang w:eastAsia="en-GB"/>
          <w14:ligatures w14:val="none"/>
        </w:rPr>
        <w:t>Journal of Humanities and Applied Social Sciences</w:t>
      </w:r>
      <w:r w:rsidRPr="00D1758D">
        <w:rPr>
          <w:rFonts w:ascii="Arial" w:eastAsia="Times New Roman" w:hAnsi="Arial" w:cs="Arial"/>
          <w:color w:val="000000"/>
          <w:kern w:val="0"/>
          <w:lang w:eastAsia="en-GB"/>
          <w14:ligatures w14:val="none"/>
        </w:rPr>
        <w:t>, 5(5), pp. 450-466. Available at: https://doi.org/10.1108/JHASS-07-2021-0131 </w:t>
      </w:r>
    </w:p>
    <w:p w14:paraId="60F8222C"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2A43CD66"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Pryzgoda, J. and Chrisler, J.C. (2000) ‘Definitions of Gender and Sex: The Subtleties of Meaning’, </w:t>
      </w:r>
      <w:r w:rsidRPr="00D1758D">
        <w:rPr>
          <w:rFonts w:ascii="Arial" w:eastAsia="Times New Roman" w:hAnsi="Arial" w:cs="Arial"/>
          <w:i/>
          <w:iCs/>
          <w:color w:val="000000"/>
          <w:kern w:val="0"/>
          <w:lang w:eastAsia="en-GB"/>
          <w14:ligatures w14:val="none"/>
        </w:rPr>
        <w:t>Sex Roles</w:t>
      </w:r>
      <w:r w:rsidRPr="00D1758D">
        <w:rPr>
          <w:rFonts w:ascii="Arial" w:eastAsia="Times New Roman" w:hAnsi="Arial" w:cs="Arial"/>
          <w:color w:val="000000"/>
          <w:kern w:val="0"/>
          <w:lang w:eastAsia="en-GB"/>
          <w14:ligatures w14:val="none"/>
        </w:rPr>
        <w:t>, 43, pp. 553-569. Available at: https://doi.org/10.1023/A:1007123617636 </w:t>
      </w:r>
    </w:p>
    <w:p w14:paraId="062B8C9D"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4FBE0C3F"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Nosek, M.A., Hughes, R.B., Swedlund, N., Taylor, H.B. and Swank, P. (2003) ‘Self-esteem and women with disabilities’, </w:t>
      </w:r>
      <w:r w:rsidRPr="00D1758D">
        <w:rPr>
          <w:rFonts w:ascii="Arial" w:eastAsia="Times New Roman" w:hAnsi="Arial" w:cs="Arial"/>
          <w:i/>
          <w:iCs/>
          <w:color w:val="000000"/>
          <w:kern w:val="0"/>
          <w:lang w:eastAsia="en-GB"/>
          <w14:ligatures w14:val="none"/>
        </w:rPr>
        <w:t>Social Science &amp; Medicine</w:t>
      </w:r>
      <w:r w:rsidRPr="00D1758D">
        <w:rPr>
          <w:rFonts w:ascii="Arial" w:eastAsia="Times New Roman" w:hAnsi="Arial" w:cs="Arial"/>
          <w:color w:val="000000"/>
          <w:kern w:val="0"/>
          <w:lang w:eastAsia="en-GB"/>
          <w14:ligatures w14:val="none"/>
        </w:rPr>
        <w:t>, 56(8), pp. 1737-1747. Available at: https://doi.org/10.1016/S0277-9536(02)00169-7 </w:t>
      </w:r>
    </w:p>
    <w:p w14:paraId="48E8A2FB"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1FC145B6"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Nugin, R. and Kalmus, V. (2018) ‘Social generations and societal changes’, in. P. </w:t>
      </w:r>
      <w:proofErr w:type="spellStart"/>
      <w:r w:rsidRPr="00D1758D">
        <w:rPr>
          <w:rFonts w:ascii="Arial" w:eastAsia="Times New Roman" w:hAnsi="Arial" w:cs="Arial"/>
          <w:color w:val="000000"/>
          <w:kern w:val="0"/>
          <w:lang w:eastAsia="en-GB"/>
          <w14:ligatures w14:val="none"/>
        </w:rPr>
        <w:t>Vihalemm</w:t>
      </w:r>
      <w:proofErr w:type="spellEnd"/>
      <w:r w:rsidRPr="00D1758D">
        <w:rPr>
          <w:rFonts w:ascii="Arial" w:eastAsia="Times New Roman" w:hAnsi="Arial" w:cs="Arial"/>
          <w:color w:val="000000"/>
          <w:kern w:val="0"/>
          <w:lang w:eastAsia="en-GB"/>
          <w14:ligatures w14:val="none"/>
        </w:rPr>
        <w:t xml:space="preserve">, A. Masso and S. </w:t>
      </w:r>
      <w:proofErr w:type="spellStart"/>
      <w:r w:rsidRPr="00D1758D">
        <w:rPr>
          <w:rFonts w:ascii="Arial" w:eastAsia="Times New Roman" w:hAnsi="Arial" w:cs="Arial"/>
          <w:color w:val="000000"/>
          <w:kern w:val="0"/>
          <w:lang w:eastAsia="en-GB"/>
          <w14:ligatures w14:val="none"/>
        </w:rPr>
        <w:t>Opermann</w:t>
      </w:r>
      <w:proofErr w:type="spellEnd"/>
      <w:r w:rsidRPr="00D1758D">
        <w:rPr>
          <w:rFonts w:ascii="Arial" w:eastAsia="Times New Roman" w:hAnsi="Arial" w:cs="Arial"/>
          <w:color w:val="000000"/>
          <w:kern w:val="0"/>
          <w:lang w:eastAsia="en-GB"/>
          <w14:ligatures w14:val="none"/>
        </w:rPr>
        <w:t xml:space="preserve"> (eds) </w:t>
      </w:r>
      <w:r w:rsidRPr="00D1758D">
        <w:rPr>
          <w:rFonts w:ascii="Arial" w:eastAsia="Times New Roman" w:hAnsi="Arial" w:cs="Arial"/>
          <w:i/>
          <w:iCs/>
          <w:color w:val="000000"/>
          <w:kern w:val="0"/>
          <w:lang w:eastAsia="en-GB"/>
          <w14:ligatures w14:val="none"/>
        </w:rPr>
        <w:t>The Routledge International Handbook of European Social Transformations.</w:t>
      </w:r>
      <w:r w:rsidRPr="00D1758D">
        <w:rPr>
          <w:rFonts w:ascii="Arial" w:eastAsia="Times New Roman" w:hAnsi="Arial" w:cs="Arial"/>
          <w:color w:val="000000"/>
          <w:kern w:val="0"/>
          <w:lang w:eastAsia="en-GB"/>
          <w14:ligatures w14:val="none"/>
        </w:rPr>
        <w:t xml:space="preserve"> Routledge, pp. 298-311. </w:t>
      </w:r>
    </w:p>
    <w:p w14:paraId="549C1861"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03602319"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Office for National Statistics (2024) </w:t>
      </w:r>
      <w:r w:rsidRPr="00D1758D">
        <w:rPr>
          <w:rFonts w:ascii="Arial" w:eastAsia="Times New Roman" w:hAnsi="Arial" w:cs="Arial"/>
          <w:i/>
          <w:iCs/>
          <w:color w:val="000000"/>
          <w:kern w:val="0"/>
          <w:lang w:eastAsia="en-GB"/>
          <w14:ligatures w14:val="none"/>
        </w:rPr>
        <w:t>Disability pay gaps in the UK: 2014 to 2023.</w:t>
      </w:r>
      <w:r w:rsidRPr="00D1758D">
        <w:rPr>
          <w:rFonts w:ascii="Arial" w:eastAsia="Times New Roman" w:hAnsi="Arial" w:cs="Arial"/>
          <w:color w:val="000000"/>
          <w:kern w:val="0"/>
          <w:lang w:eastAsia="en-GB"/>
          <w14:ligatures w14:val="none"/>
        </w:rPr>
        <w:t xml:space="preserve"> Available at: https://www.ons.gov.uk/peoplepopulationandcommunity/healthandsocialcare/disability/articles/disabilitypaygapsintheuk/2014to2023 (Accessed: 11 February 2026). </w:t>
      </w:r>
    </w:p>
    <w:p w14:paraId="1A2F321A"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1FA1D5E1"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Office for National Statistics (2025) </w:t>
      </w:r>
      <w:r w:rsidRPr="00D1758D">
        <w:rPr>
          <w:rFonts w:ascii="Arial" w:eastAsia="Times New Roman" w:hAnsi="Arial" w:cs="Arial"/>
          <w:i/>
          <w:iCs/>
          <w:color w:val="000000"/>
          <w:kern w:val="0"/>
          <w:lang w:eastAsia="en-GB"/>
          <w14:ligatures w14:val="none"/>
        </w:rPr>
        <w:t>Gender pay gap in the UK: 2025.</w:t>
      </w:r>
      <w:r w:rsidRPr="00D1758D">
        <w:rPr>
          <w:rFonts w:ascii="Arial" w:eastAsia="Times New Roman" w:hAnsi="Arial" w:cs="Arial"/>
          <w:color w:val="000000"/>
          <w:kern w:val="0"/>
          <w:lang w:eastAsia="en-GB"/>
          <w14:ligatures w14:val="none"/>
        </w:rPr>
        <w:t xml:space="preserve"> Available at: https://www.ons.gov.uk/employmentandlabourmarket/peopleinwork/earningsandworkinghours/bulletins/genderpaygapintheuk/2025 (Accessed: 11 February 2026). </w:t>
      </w:r>
    </w:p>
    <w:p w14:paraId="1E96E8B0"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1E697A83"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O’Hara, B. (2004) ‘Twice Penalized: Employment Discrimination Against Women with Disabilities’, </w:t>
      </w:r>
      <w:r w:rsidRPr="00D1758D">
        <w:rPr>
          <w:rFonts w:ascii="Arial" w:eastAsia="Times New Roman" w:hAnsi="Arial" w:cs="Arial"/>
          <w:i/>
          <w:iCs/>
          <w:color w:val="000000"/>
          <w:kern w:val="0"/>
          <w:lang w:eastAsia="en-GB"/>
          <w14:ligatures w14:val="none"/>
        </w:rPr>
        <w:t>Journal of Disability Policy Studies</w:t>
      </w:r>
      <w:r w:rsidRPr="00D1758D">
        <w:rPr>
          <w:rFonts w:ascii="Arial" w:eastAsia="Times New Roman" w:hAnsi="Arial" w:cs="Arial"/>
          <w:color w:val="000000"/>
          <w:kern w:val="0"/>
          <w:lang w:eastAsia="en-GB"/>
          <w14:ligatures w14:val="none"/>
        </w:rPr>
        <w:t>, 15(1). Available at: https://doi.org/10.1177/10442073040150010501 </w:t>
      </w:r>
    </w:p>
    <w:p w14:paraId="4F8DAD82"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09463DBB"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Rade, B.K., Tamiru, A.T., Aynalem, G.L., Taye, E.B., </w:t>
      </w:r>
      <w:proofErr w:type="spellStart"/>
      <w:r w:rsidRPr="00D1758D">
        <w:rPr>
          <w:rFonts w:ascii="Arial" w:eastAsia="Times New Roman" w:hAnsi="Arial" w:cs="Arial"/>
          <w:color w:val="000000"/>
          <w:kern w:val="0"/>
          <w:lang w:eastAsia="en-GB"/>
          <w14:ligatures w14:val="none"/>
        </w:rPr>
        <w:t>Melkie</w:t>
      </w:r>
      <w:proofErr w:type="spellEnd"/>
      <w:r w:rsidRPr="00D1758D">
        <w:rPr>
          <w:rFonts w:ascii="Arial" w:eastAsia="Times New Roman" w:hAnsi="Arial" w:cs="Arial"/>
          <w:color w:val="000000"/>
          <w:kern w:val="0"/>
          <w:lang w:eastAsia="en-GB"/>
          <w14:ligatures w14:val="none"/>
        </w:rPr>
        <w:t xml:space="preserve">, M., Abera, A., </w:t>
      </w:r>
      <w:proofErr w:type="spellStart"/>
      <w:r w:rsidRPr="00D1758D">
        <w:rPr>
          <w:rFonts w:ascii="Arial" w:eastAsia="Times New Roman" w:hAnsi="Arial" w:cs="Arial"/>
          <w:color w:val="000000"/>
          <w:kern w:val="0"/>
          <w:lang w:eastAsia="en-GB"/>
          <w14:ligatures w14:val="none"/>
        </w:rPr>
        <w:t>Cherkos</w:t>
      </w:r>
      <w:proofErr w:type="spellEnd"/>
      <w:r w:rsidRPr="00D1758D">
        <w:rPr>
          <w:rFonts w:ascii="Arial" w:eastAsia="Times New Roman" w:hAnsi="Arial" w:cs="Arial"/>
          <w:color w:val="000000"/>
          <w:kern w:val="0"/>
          <w:lang w:eastAsia="en-GB"/>
          <w14:ligatures w14:val="none"/>
        </w:rPr>
        <w:t xml:space="preserve">, E.A. and </w:t>
      </w:r>
      <w:proofErr w:type="spellStart"/>
      <w:r w:rsidRPr="00D1758D">
        <w:rPr>
          <w:rFonts w:ascii="Arial" w:eastAsia="Times New Roman" w:hAnsi="Arial" w:cs="Arial"/>
          <w:color w:val="000000"/>
          <w:kern w:val="0"/>
          <w:lang w:eastAsia="en-GB"/>
          <w14:ligatures w14:val="none"/>
        </w:rPr>
        <w:t>Asaye</w:t>
      </w:r>
      <w:proofErr w:type="spellEnd"/>
      <w:r w:rsidRPr="00D1758D">
        <w:rPr>
          <w:rFonts w:ascii="Arial" w:eastAsia="Times New Roman" w:hAnsi="Arial" w:cs="Arial"/>
          <w:color w:val="000000"/>
          <w:kern w:val="0"/>
          <w:lang w:eastAsia="en-GB"/>
          <w14:ligatures w14:val="none"/>
        </w:rPr>
        <w:t xml:space="preserve">, M.M. (2023) ‘Prevalence and factors associated with sexual and reproductive health services use among reproductive age women with disabilities: a community based cross-sectional study’, </w:t>
      </w:r>
      <w:r w:rsidRPr="00D1758D">
        <w:rPr>
          <w:rFonts w:ascii="Arial" w:eastAsia="Times New Roman" w:hAnsi="Arial" w:cs="Arial"/>
          <w:i/>
          <w:iCs/>
          <w:color w:val="000000"/>
          <w:kern w:val="0"/>
          <w:lang w:eastAsia="en-GB"/>
          <w14:ligatures w14:val="none"/>
        </w:rPr>
        <w:t>BMC Women’s Health,</w:t>
      </w:r>
      <w:r w:rsidRPr="00D1758D">
        <w:rPr>
          <w:rFonts w:ascii="Arial" w:eastAsia="Times New Roman" w:hAnsi="Arial" w:cs="Arial"/>
          <w:color w:val="000000"/>
          <w:kern w:val="0"/>
          <w:lang w:eastAsia="en-GB"/>
          <w14:ligatures w14:val="none"/>
        </w:rPr>
        <w:t xml:space="preserve"> 23 (May) article 215. Available at: https://doi.org/10.1186/s12905-023-02373-5 </w:t>
      </w:r>
    </w:p>
    <w:p w14:paraId="66BAD8D1"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291CB85F"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Ransohoff, J.I., Kumar, P.S., Flynn, D. and Rubenstein, E. (2022) ‘Reproductive and pregnancy health care for women with intellectual and developmental disabilities: A scoping review’,</w:t>
      </w:r>
      <w:r w:rsidRPr="00D1758D">
        <w:rPr>
          <w:rFonts w:ascii="Arial" w:eastAsia="Times New Roman" w:hAnsi="Arial" w:cs="Arial"/>
          <w:i/>
          <w:iCs/>
          <w:color w:val="000000"/>
          <w:kern w:val="0"/>
          <w:lang w:eastAsia="en-GB"/>
          <w14:ligatures w14:val="none"/>
        </w:rPr>
        <w:t xml:space="preserve"> Journal of Applied Research in Intellectual Disabilities</w:t>
      </w:r>
      <w:r w:rsidRPr="00D1758D">
        <w:rPr>
          <w:rFonts w:ascii="Arial" w:eastAsia="Times New Roman" w:hAnsi="Arial" w:cs="Arial"/>
          <w:color w:val="000000"/>
          <w:kern w:val="0"/>
          <w:lang w:eastAsia="en-GB"/>
          <w14:ligatures w14:val="none"/>
        </w:rPr>
        <w:t>, 35(3), pp. 655-674. Available at: https://doi.org/10.1111/jar.12977 </w:t>
      </w:r>
    </w:p>
    <w:p w14:paraId="4DD9E44F"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3B1895B3"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Redhead, D. and Power, E.A. (2022) ‘Social hierarchies and social networks in humans’,</w:t>
      </w:r>
      <w:r w:rsidRPr="00D1758D">
        <w:rPr>
          <w:rFonts w:ascii="Arial" w:eastAsia="Times New Roman" w:hAnsi="Arial" w:cs="Arial"/>
          <w:i/>
          <w:iCs/>
          <w:color w:val="000000"/>
          <w:kern w:val="0"/>
          <w:lang w:eastAsia="en-GB"/>
          <w14:ligatures w14:val="none"/>
        </w:rPr>
        <w:t xml:space="preserve"> Philosophical Transactions of the Royal Society B</w:t>
      </w:r>
      <w:r w:rsidRPr="00D1758D">
        <w:rPr>
          <w:rFonts w:ascii="Arial" w:eastAsia="Times New Roman" w:hAnsi="Arial" w:cs="Arial"/>
          <w:color w:val="000000"/>
          <w:kern w:val="0"/>
          <w:lang w:eastAsia="en-GB"/>
          <w14:ligatures w14:val="none"/>
        </w:rPr>
        <w:t>, 377(1845). Available at: https://doi.org/10.1098/rstb.2020.0440 </w:t>
      </w:r>
    </w:p>
    <w:p w14:paraId="3933B631"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7DD92E99" w14:textId="77777777" w:rsidR="00FC4ABA" w:rsidRDefault="00FC4ABA" w:rsidP="00D1758D">
      <w:pPr>
        <w:spacing w:after="0" w:line="276" w:lineRule="auto"/>
        <w:ind w:hanging="340"/>
        <w:rPr>
          <w:rFonts w:ascii="Arial" w:eastAsia="Times New Roman" w:hAnsi="Arial" w:cs="Arial"/>
          <w:color w:val="000000"/>
          <w:kern w:val="0"/>
          <w:lang w:eastAsia="en-GB"/>
          <w14:ligatures w14:val="none"/>
        </w:rPr>
      </w:pPr>
    </w:p>
    <w:p w14:paraId="45935FC0" w14:textId="77777777" w:rsidR="00FC4ABA" w:rsidRDefault="00FC4ABA" w:rsidP="00D1758D">
      <w:pPr>
        <w:spacing w:after="0" w:line="276" w:lineRule="auto"/>
        <w:ind w:hanging="340"/>
        <w:rPr>
          <w:rFonts w:ascii="Arial" w:eastAsia="Times New Roman" w:hAnsi="Arial" w:cs="Arial"/>
          <w:color w:val="000000"/>
          <w:kern w:val="0"/>
          <w:lang w:eastAsia="en-GB"/>
          <w14:ligatures w14:val="none"/>
        </w:rPr>
      </w:pPr>
    </w:p>
    <w:p w14:paraId="0FE13831" w14:textId="0FDDA86F"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lastRenderedPageBreak/>
        <w:t xml:space="preserve">Redshaw, M., Malouf, R., Gao, H. and Gray, R. (2013) ‘Women with disability: the experience of maternity care during pregnancy, labour and birth and the postnatal period’, </w:t>
      </w:r>
      <w:r w:rsidRPr="00D1758D">
        <w:rPr>
          <w:rFonts w:ascii="Arial" w:eastAsia="Times New Roman" w:hAnsi="Arial" w:cs="Arial"/>
          <w:i/>
          <w:iCs/>
          <w:color w:val="000000"/>
          <w:kern w:val="0"/>
          <w:lang w:eastAsia="en-GB"/>
          <w14:ligatures w14:val="none"/>
        </w:rPr>
        <w:t>BMC Pregnancy and Childbirth,</w:t>
      </w:r>
      <w:r w:rsidRPr="00D1758D">
        <w:rPr>
          <w:rFonts w:ascii="Arial" w:eastAsia="Times New Roman" w:hAnsi="Arial" w:cs="Arial"/>
          <w:color w:val="000000"/>
          <w:kern w:val="0"/>
          <w:lang w:eastAsia="en-GB"/>
          <w14:ligatures w14:val="none"/>
        </w:rPr>
        <w:t xml:space="preserve"> 13 (September) article 174. Available at: https://doi.org/10.1186/1471-2393-13-174 </w:t>
      </w:r>
    </w:p>
    <w:p w14:paraId="4E3560BA"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70CCB0DC"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Reed, C.A. (1999) ‘Women with disabilities making the transition back to work: Psychosocial barriers and interventions’, </w:t>
      </w:r>
      <w:r w:rsidRPr="00D1758D">
        <w:rPr>
          <w:rFonts w:ascii="Arial" w:eastAsia="Times New Roman" w:hAnsi="Arial" w:cs="Arial"/>
          <w:i/>
          <w:iCs/>
          <w:color w:val="000000"/>
          <w:kern w:val="0"/>
          <w:lang w:eastAsia="en-GB"/>
          <w14:ligatures w14:val="none"/>
        </w:rPr>
        <w:t>Work</w:t>
      </w:r>
      <w:r w:rsidRPr="00D1758D">
        <w:rPr>
          <w:rFonts w:ascii="Arial" w:eastAsia="Times New Roman" w:hAnsi="Arial" w:cs="Arial"/>
          <w:color w:val="000000"/>
          <w:kern w:val="0"/>
          <w:lang w:eastAsia="en-GB"/>
          <w14:ligatures w14:val="none"/>
        </w:rPr>
        <w:t>, 13(1), pp. 67-72. Available at: https://doi.org/10.3233/WOR-1999-00045 </w:t>
      </w:r>
    </w:p>
    <w:p w14:paraId="77A9DA56"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4A29FD2B"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Reynolds, J.M. (2019) ‘The Normate’, in G. Weiss, A.V. Murphy and G. Salamon (eds) </w:t>
      </w:r>
      <w:r w:rsidRPr="00D1758D">
        <w:rPr>
          <w:rFonts w:ascii="Arial" w:eastAsia="Times New Roman" w:hAnsi="Arial" w:cs="Arial"/>
          <w:i/>
          <w:iCs/>
          <w:color w:val="000000"/>
          <w:kern w:val="0"/>
          <w:lang w:eastAsia="en-GB"/>
          <w14:ligatures w14:val="none"/>
        </w:rPr>
        <w:t>50 Concepts for a Critical Phenomenology</w:t>
      </w:r>
      <w:r w:rsidRPr="00D1758D">
        <w:rPr>
          <w:rFonts w:ascii="Arial" w:eastAsia="Times New Roman" w:hAnsi="Arial" w:cs="Arial"/>
          <w:color w:val="000000"/>
          <w:kern w:val="0"/>
          <w:lang w:eastAsia="en-GB"/>
          <w14:ligatures w14:val="none"/>
        </w:rPr>
        <w:t>. Northwestern University Press, pp. 243-248. </w:t>
      </w:r>
    </w:p>
    <w:p w14:paraId="47E23210"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4BA768AD"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Richardson, D. (2020) ‘Conceptualising Gender’, in. D. Richardson and V. Robinson (eds) </w:t>
      </w:r>
      <w:r w:rsidRPr="00D1758D">
        <w:rPr>
          <w:rFonts w:ascii="Arial" w:eastAsia="Times New Roman" w:hAnsi="Arial" w:cs="Arial"/>
          <w:i/>
          <w:iCs/>
          <w:color w:val="000000"/>
          <w:kern w:val="0"/>
          <w:lang w:eastAsia="en-GB"/>
          <w14:ligatures w14:val="none"/>
        </w:rPr>
        <w:t>Introducing Gender and Women’s Studies</w:t>
      </w:r>
      <w:r w:rsidRPr="00D1758D">
        <w:rPr>
          <w:rFonts w:ascii="Arial" w:eastAsia="Times New Roman" w:hAnsi="Arial" w:cs="Arial"/>
          <w:color w:val="000000"/>
          <w:kern w:val="0"/>
          <w:lang w:eastAsia="en-GB"/>
          <w14:ligatures w14:val="none"/>
        </w:rPr>
        <w:t xml:space="preserve"> (5th edn) Bloomsbury Publishing, pp. 8-23. </w:t>
      </w:r>
    </w:p>
    <w:p w14:paraId="70679F05"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524C6B6A"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Sakellariou, D. and Rotarou, E.S. (2017) ‘Access to healthcare for men and women with disabilities in the UK: secondary analysis of </w:t>
      </w:r>
      <w:proofErr w:type="gramStart"/>
      <w:r w:rsidRPr="00D1758D">
        <w:rPr>
          <w:rFonts w:ascii="Arial" w:eastAsia="Times New Roman" w:hAnsi="Arial" w:cs="Arial"/>
          <w:color w:val="000000"/>
          <w:kern w:val="0"/>
          <w:lang w:eastAsia="en-GB"/>
          <w14:ligatures w14:val="none"/>
        </w:rPr>
        <w:t>cross sectional</w:t>
      </w:r>
      <w:proofErr w:type="gramEnd"/>
      <w:r w:rsidRPr="00D1758D">
        <w:rPr>
          <w:rFonts w:ascii="Arial" w:eastAsia="Times New Roman" w:hAnsi="Arial" w:cs="Arial"/>
          <w:color w:val="000000"/>
          <w:kern w:val="0"/>
          <w:lang w:eastAsia="en-GB"/>
          <w14:ligatures w14:val="none"/>
        </w:rPr>
        <w:t xml:space="preserve"> data’, </w:t>
      </w:r>
      <w:r w:rsidRPr="00D1758D">
        <w:rPr>
          <w:rFonts w:ascii="Arial" w:eastAsia="Times New Roman" w:hAnsi="Arial" w:cs="Arial"/>
          <w:i/>
          <w:iCs/>
          <w:color w:val="000000"/>
          <w:kern w:val="0"/>
          <w:lang w:eastAsia="en-GB"/>
          <w14:ligatures w14:val="none"/>
        </w:rPr>
        <w:t>BMJ Open</w:t>
      </w:r>
      <w:r w:rsidRPr="00D1758D">
        <w:rPr>
          <w:rFonts w:ascii="Arial" w:eastAsia="Times New Roman" w:hAnsi="Arial" w:cs="Arial"/>
          <w:color w:val="000000"/>
          <w:kern w:val="0"/>
          <w:lang w:eastAsia="en-GB"/>
          <w14:ligatures w14:val="none"/>
        </w:rPr>
        <w:t>, 7(8). Available at: http://dx.doi.org/10.1136/bmjopen-2017-016614 </w:t>
      </w:r>
    </w:p>
    <w:p w14:paraId="58C1B13A"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19B8D13E"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Sakellariou, S., Anstey, S., Gaze, S., Girt, E., Kelly, D., Moore, B., Polack, S., Pratt, R., Tyrer, G., Warren, N., Wilkinson, W. and Courtenay, M. (2019) ‘Barriers to accessing cancer services for adults with physical disabilities in England and Wales: an interview-based study’, </w:t>
      </w:r>
      <w:r w:rsidRPr="00D1758D">
        <w:rPr>
          <w:rFonts w:ascii="Arial" w:eastAsia="Times New Roman" w:hAnsi="Arial" w:cs="Arial"/>
          <w:i/>
          <w:iCs/>
          <w:color w:val="000000"/>
          <w:kern w:val="0"/>
          <w:lang w:eastAsia="en-GB"/>
          <w14:ligatures w14:val="none"/>
        </w:rPr>
        <w:t>BMJ Open</w:t>
      </w:r>
      <w:r w:rsidRPr="00D1758D">
        <w:rPr>
          <w:rFonts w:ascii="Arial" w:eastAsia="Times New Roman" w:hAnsi="Arial" w:cs="Arial"/>
          <w:color w:val="000000"/>
          <w:kern w:val="0"/>
          <w:lang w:eastAsia="en-GB"/>
          <w14:ligatures w14:val="none"/>
        </w:rPr>
        <w:t>, 9(6). Available at: https://doi.org/10.1136/bmjopen-2018-027555 </w:t>
      </w:r>
    </w:p>
    <w:p w14:paraId="624002D3"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4CB9478C"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Saran, A. Hunt, X., White, H. and Kuper, H. (2023) ‘Effectiveness of interventions for improving social inclusion outcomes for people with disabilities in low- and middle-income countries: A systematic review’, </w:t>
      </w:r>
      <w:r w:rsidRPr="00D1758D">
        <w:rPr>
          <w:rFonts w:ascii="Arial" w:eastAsia="Times New Roman" w:hAnsi="Arial" w:cs="Arial"/>
          <w:i/>
          <w:iCs/>
          <w:color w:val="000000"/>
          <w:kern w:val="0"/>
          <w:lang w:eastAsia="en-GB"/>
          <w14:ligatures w14:val="none"/>
        </w:rPr>
        <w:t>Campbell Systematic Reviews,</w:t>
      </w:r>
      <w:r w:rsidRPr="00D1758D">
        <w:rPr>
          <w:rFonts w:ascii="Arial" w:eastAsia="Times New Roman" w:hAnsi="Arial" w:cs="Arial"/>
          <w:color w:val="000000"/>
          <w:kern w:val="0"/>
          <w:lang w:eastAsia="en-GB"/>
          <w14:ligatures w14:val="none"/>
        </w:rPr>
        <w:t xml:space="preserve"> 19(1). Available at: https://doi.org/10.1002/cl2.1316 </w:t>
      </w:r>
    </w:p>
    <w:p w14:paraId="7AFA991A"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7AD07314"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Saxe, A. (2017) ‘The Theory of Intersectionality: A New Lens for Understanding the Barriers Faced by Autistic Women’, </w:t>
      </w:r>
      <w:r w:rsidRPr="00D1758D">
        <w:rPr>
          <w:rFonts w:ascii="Arial" w:eastAsia="Times New Roman" w:hAnsi="Arial" w:cs="Arial"/>
          <w:i/>
          <w:iCs/>
          <w:color w:val="000000"/>
          <w:kern w:val="0"/>
          <w:lang w:eastAsia="en-GB"/>
          <w14:ligatures w14:val="none"/>
        </w:rPr>
        <w:t>Canadian Journal of Disability Studies</w:t>
      </w:r>
      <w:r w:rsidRPr="00D1758D">
        <w:rPr>
          <w:rFonts w:ascii="Arial" w:eastAsia="Times New Roman" w:hAnsi="Arial" w:cs="Arial"/>
          <w:color w:val="000000"/>
          <w:kern w:val="0"/>
          <w:lang w:eastAsia="en-GB"/>
          <w14:ligatures w14:val="none"/>
        </w:rPr>
        <w:t>, 6(4), pp. 153-178. Available at: https://doi.org/10.15353/cjds.v6i4.386 </w:t>
      </w:r>
    </w:p>
    <w:p w14:paraId="29DBB131"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6C296011"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Sense (2026) </w:t>
      </w:r>
      <w:r w:rsidRPr="00D1758D">
        <w:rPr>
          <w:rFonts w:ascii="Arial" w:eastAsia="Times New Roman" w:hAnsi="Arial" w:cs="Arial"/>
          <w:i/>
          <w:iCs/>
          <w:color w:val="000000"/>
          <w:kern w:val="0"/>
          <w:lang w:eastAsia="en-GB"/>
          <w14:ligatures w14:val="none"/>
        </w:rPr>
        <w:t>Equality, diversity and inclusion.</w:t>
      </w:r>
      <w:r w:rsidRPr="00D1758D">
        <w:rPr>
          <w:rFonts w:ascii="Arial" w:eastAsia="Times New Roman" w:hAnsi="Arial" w:cs="Arial"/>
          <w:color w:val="000000"/>
          <w:kern w:val="0"/>
          <w:lang w:eastAsia="en-GB"/>
          <w14:ligatures w14:val="none"/>
        </w:rPr>
        <w:t xml:space="preserve"> Available at: https://www.sense.org.uk/about-us/equality-and-diversity/ (Accessed: 12 February 2026). </w:t>
      </w:r>
    </w:p>
    <w:p w14:paraId="0A576005"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550B4C66"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i/>
          <w:iCs/>
          <w:color w:val="000000"/>
          <w:kern w:val="0"/>
          <w:lang w:eastAsia="en-GB"/>
          <w14:ligatures w14:val="none"/>
        </w:rPr>
        <w:t xml:space="preserve">Sex Discrimination Act 1975, c. 65. </w:t>
      </w:r>
      <w:r w:rsidRPr="00D1758D">
        <w:rPr>
          <w:rFonts w:ascii="Arial" w:eastAsia="Times New Roman" w:hAnsi="Arial" w:cs="Arial"/>
          <w:color w:val="000000"/>
          <w:kern w:val="0"/>
          <w:lang w:eastAsia="en-GB"/>
          <w14:ligatures w14:val="none"/>
        </w:rPr>
        <w:t>Available at: https://www.legislation.gov.uk/ukpga/1975/65/enacted (Accessed: 10 February 2026). </w:t>
      </w:r>
    </w:p>
    <w:p w14:paraId="2D7EC1D1"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72DE43D1"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lastRenderedPageBreak/>
        <w:t xml:space="preserve">Silberman, D., Carpenter, R.E., Cabrera, E. and </w:t>
      </w:r>
      <w:proofErr w:type="spellStart"/>
      <w:r w:rsidRPr="00D1758D">
        <w:rPr>
          <w:rFonts w:ascii="Arial" w:eastAsia="Times New Roman" w:hAnsi="Arial" w:cs="Arial"/>
          <w:color w:val="000000"/>
          <w:kern w:val="0"/>
          <w:lang w:eastAsia="en-GB"/>
          <w14:ligatures w14:val="none"/>
        </w:rPr>
        <w:t>Kernaleguen</w:t>
      </w:r>
      <w:proofErr w:type="spellEnd"/>
      <w:r w:rsidRPr="00D1758D">
        <w:rPr>
          <w:rFonts w:ascii="Arial" w:eastAsia="Times New Roman" w:hAnsi="Arial" w:cs="Arial"/>
          <w:color w:val="000000"/>
          <w:kern w:val="0"/>
          <w:lang w:eastAsia="en-GB"/>
          <w14:ligatures w14:val="none"/>
        </w:rPr>
        <w:t xml:space="preserve">, J. (2022) ‘Organizational </w:t>
      </w:r>
      <w:proofErr w:type="spellStart"/>
      <w:r w:rsidRPr="00D1758D">
        <w:rPr>
          <w:rFonts w:ascii="Arial" w:eastAsia="Times New Roman" w:hAnsi="Arial" w:cs="Arial"/>
          <w:color w:val="000000"/>
          <w:kern w:val="0"/>
          <w:lang w:eastAsia="en-GB"/>
          <w14:ligatures w14:val="none"/>
        </w:rPr>
        <w:t>silofication</w:t>
      </w:r>
      <w:proofErr w:type="spellEnd"/>
      <w:r w:rsidRPr="00D1758D">
        <w:rPr>
          <w:rFonts w:ascii="Arial" w:eastAsia="Times New Roman" w:hAnsi="Arial" w:cs="Arial"/>
          <w:color w:val="000000"/>
          <w:kern w:val="0"/>
          <w:lang w:eastAsia="en-GB"/>
          <w14:ligatures w14:val="none"/>
        </w:rPr>
        <w:t xml:space="preserve">: implications in grouping experts for organizational performance’, </w:t>
      </w:r>
      <w:r w:rsidRPr="00D1758D">
        <w:rPr>
          <w:rFonts w:ascii="Arial" w:eastAsia="Times New Roman" w:hAnsi="Arial" w:cs="Arial"/>
          <w:i/>
          <w:iCs/>
          <w:color w:val="000000"/>
          <w:kern w:val="0"/>
          <w:lang w:eastAsia="en-GB"/>
          <w14:ligatures w14:val="none"/>
        </w:rPr>
        <w:t>Development and Learning in Organizations: An International Journal</w:t>
      </w:r>
      <w:r w:rsidRPr="00D1758D">
        <w:rPr>
          <w:rFonts w:ascii="Arial" w:eastAsia="Times New Roman" w:hAnsi="Arial" w:cs="Arial"/>
          <w:color w:val="000000"/>
          <w:kern w:val="0"/>
          <w:lang w:eastAsia="en-GB"/>
          <w14:ligatures w14:val="none"/>
        </w:rPr>
        <w:t>, 36(6), pp. 15-18. Available at: https://doi.org/10.1108/DLO-10-2021-0193 </w:t>
      </w:r>
    </w:p>
    <w:p w14:paraId="53DCA169"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522915FB"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Silvers, A., Francis, L. and Badesch, B. (2016) ‘Reproductive Rights and Access to Reproductive Services for Women with Disabilities’, </w:t>
      </w:r>
      <w:r w:rsidRPr="00D1758D">
        <w:rPr>
          <w:rFonts w:ascii="Arial" w:eastAsia="Times New Roman" w:hAnsi="Arial" w:cs="Arial"/>
          <w:i/>
          <w:iCs/>
          <w:color w:val="000000"/>
          <w:kern w:val="0"/>
          <w:lang w:eastAsia="en-GB"/>
          <w14:ligatures w14:val="none"/>
        </w:rPr>
        <w:t>AMA Journal of Ethics</w:t>
      </w:r>
      <w:r w:rsidRPr="00D1758D">
        <w:rPr>
          <w:rFonts w:ascii="Arial" w:eastAsia="Times New Roman" w:hAnsi="Arial" w:cs="Arial"/>
          <w:color w:val="000000"/>
          <w:kern w:val="0"/>
          <w:lang w:eastAsia="en-GB"/>
          <w14:ligatures w14:val="none"/>
        </w:rPr>
        <w:t>, 18(4), pp. 430-437. Available at: https://journalofethics.ama-assn.org/article/reproductive-rights-and-access-reproductive-services-women-disabilities/2016-04 (Accessed: 12 February 2026). </w:t>
      </w:r>
    </w:p>
    <w:p w14:paraId="0D3D1A0D"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7C1D0C5B"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Sum, C.M., Alharbi, R., Spektor, F., Bennett, C.L., Harrington, C.N., Spiel, K. and Williams, R.M. (2022) ‘Dreaming Disability Justice in HCI’, Association for Computing Machinery, (April) article 114, pp. 1-5. Available at: https://doi.org/10.1145/3491101.3503731 </w:t>
      </w:r>
    </w:p>
    <w:p w14:paraId="017002A3"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4121D931"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Swain, J., French, S., Barnes, C. and Thomas, C. (eds) (2013) </w:t>
      </w:r>
      <w:r w:rsidRPr="00D1758D">
        <w:rPr>
          <w:rFonts w:ascii="Arial" w:eastAsia="Times New Roman" w:hAnsi="Arial" w:cs="Arial"/>
          <w:i/>
          <w:iCs/>
          <w:color w:val="000000"/>
          <w:kern w:val="0"/>
          <w:lang w:eastAsia="en-GB"/>
          <w14:ligatures w14:val="none"/>
        </w:rPr>
        <w:t>Disabling Barriers - Enabling Environments.</w:t>
      </w:r>
      <w:r w:rsidRPr="00D1758D">
        <w:rPr>
          <w:rFonts w:ascii="Arial" w:eastAsia="Times New Roman" w:hAnsi="Arial" w:cs="Arial"/>
          <w:color w:val="000000"/>
          <w:kern w:val="0"/>
          <w:lang w:eastAsia="en-GB"/>
          <w14:ligatures w14:val="none"/>
        </w:rPr>
        <w:t xml:space="preserve"> 3rd edn. SAGE Publications.</w:t>
      </w:r>
    </w:p>
    <w:p w14:paraId="4A960C8F"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796CB47E"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The Supreme Court (2025) </w:t>
      </w:r>
      <w:r w:rsidRPr="00D1758D">
        <w:rPr>
          <w:rFonts w:ascii="Arial" w:eastAsia="Times New Roman" w:hAnsi="Arial" w:cs="Arial"/>
          <w:i/>
          <w:iCs/>
          <w:color w:val="000000"/>
          <w:kern w:val="0"/>
          <w:lang w:eastAsia="en-GB"/>
          <w14:ligatures w14:val="none"/>
        </w:rPr>
        <w:t xml:space="preserve">Press Summary: For Women Scotland Ltd (Appellant) v The Scottish Ministers (Respondent). </w:t>
      </w:r>
      <w:r w:rsidRPr="00D1758D">
        <w:rPr>
          <w:rFonts w:ascii="Arial" w:eastAsia="Times New Roman" w:hAnsi="Arial" w:cs="Arial"/>
          <w:color w:val="000000"/>
          <w:kern w:val="0"/>
          <w:lang w:eastAsia="en-GB"/>
          <w14:ligatures w14:val="none"/>
        </w:rPr>
        <w:t>Available at: https://supremecourt.uk/uploads/uksc_2024_0042_press_summary_8a42145662.pdf (Accessed: 12 February 2026). </w:t>
      </w:r>
    </w:p>
    <w:p w14:paraId="5A555137"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1619862C"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Thomas, C., MacMillan, C., McKinnon, M., Torabi, H., Osmond-McLeod, M., Swavley, E., Armer, T. and Doyle, K. (2021) ‘Seeing and Overcoming the Complexities of Intersectionality’, </w:t>
      </w:r>
      <w:r w:rsidRPr="00D1758D">
        <w:rPr>
          <w:rFonts w:ascii="Arial" w:eastAsia="Times New Roman" w:hAnsi="Arial" w:cs="Arial"/>
          <w:i/>
          <w:iCs/>
          <w:color w:val="000000"/>
          <w:kern w:val="0"/>
          <w:lang w:eastAsia="en-GB"/>
          <w14:ligatures w14:val="none"/>
        </w:rPr>
        <w:t>Challenges</w:t>
      </w:r>
      <w:r w:rsidRPr="00D1758D">
        <w:rPr>
          <w:rFonts w:ascii="Arial" w:eastAsia="Times New Roman" w:hAnsi="Arial" w:cs="Arial"/>
          <w:color w:val="000000"/>
          <w:kern w:val="0"/>
          <w:lang w:eastAsia="en-GB"/>
          <w14:ligatures w14:val="none"/>
        </w:rPr>
        <w:t>, 12(1). Available at: https://doi.org/10.3390/challe12010005 </w:t>
      </w:r>
    </w:p>
    <w:p w14:paraId="6C3CFBA1"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7A8E51C9"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Tinner, L., Holman, D., </w:t>
      </w:r>
      <w:proofErr w:type="spellStart"/>
      <w:r w:rsidRPr="00D1758D">
        <w:rPr>
          <w:rFonts w:ascii="Arial" w:eastAsia="Times New Roman" w:hAnsi="Arial" w:cs="Arial"/>
          <w:color w:val="000000"/>
          <w:kern w:val="0"/>
          <w:lang w:eastAsia="en-GB"/>
          <w14:ligatures w14:val="none"/>
        </w:rPr>
        <w:t>Ejegi-Memeh</w:t>
      </w:r>
      <w:proofErr w:type="spellEnd"/>
      <w:r w:rsidRPr="00D1758D">
        <w:rPr>
          <w:rFonts w:ascii="Arial" w:eastAsia="Times New Roman" w:hAnsi="Arial" w:cs="Arial"/>
          <w:color w:val="000000"/>
          <w:kern w:val="0"/>
          <w:lang w:eastAsia="en-GB"/>
          <w14:ligatures w14:val="none"/>
        </w:rPr>
        <w:t xml:space="preserve">, S. and Laverty, A.A. (2023) ‘Use of Intersectionality Theory in Interventional Health Research in High-Income Countries: A Scoping Review’, </w:t>
      </w:r>
      <w:r w:rsidRPr="00D1758D">
        <w:rPr>
          <w:rFonts w:ascii="Arial" w:eastAsia="Times New Roman" w:hAnsi="Arial" w:cs="Arial"/>
          <w:i/>
          <w:iCs/>
          <w:color w:val="000000"/>
          <w:kern w:val="0"/>
          <w:lang w:eastAsia="en-GB"/>
          <w14:ligatures w14:val="none"/>
        </w:rPr>
        <w:t>International Journal of Environmental Research and Public Health,</w:t>
      </w:r>
      <w:r w:rsidRPr="00D1758D">
        <w:rPr>
          <w:rFonts w:ascii="Arial" w:eastAsia="Times New Roman" w:hAnsi="Arial" w:cs="Arial"/>
          <w:color w:val="000000"/>
          <w:kern w:val="0"/>
          <w:lang w:eastAsia="en-GB"/>
          <w14:ligatures w14:val="none"/>
        </w:rPr>
        <w:t xml:space="preserve"> 20(14). Available at: https://doi.org/10.3390/ijerph20146370 </w:t>
      </w:r>
    </w:p>
    <w:p w14:paraId="40E4876D"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1A2C40BC"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Tripp, A. and Munson, B. (2021) ‘Perceiving gender while perceiving language: Integrating psycholinguistics and gender theory’, </w:t>
      </w:r>
      <w:r w:rsidRPr="00D1758D">
        <w:rPr>
          <w:rFonts w:ascii="Arial" w:eastAsia="Times New Roman" w:hAnsi="Arial" w:cs="Arial"/>
          <w:i/>
          <w:iCs/>
          <w:color w:val="000000"/>
          <w:kern w:val="0"/>
          <w:lang w:eastAsia="en-GB"/>
          <w14:ligatures w14:val="none"/>
        </w:rPr>
        <w:t>WIREs Cognitive Science</w:t>
      </w:r>
      <w:r w:rsidRPr="00D1758D">
        <w:rPr>
          <w:rFonts w:ascii="Arial" w:eastAsia="Times New Roman" w:hAnsi="Arial" w:cs="Arial"/>
          <w:color w:val="000000"/>
          <w:kern w:val="0"/>
          <w:lang w:eastAsia="en-GB"/>
          <w14:ligatures w14:val="none"/>
        </w:rPr>
        <w:t>, 13(2). Available at: https://doi.org/10.1002/wcs.1583 </w:t>
      </w:r>
    </w:p>
    <w:p w14:paraId="2EBC217F"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025DDDA2"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roofErr w:type="spellStart"/>
      <w:r w:rsidRPr="00D1758D">
        <w:rPr>
          <w:rFonts w:ascii="Arial" w:eastAsia="Times New Roman" w:hAnsi="Arial" w:cs="Arial"/>
          <w:color w:val="000000"/>
          <w:kern w:val="0"/>
          <w:lang w:eastAsia="en-GB"/>
          <w14:ligatures w14:val="none"/>
        </w:rPr>
        <w:t>Tucios</w:t>
      </w:r>
      <w:proofErr w:type="spellEnd"/>
      <w:r w:rsidRPr="00D1758D">
        <w:rPr>
          <w:rFonts w:ascii="Arial" w:eastAsia="Times New Roman" w:hAnsi="Arial" w:cs="Arial"/>
          <w:color w:val="000000"/>
          <w:kern w:val="0"/>
          <w:lang w:eastAsia="en-GB"/>
          <w14:ligatures w14:val="none"/>
        </w:rPr>
        <w:t xml:space="preserve">, M.N., Boyd, A.E., Smith, A.D.R. and Johnson, B. (2025) ‘A Preliminary Framework for Intersectionality in ML Pipelines’, </w:t>
      </w:r>
      <w:r w:rsidRPr="00D1758D">
        <w:rPr>
          <w:rFonts w:ascii="Arial" w:eastAsia="Times New Roman" w:hAnsi="Arial" w:cs="Arial"/>
          <w:i/>
          <w:iCs/>
          <w:color w:val="000000"/>
          <w:kern w:val="0"/>
          <w:lang w:eastAsia="en-GB"/>
          <w14:ligatures w14:val="none"/>
        </w:rPr>
        <w:t>Association for Computing Machinery</w:t>
      </w:r>
      <w:r w:rsidRPr="00D1758D">
        <w:rPr>
          <w:rFonts w:ascii="Arial" w:eastAsia="Times New Roman" w:hAnsi="Arial" w:cs="Arial"/>
          <w:color w:val="000000"/>
          <w:kern w:val="0"/>
          <w:lang w:eastAsia="en-GB"/>
          <w14:ligatures w14:val="none"/>
        </w:rPr>
        <w:t>, pp. 1552-1563. Available at: https://doi.org/10.1145/3696630.3728692 </w:t>
      </w:r>
    </w:p>
    <w:p w14:paraId="660C30D1"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72E34CFC" w14:textId="77777777" w:rsidR="00FC4ABA" w:rsidRDefault="00FC4ABA" w:rsidP="00D1758D">
      <w:pPr>
        <w:spacing w:after="0" w:line="276" w:lineRule="auto"/>
        <w:ind w:hanging="340"/>
        <w:rPr>
          <w:rFonts w:ascii="Arial" w:eastAsia="Times New Roman" w:hAnsi="Arial" w:cs="Arial"/>
          <w:color w:val="000000"/>
          <w:kern w:val="0"/>
          <w:lang w:eastAsia="en-GB"/>
          <w14:ligatures w14:val="none"/>
        </w:rPr>
      </w:pPr>
    </w:p>
    <w:p w14:paraId="7CB9BF21" w14:textId="41CD0FC8"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lastRenderedPageBreak/>
        <w:t xml:space="preserve">UK Parliament (2025) </w:t>
      </w:r>
      <w:r w:rsidRPr="00D1758D">
        <w:rPr>
          <w:rFonts w:ascii="Arial" w:eastAsia="Times New Roman" w:hAnsi="Arial" w:cs="Arial"/>
          <w:i/>
          <w:iCs/>
          <w:color w:val="000000"/>
          <w:kern w:val="0"/>
          <w:lang w:eastAsia="en-GB"/>
          <w14:ligatures w14:val="none"/>
        </w:rPr>
        <w:t>FCDO and disability-inclusive development: Government Response.</w:t>
      </w:r>
      <w:r w:rsidRPr="00D1758D">
        <w:rPr>
          <w:rFonts w:ascii="Arial" w:eastAsia="Times New Roman" w:hAnsi="Arial" w:cs="Arial"/>
          <w:color w:val="000000"/>
          <w:kern w:val="0"/>
          <w:lang w:eastAsia="en-GB"/>
          <w14:ligatures w14:val="none"/>
        </w:rPr>
        <w:t xml:space="preserve"> Available at: https://publications.parliament.uk/pa/cm5901/cmselect/cmintdev/568/report.html# (Accessed: 12 February 2026). </w:t>
      </w:r>
    </w:p>
    <w:p w14:paraId="7CE659D5"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2C114288"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UN Women (2025)</w:t>
      </w:r>
      <w:r w:rsidRPr="00D1758D">
        <w:rPr>
          <w:rFonts w:ascii="Arial" w:eastAsia="Times New Roman" w:hAnsi="Arial" w:cs="Arial"/>
          <w:i/>
          <w:iCs/>
          <w:color w:val="000000"/>
          <w:kern w:val="0"/>
          <w:lang w:eastAsia="en-GB"/>
          <w14:ligatures w14:val="none"/>
        </w:rPr>
        <w:t xml:space="preserve"> Intersectional feminism: What it means and why it matters right now. </w:t>
      </w:r>
      <w:r w:rsidRPr="00D1758D">
        <w:rPr>
          <w:rFonts w:ascii="Arial" w:eastAsia="Times New Roman" w:hAnsi="Arial" w:cs="Arial"/>
          <w:color w:val="000000"/>
          <w:kern w:val="0"/>
          <w:lang w:eastAsia="en-GB"/>
          <w14:ligatures w14:val="none"/>
        </w:rPr>
        <w:t>Available at: https://www.unwomen.org/en/articles/explainer/intersectional-feminism-what-it-means-and-why-it-matters-right-now (Accessed: 11 February 2026). </w:t>
      </w:r>
    </w:p>
    <w:p w14:paraId="2D322284"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7762E3E3"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United Nations (2006) </w:t>
      </w:r>
      <w:r w:rsidRPr="00D1758D">
        <w:rPr>
          <w:rFonts w:ascii="Arial" w:eastAsia="Times New Roman" w:hAnsi="Arial" w:cs="Arial"/>
          <w:i/>
          <w:iCs/>
          <w:color w:val="000000"/>
          <w:kern w:val="0"/>
          <w:lang w:eastAsia="en-GB"/>
          <w14:ligatures w14:val="none"/>
        </w:rPr>
        <w:t>Convention on the Rights of Persons with Disabilities</w:t>
      </w:r>
      <w:r w:rsidRPr="00D1758D">
        <w:rPr>
          <w:rFonts w:ascii="Arial" w:eastAsia="Times New Roman" w:hAnsi="Arial" w:cs="Arial"/>
          <w:color w:val="000000"/>
          <w:kern w:val="0"/>
          <w:lang w:eastAsia="en-GB"/>
          <w14:ligatures w14:val="none"/>
        </w:rPr>
        <w:t>. Available at: https://www.ohchr.org/en/instruments-mechanisms/instruments/convention-rights-persons-disabilities (Accessed: 12 February 2026).</w:t>
      </w:r>
    </w:p>
    <w:p w14:paraId="27CD75AD"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10282B38"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United Nations (2012) </w:t>
      </w:r>
      <w:r w:rsidRPr="00D1758D">
        <w:rPr>
          <w:rFonts w:ascii="Arial" w:eastAsia="Times New Roman" w:hAnsi="Arial" w:cs="Arial"/>
          <w:i/>
          <w:iCs/>
          <w:color w:val="000000"/>
          <w:kern w:val="0"/>
          <w:lang w:eastAsia="en-GB"/>
          <w14:ligatures w14:val="none"/>
        </w:rPr>
        <w:t xml:space="preserve">Goal 10. </w:t>
      </w:r>
      <w:r w:rsidRPr="00D1758D">
        <w:rPr>
          <w:rFonts w:ascii="Arial" w:eastAsia="Times New Roman" w:hAnsi="Arial" w:cs="Arial"/>
          <w:color w:val="000000"/>
          <w:kern w:val="0"/>
          <w:lang w:eastAsia="en-GB"/>
          <w14:ligatures w14:val="none"/>
        </w:rPr>
        <w:t>Available at: https://sdgs.un.org/goals/goal10#targets_and_indicators (Accessed: 11 February 2026). </w:t>
      </w:r>
    </w:p>
    <w:p w14:paraId="700EADC0"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7E2C979B"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United Nations (2017) </w:t>
      </w:r>
      <w:r w:rsidRPr="00D1758D">
        <w:rPr>
          <w:rFonts w:ascii="Arial" w:eastAsia="Times New Roman" w:hAnsi="Arial" w:cs="Arial"/>
          <w:i/>
          <w:iCs/>
          <w:color w:val="000000"/>
          <w:kern w:val="0"/>
          <w:lang w:eastAsia="en-GB"/>
          <w14:ligatures w14:val="none"/>
        </w:rPr>
        <w:t>Sterilization a form of “systemic violence” against girls with disabilities</w:t>
      </w:r>
      <w:r w:rsidRPr="00D1758D">
        <w:rPr>
          <w:rFonts w:ascii="Arial" w:eastAsia="Times New Roman" w:hAnsi="Arial" w:cs="Arial"/>
          <w:color w:val="000000"/>
          <w:kern w:val="0"/>
          <w:lang w:eastAsia="en-GB"/>
          <w14:ligatures w14:val="none"/>
        </w:rPr>
        <w:t>. Available at: https://www.ohchr.org/en/stories/2017/11/sterilization-form-systemic-violence-against-girls-disabilities (Accessed: 12 February 2026). </w:t>
      </w:r>
    </w:p>
    <w:p w14:paraId="0FC11511"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7D51D51C"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United Nations (2025a) The Sustainable Development Goals Report 2025. Available at: https://unstats.un.org/sdgs/report/2025/ (Accessed: 11 February 2026). </w:t>
      </w:r>
    </w:p>
    <w:p w14:paraId="47698C42"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373687D5"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United Nations (2025b) </w:t>
      </w:r>
      <w:r w:rsidRPr="00D1758D">
        <w:rPr>
          <w:rFonts w:ascii="Arial" w:eastAsia="Times New Roman" w:hAnsi="Arial" w:cs="Arial"/>
          <w:i/>
          <w:iCs/>
          <w:color w:val="000000"/>
          <w:kern w:val="0"/>
          <w:lang w:eastAsia="en-GB"/>
          <w14:ligatures w14:val="none"/>
        </w:rPr>
        <w:t xml:space="preserve">World Social Report 2025: A New Policy Consensus to Accelerate Social Progress. </w:t>
      </w:r>
      <w:r w:rsidRPr="00D1758D">
        <w:rPr>
          <w:rFonts w:ascii="Arial" w:eastAsia="Times New Roman" w:hAnsi="Arial" w:cs="Arial"/>
          <w:color w:val="000000"/>
          <w:kern w:val="0"/>
          <w:lang w:eastAsia="en-GB"/>
          <w14:ligatures w14:val="none"/>
        </w:rPr>
        <w:t>Available at: https://social.desa.un.org/issues/world-social-report (Accessed: 11 February 2026). </w:t>
      </w:r>
    </w:p>
    <w:p w14:paraId="4205D7A3"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752E5936"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Vaidya, S. (2015) ‘Women with Disability and Reproductive Rights: Deconstructing Discourses’, </w:t>
      </w:r>
      <w:r w:rsidRPr="00D1758D">
        <w:rPr>
          <w:rFonts w:ascii="Arial" w:eastAsia="Times New Roman" w:hAnsi="Arial" w:cs="Arial"/>
          <w:i/>
          <w:iCs/>
          <w:color w:val="000000"/>
          <w:kern w:val="0"/>
          <w:lang w:eastAsia="en-GB"/>
          <w14:ligatures w14:val="none"/>
        </w:rPr>
        <w:t>Social Change</w:t>
      </w:r>
      <w:r w:rsidRPr="00D1758D">
        <w:rPr>
          <w:rFonts w:ascii="Arial" w:eastAsia="Times New Roman" w:hAnsi="Arial" w:cs="Arial"/>
          <w:color w:val="000000"/>
          <w:kern w:val="0"/>
          <w:lang w:eastAsia="en-GB"/>
          <w14:ligatures w14:val="none"/>
        </w:rPr>
        <w:t>, 45(4). Available at: https://doi.org/10.1177/0049085715602787 </w:t>
      </w:r>
    </w:p>
    <w:p w14:paraId="0E215406"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2FA110C5"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Welsh Government (2022) </w:t>
      </w:r>
      <w:r w:rsidRPr="00D1758D">
        <w:rPr>
          <w:rFonts w:ascii="Arial" w:eastAsia="Times New Roman" w:hAnsi="Arial" w:cs="Arial"/>
          <w:i/>
          <w:iCs/>
          <w:color w:val="000000"/>
          <w:kern w:val="0"/>
          <w:lang w:eastAsia="en-GB"/>
          <w14:ligatures w14:val="none"/>
        </w:rPr>
        <w:t xml:space="preserve">Humanities: Statement of what matters. </w:t>
      </w:r>
      <w:r w:rsidRPr="00D1758D">
        <w:rPr>
          <w:rFonts w:ascii="Arial" w:eastAsia="Times New Roman" w:hAnsi="Arial" w:cs="Arial"/>
          <w:color w:val="000000"/>
          <w:kern w:val="0"/>
          <w:lang w:eastAsia="en-GB"/>
          <w14:ligatures w14:val="none"/>
        </w:rPr>
        <w:t>Available at: https://hwb.gov.wales/curriculum-for-wales/humanities/statements-of-what-matters/ (Accessed: 10 February 2026). </w:t>
      </w:r>
    </w:p>
    <w:p w14:paraId="510D1DF2"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7F42B895"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Welsh Government (2023) </w:t>
      </w:r>
      <w:r w:rsidRPr="00D1758D">
        <w:rPr>
          <w:rFonts w:ascii="Arial" w:eastAsia="Times New Roman" w:hAnsi="Arial" w:cs="Arial"/>
          <w:i/>
          <w:iCs/>
          <w:color w:val="000000"/>
          <w:kern w:val="0"/>
          <w:lang w:eastAsia="en-GB"/>
          <w14:ligatures w14:val="none"/>
        </w:rPr>
        <w:t xml:space="preserve">Sexual orientation and gender identity in Wales (Census 2021) (revised). </w:t>
      </w:r>
      <w:r w:rsidRPr="00D1758D">
        <w:rPr>
          <w:rFonts w:ascii="Arial" w:eastAsia="Times New Roman" w:hAnsi="Arial" w:cs="Arial"/>
          <w:color w:val="000000"/>
          <w:kern w:val="0"/>
          <w:lang w:eastAsia="en-GB"/>
          <w14:ligatures w14:val="none"/>
        </w:rPr>
        <w:t>Available at: https://www.gov.wales/sexual-orientation-and-gender-identity-wales-census-2021-revised-html (Accessed: 11 February 2026). </w:t>
      </w:r>
    </w:p>
    <w:p w14:paraId="3DB02D02"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2ABB6963"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Wendling and Epstein (2025) </w:t>
      </w:r>
      <w:r w:rsidRPr="00D1758D">
        <w:rPr>
          <w:rFonts w:ascii="Arial" w:eastAsia="Times New Roman" w:hAnsi="Arial" w:cs="Arial"/>
          <w:i/>
          <w:iCs/>
          <w:color w:val="000000"/>
          <w:kern w:val="0"/>
          <w:lang w:eastAsia="en-GB"/>
          <w14:ligatures w14:val="none"/>
        </w:rPr>
        <w:t>Trump makes 'two sexes' official and scraps DEI policies.</w:t>
      </w:r>
      <w:r w:rsidRPr="00D1758D">
        <w:rPr>
          <w:rFonts w:ascii="Arial" w:eastAsia="Times New Roman" w:hAnsi="Arial" w:cs="Arial"/>
          <w:color w:val="000000"/>
          <w:kern w:val="0"/>
          <w:lang w:eastAsia="en-GB"/>
          <w14:ligatures w14:val="none"/>
        </w:rPr>
        <w:t xml:space="preserve"> Available at: https://www.bbc.co.uk/news/articles/czx84en1yp4o (Accessed: 12 February 2026). </w:t>
      </w:r>
    </w:p>
    <w:p w14:paraId="72C6D5A0"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50FE5316"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lastRenderedPageBreak/>
        <w:t xml:space="preserve">Withers, A.J. (2024) </w:t>
      </w:r>
      <w:r w:rsidRPr="00D1758D">
        <w:rPr>
          <w:rFonts w:ascii="Arial" w:eastAsia="Times New Roman" w:hAnsi="Arial" w:cs="Arial"/>
          <w:i/>
          <w:iCs/>
          <w:color w:val="000000"/>
          <w:kern w:val="0"/>
          <w:lang w:eastAsia="en-GB"/>
          <w14:ligatures w14:val="none"/>
        </w:rPr>
        <w:t>Disability Politics &amp; Theory.</w:t>
      </w:r>
      <w:r w:rsidRPr="00D1758D">
        <w:rPr>
          <w:rFonts w:ascii="Arial" w:eastAsia="Times New Roman" w:hAnsi="Arial" w:cs="Arial"/>
          <w:color w:val="000000"/>
          <w:kern w:val="0"/>
          <w:lang w:eastAsia="en-GB"/>
          <w14:ligatures w14:val="none"/>
        </w:rPr>
        <w:t xml:space="preserve"> Fernwood Publishing. </w:t>
      </w:r>
    </w:p>
    <w:p w14:paraId="47C6457D"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1C64A5BA"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Women Enabled International (2026) </w:t>
      </w:r>
      <w:r w:rsidRPr="00D1758D">
        <w:rPr>
          <w:rFonts w:ascii="Arial" w:eastAsia="Times New Roman" w:hAnsi="Arial" w:cs="Arial"/>
          <w:i/>
          <w:iCs/>
          <w:color w:val="000000"/>
          <w:kern w:val="0"/>
          <w:lang w:eastAsia="en-GB"/>
          <w14:ligatures w14:val="none"/>
        </w:rPr>
        <w:t>How We Work.</w:t>
      </w:r>
      <w:r w:rsidRPr="00D1758D">
        <w:rPr>
          <w:rFonts w:ascii="Arial" w:eastAsia="Times New Roman" w:hAnsi="Arial" w:cs="Arial"/>
          <w:color w:val="000000"/>
          <w:kern w:val="0"/>
          <w:lang w:eastAsia="en-GB"/>
          <w14:ligatures w14:val="none"/>
        </w:rPr>
        <w:t xml:space="preserve"> Available at: https://womenenabled.org/how-we-work/ (Accessed: 13 February 2026). </w:t>
      </w:r>
    </w:p>
    <w:p w14:paraId="5C3697D3" w14:textId="77777777" w:rsidR="00D1758D" w:rsidRPr="00D1758D" w:rsidRDefault="00D1758D" w:rsidP="00D1758D">
      <w:pPr>
        <w:spacing w:after="0" w:line="276" w:lineRule="auto"/>
        <w:ind w:hanging="340"/>
        <w:rPr>
          <w:rFonts w:ascii="Arial" w:eastAsia="Times New Roman" w:hAnsi="Arial" w:cs="Arial"/>
          <w:kern w:val="0"/>
          <w:lang w:eastAsia="en-GB"/>
          <w14:ligatures w14:val="none"/>
        </w:rPr>
      </w:pPr>
    </w:p>
    <w:p w14:paraId="1A6FA4DA" w14:textId="77777777" w:rsid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World Health Organisation (2025)</w:t>
      </w:r>
      <w:r w:rsidRPr="00D1758D">
        <w:rPr>
          <w:rFonts w:ascii="Arial" w:eastAsia="Times New Roman" w:hAnsi="Arial" w:cs="Arial"/>
          <w:i/>
          <w:iCs/>
          <w:color w:val="000000"/>
          <w:kern w:val="0"/>
          <w:lang w:eastAsia="en-GB"/>
          <w14:ligatures w14:val="none"/>
        </w:rPr>
        <w:t xml:space="preserve"> Gender and health.</w:t>
      </w:r>
      <w:r w:rsidRPr="00D1758D">
        <w:rPr>
          <w:rFonts w:ascii="Arial" w:eastAsia="Times New Roman" w:hAnsi="Arial" w:cs="Arial"/>
          <w:color w:val="000000"/>
          <w:kern w:val="0"/>
          <w:lang w:eastAsia="en-GB"/>
          <w14:ligatures w14:val="none"/>
        </w:rPr>
        <w:t xml:space="preserve"> Available at: https://www.who.int/health-topics/gender#tab=tab_1 (Accessed: 10 February 2026). </w:t>
      </w:r>
    </w:p>
    <w:p w14:paraId="41C1719A" w14:textId="77777777" w:rsidR="00D1758D" w:rsidRDefault="00D1758D" w:rsidP="00D1758D">
      <w:pPr>
        <w:spacing w:after="0" w:line="276" w:lineRule="auto"/>
        <w:ind w:hanging="340"/>
        <w:rPr>
          <w:rFonts w:ascii="Arial" w:eastAsia="Times New Roman" w:hAnsi="Arial" w:cs="Arial"/>
          <w:kern w:val="0"/>
          <w:lang w:eastAsia="en-GB"/>
          <w14:ligatures w14:val="none"/>
        </w:rPr>
      </w:pPr>
    </w:p>
    <w:p w14:paraId="7C8158B5" w14:textId="4813FC43" w:rsidR="00D1758D" w:rsidRPr="00D1758D" w:rsidRDefault="00D1758D" w:rsidP="00D1758D">
      <w:pPr>
        <w:spacing w:after="0" w:line="276" w:lineRule="auto"/>
        <w:ind w:hanging="340"/>
        <w:rPr>
          <w:rFonts w:ascii="Arial" w:eastAsia="Times New Roman" w:hAnsi="Arial" w:cs="Arial"/>
          <w:kern w:val="0"/>
          <w:lang w:eastAsia="en-GB"/>
          <w14:ligatures w14:val="none"/>
        </w:rPr>
      </w:pPr>
      <w:r w:rsidRPr="00D1758D">
        <w:rPr>
          <w:rFonts w:ascii="Arial" w:eastAsia="Times New Roman" w:hAnsi="Arial" w:cs="Arial"/>
          <w:color w:val="000000"/>
          <w:kern w:val="0"/>
          <w:lang w:eastAsia="en-GB"/>
          <w14:ligatures w14:val="none"/>
        </w:rPr>
        <w:t xml:space="preserve">Wu, J.P., McKee, M.M., McKee, K.S., Meade, M.A., Plague, M. and Sen, A. (2017) ‘Female sterilization is more common among women with physical and/or sensory disabilities than women without disabilities in the United States’, </w:t>
      </w:r>
      <w:r w:rsidRPr="00D1758D">
        <w:rPr>
          <w:rFonts w:ascii="Arial" w:eastAsia="Times New Roman" w:hAnsi="Arial" w:cs="Arial"/>
          <w:i/>
          <w:iCs/>
          <w:color w:val="000000"/>
          <w:kern w:val="0"/>
          <w:lang w:eastAsia="en-GB"/>
          <w14:ligatures w14:val="none"/>
        </w:rPr>
        <w:t>Disability and Health Journal,</w:t>
      </w:r>
      <w:r w:rsidRPr="00D1758D">
        <w:rPr>
          <w:rFonts w:ascii="Arial" w:eastAsia="Times New Roman" w:hAnsi="Arial" w:cs="Arial"/>
          <w:color w:val="000000"/>
          <w:kern w:val="0"/>
          <w:lang w:eastAsia="en-GB"/>
          <w14:ligatures w14:val="none"/>
        </w:rPr>
        <w:t xml:space="preserve"> 10(3), pp. 400-405. Available at: https://doi.org/10.1016/j.dhjo.2016.12.020</w:t>
      </w:r>
    </w:p>
    <w:sectPr w:rsidR="00D1758D" w:rsidRPr="00D1758D">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9F21B6" w14:textId="77777777" w:rsidR="00603EAA" w:rsidRDefault="00603EAA" w:rsidP="0040533B">
      <w:pPr>
        <w:spacing w:after="0" w:line="240" w:lineRule="auto"/>
      </w:pPr>
      <w:r>
        <w:separator/>
      </w:r>
    </w:p>
  </w:endnote>
  <w:endnote w:type="continuationSeparator" w:id="0">
    <w:p w14:paraId="0B89DF36" w14:textId="77777777" w:rsidR="00603EAA" w:rsidRDefault="00603EAA" w:rsidP="00405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9846740"/>
      <w:docPartObj>
        <w:docPartGallery w:val="Page Numbers (Bottom of Page)"/>
        <w:docPartUnique/>
      </w:docPartObj>
    </w:sdtPr>
    <w:sdtEndPr>
      <w:rPr>
        <w:noProof/>
      </w:rPr>
    </w:sdtEndPr>
    <w:sdtContent>
      <w:p w14:paraId="45B946A4" w14:textId="1D7A475F" w:rsidR="00945420" w:rsidRDefault="009454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33D366" w14:textId="77777777" w:rsidR="00945420" w:rsidRDefault="009454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B872EF" w14:textId="77777777" w:rsidR="00603EAA" w:rsidRDefault="00603EAA" w:rsidP="0040533B">
      <w:pPr>
        <w:spacing w:after="0" w:line="240" w:lineRule="auto"/>
      </w:pPr>
      <w:r>
        <w:separator/>
      </w:r>
    </w:p>
  </w:footnote>
  <w:footnote w:type="continuationSeparator" w:id="0">
    <w:p w14:paraId="1D114F2C" w14:textId="77777777" w:rsidR="00603EAA" w:rsidRDefault="00603EAA" w:rsidP="004053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6F0DFB" w14:textId="37F7679C" w:rsidR="00BB21CC" w:rsidRPr="00DA22D4" w:rsidRDefault="00BB21CC">
    <w:pPr>
      <w:pStyle w:val="Header"/>
      <w:rPr>
        <w:rFonts w:ascii="Arial" w:hAnsi="Arial" w:cs="Arial"/>
      </w:rPr>
    </w:pPr>
    <w:r w:rsidRPr="00DA22D4">
      <w:rPr>
        <w:rFonts w:ascii="Arial" w:hAnsi="Arial" w:cs="Arial"/>
      </w:rPr>
      <w:t>2200299</w:t>
    </w:r>
    <w:r w:rsidRPr="00DA22D4">
      <w:rPr>
        <w:rFonts w:ascii="Arial" w:hAnsi="Arial" w:cs="Arial"/>
      </w:rPr>
      <w:ptab w:relativeTo="margin" w:alignment="center" w:leader="none"/>
    </w:r>
    <w:r w:rsidR="00DA22D4" w:rsidRPr="00DA22D4">
      <w:rPr>
        <w:rFonts w:ascii="Arial" w:hAnsi="Arial" w:cs="Arial"/>
      </w:rPr>
      <w:t xml:space="preserve"> </w:t>
    </w:r>
    <w:r w:rsidR="00DA22D4" w:rsidRPr="00DA22D4">
      <w:rPr>
        <w:rFonts w:ascii="Arial" w:hAnsi="Arial" w:cs="Arial"/>
      </w:rPr>
      <w:t xml:space="preserve"> ECED7005  </w:t>
    </w:r>
    <w:r w:rsidRPr="00DA22D4">
      <w:rPr>
        <w:rFonts w:ascii="Arial" w:hAnsi="Arial" w:cs="Arial"/>
      </w:rPr>
      <w:ptab w:relativeTo="margin" w:alignment="right" w:leader="none"/>
    </w:r>
    <w:r w:rsidRPr="00DA22D4">
      <w:rPr>
        <w:rFonts w:ascii="Arial" w:hAnsi="Arial" w:cs="Arial"/>
      </w:rPr>
      <w:t>4,093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F2514"/>
    <w:multiLevelType w:val="hybridMultilevel"/>
    <w:tmpl w:val="8920262C"/>
    <w:lvl w:ilvl="0" w:tplc="9376B0B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0D1927"/>
    <w:multiLevelType w:val="hybridMultilevel"/>
    <w:tmpl w:val="0A6A074C"/>
    <w:lvl w:ilvl="0" w:tplc="7396AC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691166"/>
    <w:multiLevelType w:val="hybridMultilevel"/>
    <w:tmpl w:val="BEAEA7C4"/>
    <w:lvl w:ilvl="0" w:tplc="58F07C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74535A"/>
    <w:multiLevelType w:val="hybridMultilevel"/>
    <w:tmpl w:val="7008568E"/>
    <w:lvl w:ilvl="0" w:tplc="E4565F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8575754">
    <w:abstractNumId w:val="1"/>
  </w:num>
  <w:num w:numId="2" w16cid:durableId="1917548366">
    <w:abstractNumId w:val="2"/>
  </w:num>
  <w:num w:numId="3" w16cid:durableId="840320494">
    <w:abstractNumId w:val="3"/>
  </w:num>
  <w:num w:numId="4" w16cid:durableId="11061229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0D7"/>
    <w:rsid w:val="000007BC"/>
    <w:rsid w:val="00001224"/>
    <w:rsid w:val="00001C49"/>
    <w:rsid w:val="00001DC3"/>
    <w:rsid w:val="000023D1"/>
    <w:rsid w:val="00002BED"/>
    <w:rsid w:val="00003908"/>
    <w:rsid w:val="000048AC"/>
    <w:rsid w:val="00004903"/>
    <w:rsid w:val="00005DA5"/>
    <w:rsid w:val="00006740"/>
    <w:rsid w:val="00011976"/>
    <w:rsid w:val="000120AB"/>
    <w:rsid w:val="00014DA3"/>
    <w:rsid w:val="00017EEF"/>
    <w:rsid w:val="00020C68"/>
    <w:rsid w:val="00021210"/>
    <w:rsid w:val="00022845"/>
    <w:rsid w:val="00023398"/>
    <w:rsid w:val="00023755"/>
    <w:rsid w:val="0003166F"/>
    <w:rsid w:val="000319C3"/>
    <w:rsid w:val="00031E92"/>
    <w:rsid w:val="0003222D"/>
    <w:rsid w:val="000336D7"/>
    <w:rsid w:val="00033C18"/>
    <w:rsid w:val="000344AF"/>
    <w:rsid w:val="000347B2"/>
    <w:rsid w:val="00035201"/>
    <w:rsid w:val="00036D3D"/>
    <w:rsid w:val="00041E13"/>
    <w:rsid w:val="0004254B"/>
    <w:rsid w:val="00042BFB"/>
    <w:rsid w:val="00043327"/>
    <w:rsid w:val="00045618"/>
    <w:rsid w:val="00046759"/>
    <w:rsid w:val="00046781"/>
    <w:rsid w:val="00046C58"/>
    <w:rsid w:val="00047B12"/>
    <w:rsid w:val="00047B59"/>
    <w:rsid w:val="00047C20"/>
    <w:rsid w:val="00050565"/>
    <w:rsid w:val="00051671"/>
    <w:rsid w:val="00055A21"/>
    <w:rsid w:val="00070C45"/>
    <w:rsid w:val="00070E0F"/>
    <w:rsid w:val="0007115C"/>
    <w:rsid w:val="000732AD"/>
    <w:rsid w:val="0007442A"/>
    <w:rsid w:val="00074BD7"/>
    <w:rsid w:val="00075489"/>
    <w:rsid w:val="00077F13"/>
    <w:rsid w:val="00081B05"/>
    <w:rsid w:val="00082871"/>
    <w:rsid w:val="00082ED5"/>
    <w:rsid w:val="000841DA"/>
    <w:rsid w:val="00085C1A"/>
    <w:rsid w:val="00086A1C"/>
    <w:rsid w:val="00087B4C"/>
    <w:rsid w:val="00094883"/>
    <w:rsid w:val="0009491A"/>
    <w:rsid w:val="000959EB"/>
    <w:rsid w:val="000A0056"/>
    <w:rsid w:val="000A388F"/>
    <w:rsid w:val="000A567F"/>
    <w:rsid w:val="000B09BE"/>
    <w:rsid w:val="000B1E3F"/>
    <w:rsid w:val="000B314C"/>
    <w:rsid w:val="000B4A27"/>
    <w:rsid w:val="000B7CC3"/>
    <w:rsid w:val="000B7EAE"/>
    <w:rsid w:val="000C02E0"/>
    <w:rsid w:val="000C508A"/>
    <w:rsid w:val="000C522D"/>
    <w:rsid w:val="000C6374"/>
    <w:rsid w:val="000D0F0E"/>
    <w:rsid w:val="000D32BF"/>
    <w:rsid w:val="000D5D4F"/>
    <w:rsid w:val="000D6A1C"/>
    <w:rsid w:val="000E1B3A"/>
    <w:rsid w:val="000E2A19"/>
    <w:rsid w:val="000E40E6"/>
    <w:rsid w:val="000E4A11"/>
    <w:rsid w:val="000E6257"/>
    <w:rsid w:val="000E6A23"/>
    <w:rsid w:val="000F1683"/>
    <w:rsid w:val="000F4532"/>
    <w:rsid w:val="000F7623"/>
    <w:rsid w:val="00100C62"/>
    <w:rsid w:val="00102167"/>
    <w:rsid w:val="00102574"/>
    <w:rsid w:val="0010272B"/>
    <w:rsid w:val="00102C8A"/>
    <w:rsid w:val="00106928"/>
    <w:rsid w:val="00107044"/>
    <w:rsid w:val="00107313"/>
    <w:rsid w:val="00110A63"/>
    <w:rsid w:val="00112DB1"/>
    <w:rsid w:val="00114145"/>
    <w:rsid w:val="00117094"/>
    <w:rsid w:val="001170EC"/>
    <w:rsid w:val="0011754E"/>
    <w:rsid w:val="00120235"/>
    <w:rsid w:val="001276D2"/>
    <w:rsid w:val="001305F3"/>
    <w:rsid w:val="00130D2B"/>
    <w:rsid w:val="00131667"/>
    <w:rsid w:val="001342E0"/>
    <w:rsid w:val="001350D6"/>
    <w:rsid w:val="00135D95"/>
    <w:rsid w:val="00141EA1"/>
    <w:rsid w:val="00142121"/>
    <w:rsid w:val="0014581D"/>
    <w:rsid w:val="00146F47"/>
    <w:rsid w:val="00150195"/>
    <w:rsid w:val="0015280F"/>
    <w:rsid w:val="00152D4D"/>
    <w:rsid w:val="00153253"/>
    <w:rsid w:val="00157058"/>
    <w:rsid w:val="00157962"/>
    <w:rsid w:val="00160988"/>
    <w:rsid w:val="00160D4A"/>
    <w:rsid w:val="0016161E"/>
    <w:rsid w:val="00161F46"/>
    <w:rsid w:val="00162A2C"/>
    <w:rsid w:val="0016417F"/>
    <w:rsid w:val="0016418A"/>
    <w:rsid w:val="00164493"/>
    <w:rsid w:val="00164F61"/>
    <w:rsid w:val="00165EBD"/>
    <w:rsid w:val="00166B2A"/>
    <w:rsid w:val="0017273C"/>
    <w:rsid w:val="001728A3"/>
    <w:rsid w:val="001737CB"/>
    <w:rsid w:val="0017397D"/>
    <w:rsid w:val="00176A92"/>
    <w:rsid w:val="00180EE2"/>
    <w:rsid w:val="00182714"/>
    <w:rsid w:val="001829B0"/>
    <w:rsid w:val="001845E4"/>
    <w:rsid w:val="001864E5"/>
    <w:rsid w:val="00190115"/>
    <w:rsid w:val="00192372"/>
    <w:rsid w:val="00192E49"/>
    <w:rsid w:val="00194365"/>
    <w:rsid w:val="001947D7"/>
    <w:rsid w:val="00194F3E"/>
    <w:rsid w:val="0019573E"/>
    <w:rsid w:val="001977C1"/>
    <w:rsid w:val="00197BBF"/>
    <w:rsid w:val="001A223F"/>
    <w:rsid w:val="001A37CE"/>
    <w:rsid w:val="001A617C"/>
    <w:rsid w:val="001B026A"/>
    <w:rsid w:val="001B0454"/>
    <w:rsid w:val="001B31E3"/>
    <w:rsid w:val="001B4534"/>
    <w:rsid w:val="001C0792"/>
    <w:rsid w:val="001C27BC"/>
    <w:rsid w:val="001C4BC6"/>
    <w:rsid w:val="001C5A1A"/>
    <w:rsid w:val="001C5B9F"/>
    <w:rsid w:val="001C5DF1"/>
    <w:rsid w:val="001C76C9"/>
    <w:rsid w:val="001D057D"/>
    <w:rsid w:val="001D408F"/>
    <w:rsid w:val="001D6900"/>
    <w:rsid w:val="001D7E48"/>
    <w:rsid w:val="001E0A85"/>
    <w:rsid w:val="001E1D8C"/>
    <w:rsid w:val="001E1FE8"/>
    <w:rsid w:val="001E21BB"/>
    <w:rsid w:val="001E2AE8"/>
    <w:rsid w:val="001E7B56"/>
    <w:rsid w:val="001F483E"/>
    <w:rsid w:val="001F5A55"/>
    <w:rsid w:val="001F6251"/>
    <w:rsid w:val="001F63E5"/>
    <w:rsid w:val="0020064D"/>
    <w:rsid w:val="00201D71"/>
    <w:rsid w:val="00202D97"/>
    <w:rsid w:val="00202F6B"/>
    <w:rsid w:val="00203B98"/>
    <w:rsid w:val="00204604"/>
    <w:rsid w:val="002059A3"/>
    <w:rsid w:val="002077CC"/>
    <w:rsid w:val="002101F4"/>
    <w:rsid w:val="00210C0A"/>
    <w:rsid w:val="00212542"/>
    <w:rsid w:val="0021300C"/>
    <w:rsid w:val="00213792"/>
    <w:rsid w:val="00213AA0"/>
    <w:rsid w:val="00213F58"/>
    <w:rsid w:val="002140A3"/>
    <w:rsid w:val="00215C6B"/>
    <w:rsid w:val="002205EB"/>
    <w:rsid w:val="002208E6"/>
    <w:rsid w:val="0022172E"/>
    <w:rsid w:val="0022658D"/>
    <w:rsid w:val="00227B11"/>
    <w:rsid w:val="00230A3F"/>
    <w:rsid w:val="00230E59"/>
    <w:rsid w:val="00232002"/>
    <w:rsid w:val="00232869"/>
    <w:rsid w:val="0023579E"/>
    <w:rsid w:val="00235D5F"/>
    <w:rsid w:val="002407F7"/>
    <w:rsid w:val="00241AFC"/>
    <w:rsid w:val="002457B7"/>
    <w:rsid w:val="00246DBC"/>
    <w:rsid w:val="00247195"/>
    <w:rsid w:val="002477F9"/>
    <w:rsid w:val="00250649"/>
    <w:rsid w:val="002507F0"/>
    <w:rsid w:val="002515C6"/>
    <w:rsid w:val="00253432"/>
    <w:rsid w:val="00253887"/>
    <w:rsid w:val="0025447C"/>
    <w:rsid w:val="00255772"/>
    <w:rsid w:val="00255854"/>
    <w:rsid w:val="00261F49"/>
    <w:rsid w:val="00263799"/>
    <w:rsid w:val="0027008D"/>
    <w:rsid w:val="0027055E"/>
    <w:rsid w:val="00270ED0"/>
    <w:rsid w:val="002720FB"/>
    <w:rsid w:val="00273EE2"/>
    <w:rsid w:val="002747EC"/>
    <w:rsid w:val="00276A61"/>
    <w:rsid w:val="00281E92"/>
    <w:rsid w:val="0028256C"/>
    <w:rsid w:val="00282AFB"/>
    <w:rsid w:val="00282BB0"/>
    <w:rsid w:val="00282E7B"/>
    <w:rsid w:val="0029084F"/>
    <w:rsid w:val="002925CD"/>
    <w:rsid w:val="0029265B"/>
    <w:rsid w:val="002934BF"/>
    <w:rsid w:val="00293F5A"/>
    <w:rsid w:val="00294FFC"/>
    <w:rsid w:val="00297356"/>
    <w:rsid w:val="002A0125"/>
    <w:rsid w:val="002A345C"/>
    <w:rsid w:val="002A56A5"/>
    <w:rsid w:val="002A741C"/>
    <w:rsid w:val="002B147C"/>
    <w:rsid w:val="002B2A38"/>
    <w:rsid w:val="002B3385"/>
    <w:rsid w:val="002B4B61"/>
    <w:rsid w:val="002B4D33"/>
    <w:rsid w:val="002B51D1"/>
    <w:rsid w:val="002B537A"/>
    <w:rsid w:val="002B634A"/>
    <w:rsid w:val="002B7280"/>
    <w:rsid w:val="002C0E62"/>
    <w:rsid w:val="002C1124"/>
    <w:rsid w:val="002C1613"/>
    <w:rsid w:val="002C2D00"/>
    <w:rsid w:val="002C2D44"/>
    <w:rsid w:val="002C6CCD"/>
    <w:rsid w:val="002D12EE"/>
    <w:rsid w:val="002D4E66"/>
    <w:rsid w:val="002D71C7"/>
    <w:rsid w:val="002E0173"/>
    <w:rsid w:val="002E196C"/>
    <w:rsid w:val="002E2F68"/>
    <w:rsid w:val="002E32D1"/>
    <w:rsid w:val="002E38EA"/>
    <w:rsid w:val="002E460E"/>
    <w:rsid w:val="002E7596"/>
    <w:rsid w:val="002F033F"/>
    <w:rsid w:val="002F100E"/>
    <w:rsid w:val="002F1608"/>
    <w:rsid w:val="002F29C9"/>
    <w:rsid w:val="002F458E"/>
    <w:rsid w:val="002F74E5"/>
    <w:rsid w:val="002F7D27"/>
    <w:rsid w:val="0030035B"/>
    <w:rsid w:val="0030188E"/>
    <w:rsid w:val="00302E80"/>
    <w:rsid w:val="0030362B"/>
    <w:rsid w:val="0030787A"/>
    <w:rsid w:val="00307E00"/>
    <w:rsid w:val="00307E8E"/>
    <w:rsid w:val="00311011"/>
    <w:rsid w:val="0031127B"/>
    <w:rsid w:val="00311C6F"/>
    <w:rsid w:val="00312E13"/>
    <w:rsid w:val="00314CAD"/>
    <w:rsid w:val="00316494"/>
    <w:rsid w:val="00316698"/>
    <w:rsid w:val="003172E1"/>
    <w:rsid w:val="00317BEA"/>
    <w:rsid w:val="0032029F"/>
    <w:rsid w:val="0032150A"/>
    <w:rsid w:val="003222C3"/>
    <w:rsid w:val="00322355"/>
    <w:rsid w:val="00322D29"/>
    <w:rsid w:val="0032426C"/>
    <w:rsid w:val="00324D69"/>
    <w:rsid w:val="00325D06"/>
    <w:rsid w:val="003262FC"/>
    <w:rsid w:val="0033100E"/>
    <w:rsid w:val="0033196D"/>
    <w:rsid w:val="00331A2E"/>
    <w:rsid w:val="00331ED0"/>
    <w:rsid w:val="00335717"/>
    <w:rsid w:val="00335797"/>
    <w:rsid w:val="00337ED5"/>
    <w:rsid w:val="0034090A"/>
    <w:rsid w:val="00341AF2"/>
    <w:rsid w:val="00341BFF"/>
    <w:rsid w:val="00345DEF"/>
    <w:rsid w:val="00346E3D"/>
    <w:rsid w:val="00352D9C"/>
    <w:rsid w:val="0035317C"/>
    <w:rsid w:val="00354114"/>
    <w:rsid w:val="00354402"/>
    <w:rsid w:val="00355C61"/>
    <w:rsid w:val="00355FB8"/>
    <w:rsid w:val="00357449"/>
    <w:rsid w:val="00360667"/>
    <w:rsid w:val="00360ACD"/>
    <w:rsid w:val="00361E89"/>
    <w:rsid w:val="00362DDC"/>
    <w:rsid w:val="00363BA2"/>
    <w:rsid w:val="00363E1B"/>
    <w:rsid w:val="003678DF"/>
    <w:rsid w:val="0037011A"/>
    <w:rsid w:val="00370D97"/>
    <w:rsid w:val="00370F3D"/>
    <w:rsid w:val="00372D0C"/>
    <w:rsid w:val="003749D8"/>
    <w:rsid w:val="00376E3A"/>
    <w:rsid w:val="00380CE8"/>
    <w:rsid w:val="0038152D"/>
    <w:rsid w:val="00381A75"/>
    <w:rsid w:val="00383A6F"/>
    <w:rsid w:val="00386C63"/>
    <w:rsid w:val="00386EC0"/>
    <w:rsid w:val="00392AF1"/>
    <w:rsid w:val="00392E54"/>
    <w:rsid w:val="0039474F"/>
    <w:rsid w:val="0039665F"/>
    <w:rsid w:val="00397CD6"/>
    <w:rsid w:val="003A0DAC"/>
    <w:rsid w:val="003A1EAD"/>
    <w:rsid w:val="003A45C7"/>
    <w:rsid w:val="003A56A9"/>
    <w:rsid w:val="003A6815"/>
    <w:rsid w:val="003A6B80"/>
    <w:rsid w:val="003A7F6A"/>
    <w:rsid w:val="003B08E9"/>
    <w:rsid w:val="003B32E1"/>
    <w:rsid w:val="003B3671"/>
    <w:rsid w:val="003B37A0"/>
    <w:rsid w:val="003B4FC1"/>
    <w:rsid w:val="003B4FFD"/>
    <w:rsid w:val="003B6392"/>
    <w:rsid w:val="003B6FF0"/>
    <w:rsid w:val="003C052F"/>
    <w:rsid w:val="003C2B5F"/>
    <w:rsid w:val="003C2CB7"/>
    <w:rsid w:val="003C59E8"/>
    <w:rsid w:val="003C5A0F"/>
    <w:rsid w:val="003C6A1B"/>
    <w:rsid w:val="003D2DC0"/>
    <w:rsid w:val="003D52C2"/>
    <w:rsid w:val="003D638C"/>
    <w:rsid w:val="003D7584"/>
    <w:rsid w:val="003E288D"/>
    <w:rsid w:val="003E2E80"/>
    <w:rsid w:val="003E3689"/>
    <w:rsid w:val="003E3AE5"/>
    <w:rsid w:val="003E40A2"/>
    <w:rsid w:val="003E6007"/>
    <w:rsid w:val="003E7A7E"/>
    <w:rsid w:val="003F01E0"/>
    <w:rsid w:val="003F0600"/>
    <w:rsid w:val="003F1E19"/>
    <w:rsid w:val="003F2AD0"/>
    <w:rsid w:val="003F3E45"/>
    <w:rsid w:val="003F551F"/>
    <w:rsid w:val="003F74B0"/>
    <w:rsid w:val="003F7AF1"/>
    <w:rsid w:val="004016DE"/>
    <w:rsid w:val="00401F7C"/>
    <w:rsid w:val="00402D3A"/>
    <w:rsid w:val="0040433D"/>
    <w:rsid w:val="0040533B"/>
    <w:rsid w:val="0040598B"/>
    <w:rsid w:val="00405C7A"/>
    <w:rsid w:val="00411BD2"/>
    <w:rsid w:val="00414920"/>
    <w:rsid w:val="00416C0B"/>
    <w:rsid w:val="0041716F"/>
    <w:rsid w:val="004179DD"/>
    <w:rsid w:val="004221AA"/>
    <w:rsid w:val="004257D7"/>
    <w:rsid w:val="00427863"/>
    <w:rsid w:val="0043180C"/>
    <w:rsid w:val="00431B8F"/>
    <w:rsid w:val="00434E3A"/>
    <w:rsid w:val="004357F7"/>
    <w:rsid w:val="00436989"/>
    <w:rsid w:val="00436E75"/>
    <w:rsid w:val="00436F23"/>
    <w:rsid w:val="004374C5"/>
    <w:rsid w:val="00442A7A"/>
    <w:rsid w:val="00443ED2"/>
    <w:rsid w:val="00446B9B"/>
    <w:rsid w:val="00446FF8"/>
    <w:rsid w:val="00451971"/>
    <w:rsid w:val="00451B59"/>
    <w:rsid w:val="00455746"/>
    <w:rsid w:val="00461A3A"/>
    <w:rsid w:val="004626EB"/>
    <w:rsid w:val="004636A0"/>
    <w:rsid w:val="00463AB4"/>
    <w:rsid w:val="00463F2B"/>
    <w:rsid w:val="00464ABA"/>
    <w:rsid w:val="00465965"/>
    <w:rsid w:val="004663DA"/>
    <w:rsid w:val="00467677"/>
    <w:rsid w:val="00467895"/>
    <w:rsid w:val="004679D0"/>
    <w:rsid w:val="004754B5"/>
    <w:rsid w:val="00480D4A"/>
    <w:rsid w:val="00484C5C"/>
    <w:rsid w:val="00485E7F"/>
    <w:rsid w:val="00486A57"/>
    <w:rsid w:val="00486B51"/>
    <w:rsid w:val="004917DF"/>
    <w:rsid w:val="00492758"/>
    <w:rsid w:val="00493B7C"/>
    <w:rsid w:val="00494A13"/>
    <w:rsid w:val="00495686"/>
    <w:rsid w:val="00497687"/>
    <w:rsid w:val="004A34F1"/>
    <w:rsid w:val="004A41B8"/>
    <w:rsid w:val="004A496F"/>
    <w:rsid w:val="004A4A72"/>
    <w:rsid w:val="004A783B"/>
    <w:rsid w:val="004B39E6"/>
    <w:rsid w:val="004B3BC3"/>
    <w:rsid w:val="004B3D38"/>
    <w:rsid w:val="004B469C"/>
    <w:rsid w:val="004B6EA8"/>
    <w:rsid w:val="004C146C"/>
    <w:rsid w:val="004C1E60"/>
    <w:rsid w:val="004C33A2"/>
    <w:rsid w:val="004D23BF"/>
    <w:rsid w:val="004D2975"/>
    <w:rsid w:val="004D5D60"/>
    <w:rsid w:val="004D75B7"/>
    <w:rsid w:val="004D7D4B"/>
    <w:rsid w:val="004E0391"/>
    <w:rsid w:val="004E2C74"/>
    <w:rsid w:val="004E5778"/>
    <w:rsid w:val="004E7AEF"/>
    <w:rsid w:val="004F0C27"/>
    <w:rsid w:val="004F0E9D"/>
    <w:rsid w:val="004F1541"/>
    <w:rsid w:val="004F31DB"/>
    <w:rsid w:val="004F4901"/>
    <w:rsid w:val="004F606B"/>
    <w:rsid w:val="004F679F"/>
    <w:rsid w:val="004F6CFE"/>
    <w:rsid w:val="004F7088"/>
    <w:rsid w:val="005004E8"/>
    <w:rsid w:val="0050335F"/>
    <w:rsid w:val="00506DF7"/>
    <w:rsid w:val="00507725"/>
    <w:rsid w:val="00507F27"/>
    <w:rsid w:val="005109D2"/>
    <w:rsid w:val="005144C8"/>
    <w:rsid w:val="005156BF"/>
    <w:rsid w:val="005165D6"/>
    <w:rsid w:val="00516BBA"/>
    <w:rsid w:val="00517ED3"/>
    <w:rsid w:val="00517F2B"/>
    <w:rsid w:val="00521B7E"/>
    <w:rsid w:val="00523BC3"/>
    <w:rsid w:val="00524698"/>
    <w:rsid w:val="00524CCB"/>
    <w:rsid w:val="00525AF4"/>
    <w:rsid w:val="00526499"/>
    <w:rsid w:val="00526DDC"/>
    <w:rsid w:val="005301BC"/>
    <w:rsid w:val="00531EEF"/>
    <w:rsid w:val="0053261E"/>
    <w:rsid w:val="00534379"/>
    <w:rsid w:val="00536EEE"/>
    <w:rsid w:val="00542E5B"/>
    <w:rsid w:val="0054347F"/>
    <w:rsid w:val="00543B17"/>
    <w:rsid w:val="00544030"/>
    <w:rsid w:val="00544BBA"/>
    <w:rsid w:val="0054615D"/>
    <w:rsid w:val="005504EF"/>
    <w:rsid w:val="005551BA"/>
    <w:rsid w:val="00555BC7"/>
    <w:rsid w:val="0055610C"/>
    <w:rsid w:val="005566FA"/>
    <w:rsid w:val="00556FF3"/>
    <w:rsid w:val="0056003E"/>
    <w:rsid w:val="00560897"/>
    <w:rsid w:val="00562CCE"/>
    <w:rsid w:val="005641C1"/>
    <w:rsid w:val="00564834"/>
    <w:rsid w:val="00566374"/>
    <w:rsid w:val="00566798"/>
    <w:rsid w:val="0056734B"/>
    <w:rsid w:val="00567D57"/>
    <w:rsid w:val="005717E2"/>
    <w:rsid w:val="00572A64"/>
    <w:rsid w:val="00574684"/>
    <w:rsid w:val="00576292"/>
    <w:rsid w:val="005800E2"/>
    <w:rsid w:val="00580222"/>
    <w:rsid w:val="005804E0"/>
    <w:rsid w:val="00580B6B"/>
    <w:rsid w:val="00590336"/>
    <w:rsid w:val="0059108C"/>
    <w:rsid w:val="00591E87"/>
    <w:rsid w:val="00593C6B"/>
    <w:rsid w:val="00594F5D"/>
    <w:rsid w:val="005953A4"/>
    <w:rsid w:val="005953C4"/>
    <w:rsid w:val="00595C6B"/>
    <w:rsid w:val="005977D1"/>
    <w:rsid w:val="005A09DC"/>
    <w:rsid w:val="005A1BD8"/>
    <w:rsid w:val="005A2D8E"/>
    <w:rsid w:val="005A465C"/>
    <w:rsid w:val="005A49A9"/>
    <w:rsid w:val="005A4B35"/>
    <w:rsid w:val="005B1BC9"/>
    <w:rsid w:val="005B1FB4"/>
    <w:rsid w:val="005B2363"/>
    <w:rsid w:val="005B243A"/>
    <w:rsid w:val="005B2501"/>
    <w:rsid w:val="005B2C8A"/>
    <w:rsid w:val="005B3C8E"/>
    <w:rsid w:val="005B7365"/>
    <w:rsid w:val="005C1D18"/>
    <w:rsid w:val="005C303D"/>
    <w:rsid w:val="005C62B5"/>
    <w:rsid w:val="005C6F06"/>
    <w:rsid w:val="005D08CA"/>
    <w:rsid w:val="005D510E"/>
    <w:rsid w:val="005D537B"/>
    <w:rsid w:val="005D55AF"/>
    <w:rsid w:val="005D5B5E"/>
    <w:rsid w:val="005E0AFC"/>
    <w:rsid w:val="005E0F19"/>
    <w:rsid w:val="005E2C1C"/>
    <w:rsid w:val="005E452B"/>
    <w:rsid w:val="005E460A"/>
    <w:rsid w:val="005F099D"/>
    <w:rsid w:val="005F12E7"/>
    <w:rsid w:val="005F424B"/>
    <w:rsid w:val="005F4592"/>
    <w:rsid w:val="005F4697"/>
    <w:rsid w:val="005F5AEE"/>
    <w:rsid w:val="005F79A0"/>
    <w:rsid w:val="00600DBE"/>
    <w:rsid w:val="006014F3"/>
    <w:rsid w:val="006019CA"/>
    <w:rsid w:val="006023FA"/>
    <w:rsid w:val="00603CEB"/>
    <w:rsid w:val="00603EAA"/>
    <w:rsid w:val="00604464"/>
    <w:rsid w:val="006047E5"/>
    <w:rsid w:val="00605D10"/>
    <w:rsid w:val="00606692"/>
    <w:rsid w:val="0060703A"/>
    <w:rsid w:val="00607256"/>
    <w:rsid w:val="00610772"/>
    <w:rsid w:val="00613F3B"/>
    <w:rsid w:val="00614B79"/>
    <w:rsid w:val="00621E60"/>
    <w:rsid w:val="006234CC"/>
    <w:rsid w:val="00623528"/>
    <w:rsid w:val="00624923"/>
    <w:rsid w:val="00624E44"/>
    <w:rsid w:val="00625E3A"/>
    <w:rsid w:val="00631EAC"/>
    <w:rsid w:val="00632B79"/>
    <w:rsid w:val="006338FC"/>
    <w:rsid w:val="0063400A"/>
    <w:rsid w:val="00642A3E"/>
    <w:rsid w:val="00644FD3"/>
    <w:rsid w:val="006451EE"/>
    <w:rsid w:val="00645698"/>
    <w:rsid w:val="006500A7"/>
    <w:rsid w:val="006515FF"/>
    <w:rsid w:val="00653BCF"/>
    <w:rsid w:val="00655597"/>
    <w:rsid w:val="0065731D"/>
    <w:rsid w:val="00657389"/>
    <w:rsid w:val="00662D74"/>
    <w:rsid w:val="0066480B"/>
    <w:rsid w:val="00665795"/>
    <w:rsid w:val="00665A48"/>
    <w:rsid w:val="00667E8F"/>
    <w:rsid w:val="006715BE"/>
    <w:rsid w:val="0067190F"/>
    <w:rsid w:val="00672970"/>
    <w:rsid w:val="006734A3"/>
    <w:rsid w:val="006745C9"/>
    <w:rsid w:val="00674669"/>
    <w:rsid w:val="00674699"/>
    <w:rsid w:val="00674713"/>
    <w:rsid w:val="00675465"/>
    <w:rsid w:val="00677037"/>
    <w:rsid w:val="00680BA1"/>
    <w:rsid w:val="00683D05"/>
    <w:rsid w:val="00684B2F"/>
    <w:rsid w:val="006870CF"/>
    <w:rsid w:val="00691E6F"/>
    <w:rsid w:val="006921EB"/>
    <w:rsid w:val="00694193"/>
    <w:rsid w:val="006948B1"/>
    <w:rsid w:val="00695C6F"/>
    <w:rsid w:val="006A09FE"/>
    <w:rsid w:val="006A177A"/>
    <w:rsid w:val="006A1AB0"/>
    <w:rsid w:val="006A375F"/>
    <w:rsid w:val="006A40D7"/>
    <w:rsid w:val="006A42A6"/>
    <w:rsid w:val="006B1569"/>
    <w:rsid w:val="006B2927"/>
    <w:rsid w:val="006B3042"/>
    <w:rsid w:val="006B3381"/>
    <w:rsid w:val="006B3B9E"/>
    <w:rsid w:val="006B5E70"/>
    <w:rsid w:val="006B616E"/>
    <w:rsid w:val="006B63A7"/>
    <w:rsid w:val="006C0274"/>
    <w:rsid w:val="006C22AB"/>
    <w:rsid w:val="006C2EB9"/>
    <w:rsid w:val="006C476C"/>
    <w:rsid w:val="006C4FB6"/>
    <w:rsid w:val="006C6380"/>
    <w:rsid w:val="006D0313"/>
    <w:rsid w:val="006D0BAC"/>
    <w:rsid w:val="006D19B6"/>
    <w:rsid w:val="006D27A8"/>
    <w:rsid w:val="006D3A2F"/>
    <w:rsid w:val="006D3F3E"/>
    <w:rsid w:val="006D4B8E"/>
    <w:rsid w:val="006D51B5"/>
    <w:rsid w:val="006D62F5"/>
    <w:rsid w:val="006D652F"/>
    <w:rsid w:val="006D7F40"/>
    <w:rsid w:val="006E2C57"/>
    <w:rsid w:val="006E3F5B"/>
    <w:rsid w:val="006E5F48"/>
    <w:rsid w:val="006F63DB"/>
    <w:rsid w:val="006F712B"/>
    <w:rsid w:val="006F7EA9"/>
    <w:rsid w:val="00700467"/>
    <w:rsid w:val="007008BA"/>
    <w:rsid w:val="0070237E"/>
    <w:rsid w:val="00706EE8"/>
    <w:rsid w:val="0071049D"/>
    <w:rsid w:val="0071170F"/>
    <w:rsid w:val="00712C6C"/>
    <w:rsid w:val="00713C7F"/>
    <w:rsid w:val="00716B06"/>
    <w:rsid w:val="00717D16"/>
    <w:rsid w:val="007229CE"/>
    <w:rsid w:val="00722AA2"/>
    <w:rsid w:val="00723A65"/>
    <w:rsid w:val="00724C67"/>
    <w:rsid w:val="00725F95"/>
    <w:rsid w:val="00727001"/>
    <w:rsid w:val="007331A4"/>
    <w:rsid w:val="00734692"/>
    <w:rsid w:val="00735D2B"/>
    <w:rsid w:val="007437D4"/>
    <w:rsid w:val="00744835"/>
    <w:rsid w:val="00745E38"/>
    <w:rsid w:val="007523E1"/>
    <w:rsid w:val="007528F0"/>
    <w:rsid w:val="00752A35"/>
    <w:rsid w:val="007530C1"/>
    <w:rsid w:val="007538FD"/>
    <w:rsid w:val="007576AD"/>
    <w:rsid w:val="007609E4"/>
    <w:rsid w:val="00761DA4"/>
    <w:rsid w:val="00763C10"/>
    <w:rsid w:val="007650E9"/>
    <w:rsid w:val="007657CF"/>
    <w:rsid w:val="00765C9E"/>
    <w:rsid w:val="0076775B"/>
    <w:rsid w:val="00770001"/>
    <w:rsid w:val="007709EF"/>
    <w:rsid w:val="00770AA4"/>
    <w:rsid w:val="0077130B"/>
    <w:rsid w:val="00771490"/>
    <w:rsid w:val="00771A24"/>
    <w:rsid w:val="00772F03"/>
    <w:rsid w:val="00773626"/>
    <w:rsid w:val="00774013"/>
    <w:rsid w:val="007749E5"/>
    <w:rsid w:val="00776AB1"/>
    <w:rsid w:val="00776C44"/>
    <w:rsid w:val="007818AC"/>
    <w:rsid w:val="007827AF"/>
    <w:rsid w:val="00784AD1"/>
    <w:rsid w:val="00784F36"/>
    <w:rsid w:val="007850E5"/>
    <w:rsid w:val="00785A3C"/>
    <w:rsid w:val="00786121"/>
    <w:rsid w:val="0079027E"/>
    <w:rsid w:val="007902E9"/>
    <w:rsid w:val="00792F95"/>
    <w:rsid w:val="00795E9B"/>
    <w:rsid w:val="00795FCD"/>
    <w:rsid w:val="007A30F2"/>
    <w:rsid w:val="007A437D"/>
    <w:rsid w:val="007A5ADE"/>
    <w:rsid w:val="007A6A1B"/>
    <w:rsid w:val="007A75AD"/>
    <w:rsid w:val="007B019A"/>
    <w:rsid w:val="007B0FA5"/>
    <w:rsid w:val="007B1B9B"/>
    <w:rsid w:val="007B3669"/>
    <w:rsid w:val="007B54ED"/>
    <w:rsid w:val="007B6482"/>
    <w:rsid w:val="007B6DD2"/>
    <w:rsid w:val="007C1479"/>
    <w:rsid w:val="007C1549"/>
    <w:rsid w:val="007C1641"/>
    <w:rsid w:val="007C2998"/>
    <w:rsid w:val="007C30D3"/>
    <w:rsid w:val="007C3461"/>
    <w:rsid w:val="007C5835"/>
    <w:rsid w:val="007C7CF6"/>
    <w:rsid w:val="007D242C"/>
    <w:rsid w:val="007D6F57"/>
    <w:rsid w:val="007E1350"/>
    <w:rsid w:val="007E4C33"/>
    <w:rsid w:val="007E5E84"/>
    <w:rsid w:val="007E6493"/>
    <w:rsid w:val="007E7BC9"/>
    <w:rsid w:val="007F02DC"/>
    <w:rsid w:val="007F0378"/>
    <w:rsid w:val="007F33F8"/>
    <w:rsid w:val="007F353C"/>
    <w:rsid w:val="007F4DCB"/>
    <w:rsid w:val="007F68CB"/>
    <w:rsid w:val="007F7342"/>
    <w:rsid w:val="007F7AB7"/>
    <w:rsid w:val="007F7D69"/>
    <w:rsid w:val="008012FF"/>
    <w:rsid w:val="0080165C"/>
    <w:rsid w:val="00801D68"/>
    <w:rsid w:val="00804B31"/>
    <w:rsid w:val="008057D9"/>
    <w:rsid w:val="00805E80"/>
    <w:rsid w:val="00806D4E"/>
    <w:rsid w:val="008079DA"/>
    <w:rsid w:val="008125F1"/>
    <w:rsid w:val="00814610"/>
    <w:rsid w:val="00815FD7"/>
    <w:rsid w:val="008177C0"/>
    <w:rsid w:val="00817804"/>
    <w:rsid w:val="00821F9E"/>
    <w:rsid w:val="0082214E"/>
    <w:rsid w:val="00822FCE"/>
    <w:rsid w:val="008233A3"/>
    <w:rsid w:val="0082384A"/>
    <w:rsid w:val="00826691"/>
    <w:rsid w:val="00827EF0"/>
    <w:rsid w:val="008302BD"/>
    <w:rsid w:val="0083103B"/>
    <w:rsid w:val="00831CA8"/>
    <w:rsid w:val="00831CAF"/>
    <w:rsid w:val="00831CD8"/>
    <w:rsid w:val="0083380D"/>
    <w:rsid w:val="008361B5"/>
    <w:rsid w:val="00837333"/>
    <w:rsid w:val="008433A9"/>
    <w:rsid w:val="00844001"/>
    <w:rsid w:val="00845679"/>
    <w:rsid w:val="008461F2"/>
    <w:rsid w:val="008507FF"/>
    <w:rsid w:val="008511A5"/>
    <w:rsid w:val="00853A87"/>
    <w:rsid w:val="00853FD7"/>
    <w:rsid w:val="0085514B"/>
    <w:rsid w:val="0085557B"/>
    <w:rsid w:val="00855723"/>
    <w:rsid w:val="0085792B"/>
    <w:rsid w:val="00860C37"/>
    <w:rsid w:val="00861227"/>
    <w:rsid w:val="00862851"/>
    <w:rsid w:val="0086346F"/>
    <w:rsid w:val="00863E9F"/>
    <w:rsid w:val="00866EFB"/>
    <w:rsid w:val="00866F81"/>
    <w:rsid w:val="00867EE7"/>
    <w:rsid w:val="00870526"/>
    <w:rsid w:val="0087171F"/>
    <w:rsid w:val="00871CFD"/>
    <w:rsid w:val="00871E70"/>
    <w:rsid w:val="00873AF8"/>
    <w:rsid w:val="0087574B"/>
    <w:rsid w:val="00875D62"/>
    <w:rsid w:val="00876895"/>
    <w:rsid w:val="008813E1"/>
    <w:rsid w:val="00882756"/>
    <w:rsid w:val="00887CD9"/>
    <w:rsid w:val="00890703"/>
    <w:rsid w:val="0089083B"/>
    <w:rsid w:val="008909ED"/>
    <w:rsid w:val="00892147"/>
    <w:rsid w:val="008921A5"/>
    <w:rsid w:val="0089224A"/>
    <w:rsid w:val="00895EE9"/>
    <w:rsid w:val="00896800"/>
    <w:rsid w:val="00896D44"/>
    <w:rsid w:val="00896F9D"/>
    <w:rsid w:val="0089751C"/>
    <w:rsid w:val="008A0951"/>
    <w:rsid w:val="008A0F92"/>
    <w:rsid w:val="008A18AE"/>
    <w:rsid w:val="008A2426"/>
    <w:rsid w:val="008A2588"/>
    <w:rsid w:val="008A27C9"/>
    <w:rsid w:val="008A2923"/>
    <w:rsid w:val="008A4ACC"/>
    <w:rsid w:val="008A59A9"/>
    <w:rsid w:val="008B0BED"/>
    <w:rsid w:val="008B185E"/>
    <w:rsid w:val="008B3B7C"/>
    <w:rsid w:val="008B5B33"/>
    <w:rsid w:val="008B6BC9"/>
    <w:rsid w:val="008C1ABD"/>
    <w:rsid w:val="008C2791"/>
    <w:rsid w:val="008C2853"/>
    <w:rsid w:val="008C313E"/>
    <w:rsid w:val="008C369C"/>
    <w:rsid w:val="008C5714"/>
    <w:rsid w:val="008C5C93"/>
    <w:rsid w:val="008C682C"/>
    <w:rsid w:val="008C7AF3"/>
    <w:rsid w:val="008D0536"/>
    <w:rsid w:val="008D0BB1"/>
    <w:rsid w:val="008D3F53"/>
    <w:rsid w:val="008D4CFD"/>
    <w:rsid w:val="008D5CD2"/>
    <w:rsid w:val="008D7F50"/>
    <w:rsid w:val="008E3439"/>
    <w:rsid w:val="008E3707"/>
    <w:rsid w:val="008E38D7"/>
    <w:rsid w:val="008E3B58"/>
    <w:rsid w:val="008E4525"/>
    <w:rsid w:val="008E5331"/>
    <w:rsid w:val="008E646C"/>
    <w:rsid w:val="008E6D82"/>
    <w:rsid w:val="008F3FB4"/>
    <w:rsid w:val="008F444D"/>
    <w:rsid w:val="008F5877"/>
    <w:rsid w:val="008F61D6"/>
    <w:rsid w:val="008F66DF"/>
    <w:rsid w:val="008F697B"/>
    <w:rsid w:val="008F7F6F"/>
    <w:rsid w:val="00900A0F"/>
    <w:rsid w:val="00900B03"/>
    <w:rsid w:val="00902792"/>
    <w:rsid w:val="00905486"/>
    <w:rsid w:val="00906A9F"/>
    <w:rsid w:val="00906DCE"/>
    <w:rsid w:val="009071A0"/>
    <w:rsid w:val="00910C32"/>
    <w:rsid w:val="00912043"/>
    <w:rsid w:val="009134A3"/>
    <w:rsid w:val="0091556F"/>
    <w:rsid w:val="00916D45"/>
    <w:rsid w:val="00916FD5"/>
    <w:rsid w:val="009175B6"/>
    <w:rsid w:val="009238B6"/>
    <w:rsid w:val="009240CA"/>
    <w:rsid w:val="00925E8A"/>
    <w:rsid w:val="00930FD6"/>
    <w:rsid w:val="0093294B"/>
    <w:rsid w:val="00933ACB"/>
    <w:rsid w:val="00934EE7"/>
    <w:rsid w:val="00936866"/>
    <w:rsid w:val="00937BD7"/>
    <w:rsid w:val="009416AD"/>
    <w:rsid w:val="00942E3F"/>
    <w:rsid w:val="0094456D"/>
    <w:rsid w:val="00945174"/>
    <w:rsid w:val="00945420"/>
    <w:rsid w:val="0094715A"/>
    <w:rsid w:val="00950F3B"/>
    <w:rsid w:val="00951080"/>
    <w:rsid w:val="009524E3"/>
    <w:rsid w:val="00953FC5"/>
    <w:rsid w:val="009540BD"/>
    <w:rsid w:val="00956662"/>
    <w:rsid w:val="009600A3"/>
    <w:rsid w:val="00961F96"/>
    <w:rsid w:val="009632FB"/>
    <w:rsid w:val="0096451D"/>
    <w:rsid w:val="00964E16"/>
    <w:rsid w:val="0096522C"/>
    <w:rsid w:val="0096584A"/>
    <w:rsid w:val="00965ECA"/>
    <w:rsid w:val="009710C2"/>
    <w:rsid w:val="00971EA5"/>
    <w:rsid w:val="00971F34"/>
    <w:rsid w:val="009735DB"/>
    <w:rsid w:val="00974EE7"/>
    <w:rsid w:val="00975CA4"/>
    <w:rsid w:val="00975CE1"/>
    <w:rsid w:val="00976D25"/>
    <w:rsid w:val="0098659B"/>
    <w:rsid w:val="009865D2"/>
    <w:rsid w:val="009868FE"/>
    <w:rsid w:val="00991410"/>
    <w:rsid w:val="00996E49"/>
    <w:rsid w:val="00996F45"/>
    <w:rsid w:val="0099757D"/>
    <w:rsid w:val="009979CD"/>
    <w:rsid w:val="009A0947"/>
    <w:rsid w:val="009A09C1"/>
    <w:rsid w:val="009A246A"/>
    <w:rsid w:val="009A484E"/>
    <w:rsid w:val="009A7E41"/>
    <w:rsid w:val="009B589A"/>
    <w:rsid w:val="009B5F33"/>
    <w:rsid w:val="009B662B"/>
    <w:rsid w:val="009B68CC"/>
    <w:rsid w:val="009B7115"/>
    <w:rsid w:val="009B716E"/>
    <w:rsid w:val="009B7834"/>
    <w:rsid w:val="009B7C40"/>
    <w:rsid w:val="009C0595"/>
    <w:rsid w:val="009C13B5"/>
    <w:rsid w:val="009C28E5"/>
    <w:rsid w:val="009C4522"/>
    <w:rsid w:val="009C4633"/>
    <w:rsid w:val="009C493D"/>
    <w:rsid w:val="009C5CAB"/>
    <w:rsid w:val="009C7FD0"/>
    <w:rsid w:val="009D0B54"/>
    <w:rsid w:val="009D2188"/>
    <w:rsid w:val="009D2B03"/>
    <w:rsid w:val="009D55D2"/>
    <w:rsid w:val="009D5D49"/>
    <w:rsid w:val="009D694E"/>
    <w:rsid w:val="009D6E15"/>
    <w:rsid w:val="009E1CD1"/>
    <w:rsid w:val="009E24B3"/>
    <w:rsid w:val="009E38D9"/>
    <w:rsid w:val="009E3A4F"/>
    <w:rsid w:val="009E3E0B"/>
    <w:rsid w:val="009E417E"/>
    <w:rsid w:val="009E6EF0"/>
    <w:rsid w:val="009E7C14"/>
    <w:rsid w:val="009F1ABE"/>
    <w:rsid w:val="009F2D54"/>
    <w:rsid w:val="009F3119"/>
    <w:rsid w:val="009F3B9B"/>
    <w:rsid w:val="009F4F10"/>
    <w:rsid w:val="009F615E"/>
    <w:rsid w:val="009F7370"/>
    <w:rsid w:val="009F7ABC"/>
    <w:rsid w:val="00A00C61"/>
    <w:rsid w:val="00A00DE1"/>
    <w:rsid w:val="00A0121E"/>
    <w:rsid w:val="00A0147F"/>
    <w:rsid w:val="00A0186B"/>
    <w:rsid w:val="00A02BEB"/>
    <w:rsid w:val="00A03EE8"/>
    <w:rsid w:val="00A04647"/>
    <w:rsid w:val="00A050A0"/>
    <w:rsid w:val="00A1022D"/>
    <w:rsid w:val="00A15518"/>
    <w:rsid w:val="00A15845"/>
    <w:rsid w:val="00A15E02"/>
    <w:rsid w:val="00A16F8D"/>
    <w:rsid w:val="00A203DD"/>
    <w:rsid w:val="00A2224D"/>
    <w:rsid w:val="00A27B55"/>
    <w:rsid w:val="00A30FBE"/>
    <w:rsid w:val="00A3112A"/>
    <w:rsid w:val="00A31221"/>
    <w:rsid w:val="00A36775"/>
    <w:rsid w:val="00A370E8"/>
    <w:rsid w:val="00A40568"/>
    <w:rsid w:val="00A43D12"/>
    <w:rsid w:val="00A44EED"/>
    <w:rsid w:val="00A45BD8"/>
    <w:rsid w:val="00A469A9"/>
    <w:rsid w:val="00A46D68"/>
    <w:rsid w:val="00A47E31"/>
    <w:rsid w:val="00A50590"/>
    <w:rsid w:val="00A51C68"/>
    <w:rsid w:val="00A52033"/>
    <w:rsid w:val="00A52BD5"/>
    <w:rsid w:val="00A5369B"/>
    <w:rsid w:val="00A53BFF"/>
    <w:rsid w:val="00A54FCE"/>
    <w:rsid w:val="00A554B6"/>
    <w:rsid w:val="00A56887"/>
    <w:rsid w:val="00A57273"/>
    <w:rsid w:val="00A63575"/>
    <w:rsid w:val="00A65A87"/>
    <w:rsid w:val="00A65F39"/>
    <w:rsid w:val="00A66828"/>
    <w:rsid w:val="00A67E56"/>
    <w:rsid w:val="00A730B6"/>
    <w:rsid w:val="00A734D5"/>
    <w:rsid w:val="00A7364F"/>
    <w:rsid w:val="00A77470"/>
    <w:rsid w:val="00A814AB"/>
    <w:rsid w:val="00A83F7C"/>
    <w:rsid w:val="00A858BA"/>
    <w:rsid w:val="00A868F3"/>
    <w:rsid w:val="00A86AE3"/>
    <w:rsid w:val="00A90356"/>
    <w:rsid w:val="00A92496"/>
    <w:rsid w:val="00A92C70"/>
    <w:rsid w:val="00A94818"/>
    <w:rsid w:val="00A96524"/>
    <w:rsid w:val="00A9691B"/>
    <w:rsid w:val="00A97B55"/>
    <w:rsid w:val="00AA02DE"/>
    <w:rsid w:val="00AA1372"/>
    <w:rsid w:val="00AA2893"/>
    <w:rsid w:val="00AA2A71"/>
    <w:rsid w:val="00AA49F6"/>
    <w:rsid w:val="00AA5185"/>
    <w:rsid w:val="00AA68B4"/>
    <w:rsid w:val="00AA6F04"/>
    <w:rsid w:val="00AB2FF0"/>
    <w:rsid w:val="00AB4200"/>
    <w:rsid w:val="00AB4D30"/>
    <w:rsid w:val="00AB5762"/>
    <w:rsid w:val="00AB5AA7"/>
    <w:rsid w:val="00AB6A8A"/>
    <w:rsid w:val="00AB6C27"/>
    <w:rsid w:val="00AB7C72"/>
    <w:rsid w:val="00AC4A75"/>
    <w:rsid w:val="00AC4DBA"/>
    <w:rsid w:val="00AC636E"/>
    <w:rsid w:val="00AD232B"/>
    <w:rsid w:val="00AD4393"/>
    <w:rsid w:val="00AD665F"/>
    <w:rsid w:val="00AD704B"/>
    <w:rsid w:val="00AD7A0A"/>
    <w:rsid w:val="00AE0C21"/>
    <w:rsid w:val="00AE101D"/>
    <w:rsid w:val="00AE1C4C"/>
    <w:rsid w:val="00AE376B"/>
    <w:rsid w:val="00AE3D11"/>
    <w:rsid w:val="00AE5DB9"/>
    <w:rsid w:val="00AE5F2F"/>
    <w:rsid w:val="00AE7B56"/>
    <w:rsid w:val="00AF01FD"/>
    <w:rsid w:val="00AF04D8"/>
    <w:rsid w:val="00AF3C80"/>
    <w:rsid w:val="00AF5960"/>
    <w:rsid w:val="00B0023C"/>
    <w:rsid w:val="00B00A27"/>
    <w:rsid w:val="00B01A5E"/>
    <w:rsid w:val="00B02CA2"/>
    <w:rsid w:val="00B0695F"/>
    <w:rsid w:val="00B07231"/>
    <w:rsid w:val="00B07FE9"/>
    <w:rsid w:val="00B10BE1"/>
    <w:rsid w:val="00B14F1B"/>
    <w:rsid w:val="00B152B1"/>
    <w:rsid w:val="00B15DF4"/>
    <w:rsid w:val="00B16382"/>
    <w:rsid w:val="00B170E1"/>
    <w:rsid w:val="00B203E6"/>
    <w:rsid w:val="00B20A77"/>
    <w:rsid w:val="00B20EC1"/>
    <w:rsid w:val="00B227D4"/>
    <w:rsid w:val="00B23289"/>
    <w:rsid w:val="00B255B4"/>
    <w:rsid w:val="00B258E9"/>
    <w:rsid w:val="00B26058"/>
    <w:rsid w:val="00B300A1"/>
    <w:rsid w:val="00B31C6D"/>
    <w:rsid w:val="00B3211F"/>
    <w:rsid w:val="00B3332F"/>
    <w:rsid w:val="00B339C5"/>
    <w:rsid w:val="00B33B1A"/>
    <w:rsid w:val="00B33D7D"/>
    <w:rsid w:val="00B340C0"/>
    <w:rsid w:val="00B343EE"/>
    <w:rsid w:val="00B36568"/>
    <w:rsid w:val="00B3679B"/>
    <w:rsid w:val="00B375BD"/>
    <w:rsid w:val="00B44E49"/>
    <w:rsid w:val="00B463E6"/>
    <w:rsid w:val="00B46C3F"/>
    <w:rsid w:val="00B53CE0"/>
    <w:rsid w:val="00B56F15"/>
    <w:rsid w:val="00B5761F"/>
    <w:rsid w:val="00B605CC"/>
    <w:rsid w:val="00B60ABB"/>
    <w:rsid w:val="00B61360"/>
    <w:rsid w:val="00B6189A"/>
    <w:rsid w:val="00B61E66"/>
    <w:rsid w:val="00B632D7"/>
    <w:rsid w:val="00B658AD"/>
    <w:rsid w:val="00B65FF2"/>
    <w:rsid w:val="00B663B4"/>
    <w:rsid w:val="00B666B1"/>
    <w:rsid w:val="00B71428"/>
    <w:rsid w:val="00B71BF6"/>
    <w:rsid w:val="00B72EAE"/>
    <w:rsid w:val="00B730F2"/>
    <w:rsid w:val="00B81D70"/>
    <w:rsid w:val="00B82C6E"/>
    <w:rsid w:val="00B879B5"/>
    <w:rsid w:val="00B90C90"/>
    <w:rsid w:val="00B921BF"/>
    <w:rsid w:val="00B9356B"/>
    <w:rsid w:val="00B93F1E"/>
    <w:rsid w:val="00B95F02"/>
    <w:rsid w:val="00B96CC5"/>
    <w:rsid w:val="00BA073A"/>
    <w:rsid w:val="00BA26CD"/>
    <w:rsid w:val="00BA7399"/>
    <w:rsid w:val="00BB21CC"/>
    <w:rsid w:val="00BB228B"/>
    <w:rsid w:val="00BB23BD"/>
    <w:rsid w:val="00BB23E9"/>
    <w:rsid w:val="00BB39EF"/>
    <w:rsid w:val="00BB5EF1"/>
    <w:rsid w:val="00BB6046"/>
    <w:rsid w:val="00BB7E83"/>
    <w:rsid w:val="00BC0968"/>
    <w:rsid w:val="00BC0E82"/>
    <w:rsid w:val="00BC2204"/>
    <w:rsid w:val="00BC2395"/>
    <w:rsid w:val="00BC2821"/>
    <w:rsid w:val="00BC5EEF"/>
    <w:rsid w:val="00BD3E46"/>
    <w:rsid w:val="00BD5E3C"/>
    <w:rsid w:val="00BD6289"/>
    <w:rsid w:val="00BE4AA4"/>
    <w:rsid w:val="00BF0456"/>
    <w:rsid w:val="00BF1428"/>
    <w:rsid w:val="00BF1EFD"/>
    <w:rsid w:val="00BF495D"/>
    <w:rsid w:val="00BF6A94"/>
    <w:rsid w:val="00BF6D23"/>
    <w:rsid w:val="00BF6F90"/>
    <w:rsid w:val="00BF7413"/>
    <w:rsid w:val="00BF7BB6"/>
    <w:rsid w:val="00C01670"/>
    <w:rsid w:val="00C0174D"/>
    <w:rsid w:val="00C02B0B"/>
    <w:rsid w:val="00C04C13"/>
    <w:rsid w:val="00C05469"/>
    <w:rsid w:val="00C05A9E"/>
    <w:rsid w:val="00C062B7"/>
    <w:rsid w:val="00C06B24"/>
    <w:rsid w:val="00C07835"/>
    <w:rsid w:val="00C10D6F"/>
    <w:rsid w:val="00C11F0B"/>
    <w:rsid w:val="00C138C7"/>
    <w:rsid w:val="00C13DBB"/>
    <w:rsid w:val="00C169D9"/>
    <w:rsid w:val="00C16B23"/>
    <w:rsid w:val="00C176E5"/>
    <w:rsid w:val="00C17A89"/>
    <w:rsid w:val="00C20657"/>
    <w:rsid w:val="00C22799"/>
    <w:rsid w:val="00C23209"/>
    <w:rsid w:val="00C238BF"/>
    <w:rsid w:val="00C30252"/>
    <w:rsid w:val="00C3045D"/>
    <w:rsid w:val="00C31795"/>
    <w:rsid w:val="00C32B21"/>
    <w:rsid w:val="00C34A36"/>
    <w:rsid w:val="00C37232"/>
    <w:rsid w:val="00C40067"/>
    <w:rsid w:val="00C40561"/>
    <w:rsid w:val="00C413B3"/>
    <w:rsid w:val="00C42E2C"/>
    <w:rsid w:val="00C445A4"/>
    <w:rsid w:val="00C44AC4"/>
    <w:rsid w:val="00C45432"/>
    <w:rsid w:val="00C458E8"/>
    <w:rsid w:val="00C46C0F"/>
    <w:rsid w:val="00C507B3"/>
    <w:rsid w:val="00C52A0C"/>
    <w:rsid w:val="00C54E21"/>
    <w:rsid w:val="00C56F0C"/>
    <w:rsid w:val="00C56F22"/>
    <w:rsid w:val="00C5727C"/>
    <w:rsid w:val="00C62600"/>
    <w:rsid w:val="00C63034"/>
    <w:rsid w:val="00C64A93"/>
    <w:rsid w:val="00C670CA"/>
    <w:rsid w:val="00C676F3"/>
    <w:rsid w:val="00C67724"/>
    <w:rsid w:val="00C7195D"/>
    <w:rsid w:val="00C7333B"/>
    <w:rsid w:val="00C73469"/>
    <w:rsid w:val="00C74F13"/>
    <w:rsid w:val="00C750A8"/>
    <w:rsid w:val="00C7511E"/>
    <w:rsid w:val="00C770B6"/>
    <w:rsid w:val="00C80450"/>
    <w:rsid w:val="00C8057E"/>
    <w:rsid w:val="00C80F04"/>
    <w:rsid w:val="00C81070"/>
    <w:rsid w:val="00C82A4F"/>
    <w:rsid w:val="00C84CC6"/>
    <w:rsid w:val="00C85910"/>
    <w:rsid w:val="00C85AFD"/>
    <w:rsid w:val="00C85BD2"/>
    <w:rsid w:val="00C90251"/>
    <w:rsid w:val="00C90900"/>
    <w:rsid w:val="00C91ECF"/>
    <w:rsid w:val="00C92415"/>
    <w:rsid w:val="00C94CE9"/>
    <w:rsid w:val="00C95FE3"/>
    <w:rsid w:val="00CA013A"/>
    <w:rsid w:val="00CA0712"/>
    <w:rsid w:val="00CA22F5"/>
    <w:rsid w:val="00CA251C"/>
    <w:rsid w:val="00CA3807"/>
    <w:rsid w:val="00CA43D8"/>
    <w:rsid w:val="00CA70A8"/>
    <w:rsid w:val="00CA7D6D"/>
    <w:rsid w:val="00CB04EE"/>
    <w:rsid w:val="00CB3036"/>
    <w:rsid w:val="00CB392B"/>
    <w:rsid w:val="00CB3C61"/>
    <w:rsid w:val="00CB4C6F"/>
    <w:rsid w:val="00CB6259"/>
    <w:rsid w:val="00CB65E0"/>
    <w:rsid w:val="00CB6A0E"/>
    <w:rsid w:val="00CC04C7"/>
    <w:rsid w:val="00CC1496"/>
    <w:rsid w:val="00CC1B0E"/>
    <w:rsid w:val="00CC5AA0"/>
    <w:rsid w:val="00CC6F28"/>
    <w:rsid w:val="00CD214E"/>
    <w:rsid w:val="00CD46A7"/>
    <w:rsid w:val="00CD4DAB"/>
    <w:rsid w:val="00CD55DA"/>
    <w:rsid w:val="00CD7BBF"/>
    <w:rsid w:val="00CE0007"/>
    <w:rsid w:val="00CE0482"/>
    <w:rsid w:val="00CE04CF"/>
    <w:rsid w:val="00CE1947"/>
    <w:rsid w:val="00CE2C03"/>
    <w:rsid w:val="00CE3523"/>
    <w:rsid w:val="00CE3FD8"/>
    <w:rsid w:val="00CE503A"/>
    <w:rsid w:val="00CE5796"/>
    <w:rsid w:val="00CE67A2"/>
    <w:rsid w:val="00CE7A2C"/>
    <w:rsid w:val="00CE7EB2"/>
    <w:rsid w:val="00CF1478"/>
    <w:rsid w:val="00CF15F6"/>
    <w:rsid w:val="00CF1732"/>
    <w:rsid w:val="00CF28E7"/>
    <w:rsid w:val="00CF308B"/>
    <w:rsid w:val="00CF398B"/>
    <w:rsid w:val="00CF5E9F"/>
    <w:rsid w:val="00CF69E8"/>
    <w:rsid w:val="00D003D0"/>
    <w:rsid w:val="00D01A4E"/>
    <w:rsid w:val="00D0297E"/>
    <w:rsid w:val="00D040F7"/>
    <w:rsid w:val="00D058ED"/>
    <w:rsid w:val="00D05991"/>
    <w:rsid w:val="00D077CF"/>
    <w:rsid w:val="00D07AE1"/>
    <w:rsid w:val="00D11AA1"/>
    <w:rsid w:val="00D152FF"/>
    <w:rsid w:val="00D1565A"/>
    <w:rsid w:val="00D1758D"/>
    <w:rsid w:val="00D175AA"/>
    <w:rsid w:val="00D2004E"/>
    <w:rsid w:val="00D2015A"/>
    <w:rsid w:val="00D203A5"/>
    <w:rsid w:val="00D207F7"/>
    <w:rsid w:val="00D20A5E"/>
    <w:rsid w:val="00D21165"/>
    <w:rsid w:val="00D215A5"/>
    <w:rsid w:val="00D216AD"/>
    <w:rsid w:val="00D22348"/>
    <w:rsid w:val="00D25A81"/>
    <w:rsid w:val="00D26191"/>
    <w:rsid w:val="00D27365"/>
    <w:rsid w:val="00D30067"/>
    <w:rsid w:val="00D30461"/>
    <w:rsid w:val="00D30B87"/>
    <w:rsid w:val="00D30F53"/>
    <w:rsid w:val="00D31499"/>
    <w:rsid w:val="00D323AC"/>
    <w:rsid w:val="00D3299F"/>
    <w:rsid w:val="00D336E5"/>
    <w:rsid w:val="00D33C9E"/>
    <w:rsid w:val="00D37D97"/>
    <w:rsid w:val="00D43AC6"/>
    <w:rsid w:val="00D4438D"/>
    <w:rsid w:val="00D4558D"/>
    <w:rsid w:val="00D4623B"/>
    <w:rsid w:val="00D47AE6"/>
    <w:rsid w:val="00D5234B"/>
    <w:rsid w:val="00D54EB3"/>
    <w:rsid w:val="00D60EE6"/>
    <w:rsid w:val="00D61AF6"/>
    <w:rsid w:val="00D61C85"/>
    <w:rsid w:val="00D621DE"/>
    <w:rsid w:val="00D631C6"/>
    <w:rsid w:val="00D639C3"/>
    <w:rsid w:val="00D63B3E"/>
    <w:rsid w:val="00D63DF9"/>
    <w:rsid w:val="00D6631F"/>
    <w:rsid w:val="00D6687D"/>
    <w:rsid w:val="00D70B05"/>
    <w:rsid w:val="00D72655"/>
    <w:rsid w:val="00D7270A"/>
    <w:rsid w:val="00D764D3"/>
    <w:rsid w:val="00D76516"/>
    <w:rsid w:val="00D76E8D"/>
    <w:rsid w:val="00D7745A"/>
    <w:rsid w:val="00D77607"/>
    <w:rsid w:val="00D81A0E"/>
    <w:rsid w:val="00D82AF6"/>
    <w:rsid w:val="00D8354B"/>
    <w:rsid w:val="00D848F4"/>
    <w:rsid w:val="00D87F90"/>
    <w:rsid w:val="00D90933"/>
    <w:rsid w:val="00D91CD3"/>
    <w:rsid w:val="00D93018"/>
    <w:rsid w:val="00D937A9"/>
    <w:rsid w:val="00D9432D"/>
    <w:rsid w:val="00D94D00"/>
    <w:rsid w:val="00D95BF3"/>
    <w:rsid w:val="00D9654B"/>
    <w:rsid w:val="00DA00BF"/>
    <w:rsid w:val="00DA22D4"/>
    <w:rsid w:val="00DA35A6"/>
    <w:rsid w:val="00DA4B7A"/>
    <w:rsid w:val="00DA52A7"/>
    <w:rsid w:val="00DA5D80"/>
    <w:rsid w:val="00DA6E06"/>
    <w:rsid w:val="00DB60DD"/>
    <w:rsid w:val="00DB76ED"/>
    <w:rsid w:val="00DB7A81"/>
    <w:rsid w:val="00DC0869"/>
    <w:rsid w:val="00DC379D"/>
    <w:rsid w:val="00DC39CD"/>
    <w:rsid w:val="00DC4ADC"/>
    <w:rsid w:val="00DD0A4C"/>
    <w:rsid w:val="00DD27BF"/>
    <w:rsid w:val="00DD6E1F"/>
    <w:rsid w:val="00DD7061"/>
    <w:rsid w:val="00DE1CD6"/>
    <w:rsid w:val="00DE37EC"/>
    <w:rsid w:val="00DE4075"/>
    <w:rsid w:val="00DE5327"/>
    <w:rsid w:val="00DE6474"/>
    <w:rsid w:val="00DF05DF"/>
    <w:rsid w:val="00DF10BB"/>
    <w:rsid w:val="00DF14B4"/>
    <w:rsid w:val="00DF1F7E"/>
    <w:rsid w:val="00DF3DE7"/>
    <w:rsid w:val="00DF44CA"/>
    <w:rsid w:val="00DF4A5A"/>
    <w:rsid w:val="00DF573C"/>
    <w:rsid w:val="00DF5922"/>
    <w:rsid w:val="00DF5B7B"/>
    <w:rsid w:val="00DF6815"/>
    <w:rsid w:val="00DF696C"/>
    <w:rsid w:val="00DF7684"/>
    <w:rsid w:val="00DF7FD6"/>
    <w:rsid w:val="00E0112C"/>
    <w:rsid w:val="00E029F8"/>
    <w:rsid w:val="00E032D3"/>
    <w:rsid w:val="00E05A29"/>
    <w:rsid w:val="00E06070"/>
    <w:rsid w:val="00E10D8E"/>
    <w:rsid w:val="00E131EB"/>
    <w:rsid w:val="00E139A6"/>
    <w:rsid w:val="00E150F2"/>
    <w:rsid w:val="00E16152"/>
    <w:rsid w:val="00E22785"/>
    <w:rsid w:val="00E2555F"/>
    <w:rsid w:val="00E30235"/>
    <w:rsid w:val="00E30D37"/>
    <w:rsid w:val="00E3142B"/>
    <w:rsid w:val="00E32265"/>
    <w:rsid w:val="00E3364D"/>
    <w:rsid w:val="00E3599C"/>
    <w:rsid w:val="00E37A1C"/>
    <w:rsid w:val="00E37B77"/>
    <w:rsid w:val="00E41BE2"/>
    <w:rsid w:val="00E42541"/>
    <w:rsid w:val="00E42E94"/>
    <w:rsid w:val="00E43243"/>
    <w:rsid w:val="00E44C78"/>
    <w:rsid w:val="00E4570A"/>
    <w:rsid w:val="00E45BC9"/>
    <w:rsid w:val="00E5234A"/>
    <w:rsid w:val="00E540BB"/>
    <w:rsid w:val="00E541F4"/>
    <w:rsid w:val="00E55958"/>
    <w:rsid w:val="00E56CC3"/>
    <w:rsid w:val="00E57375"/>
    <w:rsid w:val="00E615F9"/>
    <w:rsid w:val="00E659A2"/>
    <w:rsid w:val="00E70263"/>
    <w:rsid w:val="00E70ADA"/>
    <w:rsid w:val="00E71A0A"/>
    <w:rsid w:val="00E7358B"/>
    <w:rsid w:val="00E738F9"/>
    <w:rsid w:val="00E75A5A"/>
    <w:rsid w:val="00E77B78"/>
    <w:rsid w:val="00E80AE9"/>
    <w:rsid w:val="00E825F7"/>
    <w:rsid w:val="00E8369E"/>
    <w:rsid w:val="00E86E7D"/>
    <w:rsid w:val="00E87408"/>
    <w:rsid w:val="00E87619"/>
    <w:rsid w:val="00E90876"/>
    <w:rsid w:val="00E90BB5"/>
    <w:rsid w:val="00E931A0"/>
    <w:rsid w:val="00E9377F"/>
    <w:rsid w:val="00E9527F"/>
    <w:rsid w:val="00EA2118"/>
    <w:rsid w:val="00EA2C61"/>
    <w:rsid w:val="00EA3F96"/>
    <w:rsid w:val="00EA49DC"/>
    <w:rsid w:val="00EA53BB"/>
    <w:rsid w:val="00EA5B90"/>
    <w:rsid w:val="00EA67A5"/>
    <w:rsid w:val="00EB00F1"/>
    <w:rsid w:val="00EB1042"/>
    <w:rsid w:val="00EB44E6"/>
    <w:rsid w:val="00EB44E8"/>
    <w:rsid w:val="00EB7D29"/>
    <w:rsid w:val="00EC0C97"/>
    <w:rsid w:val="00EC16C6"/>
    <w:rsid w:val="00EC5179"/>
    <w:rsid w:val="00EC51E1"/>
    <w:rsid w:val="00EC54BC"/>
    <w:rsid w:val="00EC7279"/>
    <w:rsid w:val="00EC7466"/>
    <w:rsid w:val="00EC77C3"/>
    <w:rsid w:val="00EC7FE7"/>
    <w:rsid w:val="00ED029D"/>
    <w:rsid w:val="00ED1095"/>
    <w:rsid w:val="00ED3948"/>
    <w:rsid w:val="00ED76F1"/>
    <w:rsid w:val="00EE0828"/>
    <w:rsid w:val="00EE25B6"/>
    <w:rsid w:val="00EE6A1A"/>
    <w:rsid w:val="00EE6A35"/>
    <w:rsid w:val="00EE7733"/>
    <w:rsid w:val="00EE7826"/>
    <w:rsid w:val="00EF01D0"/>
    <w:rsid w:val="00EF03FF"/>
    <w:rsid w:val="00EF0611"/>
    <w:rsid w:val="00EF0878"/>
    <w:rsid w:val="00EF1A42"/>
    <w:rsid w:val="00EF22EC"/>
    <w:rsid w:val="00EF26BE"/>
    <w:rsid w:val="00EF3648"/>
    <w:rsid w:val="00EF3C5F"/>
    <w:rsid w:val="00EF439B"/>
    <w:rsid w:val="00EF6236"/>
    <w:rsid w:val="00EF63E1"/>
    <w:rsid w:val="00F004FA"/>
    <w:rsid w:val="00F011DC"/>
    <w:rsid w:val="00F01CEA"/>
    <w:rsid w:val="00F02F68"/>
    <w:rsid w:val="00F03AF5"/>
    <w:rsid w:val="00F04081"/>
    <w:rsid w:val="00F07F25"/>
    <w:rsid w:val="00F11F32"/>
    <w:rsid w:val="00F127C8"/>
    <w:rsid w:val="00F12857"/>
    <w:rsid w:val="00F13323"/>
    <w:rsid w:val="00F147B8"/>
    <w:rsid w:val="00F158E5"/>
    <w:rsid w:val="00F17C2B"/>
    <w:rsid w:val="00F200F7"/>
    <w:rsid w:val="00F209D1"/>
    <w:rsid w:val="00F20C2E"/>
    <w:rsid w:val="00F21440"/>
    <w:rsid w:val="00F23301"/>
    <w:rsid w:val="00F24525"/>
    <w:rsid w:val="00F317E9"/>
    <w:rsid w:val="00F3410C"/>
    <w:rsid w:val="00F36362"/>
    <w:rsid w:val="00F41C43"/>
    <w:rsid w:val="00F426EE"/>
    <w:rsid w:val="00F43485"/>
    <w:rsid w:val="00F446DB"/>
    <w:rsid w:val="00F44B17"/>
    <w:rsid w:val="00F44B2F"/>
    <w:rsid w:val="00F44F72"/>
    <w:rsid w:val="00F44F94"/>
    <w:rsid w:val="00F478CE"/>
    <w:rsid w:val="00F50DAC"/>
    <w:rsid w:val="00F50ED0"/>
    <w:rsid w:val="00F5167E"/>
    <w:rsid w:val="00F517DE"/>
    <w:rsid w:val="00F5308A"/>
    <w:rsid w:val="00F5371A"/>
    <w:rsid w:val="00F53A20"/>
    <w:rsid w:val="00F5741E"/>
    <w:rsid w:val="00F60D63"/>
    <w:rsid w:val="00F62786"/>
    <w:rsid w:val="00F62CFE"/>
    <w:rsid w:val="00F6394A"/>
    <w:rsid w:val="00F63F7D"/>
    <w:rsid w:val="00F6466F"/>
    <w:rsid w:val="00F64CDC"/>
    <w:rsid w:val="00F64DC9"/>
    <w:rsid w:val="00F67E9E"/>
    <w:rsid w:val="00F728A6"/>
    <w:rsid w:val="00F728FE"/>
    <w:rsid w:val="00F7490E"/>
    <w:rsid w:val="00F74CDD"/>
    <w:rsid w:val="00F7541D"/>
    <w:rsid w:val="00F80EDD"/>
    <w:rsid w:val="00F8237B"/>
    <w:rsid w:val="00F83425"/>
    <w:rsid w:val="00F836FE"/>
    <w:rsid w:val="00F83DF4"/>
    <w:rsid w:val="00F91774"/>
    <w:rsid w:val="00F9460C"/>
    <w:rsid w:val="00F95547"/>
    <w:rsid w:val="00F95730"/>
    <w:rsid w:val="00F96597"/>
    <w:rsid w:val="00F9690A"/>
    <w:rsid w:val="00F9753B"/>
    <w:rsid w:val="00FA2111"/>
    <w:rsid w:val="00FA2CD1"/>
    <w:rsid w:val="00FA4598"/>
    <w:rsid w:val="00FA679B"/>
    <w:rsid w:val="00FB0B52"/>
    <w:rsid w:val="00FB28AA"/>
    <w:rsid w:val="00FB4ED0"/>
    <w:rsid w:val="00FB5015"/>
    <w:rsid w:val="00FB57DD"/>
    <w:rsid w:val="00FB6E8C"/>
    <w:rsid w:val="00FB74FF"/>
    <w:rsid w:val="00FC0657"/>
    <w:rsid w:val="00FC0885"/>
    <w:rsid w:val="00FC17D7"/>
    <w:rsid w:val="00FC1B8C"/>
    <w:rsid w:val="00FC2C8C"/>
    <w:rsid w:val="00FC4418"/>
    <w:rsid w:val="00FC4ABA"/>
    <w:rsid w:val="00FC7AF1"/>
    <w:rsid w:val="00FD152A"/>
    <w:rsid w:val="00FD4257"/>
    <w:rsid w:val="00FD5593"/>
    <w:rsid w:val="00FE0A48"/>
    <w:rsid w:val="00FE0EDC"/>
    <w:rsid w:val="00FE2587"/>
    <w:rsid w:val="00FE5082"/>
    <w:rsid w:val="00FF04FF"/>
    <w:rsid w:val="00FF2607"/>
    <w:rsid w:val="00FF591B"/>
    <w:rsid w:val="00FF6651"/>
    <w:rsid w:val="00FF6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5A00AC"/>
  <w15:chartTrackingRefBased/>
  <w15:docId w15:val="{F406164B-662E-4CB9-9CA6-55A291727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HAnsi"/>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40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40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40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40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40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40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40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40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40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40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40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40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40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40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40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40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40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40D7"/>
    <w:rPr>
      <w:rFonts w:eastAsiaTheme="majorEastAsia" w:cstheme="majorBidi"/>
      <w:color w:val="272727" w:themeColor="text1" w:themeTint="D8"/>
    </w:rPr>
  </w:style>
  <w:style w:type="paragraph" w:styleId="Title">
    <w:name w:val="Title"/>
    <w:basedOn w:val="Normal"/>
    <w:next w:val="Normal"/>
    <w:link w:val="TitleChar"/>
    <w:uiPriority w:val="10"/>
    <w:qFormat/>
    <w:rsid w:val="006A40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40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40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40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40D7"/>
    <w:pPr>
      <w:spacing w:before="160"/>
      <w:jc w:val="center"/>
    </w:pPr>
    <w:rPr>
      <w:i/>
      <w:iCs/>
      <w:color w:val="404040" w:themeColor="text1" w:themeTint="BF"/>
    </w:rPr>
  </w:style>
  <w:style w:type="character" w:customStyle="1" w:styleId="QuoteChar">
    <w:name w:val="Quote Char"/>
    <w:basedOn w:val="DefaultParagraphFont"/>
    <w:link w:val="Quote"/>
    <w:uiPriority w:val="29"/>
    <w:rsid w:val="006A40D7"/>
    <w:rPr>
      <w:i/>
      <w:iCs/>
      <w:color w:val="404040" w:themeColor="text1" w:themeTint="BF"/>
    </w:rPr>
  </w:style>
  <w:style w:type="paragraph" w:styleId="ListParagraph">
    <w:name w:val="List Paragraph"/>
    <w:basedOn w:val="Normal"/>
    <w:uiPriority w:val="34"/>
    <w:qFormat/>
    <w:rsid w:val="006A40D7"/>
    <w:pPr>
      <w:ind w:left="720"/>
      <w:contextualSpacing/>
    </w:pPr>
  </w:style>
  <w:style w:type="character" w:styleId="IntenseEmphasis">
    <w:name w:val="Intense Emphasis"/>
    <w:basedOn w:val="DefaultParagraphFont"/>
    <w:uiPriority w:val="21"/>
    <w:qFormat/>
    <w:rsid w:val="006A40D7"/>
    <w:rPr>
      <w:i/>
      <w:iCs/>
      <w:color w:val="0F4761" w:themeColor="accent1" w:themeShade="BF"/>
    </w:rPr>
  </w:style>
  <w:style w:type="paragraph" w:styleId="IntenseQuote">
    <w:name w:val="Intense Quote"/>
    <w:basedOn w:val="Normal"/>
    <w:next w:val="Normal"/>
    <w:link w:val="IntenseQuoteChar"/>
    <w:uiPriority w:val="30"/>
    <w:qFormat/>
    <w:rsid w:val="006A40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40D7"/>
    <w:rPr>
      <w:i/>
      <w:iCs/>
      <w:color w:val="0F4761" w:themeColor="accent1" w:themeShade="BF"/>
    </w:rPr>
  </w:style>
  <w:style w:type="character" w:styleId="IntenseReference">
    <w:name w:val="Intense Reference"/>
    <w:basedOn w:val="DefaultParagraphFont"/>
    <w:uiPriority w:val="32"/>
    <w:qFormat/>
    <w:rsid w:val="006A40D7"/>
    <w:rPr>
      <w:b/>
      <w:bCs/>
      <w:smallCaps/>
      <w:color w:val="0F4761" w:themeColor="accent1" w:themeShade="BF"/>
      <w:spacing w:val="5"/>
    </w:rPr>
  </w:style>
  <w:style w:type="paragraph" w:styleId="Header">
    <w:name w:val="header"/>
    <w:basedOn w:val="Normal"/>
    <w:link w:val="HeaderChar"/>
    <w:uiPriority w:val="99"/>
    <w:unhideWhenUsed/>
    <w:rsid w:val="00405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33B"/>
  </w:style>
  <w:style w:type="paragraph" w:styleId="Footer">
    <w:name w:val="footer"/>
    <w:basedOn w:val="Normal"/>
    <w:link w:val="FooterChar"/>
    <w:uiPriority w:val="99"/>
    <w:unhideWhenUsed/>
    <w:rsid w:val="00405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33B"/>
  </w:style>
  <w:style w:type="paragraph" w:styleId="NormalWeb">
    <w:name w:val="Normal (Web)"/>
    <w:basedOn w:val="Normal"/>
    <w:uiPriority w:val="99"/>
    <w:unhideWhenUsed/>
    <w:rsid w:val="0053261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D152A"/>
    <w:rPr>
      <w:color w:val="467886" w:themeColor="hyperlink"/>
      <w:u w:val="single"/>
    </w:rPr>
  </w:style>
  <w:style w:type="character" w:styleId="UnresolvedMention">
    <w:name w:val="Unresolved Mention"/>
    <w:basedOn w:val="DefaultParagraphFont"/>
    <w:uiPriority w:val="99"/>
    <w:semiHidden/>
    <w:unhideWhenUsed/>
    <w:rsid w:val="00FD152A"/>
    <w:rPr>
      <w:color w:val="605E5C"/>
      <w:shd w:val="clear" w:color="auto" w:fill="E1DFDD"/>
    </w:rPr>
  </w:style>
  <w:style w:type="paragraph" w:styleId="NoSpacing">
    <w:name w:val="No Spacing"/>
    <w:uiPriority w:val="1"/>
    <w:qFormat/>
    <w:rsid w:val="00BD5E3C"/>
    <w:pPr>
      <w:spacing w:after="0" w:line="240" w:lineRule="auto"/>
    </w:pPr>
  </w:style>
  <w:style w:type="paragraph" w:styleId="TOCHeading">
    <w:name w:val="TOC Heading"/>
    <w:basedOn w:val="Heading1"/>
    <w:next w:val="Normal"/>
    <w:uiPriority w:val="39"/>
    <w:unhideWhenUsed/>
    <w:qFormat/>
    <w:rsid w:val="0020460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0460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77/2165143420920168"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papers.ssrn.com/sol3/papers.cfm?abstract_id=244417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177/0891243218800636"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4703d605af49039d2e2ffbc2b450d571">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ea28bd1aa981eb61462d85a85769ef9"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F8B136-D96F-4B15-BB35-EB7B54981208}">
  <ds:schemaRefs>
    <ds:schemaRef ds:uri="http://schemas.microsoft.com/sharepoint/v3/contenttype/forms"/>
  </ds:schemaRefs>
</ds:datastoreItem>
</file>

<file path=customXml/itemProps2.xml><?xml version="1.0" encoding="utf-8"?>
<ds:datastoreItem xmlns:ds="http://schemas.openxmlformats.org/officeDocument/2006/customXml" ds:itemID="{1A7AC095-4C7C-400C-8347-EB04CAC26D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0875793-0F63-4645-BFAE-49F1A749C316}">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FD175244-01BB-43D1-A4A9-297EFDA09E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8165</Words>
  <Characters>50464</Characters>
  <Application>Microsoft Office Word</Application>
  <DocSecurity>0</DocSecurity>
  <Lines>720</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Casey</dc:creator>
  <cp:keywords/>
  <dc:description/>
  <cp:lastModifiedBy>Libby Casey</cp:lastModifiedBy>
  <cp:revision>2</cp:revision>
  <dcterms:created xsi:type="dcterms:W3CDTF">2026-02-15T18:17:00Z</dcterms:created>
  <dcterms:modified xsi:type="dcterms:W3CDTF">2026-02-15T18:17:00Z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