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67DD" w:rsidRDefault="00C767DD" w:rsidP="00C767DD">
      <w:pPr>
        <w:spacing w:after="0"/>
        <w:textAlignment w:val="baseline"/>
        <w:rPr>
          <w:rFonts w:ascii="Times New Roman" w:eastAsia="Times New Roman" w:hAnsi="Times New Roman" w:cs="Times New Roman"/>
          <w:bCs/>
          <w:sz w:val="28"/>
          <w:szCs w:val="28"/>
          <w:lang w:eastAsia="en-GB"/>
        </w:rPr>
      </w:pPr>
      <w:r w:rsidRPr="00C767DD">
        <w:rPr>
          <w:rFonts w:ascii="Times New Roman" w:eastAsia="Times New Roman" w:hAnsi="Times New Roman" w:cs="Times New Roman"/>
          <w:bCs/>
          <w:sz w:val="28"/>
          <w:szCs w:val="28"/>
          <w:lang w:eastAsia="en-GB"/>
        </w:rPr>
        <w:t>Anna Bolek, u2222499</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Module: </w:t>
      </w:r>
      <w:r w:rsidRPr="00C767DD">
        <w:rPr>
          <w:rFonts w:ascii="Times New Roman" w:eastAsia="Times New Roman" w:hAnsi="Times New Roman" w:cs="Times New Roman"/>
          <w:bCs/>
          <w:color w:val="000000"/>
          <w:sz w:val="28"/>
          <w:szCs w:val="28"/>
          <w:lang w:eastAsia="en-GB"/>
        </w:rPr>
        <w:t>Mental Health and the Ageing Population</w:t>
      </w: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Module code : </w:t>
      </w:r>
      <w:r w:rsidRPr="00C767DD">
        <w:rPr>
          <w:rFonts w:ascii="Times New Roman" w:eastAsia="Times New Roman" w:hAnsi="Times New Roman" w:cs="Times New Roman"/>
          <w:bCs/>
          <w:color w:val="000000"/>
          <w:sz w:val="28"/>
          <w:szCs w:val="28"/>
          <w:lang w:eastAsia="en-GB"/>
        </w:rPr>
        <w:t>ECMH6002</w:t>
      </w:r>
    </w:p>
    <w:p w:rsidR="00C767DD" w:rsidRPr="00C767DD" w:rsidRDefault="00C767DD" w:rsidP="00C767DD">
      <w:pPr>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sz w:val="28"/>
          <w:szCs w:val="28"/>
          <w:lang w:eastAsia="en-GB"/>
        </w:rPr>
        <w:t xml:space="preserve">Lecturer : </w:t>
      </w:r>
      <w:r w:rsidRPr="00C767DD">
        <w:rPr>
          <w:rFonts w:ascii="Times New Roman" w:eastAsia="Times New Roman" w:hAnsi="Times New Roman" w:cs="Times New Roman"/>
          <w:bCs/>
          <w:color w:val="000000"/>
          <w:sz w:val="28"/>
          <w:szCs w:val="28"/>
          <w:lang w:eastAsia="en-GB"/>
        </w:rPr>
        <w:t>Dr Judith Marshall</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r w:rsidRPr="00C767DD">
        <w:rPr>
          <w:rFonts w:ascii="Times New Roman" w:eastAsia="Times New Roman" w:hAnsi="Times New Roman" w:cs="Times New Roman"/>
          <w:bCs/>
          <w:sz w:val="28"/>
          <w:szCs w:val="28"/>
          <w:lang w:eastAsia="en-GB"/>
        </w:rPr>
        <w:t>Essay :</w:t>
      </w:r>
    </w:p>
    <w:p w:rsidR="00C767DD" w:rsidRPr="00C767DD" w:rsidRDefault="00C767DD" w:rsidP="00C767DD">
      <w:pPr>
        <w:spacing w:after="0"/>
        <w:rPr>
          <w:rFonts w:ascii="Times New Roman" w:eastAsia="Times New Roman" w:hAnsi="Times New Roman" w:cs="Times New Roman"/>
          <w:sz w:val="28"/>
          <w:szCs w:val="28"/>
          <w:lang w:eastAsia="en-GB"/>
        </w:rPr>
      </w:pPr>
      <w:r w:rsidRPr="00C767DD">
        <w:rPr>
          <w:rFonts w:ascii="Times New Roman" w:eastAsia="Times New Roman" w:hAnsi="Times New Roman" w:cs="Times New Roman"/>
          <w:bCs/>
          <w:color w:val="000000"/>
          <w:sz w:val="28"/>
          <w:szCs w:val="28"/>
          <w:lang w:eastAsia="en-GB"/>
        </w:rPr>
        <w:t>Critical Review</w:t>
      </w:r>
      <w:r w:rsidRPr="00C767DD">
        <w:rPr>
          <w:rFonts w:ascii="Times New Roman" w:eastAsia="Times New Roman" w:hAnsi="Times New Roman" w:cs="Times New Roman"/>
          <w:bCs/>
          <w:color w:val="000000"/>
          <w:sz w:val="28"/>
          <w:szCs w:val="28"/>
          <w:lang w:eastAsia="en-GB"/>
        </w:rPr>
        <w:br/>
      </w:r>
      <w:r w:rsidRPr="00C767DD">
        <w:rPr>
          <w:rFonts w:ascii="Times New Roman" w:eastAsia="Times New Roman" w:hAnsi="Times New Roman" w:cs="Times New Roman"/>
          <w:color w:val="000000"/>
          <w:sz w:val="28"/>
          <w:szCs w:val="28"/>
          <w:lang w:eastAsia="en-GB"/>
        </w:rPr>
        <w:t>Part 1: Critically review one theory that underpins our understanding of cognitive decline in old age.</w:t>
      </w:r>
      <w:r w:rsidRPr="00C767DD">
        <w:rPr>
          <w:rFonts w:ascii="Times New Roman" w:eastAsia="Times New Roman" w:hAnsi="Times New Roman" w:cs="Times New Roman"/>
          <w:color w:val="000000"/>
          <w:sz w:val="28"/>
          <w:szCs w:val="28"/>
          <w:lang w:eastAsia="en-GB"/>
        </w:rPr>
        <w:br/>
        <w:t xml:space="preserve">Part 2: Using empirical evidence critically discuss </w:t>
      </w:r>
      <w:proofErr w:type="spellStart"/>
      <w:r w:rsidRPr="00C767DD">
        <w:rPr>
          <w:rFonts w:ascii="Times New Roman" w:eastAsia="Times New Roman" w:hAnsi="Times New Roman" w:cs="Times New Roman"/>
          <w:color w:val="000000"/>
          <w:sz w:val="28"/>
          <w:szCs w:val="28"/>
          <w:lang w:eastAsia="en-GB"/>
        </w:rPr>
        <w:t>howan</w:t>
      </w:r>
      <w:proofErr w:type="spellEnd"/>
      <w:r w:rsidRPr="00C767DD">
        <w:rPr>
          <w:rFonts w:ascii="Times New Roman" w:eastAsia="Times New Roman" w:hAnsi="Times New Roman" w:cs="Times New Roman"/>
          <w:color w:val="000000"/>
          <w:sz w:val="28"/>
          <w:szCs w:val="28"/>
          <w:lang w:eastAsia="en-GB"/>
        </w:rPr>
        <w:t xml:space="preserve"> individual could slow down cognitive decline.</w:t>
      </w:r>
    </w:p>
    <w:p w:rsidR="00C767DD" w:rsidRPr="00C767DD" w:rsidRDefault="00C767DD" w:rsidP="00C767DD">
      <w:pPr>
        <w:spacing w:after="0"/>
        <w:textAlignment w:val="baseline"/>
        <w:rPr>
          <w:rFonts w:ascii="Times New Roman" w:eastAsia="Times New Roman" w:hAnsi="Times New Roman" w:cs="Times New Roman"/>
          <w:bCs/>
          <w:sz w:val="28"/>
          <w:szCs w:val="28"/>
          <w:lang w:eastAsia="en-GB"/>
        </w:rPr>
      </w:pPr>
    </w:p>
    <w:p w:rsidR="00C767DD" w:rsidRPr="00C767DD" w:rsidRDefault="00C767DD" w:rsidP="00C767DD">
      <w:pPr>
        <w:spacing w:after="0"/>
        <w:jc w:val="center"/>
        <w:textAlignment w:val="baseline"/>
        <w:rPr>
          <w:rFonts w:ascii="Times New Roman" w:eastAsia="Times New Roman" w:hAnsi="Times New Roman" w:cs="Times New Roman"/>
          <w:bCs/>
          <w:sz w:val="28"/>
          <w:szCs w:val="28"/>
          <w:lang w:eastAsia="en-GB"/>
        </w:rPr>
      </w:pPr>
    </w:p>
    <w:p w:rsidR="00C767DD" w:rsidRPr="00C767DD" w:rsidRDefault="00C767DD" w:rsidP="00C767DD">
      <w:pPr>
        <w:spacing w:after="0"/>
        <w:jc w:val="center"/>
        <w:textAlignment w:val="baseline"/>
        <w:rPr>
          <w:rFonts w:ascii="Times New Roman" w:eastAsia="Times New Roman" w:hAnsi="Times New Roman" w:cs="Times New Roman"/>
          <w:bCs/>
          <w:sz w:val="28"/>
          <w:szCs w:val="28"/>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C767DD" w:rsidRDefault="00C767DD" w:rsidP="00F723DB">
      <w:pPr>
        <w:spacing w:after="0" w:line="360" w:lineRule="auto"/>
        <w:jc w:val="center"/>
        <w:textAlignment w:val="baseline"/>
        <w:rPr>
          <w:rFonts w:ascii="Times New Roman" w:eastAsia="Times New Roman" w:hAnsi="Times New Roman" w:cs="Times New Roman"/>
          <w:b/>
          <w:bCs/>
          <w:sz w:val="24"/>
          <w:szCs w:val="24"/>
          <w:lang w:eastAsia="en-GB"/>
        </w:rPr>
      </w:pPr>
    </w:p>
    <w:p w:rsidR="00DF5FAC" w:rsidRDefault="00DF5FAC" w:rsidP="00DF5FAC">
      <w:pPr>
        <w:spacing w:after="0" w:line="360" w:lineRule="auto"/>
        <w:textAlignment w:val="baseline"/>
        <w:rPr>
          <w:rFonts w:ascii="Times New Roman" w:eastAsia="Times New Roman" w:hAnsi="Times New Roman" w:cs="Times New Roman"/>
          <w:b/>
          <w:bCs/>
          <w:sz w:val="24"/>
          <w:szCs w:val="24"/>
          <w:lang w:eastAsia="en-GB"/>
        </w:rPr>
      </w:pPr>
    </w:p>
    <w:p w:rsidR="00C767DD" w:rsidRDefault="00C767DD" w:rsidP="00DF5FAC">
      <w:pPr>
        <w:spacing w:after="0" w:line="36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Part 1</w:t>
      </w:r>
    </w:p>
    <w:p w:rsidR="00C767DD" w:rsidRDefault="00C767DD" w:rsidP="00C767DD">
      <w:pPr>
        <w:spacing w:after="0" w:line="36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Critically review one theory that underpins our understanding of cognitive decline in old age.</w:t>
      </w:r>
    </w:p>
    <w:p w:rsidR="004041A3" w:rsidRPr="00F723DB" w:rsidRDefault="004041A3" w:rsidP="00C767DD">
      <w:pPr>
        <w:spacing w:after="0" w:line="360" w:lineRule="auto"/>
        <w:textAlignment w:val="baseline"/>
        <w:rPr>
          <w:rFonts w:ascii="Times New Roman" w:eastAsia="Times New Roman" w:hAnsi="Times New Roman" w:cs="Times New Roman"/>
          <w:sz w:val="24"/>
          <w:szCs w:val="24"/>
          <w:lang w:eastAsia="en-GB"/>
        </w:rPr>
      </w:pPr>
      <w:r w:rsidRPr="00F723DB">
        <w:rPr>
          <w:rFonts w:ascii="Times New Roman" w:eastAsia="Times New Roman" w:hAnsi="Times New Roman" w:cs="Times New Roman"/>
          <w:b/>
          <w:bCs/>
          <w:sz w:val="24"/>
          <w:szCs w:val="24"/>
          <w:lang w:eastAsia="en-GB"/>
        </w:rPr>
        <w:t>"Balancing Time and Emotion: A Critical Evaluation of</w:t>
      </w:r>
      <w:r w:rsidR="00C767DD">
        <w:rPr>
          <w:rFonts w:ascii="Times New Roman" w:eastAsia="Times New Roman" w:hAnsi="Times New Roman" w:cs="Times New Roman"/>
          <w:b/>
          <w:bCs/>
          <w:sz w:val="24"/>
          <w:szCs w:val="24"/>
          <w:lang w:eastAsia="en-GB"/>
        </w:rPr>
        <w:t xml:space="preserve"> </w:t>
      </w:r>
      <w:r w:rsidRPr="00F723DB">
        <w:rPr>
          <w:rFonts w:ascii="Times New Roman" w:eastAsia="Times New Roman" w:hAnsi="Times New Roman" w:cs="Times New Roman"/>
          <w:b/>
          <w:bCs/>
          <w:sz w:val="24"/>
          <w:szCs w:val="24"/>
          <w:lang w:eastAsia="en-GB"/>
        </w:rPr>
        <w:t xml:space="preserve"> </w:t>
      </w:r>
      <w:proofErr w:type="spellStart"/>
      <w:r w:rsidRPr="00F723DB">
        <w:rPr>
          <w:rFonts w:ascii="Times New Roman" w:eastAsia="Times New Roman" w:hAnsi="Times New Roman" w:cs="Times New Roman"/>
          <w:b/>
          <w:bCs/>
          <w:sz w:val="24"/>
          <w:szCs w:val="24"/>
          <w:lang w:eastAsia="en-GB"/>
        </w:rPr>
        <w:t>Socioemotional</w:t>
      </w:r>
      <w:proofErr w:type="spellEnd"/>
      <w:r w:rsidRPr="00F723DB">
        <w:rPr>
          <w:rFonts w:ascii="Times New Roman" w:eastAsia="Times New Roman" w:hAnsi="Times New Roman" w:cs="Times New Roman"/>
          <w:b/>
          <w:bCs/>
          <w:sz w:val="24"/>
          <w:szCs w:val="24"/>
          <w:lang w:eastAsia="en-GB"/>
        </w:rPr>
        <w:t xml:space="preserve"> Selectivity Theory in the Context of Cognitive Decline in Older Adults"</w:t>
      </w:r>
    </w:p>
    <w:p w:rsidR="00C767DD" w:rsidRDefault="00F723DB" w:rsidP="00C767DD">
      <w:pPr>
        <w:tabs>
          <w:tab w:val="left" w:pos="960"/>
        </w:tabs>
        <w:spacing w:after="0" w:line="360" w:lineRule="auto"/>
        <w:textAlignment w:val="baseline"/>
        <w:rPr>
          <w:rFonts w:ascii="Times New Roman" w:eastAsia="Times New Roman" w:hAnsi="Times New Roman" w:cs="Times New Roman"/>
          <w:sz w:val="24"/>
          <w:szCs w:val="24"/>
          <w:lang w:eastAsia="en-GB"/>
        </w:rPr>
      </w:pPr>
      <w:r w:rsidRPr="00F723DB">
        <w:rPr>
          <w:rFonts w:ascii="Times New Roman" w:eastAsia="Times New Roman" w:hAnsi="Times New Roman" w:cs="Times New Roman"/>
          <w:sz w:val="24"/>
          <w:szCs w:val="24"/>
          <w:lang w:eastAsia="en-GB"/>
        </w:rPr>
        <w:tab/>
      </w:r>
    </w:p>
    <w:p w:rsidR="00F723DB" w:rsidRPr="00C767DD" w:rsidRDefault="00F723DB" w:rsidP="00C767DD">
      <w:pPr>
        <w:tabs>
          <w:tab w:val="left" w:pos="960"/>
        </w:tabs>
        <w:spacing w:after="0" w:line="360" w:lineRule="auto"/>
        <w:textAlignment w:val="baseline"/>
        <w:rPr>
          <w:rFonts w:ascii="Times New Roman" w:eastAsia="Times New Roman" w:hAnsi="Times New Roman" w:cs="Times New Roman"/>
          <w:sz w:val="24"/>
          <w:szCs w:val="24"/>
          <w:lang w:eastAsia="en-GB"/>
        </w:rPr>
      </w:pPr>
      <w:r w:rsidRPr="00F723DB">
        <w:rPr>
          <w:color w:val="273B68"/>
          <w:sz w:val="19"/>
          <w:szCs w:val="19"/>
        </w:rPr>
        <w:t xml:space="preserve">The </w:t>
      </w:r>
      <w:proofErr w:type="spellStart"/>
      <w:r w:rsidRPr="00F723DB">
        <w:rPr>
          <w:color w:val="273B68"/>
          <w:sz w:val="19"/>
          <w:szCs w:val="19"/>
        </w:rPr>
        <w:t>socioemotional</w:t>
      </w:r>
      <w:proofErr w:type="spellEnd"/>
      <w:r w:rsidRPr="00F723DB">
        <w:rPr>
          <w:color w:val="273B68"/>
          <w:sz w:val="19"/>
          <w:szCs w:val="19"/>
        </w:rPr>
        <w:t xml:space="preserve"> selectivity theory (SST) posited by Laura </w:t>
      </w:r>
      <w:proofErr w:type="spellStart"/>
      <w:r w:rsidRPr="00F723DB">
        <w:rPr>
          <w:color w:val="273B68"/>
          <w:sz w:val="19"/>
          <w:szCs w:val="19"/>
        </w:rPr>
        <w:t>Carstensen</w:t>
      </w:r>
      <w:proofErr w:type="spellEnd"/>
      <w:r w:rsidRPr="00F723DB">
        <w:rPr>
          <w:color w:val="273B68"/>
          <w:sz w:val="19"/>
          <w:szCs w:val="19"/>
        </w:rPr>
        <w:t xml:space="preserve"> in the last part of the 1990s states that when people age, their time agenda is short, which leads to the objectives of knowledge change, which are associated with emotional. The theory explains, within the elderly segment the focus is majorly directed towards reinforcing already existing ties and cherishing more rewarding interactional experiences as opposed to more contacts with no emotional value and low effort. This makes it possible to state that deterioration of mental abilities with aging is not only devoid of positive aspects as in SST, but is also accompanied by increasing psychological welfare.</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Central to the theory of </w:t>
      </w:r>
      <w:proofErr w:type="spellStart"/>
      <w:r w:rsidRPr="00F723DB">
        <w:rPr>
          <w:color w:val="273B68"/>
          <w:sz w:val="19"/>
          <w:szCs w:val="19"/>
        </w:rPr>
        <w:t>socioemotional</w:t>
      </w:r>
      <w:proofErr w:type="spellEnd"/>
      <w:r w:rsidRPr="00F723DB">
        <w:rPr>
          <w:color w:val="273B68"/>
          <w:sz w:val="19"/>
          <w:szCs w:val="19"/>
        </w:rPr>
        <w:t xml:space="preserve"> selectivity is the focus on the nature of social interaction within a given context rather than its frequency. They must however be careful, in as He is stating, normal cognitive aging would simply see the speed of in which treatment or information is processed, lowered and this perspective has been viewed in a more simplistic manner. The SST takes a rather different angle and argues that this cognitive evolution is supported with evolution and shift on the types of emotional engagements that are being drawn from within the elderly segment.</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The SST provides evidence for the exploration of other cognitive capabilities with different strategies designed in older people such as focusing on the preservation of social or emotional ties.</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Such results come as an example in studies that were accomplished which looked at the social-emotional health of older persons. So for instance, the search for Martinson and </w:t>
      </w:r>
      <w:proofErr w:type="spellStart"/>
      <w:r w:rsidRPr="00F723DB">
        <w:rPr>
          <w:color w:val="273B68"/>
          <w:sz w:val="19"/>
          <w:szCs w:val="19"/>
        </w:rPr>
        <w:t>Berridge</w:t>
      </w:r>
      <w:proofErr w:type="spellEnd"/>
      <w:r w:rsidRPr="00F723DB">
        <w:rPr>
          <w:color w:val="273B68"/>
          <w:sz w:val="19"/>
          <w:szCs w:val="19"/>
        </w:rPr>
        <w:t xml:space="preserve"> comes (2015). This is in support of the elderly witness hypothesis; that an individual may often be if not always in a more passionate but less gratifying relationship. This preference in relationships fosters tremendous emotional satisfaction which has the potential to counter cognitive stagnation. Their results confirm that emotions have been able to shield the elderly population from some cognitive defeats which is significant in with growing age.</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proofErr w:type="spellStart"/>
      <w:r w:rsidRPr="00F723DB">
        <w:rPr>
          <w:color w:val="273B68"/>
          <w:sz w:val="19"/>
          <w:szCs w:val="19"/>
        </w:rPr>
        <w:t>OLder</w:t>
      </w:r>
      <w:proofErr w:type="spellEnd"/>
      <w:r w:rsidRPr="00F723DB">
        <w:rPr>
          <w:color w:val="273B68"/>
          <w:sz w:val="19"/>
          <w:szCs w:val="19"/>
        </w:rPr>
        <w:t xml:space="preserve"> individuals are not only able to adapt to new changes, they are able to utilize which emotions support them through the process. Thus, work is carried out where the elderly members leverage emotional intelligence to cope within spaces that require them to interact with other people. Results of the study state that older employees engage emotional aspects of their intelligence to resolve issues while working with clients or within </w:t>
      </w:r>
      <w:proofErr w:type="spellStart"/>
      <w:r w:rsidRPr="00F723DB">
        <w:rPr>
          <w:color w:val="273B68"/>
          <w:sz w:val="19"/>
          <w:szCs w:val="19"/>
        </w:rPr>
        <w:t>teamsm</w:t>
      </w:r>
      <w:proofErr w:type="spellEnd"/>
      <w:r w:rsidRPr="00F723DB">
        <w:rPr>
          <w:color w:val="273B68"/>
          <w:sz w:val="19"/>
          <w:szCs w:val="19"/>
        </w:rPr>
        <w:t xml:space="preserve"> even when it seems the clients or teams are extremely complicated.</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However, if SST is appropriate, its constraints need to be acknowledged. Critics maintain that theory can overly emphasize emotional judgments so that there is little room for engaging actively in the cognitive in the elderly. The literature concurs that cognitive decline does not necessarily lead to a reduction in actual or meaningful social interactions, but instead, it could result in heightened social withdrawal, especially in cases where the individual’s memory deficit impairs their ability to keep in touch with others. For the most part it is not always easy to accept the </w:t>
      </w:r>
      <w:r w:rsidRPr="00F723DB">
        <w:rPr>
          <w:color w:val="273B68"/>
          <w:sz w:val="19"/>
          <w:szCs w:val="19"/>
        </w:rPr>
        <w:lastRenderedPageBreak/>
        <w:t>generalization of SST as culture as well as , more importantly, social factors do, in fact, affect the emotional priorities of the elderly which are different across varying social economic status and cultural settings.</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In conclusion, it can be said that even though socio-emotional selectivity theory is a better perspective to explain the relationship between aging, emotional prioritization and cognition, it is important to engage into critique of its assertions from perspective of different research findings. The strengths of theory lie in the explanation it offers regarding the functionality of emotional investments in relation to development in age; Nonetheless, these limitations pose the necessity of exploring the interaction constructs between the age-related decline in cognitive capacity with the emotional goals of individuals. In this context, a prominent strength of socio -emotional selection theory (SST) is the completeness to which it integrates various aspects of aging specifically in emotional and social constructs. It is postulated that with increasing age, the individual begins to realize that time is finite, thus as one gets older their attention is directed towards emotionally important goals and people in their life. (</w:t>
      </w:r>
      <w:proofErr w:type="spellStart"/>
      <w:r w:rsidRPr="00F723DB">
        <w:rPr>
          <w:color w:val="273B68"/>
          <w:sz w:val="19"/>
          <w:szCs w:val="19"/>
        </w:rPr>
        <w:t>Carstensen</w:t>
      </w:r>
      <w:proofErr w:type="spellEnd"/>
      <w:r w:rsidRPr="00F723DB">
        <w:rPr>
          <w:color w:val="273B68"/>
          <w:sz w:val="19"/>
          <w:szCs w:val="19"/>
        </w:rPr>
        <w:t xml:space="preserve"> et al ., 1999). This notion could explain the common challenges of cognitive decline during old adulthood that the importance of emotional control and social activity could serve as </w:t>
      </w:r>
      <w:proofErr w:type="spellStart"/>
      <w:r w:rsidRPr="00F723DB">
        <w:rPr>
          <w:color w:val="273B68"/>
          <w:sz w:val="19"/>
          <w:szCs w:val="19"/>
        </w:rPr>
        <w:t>facilitatory</w:t>
      </w:r>
      <w:proofErr w:type="spellEnd"/>
      <w:r w:rsidRPr="00F723DB">
        <w:rPr>
          <w:color w:val="273B68"/>
          <w:sz w:val="19"/>
          <w:szCs w:val="19"/>
        </w:rPr>
        <w:t xml:space="preserve"> factors. The idea that the elderly may be proactive in enhancing their moods by targeting specific people highlights the deeper conclusion that emotional experience can aid in cognitive flexibility and appropriate </w:t>
      </w:r>
      <w:proofErr w:type="spellStart"/>
      <w:r w:rsidRPr="00F723DB">
        <w:rPr>
          <w:color w:val="273B68"/>
          <w:sz w:val="19"/>
          <w:szCs w:val="19"/>
        </w:rPr>
        <w:t>behavior</w:t>
      </w:r>
      <w:proofErr w:type="spellEnd"/>
      <w:r w:rsidRPr="00F723DB">
        <w:rPr>
          <w:color w:val="273B68"/>
          <w:sz w:val="19"/>
          <w:szCs w:val="19"/>
        </w:rPr>
        <w:t>.</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Acknowledgment of such motivational shifts helps in developing a broader framework of how older adults get engaged with their surroundings, ultimately aiding in cognitive protection.</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Nonetheless, some vulnerabilities in OSH can be flagged, in particular the risk to somehow level emotional priorities across different segments of the population. Elderly people’s emotional driving forces are often theorized in a one-dimensional manner, devoid of any reference to a social, economic or psychological context. For instance, </w:t>
      </w:r>
      <w:proofErr w:type="spellStart"/>
      <w:r w:rsidRPr="00F723DB">
        <w:rPr>
          <w:color w:val="273B68"/>
          <w:sz w:val="19"/>
          <w:szCs w:val="19"/>
        </w:rPr>
        <w:t>Burholt</w:t>
      </w:r>
      <w:proofErr w:type="spellEnd"/>
      <w:r w:rsidRPr="00F723DB">
        <w:rPr>
          <w:color w:val="273B68"/>
          <w:sz w:val="19"/>
          <w:szCs w:val="19"/>
        </w:rPr>
        <w:t xml:space="preserve"> et al. (2020) addressed the consequences of social relations’ deprivation and noticed that those elderly people who had social networks did not use them in the same way, some even might suffer from absence of emotions and extreme loneliness instead of contentment. Limited inclusion of ageism within the institutional availability of </w:t>
      </w:r>
      <w:proofErr w:type="spellStart"/>
      <w:r w:rsidRPr="00F723DB">
        <w:rPr>
          <w:color w:val="273B68"/>
          <w:sz w:val="19"/>
          <w:szCs w:val="19"/>
        </w:rPr>
        <w:t>of</w:t>
      </w:r>
      <w:proofErr w:type="spellEnd"/>
      <w:r w:rsidRPr="00F723DB">
        <w:rPr>
          <w:color w:val="273B68"/>
          <w:sz w:val="19"/>
          <w:szCs w:val="19"/>
        </w:rPr>
        <w:t xml:space="preserve"> OSH potentially weakens application of it across multiple scenarios because it indicates that interpersonal relations and preferences may be quite distinct among people from different origins or life experiences. Thus, OSH theories which are meant to offer a global vision, explaining emotional selectivity, could however promote ignorance of some relevant factors, possibly contributing to cognitive deterioration.</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Also, because SST does link emotional emphasis with cognition, there are other cognitive processes and factors that SST tends to neglect that could be beneficial in the later stages of life. According to research, the ability to communicate in two languages is said to enhance cognitive reserve and help postpone mental degeneration (</w:t>
      </w:r>
      <w:proofErr w:type="spellStart"/>
      <w:r w:rsidRPr="00F723DB">
        <w:rPr>
          <w:color w:val="273B68"/>
          <w:sz w:val="19"/>
          <w:szCs w:val="19"/>
        </w:rPr>
        <w:t>Biarystok</w:t>
      </w:r>
      <w:proofErr w:type="spellEnd"/>
      <w:r w:rsidRPr="00F723DB">
        <w:rPr>
          <w:color w:val="273B68"/>
          <w:sz w:val="19"/>
          <w:szCs w:val="19"/>
        </w:rPr>
        <w:t xml:space="preserve"> &amp; </w:t>
      </w:r>
      <w:proofErr w:type="spellStart"/>
      <w:r w:rsidRPr="00F723DB">
        <w:rPr>
          <w:color w:val="273B68"/>
          <w:sz w:val="19"/>
          <w:szCs w:val="19"/>
        </w:rPr>
        <w:t>Craik</w:t>
      </w:r>
      <w:proofErr w:type="spellEnd"/>
      <w:r w:rsidRPr="00F723DB">
        <w:rPr>
          <w:color w:val="273B68"/>
          <w:sz w:val="19"/>
          <w:szCs w:val="19"/>
        </w:rPr>
        <w:t xml:space="preserve">, 2022). The OS does not account for these additional variables which enhances cognition, focusing mostly on the emotional and social areas. In the same way, the approaches of cognitive rehabilitation for mild cognitive impairment do provide a gap for the cognitive enhancement which is beyond the scope of emotional selectivity proposed by SST (Hampstead et al., 2014). These interventions indicate that there is room for cognitive orientated strategies to work side by side with emotional regulation strategies in older individuals and should be understood in the context of aging in a more </w:t>
      </w:r>
      <w:proofErr w:type="spellStart"/>
      <w:r w:rsidRPr="00F723DB">
        <w:rPr>
          <w:color w:val="273B68"/>
          <w:sz w:val="19"/>
          <w:szCs w:val="19"/>
        </w:rPr>
        <w:t>wholistic</w:t>
      </w:r>
      <w:proofErr w:type="spellEnd"/>
      <w:r w:rsidRPr="00F723DB">
        <w:rPr>
          <w:color w:val="273B68"/>
          <w:sz w:val="19"/>
          <w:szCs w:val="19"/>
        </w:rPr>
        <w:t xml:space="preserve"> manner.</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In a nutshell, even though the SST offers useful insights on the interpersonal and intrapersonal adjustments of the elderly people and the advantages they could have for cognitive reserve, their specific bounds regarding cultural ranges and lack of different cognitive strategies bring into question their global relevance. The relationship between </w:t>
      </w:r>
      <w:r w:rsidRPr="00F723DB">
        <w:rPr>
          <w:color w:val="273B68"/>
          <w:sz w:val="19"/>
          <w:szCs w:val="19"/>
        </w:rPr>
        <w:lastRenderedPageBreak/>
        <w:t xml:space="preserve">emotional emphasis and cognitive activities and, in a larger scale, cognitive resources, call for a different kind of approach to aging which SST does not seem to cover completely. Regarding empirical evidence, some researchers have attempted to confirm the SST theory or elements of it, and there are several studies which confirmed the assertions but of course there are limitations. </w:t>
      </w:r>
      <w:proofErr w:type="spellStart"/>
      <w:r w:rsidRPr="00F723DB">
        <w:rPr>
          <w:color w:val="273B68"/>
          <w:sz w:val="19"/>
          <w:szCs w:val="19"/>
        </w:rPr>
        <w:t>Cammisuli</w:t>
      </w:r>
      <w:proofErr w:type="spellEnd"/>
      <w:r w:rsidRPr="00F723DB">
        <w:rPr>
          <w:color w:val="273B68"/>
          <w:sz w:val="19"/>
          <w:szCs w:val="19"/>
        </w:rPr>
        <w:t xml:space="preserve"> et al. (2016) suggest that changes in the level of emotional selectivity through non – pharmacological techniques could help enhance emotional health in the elderly. They point out that social or emotional engagement might act as a buffer so as to reduce the rate of cognitive degeneration. This is in line with the main concept of SST whereby the older people prefer to engage with experience that provides emotional gratification which </w:t>
      </w:r>
      <w:proofErr w:type="spellStart"/>
      <w:r w:rsidRPr="00F723DB">
        <w:rPr>
          <w:color w:val="273B68"/>
          <w:sz w:val="19"/>
          <w:szCs w:val="19"/>
        </w:rPr>
        <w:t>inturn</w:t>
      </w:r>
      <w:proofErr w:type="spellEnd"/>
      <w:r w:rsidRPr="00F723DB">
        <w:rPr>
          <w:color w:val="273B68"/>
          <w:sz w:val="19"/>
          <w:szCs w:val="19"/>
        </w:rPr>
        <w:t xml:space="preserve"> leads to enhancement of cognitive and emotional health.</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Moreover, studies have found regarding social engagements a large number of demographic correlations with the cognitive ability. For example, </w:t>
      </w:r>
      <w:proofErr w:type="spellStart"/>
      <w:r w:rsidRPr="00F723DB">
        <w:rPr>
          <w:color w:val="273B68"/>
          <w:sz w:val="19"/>
          <w:szCs w:val="19"/>
        </w:rPr>
        <w:t>Prickett</w:t>
      </w:r>
      <w:proofErr w:type="spellEnd"/>
      <w:r w:rsidRPr="00F723DB">
        <w:rPr>
          <w:color w:val="273B68"/>
          <w:sz w:val="19"/>
          <w:szCs w:val="19"/>
        </w:rPr>
        <w:t xml:space="preserve"> et al. (2015) found out that older people living in strong social networks and taking part in social activities report better and less decrease of cognitive functions. This evidence suggests that the emotionally selective nature of older adults as suggested by SST can be factors that foster conditions conducive to the preservation of cognitive state. These relationships point to the possibility of certain social interventions that may enhance cognitive health through emotional and social engagement.</w:t>
      </w:r>
    </w:p>
    <w:p w:rsidR="00F723DB" w:rsidRPr="00F723DB" w:rsidRDefault="00F723DB" w:rsidP="00F723DB">
      <w:pPr>
        <w:pStyle w:val="NormalnyWeb"/>
        <w:shd w:val="clear" w:color="auto" w:fill="FFFFFF"/>
        <w:spacing w:before="0" w:beforeAutospacing="0" w:after="192" w:afterAutospacing="0" w:line="360" w:lineRule="auto"/>
        <w:textAlignment w:val="baseline"/>
        <w:rPr>
          <w:color w:val="273B68"/>
          <w:sz w:val="19"/>
          <w:szCs w:val="19"/>
        </w:rPr>
      </w:pPr>
      <w:r w:rsidRPr="00F723DB">
        <w:rPr>
          <w:color w:val="273B68"/>
          <w:sz w:val="19"/>
          <w:szCs w:val="19"/>
        </w:rPr>
        <w:t xml:space="preserve">Nevertheless, the empirical context is still multifaceted and quite a few factors such as </w:t>
      </w:r>
      <w:proofErr w:type="spellStart"/>
      <w:r w:rsidRPr="00F723DB">
        <w:rPr>
          <w:color w:val="273B68"/>
          <w:sz w:val="19"/>
          <w:szCs w:val="19"/>
        </w:rPr>
        <w:t>Castana</w:t>
      </w:r>
      <w:proofErr w:type="spellEnd"/>
      <w:r w:rsidRPr="00F723DB">
        <w:rPr>
          <w:color w:val="273B68"/>
          <w:sz w:val="19"/>
          <w:szCs w:val="19"/>
        </w:rPr>
        <w:t xml:space="preserve"> et al. (2014), who contributed to the critical assessment of cognitive scarring tools remain unexplained. The studies emphasize that the monitoring of the cognitive decline in the elderly is often more complex than has been assumed and that socio-</w:t>
      </w:r>
      <w:proofErr w:type="spellStart"/>
      <w:r w:rsidRPr="00F723DB">
        <w:rPr>
          <w:color w:val="273B68"/>
          <w:sz w:val="19"/>
          <w:szCs w:val="19"/>
        </w:rPr>
        <w:t>emot</w:t>
      </w:r>
      <w:proofErr w:type="spellEnd"/>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F723DB" w:rsidRPr="00F723DB" w:rsidRDefault="00F723D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45772B" w:rsidRDefault="0045772B"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F723DB" w:rsidRDefault="00F723DB" w:rsidP="00F723DB">
      <w:pPr>
        <w:spacing w:after="0" w:line="360" w:lineRule="auto"/>
        <w:textAlignment w:val="baseline"/>
        <w:rPr>
          <w:rFonts w:ascii="Times New Roman" w:eastAsia="Times New Roman" w:hAnsi="Times New Roman" w:cs="Times New Roman"/>
          <w:sz w:val="24"/>
          <w:szCs w:val="24"/>
          <w:lang w:eastAsia="en-GB"/>
        </w:rPr>
      </w:pPr>
      <w:r w:rsidRPr="00F723DB">
        <w:rPr>
          <w:rFonts w:ascii="Times New Roman" w:eastAsia="Times New Roman" w:hAnsi="Times New Roman" w:cs="Times New Roman"/>
          <w:sz w:val="24"/>
          <w:szCs w:val="24"/>
          <w:lang w:eastAsia="en-GB"/>
        </w:rPr>
        <w:lastRenderedPageBreak/>
        <w:t>Reference:</w:t>
      </w:r>
    </w:p>
    <w:p w:rsidR="00DF5FAC" w:rsidRDefault="00DF5FAC" w:rsidP="00F723DB">
      <w:pPr>
        <w:spacing w:after="0" w:line="360" w:lineRule="auto"/>
        <w:textAlignment w:val="baseline"/>
        <w:rPr>
          <w:rFonts w:ascii="Times New Roman" w:eastAsia="Times New Roman" w:hAnsi="Times New Roman" w:cs="Times New Roman"/>
          <w:sz w:val="24"/>
          <w:szCs w:val="24"/>
          <w:lang w:eastAsia="en-GB"/>
        </w:rPr>
      </w:pP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Bialystok, E., &amp; </w:t>
      </w:r>
      <w:proofErr w:type="spellStart"/>
      <w:r w:rsidRPr="00DF5FAC">
        <w:rPr>
          <w:rFonts w:ascii="Times New Roman" w:eastAsia="Times New Roman" w:hAnsi="Times New Roman" w:cs="Times New Roman"/>
          <w:sz w:val="24"/>
          <w:szCs w:val="24"/>
          <w:lang w:eastAsia="en-GB"/>
        </w:rPr>
        <w:t>Craik</w:t>
      </w:r>
      <w:proofErr w:type="spellEnd"/>
      <w:r w:rsidRPr="00DF5FAC">
        <w:rPr>
          <w:rFonts w:ascii="Times New Roman" w:eastAsia="Times New Roman" w:hAnsi="Times New Roman" w:cs="Times New Roman"/>
          <w:sz w:val="24"/>
          <w:szCs w:val="24"/>
          <w:lang w:eastAsia="en-GB"/>
        </w:rPr>
        <w:t xml:space="preserve">, F. I. (2022). How does bilingualism modify cognitive function? Attention to the mechanism. </w:t>
      </w:r>
      <w:proofErr w:type="spellStart"/>
      <w:r w:rsidRPr="00DF5FAC">
        <w:rPr>
          <w:rFonts w:ascii="Times New Roman" w:eastAsia="Times New Roman" w:hAnsi="Times New Roman" w:cs="Times New Roman"/>
          <w:sz w:val="24"/>
          <w:szCs w:val="24"/>
          <w:lang w:eastAsia="en-GB"/>
        </w:rPr>
        <w:t>Psychonomic</w:t>
      </w:r>
      <w:proofErr w:type="spellEnd"/>
      <w:r w:rsidRPr="00DF5FAC">
        <w:rPr>
          <w:rFonts w:ascii="Times New Roman" w:eastAsia="Times New Roman" w:hAnsi="Times New Roman" w:cs="Times New Roman"/>
          <w:sz w:val="24"/>
          <w:szCs w:val="24"/>
          <w:lang w:eastAsia="en-GB"/>
        </w:rPr>
        <w:t xml:space="preserve"> Bulletin &amp; Review, 29(4), 1246-1269.</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Burholt</w:t>
      </w:r>
      <w:proofErr w:type="spellEnd"/>
      <w:r w:rsidRPr="00DF5FAC">
        <w:rPr>
          <w:rFonts w:ascii="Times New Roman" w:eastAsia="Times New Roman" w:hAnsi="Times New Roman" w:cs="Times New Roman"/>
          <w:sz w:val="24"/>
          <w:szCs w:val="24"/>
          <w:lang w:eastAsia="en-GB"/>
        </w:rPr>
        <w:t xml:space="preserve">, V., Winter, B., </w:t>
      </w:r>
      <w:proofErr w:type="spellStart"/>
      <w:r w:rsidRPr="00DF5FAC">
        <w:rPr>
          <w:rFonts w:ascii="Times New Roman" w:eastAsia="Times New Roman" w:hAnsi="Times New Roman" w:cs="Times New Roman"/>
          <w:sz w:val="24"/>
          <w:szCs w:val="24"/>
          <w:lang w:eastAsia="en-GB"/>
        </w:rPr>
        <w:t>Aartsen</w:t>
      </w:r>
      <w:proofErr w:type="spellEnd"/>
      <w:r w:rsidRPr="00DF5FAC">
        <w:rPr>
          <w:rFonts w:ascii="Times New Roman" w:eastAsia="Times New Roman" w:hAnsi="Times New Roman" w:cs="Times New Roman"/>
          <w:sz w:val="24"/>
          <w:szCs w:val="24"/>
          <w:lang w:eastAsia="en-GB"/>
        </w:rPr>
        <w:t xml:space="preserve">, M., </w:t>
      </w:r>
      <w:proofErr w:type="spellStart"/>
      <w:r w:rsidRPr="00DF5FAC">
        <w:rPr>
          <w:rFonts w:ascii="Times New Roman" w:eastAsia="Times New Roman" w:hAnsi="Times New Roman" w:cs="Times New Roman"/>
          <w:sz w:val="24"/>
          <w:szCs w:val="24"/>
          <w:lang w:eastAsia="en-GB"/>
        </w:rPr>
        <w:t>Constantinou</w:t>
      </w:r>
      <w:proofErr w:type="spellEnd"/>
      <w:r w:rsidRPr="00DF5FAC">
        <w:rPr>
          <w:rFonts w:ascii="Times New Roman" w:eastAsia="Times New Roman" w:hAnsi="Times New Roman" w:cs="Times New Roman"/>
          <w:sz w:val="24"/>
          <w:szCs w:val="24"/>
          <w:lang w:eastAsia="en-GB"/>
        </w:rPr>
        <w:t>, C., Dahlberg, L., Feliciano, V., ... &amp; Working Group on Exclusion from Social Relations, part of the COST-financed Research Network ‘Reducing Old-Age Exclusion: Collaborations in Research and Policy’(</w:t>
      </w:r>
      <w:proofErr w:type="spellStart"/>
      <w:r w:rsidRPr="00DF5FAC">
        <w:rPr>
          <w:rFonts w:ascii="Times New Roman" w:eastAsia="Times New Roman" w:hAnsi="Times New Roman" w:cs="Times New Roman"/>
          <w:sz w:val="24"/>
          <w:szCs w:val="24"/>
          <w:lang w:eastAsia="en-GB"/>
        </w:rPr>
        <w:t>ROSENet</w:t>
      </w:r>
      <w:proofErr w:type="spellEnd"/>
      <w:r w:rsidRPr="00DF5FAC">
        <w:rPr>
          <w:rFonts w:ascii="Times New Roman" w:eastAsia="Times New Roman" w:hAnsi="Times New Roman" w:cs="Times New Roman"/>
          <w:sz w:val="24"/>
          <w:szCs w:val="24"/>
          <w:lang w:eastAsia="en-GB"/>
        </w:rPr>
        <w:t>). (2020). A critical review and development of a conceptual model of exclusion from social relations for older people. European journal of ageing, 17(1), 3-19.</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Cammisuli</w:t>
      </w:r>
      <w:proofErr w:type="spellEnd"/>
      <w:r w:rsidRPr="00DF5FAC">
        <w:rPr>
          <w:rFonts w:ascii="Times New Roman" w:eastAsia="Times New Roman" w:hAnsi="Times New Roman" w:cs="Times New Roman"/>
          <w:sz w:val="24"/>
          <w:szCs w:val="24"/>
          <w:lang w:eastAsia="en-GB"/>
        </w:rPr>
        <w:t xml:space="preserve">, D. M., </w:t>
      </w:r>
      <w:proofErr w:type="spellStart"/>
      <w:r w:rsidRPr="00DF5FAC">
        <w:rPr>
          <w:rFonts w:ascii="Times New Roman" w:eastAsia="Times New Roman" w:hAnsi="Times New Roman" w:cs="Times New Roman"/>
          <w:sz w:val="24"/>
          <w:szCs w:val="24"/>
          <w:lang w:eastAsia="en-GB"/>
        </w:rPr>
        <w:t>Danti</w:t>
      </w:r>
      <w:proofErr w:type="spellEnd"/>
      <w:r w:rsidRPr="00DF5FAC">
        <w:rPr>
          <w:rFonts w:ascii="Times New Roman" w:eastAsia="Times New Roman" w:hAnsi="Times New Roman" w:cs="Times New Roman"/>
          <w:sz w:val="24"/>
          <w:szCs w:val="24"/>
          <w:lang w:eastAsia="en-GB"/>
        </w:rPr>
        <w:t xml:space="preserve">, S., </w:t>
      </w:r>
      <w:proofErr w:type="spellStart"/>
      <w:r w:rsidRPr="00DF5FAC">
        <w:rPr>
          <w:rFonts w:ascii="Times New Roman" w:eastAsia="Times New Roman" w:hAnsi="Times New Roman" w:cs="Times New Roman"/>
          <w:sz w:val="24"/>
          <w:szCs w:val="24"/>
          <w:lang w:eastAsia="en-GB"/>
        </w:rPr>
        <w:t>Bosinelli</w:t>
      </w:r>
      <w:proofErr w:type="spellEnd"/>
      <w:r w:rsidRPr="00DF5FAC">
        <w:rPr>
          <w:rFonts w:ascii="Times New Roman" w:eastAsia="Times New Roman" w:hAnsi="Times New Roman" w:cs="Times New Roman"/>
          <w:sz w:val="24"/>
          <w:szCs w:val="24"/>
          <w:lang w:eastAsia="en-GB"/>
        </w:rPr>
        <w:t xml:space="preserve">, F., &amp; </w:t>
      </w:r>
      <w:proofErr w:type="spellStart"/>
      <w:r w:rsidRPr="00DF5FAC">
        <w:rPr>
          <w:rFonts w:ascii="Times New Roman" w:eastAsia="Times New Roman" w:hAnsi="Times New Roman" w:cs="Times New Roman"/>
          <w:sz w:val="24"/>
          <w:szCs w:val="24"/>
          <w:lang w:eastAsia="en-GB"/>
        </w:rPr>
        <w:t>Cipriani</w:t>
      </w:r>
      <w:proofErr w:type="spellEnd"/>
      <w:r w:rsidRPr="00DF5FAC">
        <w:rPr>
          <w:rFonts w:ascii="Times New Roman" w:eastAsia="Times New Roman" w:hAnsi="Times New Roman" w:cs="Times New Roman"/>
          <w:sz w:val="24"/>
          <w:szCs w:val="24"/>
          <w:lang w:eastAsia="en-GB"/>
        </w:rPr>
        <w:t>, G. (2016). Non-pharmacological interventions for people with Alzheimer's Disease: A critical review of the scientific literature from the last ten years. European Geriatric Medicine, 7(1), 57-64.</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Castanho</w:t>
      </w:r>
      <w:proofErr w:type="spellEnd"/>
      <w:r w:rsidRPr="00DF5FAC">
        <w:rPr>
          <w:rFonts w:ascii="Times New Roman" w:eastAsia="Times New Roman" w:hAnsi="Times New Roman" w:cs="Times New Roman"/>
          <w:sz w:val="24"/>
          <w:szCs w:val="24"/>
          <w:lang w:eastAsia="en-GB"/>
        </w:rPr>
        <w:t xml:space="preserve">, T. C., </w:t>
      </w:r>
      <w:proofErr w:type="spellStart"/>
      <w:r w:rsidRPr="00DF5FAC">
        <w:rPr>
          <w:rFonts w:ascii="Times New Roman" w:eastAsia="Times New Roman" w:hAnsi="Times New Roman" w:cs="Times New Roman"/>
          <w:sz w:val="24"/>
          <w:szCs w:val="24"/>
          <w:lang w:eastAsia="en-GB"/>
        </w:rPr>
        <w:t>Amorim</w:t>
      </w:r>
      <w:proofErr w:type="spellEnd"/>
      <w:r w:rsidRPr="00DF5FAC">
        <w:rPr>
          <w:rFonts w:ascii="Times New Roman" w:eastAsia="Times New Roman" w:hAnsi="Times New Roman" w:cs="Times New Roman"/>
          <w:sz w:val="24"/>
          <w:szCs w:val="24"/>
          <w:lang w:eastAsia="en-GB"/>
        </w:rPr>
        <w:t xml:space="preserve">, L., </w:t>
      </w:r>
      <w:proofErr w:type="spellStart"/>
      <w:r w:rsidRPr="00DF5FAC">
        <w:rPr>
          <w:rFonts w:ascii="Times New Roman" w:eastAsia="Times New Roman" w:hAnsi="Times New Roman" w:cs="Times New Roman"/>
          <w:sz w:val="24"/>
          <w:szCs w:val="24"/>
          <w:lang w:eastAsia="en-GB"/>
        </w:rPr>
        <w:t>Zihl</w:t>
      </w:r>
      <w:proofErr w:type="spellEnd"/>
      <w:r w:rsidRPr="00DF5FAC">
        <w:rPr>
          <w:rFonts w:ascii="Times New Roman" w:eastAsia="Times New Roman" w:hAnsi="Times New Roman" w:cs="Times New Roman"/>
          <w:sz w:val="24"/>
          <w:szCs w:val="24"/>
          <w:lang w:eastAsia="en-GB"/>
        </w:rPr>
        <w:t xml:space="preserve">, J., </w:t>
      </w:r>
      <w:proofErr w:type="spellStart"/>
      <w:r w:rsidRPr="00DF5FAC">
        <w:rPr>
          <w:rFonts w:ascii="Times New Roman" w:eastAsia="Times New Roman" w:hAnsi="Times New Roman" w:cs="Times New Roman"/>
          <w:sz w:val="24"/>
          <w:szCs w:val="24"/>
          <w:lang w:eastAsia="en-GB"/>
        </w:rPr>
        <w:t>Palha</w:t>
      </w:r>
      <w:proofErr w:type="spellEnd"/>
      <w:r w:rsidRPr="00DF5FAC">
        <w:rPr>
          <w:rFonts w:ascii="Times New Roman" w:eastAsia="Times New Roman" w:hAnsi="Times New Roman" w:cs="Times New Roman"/>
          <w:sz w:val="24"/>
          <w:szCs w:val="24"/>
          <w:lang w:eastAsia="en-GB"/>
        </w:rPr>
        <w:t>, J. A., Sousa, N., &amp; Santos, N. C. (2014). Telephone-based screening tools for mild cognitive impairment and dementia in aging studies: a review of validated instruments. Frontiers in aging neuroscience, 6, 16.</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Fisher, G. G., Chaffee, D. S., </w:t>
      </w:r>
      <w:proofErr w:type="spellStart"/>
      <w:r w:rsidRPr="00DF5FAC">
        <w:rPr>
          <w:rFonts w:ascii="Times New Roman" w:eastAsia="Times New Roman" w:hAnsi="Times New Roman" w:cs="Times New Roman"/>
          <w:sz w:val="24"/>
          <w:szCs w:val="24"/>
          <w:lang w:eastAsia="en-GB"/>
        </w:rPr>
        <w:t>Tetrick</w:t>
      </w:r>
      <w:proofErr w:type="spellEnd"/>
      <w:r w:rsidRPr="00DF5FAC">
        <w:rPr>
          <w:rFonts w:ascii="Times New Roman" w:eastAsia="Times New Roman" w:hAnsi="Times New Roman" w:cs="Times New Roman"/>
          <w:sz w:val="24"/>
          <w:szCs w:val="24"/>
          <w:lang w:eastAsia="en-GB"/>
        </w:rPr>
        <w:t xml:space="preserve">, L. E., </w:t>
      </w:r>
      <w:proofErr w:type="spellStart"/>
      <w:r w:rsidRPr="00DF5FAC">
        <w:rPr>
          <w:rFonts w:ascii="Times New Roman" w:eastAsia="Times New Roman" w:hAnsi="Times New Roman" w:cs="Times New Roman"/>
          <w:sz w:val="24"/>
          <w:szCs w:val="24"/>
          <w:lang w:eastAsia="en-GB"/>
        </w:rPr>
        <w:t>Davalos</w:t>
      </w:r>
      <w:proofErr w:type="spellEnd"/>
      <w:r w:rsidRPr="00DF5FAC">
        <w:rPr>
          <w:rFonts w:ascii="Times New Roman" w:eastAsia="Times New Roman" w:hAnsi="Times New Roman" w:cs="Times New Roman"/>
          <w:sz w:val="24"/>
          <w:szCs w:val="24"/>
          <w:lang w:eastAsia="en-GB"/>
        </w:rPr>
        <w:t>, D. B., &amp; Potter, G. G. (2017). Cognitive functioning, aging, and work: A review and recommendations for research and practice. Journal of occupational health psychology, 22(3), 314.</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Hampstead, B. M., Gillis, M. M., &amp; Stringer, A. Y. (2014). Cognitive rehabilitation of memory for mild cognitive impairment: a methodological review and model for future research. Journal of the International Neuropsychological Society, 20(2), 135-151.</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Martinson, M., &amp; </w:t>
      </w:r>
      <w:proofErr w:type="spellStart"/>
      <w:r w:rsidRPr="00DF5FAC">
        <w:rPr>
          <w:rFonts w:ascii="Times New Roman" w:eastAsia="Times New Roman" w:hAnsi="Times New Roman" w:cs="Times New Roman"/>
          <w:sz w:val="24"/>
          <w:szCs w:val="24"/>
          <w:lang w:eastAsia="en-GB"/>
        </w:rPr>
        <w:t>Berridge</w:t>
      </w:r>
      <w:proofErr w:type="spellEnd"/>
      <w:r w:rsidRPr="00DF5FAC">
        <w:rPr>
          <w:rFonts w:ascii="Times New Roman" w:eastAsia="Times New Roman" w:hAnsi="Times New Roman" w:cs="Times New Roman"/>
          <w:sz w:val="24"/>
          <w:szCs w:val="24"/>
          <w:lang w:eastAsia="en-GB"/>
        </w:rPr>
        <w:t>, C. (2015). Successful aging and its discontents: A systematic review of the social gerontology literature. The gerontologist, 55(1), 58-69.</w:t>
      </w:r>
    </w:p>
    <w:p w:rsidR="00DF5FAC" w:rsidRPr="00DF5FAC" w:rsidRDefault="00DF5FAC"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Prickett</w:t>
      </w:r>
      <w:proofErr w:type="spellEnd"/>
      <w:r w:rsidRPr="00DF5FAC">
        <w:rPr>
          <w:rFonts w:ascii="Times New Roman" w:eastAsia="Times New Roman" w:hAnsi="Times New Roman" w:cs="Times New Roman"/>
          <w:sz w:val="24"/>
          <w:szCs w:val="24"/>
          <w:lang w:eastAsia="en-GB"/>
        </w:rPr>
        <w:t xml:space="preserve">, C., Brennan, L., &amp; </w:t>
      </w:r>
      <w:proofErr w:type="spellStart"/>
      <w:r w:rsidRPr="00DF5FAC">
        <w:rPr>
          <w:rFonts w:ascii="Times New Roman" w:eastAsia="Times New Roman" w:hAnsi="Times New Roman" w:cs="Times New Roman"/>
          <w:sz w:val="24"/>
          <w:szCs w:val="24"/>
          <w:lang w:eastAsia="en-GB"/>
        </w:rPr>
        <w:t>Stolwyk</w:t>
      </w:r>
      <w:proofErr w:type="spellEnd"/>
      <w:r w:rsidRPr="00DF5FAC">
        <w:rPr>
          <w:rFonts w:ascii="Times New Roman" w:eastAsia="Times New Roman" w:hAnsi="Times New Roman" w:cs="Times New Roman"/>
          <w:sz w:val="24"/>
          <w:szCs w:val="24"/>
          <w:lang w:eastAsia="en-GB"/>
        </w:rPr>
        <w:t>, R. (2015). Examining the relationship between obesity and cognitive function: a systematic literature review. Obesity research &amp; clinical practice, 9(2), 93-113.</w:t>
      </w:r>
    </w:p>
    <w:p w:rsidR="004041A3" w:rsidRPr="00DF5FAC" w:rsidRDefault="004041A3"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proofErr w:type="spellStart"/>
      <w:r w:rsidRPr="00DF5FAC">
        <w:rPr>
          <w:rFonts w:ascii="Times New Roman" w:eastAsia="Times New Roman" w:hAnsi="Times New Roman" w:cs="Times New Roman"/>
          <w:sz w:val="24"/>
          <w:szCs w:val="24"/>
          <w:lang w:eastAsia="en-GB"/>
        </w:rPr>
        <w:t>Salthouse</w:t>
      </w:r>
      <w:proofErr w:type="spellEnd"/>
      <w:r w:rsidRPr="00DF5FAC">
        <w:rPr>
          <w:rFonts w:ascii="Times New Roman" w:eastAsia="Times New Roman" w:hAnsi="Times New Roman" w:cs="Times New Roman"/>
          <w:sz w:val="24"/>
          <w:szCs w:val="24"/>
          <w:lang w:eastAsia="en-GB"/>
        </w:rPr>
        <w:t>, T. A. (2016). Theoretical perspectives on cognitive aging. Psychology Press.</w:t>
      </w:r>
    </w:p>
    <w:p w:rsidR="004041A3" w:rsidRPr="00DF5FAC" w:rsidRDefault="004041A3" w:rsidP="00DF5FAC">
      <w:pPr>
        <w:pStyle w:val="Akapitzlist"/>
        <w:numPr>
          <w:ilvl w:val="0"/>
          <w:numId w:val="1"/>
        </w:numPr>
        <w:spacing w:after="0" w:line="360" w:lineRule="auto"/>
        <w:textAlignment w:val="baseline"/>
        <w:rPr>
          <w:rFonts w:ascii="Times New Roman" w:eastAsia="Times New Roman" w:hAnsi="Times New Roman" w:cs="Times New Roman"/>
          <w:sz w:val="24"/>
          <w:szCs w:val="24"/>
          <w:lang w:eastAsia="en-GB"/>
        </w:rPr>
      </w:pPr>
      <w:r w:rsidRPr="00DF5FAC">
        <w:rPr>
          <w:rFonts w:ascii="Times New Roman" w:eastAsia="Times New Roman" w:hAnsi="Times New Roman" w:cs="Times New Roman"/>
          <w:sz w:val="24"/>
          <w:szCs w:val="24"/>
          <w:lang w:eastAsia="en-GB"/>
        </w:rPr>
        <w:t xml:space="preserve">Rudolph, C. W., </w:t>
      </w:r>
      <w:proofErr w:type="spellStart"/>
      <w:r w:rsidRPr="00DF5FAC">
        <w:rPr>
          <w:rFonts w:ascii="Times New Roman" w:eastAsia="Times New Roman" w:hAnsi="Times New Roman" w:cs="Times New Roman"/>
          <w:sz w:val="24"/>
          <w:szCs w:val="24"/>
          <w:lang w:eastAsia="en-GB"/>
        </w:rPr>
        <w:t>Rauvola</w:t>
      </w:r>
      <w:proofErr w:type="spellEnd"/>
      <w:r w:rsidRPr="00DF5FAC">
        <w:rPr>
          <w:rFonts w:ascii="Times New Roman" w:eastAsia="Times New Roman" w:hAnsi="Times New Roman" w:cs="Times New Roman"/>
          <w:sz w:val="24"/>
          <w:szCs w:val="24"/>
          <w:lang w:eastAsia="en-GB"/>
        </w:rPr>
        <w:t xml:space="preserve">, R. S., &amp; </w:t>
      </w:r>
      <w:proofErr w:type="spellStart"/>
      <w:r w:rsidRPr="00DF5FAC">
        <w:rPr>
          <w:rFonts w:ascii="Times New Roman" w:eastAsia="Times New Roman" w:hAnsi="Times New Roman" w:cs="Times New Roman"/>
          <w:sz w:val="24"/>
          <w:szCs w:val="24"/>
          <w:lang w:eastAsia="en-GB"/>
        </w:rPr>
        <w:t>Zacher</w:t>
      </w:r>
      <w:proofErr w:type="spellEnd"/>
      <w:r w:rsidRPr="00DF5FAC">
        <w:rPr>
          <w:rFonts w:ascii="Times New Roman" w:eastAsia="Times New Roman" w:hAnsi="Times New Roman" w:cs="Times New Roman"/>
          <w:sz w:val="24"/>
          <w:szCs w:val="24"/>
          <w:lang w:eastAsia="en-GB"/>
        </w:rPr>
        <w:t>, H. (2018). Leadership and generations at work: A critical review. The Leadership Quarterly, 29(1), 44-57.</w:t>
      </w:r>
    </w:p>
    <w:p w:rsidR="005C371C" w:rsidRPr="006F521A" w:rsidRDefault="005C371C" w:rsidP="006F521A">
      <w:pPr>
        <w:spacing w:after="0"/>
        <w:jc w:val="center"/>
        <w:rPr>
          <w:rFonts w:ascii="Times New Roman" w:eastAsia="Times New Roman" w:hAnsi="Times New Roman" w:cs="Times New Roman"/>
          <w:b/>
          <w:color w:val="000000"/>
          <w:sz w:val="28"/>
          <w:szCs w:val="28"/>
          <w:lang w:eastAsia="en-GB"/>
        </w:rPr>
      </w:pPr>
      <w:r w:rsidRPr="006F521A">
        <w:rPr>
          <w:rFonts w:ascii="Times New Roman" w:eastAsia="Times New Roman" w:hAnsi="Times New Roman" w:cs="Times New Roman"/>
          <w:b/>
          <w:color w:val="000000"/>
          <w:sz w:val="28"/>
          <w:szCs w:val="28"/>
          <w:lang w:eastAsia="en-GB"/>
        </w:rPr>
        <w:lastRenderedPageBreak/>
        <w:t>Part 2:</w:t>
      </w:r>
    </w:p>
    <w:p w:rsidR="005C371C" w:rsidRPr="006F521A" w:rsidRDefault="005C371C" w:rsidP="005C371C">
      <w:pPr>
        <w:spacing w:after="0"/>
        <w:rPr>
          <w:rFonts w:ascii="Times New Roman" w:eastAsia="Times New Roman" w:hAnsi="Times New Roman" w:cs="Times New Roman"/>
          <w:b/>
          <w:color w:val="000000"/>
          <w:sz w:val="24"/>
          <w:szCs w:val="24"/>
          <w:lang w:eastAsia="en-GB"/>
        </w:rPr>
      </w:pPr>
      <w:r w:rsidRPr="006F521A">
        <w:rPr>
          <w:rFonts w:ascii="Times New Roman" w:eastAsia="Times New Roman" w:hAnsi="Times New Roman" w:cs="Times New Roman"/>
          <w:b/>
          <w:color w:val="000000"/>
          <w:sz w:val="24"/>
          <w:szCs w:val="24"/>
          <w:lang w:eastAsia="en-GB"/>
        </w:rPr>
        <w:t>Using empirical evidence critically discuss how</w:t>
      </w:r>
      <w:r w:rsidR="006F521A" w:rsidRPr="006F521A">
        <w:rPr>
          <w:rFonts w:ascii="Times New Roman" w:eastAsia="Times New Roman" w:hAnsi="Times New Roman" w:cs="Times New Roman"/>
          <w:b/>
          <w:color w:val="000000"/>
          <w:sz w:val="24"/>
          <w:szCs w:val="24"/>
          <w:lang w:eastAsia="en-GB"/>
        </w:rPr>
        <w:t xml:space="preserve"> </w:t>
      </w:r>
      <w:r w:rsidRPr="006F521A">
        <w:rPr>
          <w:rFonts w:ascii="Times New Roman" w:eastAsia="Times New Roman" w:hAnsi="Times New Roman" w:cs="Times New Roman"/>
          <w:b/>
          <w:color w:val="000000"/>
          <w:sz w:val="24"/>
          <w:szCs w:val="24"/>
          <w:lang w:eastAsia="en-GB"/>
        </w:rPr>
        <w:t>an individual could slow down cognitive decline.</w:t>
      </w:r>
    </w:p>
    <w:p w:rsidR="006F521A" w:rsidRPr="006F521A" w:rsidRDefault="006F521A" w:rsidP="005C371C">
      <w:pPr>
        <w:spacing w:after="0"/>
        <w:rPr>
          <w:rFonts w:ascii="Times New Roman" w:eastAsia="Times New Roman" w:hAnsi="Times New Roman" w:cs="Times New Roman"/>
          <w:b/>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
          <w:bCs/>
          <w:sz w:val="24"/>
          <w:szCs w:val="24"/>
          <w:lang w:eastAsia="en-GB"/>
        </w:rPr>
      </w:pPr>
      <w:r w:rsidRPr="006F521A">
        <w:rPr>
          <w:rFonts w:ascii="Times New Roman" w:eastAsia="Times New Roman" w:hAnsi="Times New Roman" w:cs="Times New Roman"/>
          <w:b/>
          <w:bCs/>
          <w:sz w:val="24"/>
          <w:szCs w:val="24"/>
          <w:lang w:eastAsia="en-GB"/>
        </w:rPr>
        <w:t>"Empirical Insights into Cognitive Resilience: Evaluating Lifestyle, Mental Engagement, and Social Interaction as Strategies to Mitigate Cognitive Decline"</w:t>
      </w:r>
    </w:p>
    <w:p w:rsidR="006F521A" w:rsidRPr="006F521A" w:rsidRDefault="006F521A" w:rsidP="006F521A">
      <w:pPr>
        <w:spacing w:after="0"/>
        <w:textAlignment w:val="baseline"/>
        <w:rPr>
          <w:rFonts w:ascii="Times New Roman" w:eastAsia="Times New Roman" w:hAnsi="Times New Roman" w:cs="Times New Roman"/>
          <w:b/>
          <w:bCs/>
          <w:sz w:val="28"/>
          <w:szCs w:val="28"/>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Cognitive decline is a pregnant concern for aged populations worldwide, causing a critical examination of possible strategies that individuals can employ to effectively reduce this decline. Empirical evidence suggests that lifestyle choices, mental exercises and social engagement significantly influence health and cognitive resilience in older adults. This analysis focuses on these three focal areas, based on empirical studies to elucidate their contributions to cognitive functioning.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The interrelation of lifestyle choices with cognitive health is well documented. Notably Sprague et al. (2019) conducted a systematic review by highlighting the profound impact of </w:t>
      </w:r>
      <w:proofErr w:type="spellStart"/>
      <w:r w:rsidRPr="006F521A">
        <w:rPr>
          <w:rFonts w:ascii="Times New Roman" w:eastAsia="Times New Roman" w:hAnsi="Times New Roman" w:cs="Times New Roman"/>
          <w:bCs/>
          <w:sz w:val="24"/>
          <w:szCs w:val="24"/>
          <w:lang w:eastAsia="en-GB"/>
        </w:rPr>
        <w:t>behavioral</w:t>
      </w:r>
      <w:proofErr w:type="spellEnd"/>
      <w:r w:rsidRPr="006F521A">
        <w:rPr>
          <w:rFonts w:ascii="Times New Roman" w:eastAsia="Times New Roman" w:hAnsi="Times New Roman" w:cs="Times New Roman"/>
          <w:bCs/>
          <w:sz w:val="24"/>
          <w:szCs w:val="24"/>
          <w:lang w:eastAsia="en-GB"/>
        </w:rPr>
        <w:t xml:space="preserve"> interventions on cognitive function in healthy older adults. These interventions usually cover dietary modifications, physical activity and sleep hygiene, which can contribute to better cognitive results. For example, cognitive function is closely linked to cardiovascular health, suggesting that a healthy heart diet could play an essential role in preserving cognitive skills (</w:t>
      </w:r>
      <w:proofErr w:type="spellStart"/>
      <w:r w:rsidRPr="006F521A">
        <w:rPr>
          <w:rFonts w:ascii="Times New Roman" w:eastAsia="Times New Roman" w:hAnsi="Times New Roman" w:cs="Times New Roman"/>
          <w:bCs/>
          <w:sz w:val="24"/>
          <w:szCs w:val="24"/>
          <w:lang w:eastAsia="en-GB"/>
        </w:rPr>
        <w:t>Mulkey</w:t>
      </w:r>
      <w:proofErr w:type="spellEnd"/>
      <w:r w:rsidRPr="006F521A">
        <w:rPr>
          <w:rFonts w:ascii="Times New Roman" w:eastAsia="Times New Roman" w:hAnsi="Times New Roman" w:cs="Times New Roman"/>
          <w:bCs/>
          <w:sz w:val="24"/>
          <w:szCs w:val="24"/>
          <w:lang w:eastAsia="en-GB"/>
        </w:rPr>
        <w:t xml:space="preserve"> et al., 2023). Such food strategies not only mitigate risk factors associated with cognitive decline, but also promote general well-being.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Physical activity is also an evidenced primordial lifestyle choice to protect cognitive function. Increased aerobic exercise has been associated with improvements in executive function and memory retention among older adults. Fechner, </w:t>
      </w:r>
      <w:proofErr w:type="spellStart"/>
      <w:r w:rsidRPr="006F521A">
        <w:rPr>
          <w:rFonts w:ascii="Times New Roman" w:eastAsia="Times New Roman" w:hAnsi="Times New Roman" w:cs="Times New Roman"/>
          <w:bCs/>
          <w:sz w:val="24"/>
          <w:szCs w:val="24"/>
          <w:lang w:eastAsia="en-GB"/>
        </w:rPr>
        <w:t>Pachur</w:t>
      </w:r>
      <w:proofErr w:type="spellEnd"/>
      <w:r w:rsidRPr="006F521A">
        <w:rPr>
          <w:rFonts w:ascii="Times New Roman" w:eastAsia="Times New Roman" w:hAnsi="Times New Roman" w:cs="Times New Roman"/>
          <w:bCs/>
          <w:sz w:val="24"/>
          <w:szCs w:val="24"/>
          <w:lang w:eastAsia="en-GB"/>
        </w:rPr>
        <w:t xml:space="preserve"> and </w:t>
      </w:r>
      <w:proofErr w:type="spellStart"/>
      <w:r w:rsidRPr="006F521A">
        <w:rPr>
          <w:rFonts w:ascii="Times New Roman" w:eastAsia="Times New Roman" w:hAnsi="Times New Roman" w:cs="Times New Roman"/>
          <w:bCs/>
          <w:sz w:val="24"/>
          <w:szCs w:val="24"/>
          <w:lang w:eastAsia="en-GB"/>
        </w:rPr>
        <w:t>Schooler</w:t>
      </w:r>
      <w:proofErr w:type="spellEnd"/>
      <w:r w:rsidRPr="006F521A">
        <w:rPr>
          <w:rFonts w:ascii="Times New Roman" w:eastAsia="Times New Roman" w:hAnsi="Times New Roman" w:cs="Times New Roman"/>
          <w:bCs/>
          <w:sz w:val="24"/>
          <w:szCs w:val="24"/>
          <w:lang w:eastAsia="en-GB"/>
        </w:rPr>
        <w:t xml:space="preserve"> (2019) emphasize that regular physical activity can improve </w:t>
      </w:r>
      <w:proofErr w:type="spellStart"/>
      <w:r w:rsidRPr="006F521A">
        <w:rPr>
          <w:rFonts w:ascii="Times New Roman" w:eastAsia="Times New Roman" w:hAnsi="Times New Roman" w:cs="Times New Roman"/>
          <w:bCs/>
          <w:sz w:val="24"/>
          <w:szCs w:val="24"/>
          <w:lang w:eastAsia="en-GB"/>
        </w:rPr>
        <w:t>neuroplasticity</w:t>
      </w:r>
      <w:proofErr w:type="spellEnd"/>
      <w:r w:rsidRPr="006F521A">
        <w:rPr>
          <w:rFonts w:ascii="Times New Roman" w:eastAsia="Times New Roman" w:hAnsi="Times New Roman" w:cs="Times New Roman"/>
          <w:bCs/>
          <w:sz w:val="24"/>
          <w:szCs w:val="24"/>
          <w:lang w:eastAsia="en-GB"/>
        </w:rPr>
        <w:t xml:space="preserve"> and cognitive flexibility, leading to better decision making skills as ages. Notably, studies show that the elderly involving moderate intensity exercises experience a decrease in cognitive decline rate compared to sedentary counterparts, reinforcing the potential preventive role of a physically active lifestyle.</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In addition, sleep quality has become a crucial subject of research on cognitive health. Fisher, Chacon and </w:t>
      </w:r>
      <w:proofErr w:type="spellStart"/>
      <w:r w:rsidRPr="006F521A">
        <w:rPr>
          <w:rFonts w:ascii="Times New Roman" w:eastAsia="Times New Roman" w:hAnsi="Times New Roman" w:cs="Times New Roman"/>
          <w:bCs/>
          <w:sz w:val="24"/>
          <w:szCs w:val="24"/>
          <w:lang w:eastAsia="en-GB"/>
        </w:rPr>
        <w:t>Chaffe</w:t>
      </w:r>
      <w:proofErr w:type="spellEnd"/>
      <w:r w:rsidRPr="006F521A">
        <w:rPr>
          <w:rFonts w:ascii="Times New Roman" w:eastAsia="Times New Roman" w:hAnsi="Times New Roman" w:cs="Times New Roman"/>
          <w:bCs/>
          <w:sz w:val="24"/>
          <w:szCs w:val="24"/>
          <w:lang w:eastAsia="en-GB"/>
        </w:rPr>
        <w:t xml:space="preserve"> (2019) articulate theories that bind sleep patterns to an acceleration in cognitive aging processes. Interventions aimed at improving sleep hygiene have been promising to mitigate these effects, emphasize the importance of regular sleep patterns and enough rest in maintaining cognitive acuity.</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Parallel to lifestyle interventions, mental exercises also constitute a critical approach to reducing cognitive decline. Cognitive training programs designed to improve specific cognitive skills have gained prominence. LIN et al. (2022) highlighted the effectiveness of TARV -based interventions, which encourage creative thinking and problem solving skills among older adults with mild cognitive impairment. These programs not only provide mental </w:t>
      </w:r>
      <w:r w:rsidRPr="006F521A">
        <w:rPr>
          <w:rFonts w:ascii="Times New Roman" w:eastAsia="Times New Roman" w:hAnsi="Times New Roman" w:cs="Times New Roman"/>
          <w:bCs/>
          <w:sz w:val="24"/>
          <w:szCs w:val="24"/>
          <w:lang w:eastAsia="en-GB"/>
        </w:rPr>
        <w:lastRenderedPageBreak/>
        <w:t>stimulation, but also facilitate emotional expression, which can play a key role in psychological well-being.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More traditional forms of cognitive training, such as breach -boat and memory games, were also studied extensively. The findings of Tyner et al. (2024) indicate that involvement in challenging cognitive tasks can improve neural efficiency, thus preserving cognitive function. It is important to emphasize that these activities need to be properly challenging and varied to maintain engagement and promote intellectual growth (Kim &amp; Hwang, 2024).</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In addition, social engagement emerges as a critical factor that influences cognitive longevity. Social interactions serve to stimulate cognitive processes and provide emotional support, which are beneficial to maintain cognitive health. The role of socialization is illustrated by Sharma, </w:t>
      </w:r>
      <w:proofErr w:type="spellStart"/>
      <w:r w:rsidRPr="006F521A">
        <w:rPr>
          <w:rFonts w:ascii="Times New Roman" w:eastAsia="Times New Roman" w:hAnsi="Times New Roman" w:cs="Times New Roman"/>
          <w:bCs/>
          <w:sz w:val="24"/>
          <w:szCs w:val="24"/>
          <w:lang w:eastAsia="en-GB"/>
        </w:rPr>
        <w:t>Chern</w:t>
      </w:r>
      <w:proofErr w:type="spellEnd"/>
      <w:r w:rsidRPr="006F521A">
        <w:rPr>
          <w:rFonts w:ascii="Times New Roman" w:eastAsia="Times New Roman" w:hAnsi="Times New Roman" w:cs="Times New Roman"/>
          <w:bCs/>
          <w:sz w:val="24"/>
          <w:szCs w:val="24"/>
          <w:lang w:eastAsia="en-GB"/>
        </w:rPr>
        <w:t xml:space="preserve"> and </w:t>
      </w:r>
      <w:proofErr w:type="spellStart"/>
      <w:r w:rsidRPr="006F521A">
        <w:rPr>
          <w:rFonts w:ascii="Times New Roman" w:eastAsia="Times New Roman" w:hAnsi="Times New Roman" w:cs="Times New Roman"/>
          <w:bCs/>
          <w:sz w:val="24"/>
          <w:szCs w:val="24"/>
          <w:lang w:eastAsia="en-GB"/>
        </w:rPr>
        <w:t>Golub</w:t>
      </w:r>
      <w:proofErr w:type="spellEnd"/>
      <w:r w:rsidRPr="006F521A">
        <w:rPr>
          <w:rFonts w:ascii="Times New Roman" w:eastAsia="Times New Roman" w:hAnsi="Times New Roman" w:cs="Times New Roman"/>
          <w:bCs/>
          <w:sz w:val="24"/>
          <w:szCs w:val="24"/>
          <w:lang w:eastAsia="en-GB"/>
        </w:rPr>
        <w:t xml:space="preserve"> (2021), who claim that lack of social interaction is a significant predictor of cognitive decline and associated depressive symptoms. As such, promoting social connections through community involvement or group activities can provide a valuable damper against cognitive deterioration.</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Kim and Hwang (2024) deepen the bidirectional effects of social relations on cognitive health, revealing that not only involvement in social activities promotes cognitive resilience, but cognitive decline can in turn interactions. This reciprocal relationship emphasizes the importance of maintaining an active social life as a preventive strategy against cognitive commitment.</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Also, Lin et al. (2020) illustrate the potential of non -traditional social engagement strategies, such as creative stories based on expressive arts, promoting cognitive flexibility among older adults with mild cognitive impairment. Its findings emphasize the importance of innovation and creativity in social engagement, which can lead to better cognitive results while enriching social experiences.</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 xml:space="preserve">The integration of these </w:t>
      </w:r>
      <w:proofErr w:type="spellStart"/>
      <w:r w:rsidRPr="006F521A">
        <w:rPr>
          <w:rFonts w:ascii="Times New Roman" w:eastAsia="Times New Roman" w:hAnsi="Times New Roman" w:cs="Times New Roman"/>
          <w:bCs/>
          <w:sz w:val="24"/>
          <w:szCs w:val="24"/>
          <w:lang w:eastAsia="en-GB"/>
        </w:rPr>
        <w:t>behavioral</w:t>
      </w:r>
      <w:proofErr w:type="spellEnd"/>
      <w:r w:rsidRPr="006F521A">
        <w:rPr>
          <w:rFonts w:ascii="Times New Roman" w:eastAsia="Times New Roman" w:hAnsi="Times New Roman" w:cs="Times New Roman"/>
          <w:bCs/>
          <w:sz w:val="24"/>
          <w:szCs w:val="24"/>
          <w:lang w:eastAsia="en-GB"/>
        </w:rPr>
        <w:t xml:space="preserve"> and cognitive strategies can produce synergistic effects on cognitive health. Multimodal interventions that combine physical, cognitive and social activities have shown substantial promises in protection against cognitive decline. As described by </w:t>
      </w:r>
      <w:proofErr w:type="spellStart"/>
      <w:r w:rsidRPr="006F521A">
        <w:rPr>
          <w:rFonts w:ascii="Times New Roman" w:eastAsia="Times New Roman" w:hAnsi="Times New Roman" w:cs="Times New Roman"/>
          <w:bCs/>
          <w:sz w:val="24"/>
          <w:szCs w:val="24"/>
          <w:lang w:eastAsia="en-GB"/>
        </w:rPr>
        <w:t>Mulkey</w:t>
      </w:r>
      <w:proofErr w:type="spellEnd"/>
      <w:r w:rsidRPr="006F521A">
        <w:rPr>
          <w:rFonts w:ascii="Times New Roman" w:eastAsia="Times New Roman" w:hAnsi="Times New Roman" w:cs="Times New Roman"/>
          <w:bCs/>
          <w:sz w:val="24"/>
          <w:szCs w:val="24"/>
          <w:lang w:eastAsia="en-GB"/>
        </w:rPr>
        <w:t xml:space="preserve"> et al. (2023), comprehensive approaches that address various lifestyle factors are more effective than isolated strategies. These integrated programs not only promote cognitive involvement, but also increase the general satisfaction of life and emotional well-being.</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However, it is essential to consider individual variability in the effectiveness of these strategies. Factors such as pre-existing health conditions, genetic predispositions and personal preferences may influence the degree to which individuals benefit from specific interventions. In this sense, personalized approaches that take into account personal circumstances and preferences can improve long -term adherence and effectiveness of cognitive improvement strategies (Cui et al., 2024).</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lastRenderedPageBreak/>
        <w:t>In addition, as the field continues to evolve, research ongoing and rigorous research is needed to develop evidence -based recommendations that inform the practice and guide individuals in their search for cognitive health. Future studies should focus on longitudinal evaluations to elucidate the long -term benefits of lifestyle changes, mental exercises and social engagement in cognitive decline, as well as examining the underlying mechanisms that contribute to the observed results.</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t>In conclusion, individuals seeking to reduce cognitive decline can benefit from a multifaceted approach that incorporates healthy lifestyle choices, mental exercises and social engagement. Empirical evidence emphasizes the importance of these strategies, portraying them as complementary dimensions in the protection of cognitive health. It is involved in regular physical activity, maintaining the cognitive challenge through mental exercises and promoting significant social connections serve as fundamental elements in the preservation of cognitive function in the aging of the population. The continuous emphasis on research and public health initiatives that promotes these strategies is essential to enable individuals to take care of their cognitive health, leading to improving the quality of life of the elderly.</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8"/>
          <w:szCs w:val="28"/>
          <w:lang w:eastAsia="en-GB"/>
        </w:rPr>
      </w:pPr>
    </w:p>
    <w:p w:rsidR="006F521A" w:rsidRDefault="006F521A" w:rsidP="006F521A">
      <w:pPr>
        <w:spacing w:after="0"/>
        <w:textAlignment w:val="baseline"/>
        <w:rPr>
          <w:rFonts w:ascii="Times New Roman" w:eastAsia="Times New Roman" w:hAnsi="Times New Roman" w:cs="Times New Roman"/>
          <w:bCs/>
          <w:sz w:val="24"/>
          <w:szCs w:val="24"/>
          <w:lang w:eastAsia="en-GB"/>
        </w:rPr>
      </w:pPr>
      <w:r w:rsidRPr="006F521A">
        <w:rPr>
          <w:rFonts w:ascii="Times New Roman" w:eastAsia="Times New Roman" w:hAnsi="Times New Roman" w:cs="Times New Roman"/>
          <w:bCs/>
          <w:sz w:val="24"/>
          <w:szCs w:val="24"/>
          <w:lang w:eastAsia="en-GB"/>
        </w:rPr>
        <w:lastRenderedPageBreak/>
        <w:t>Reference:</w:t>
      </w:r>
    </w:p>
    <w:p w:rsidR="006245C7" w:rsidRDefault="006245C7" w:rsidP="006F521A">
      <w:pPr>
        <w:spacing w:after="0"/>
        <w:textAlignment w:val="baseline"/>
        <w:rPr>
          <w:rFonts w:ascii="Times New Roman" w:eastAsia="Times New Roman" w:hAnsi="Times New Roman" w:cs="Times New Roman"/>
          <w:bCs/>
          <w:sz w:val="24"/>
          <w:szCs w:val="24"/>
          <w:lang w:eastAsia="en-GB"/>
        </w:rPr>
      </w:pP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Cui, X., </w:t>
      </w:r>
      <w:proofErr w:type="spellStart"/>
      <w:r w:rsidRPr="006245C7">
        <w:rPr>
          <w:rFonts w:ascii="Times New Roman" w:eastAsia="Times New Roman" w:hAnsi="Times New Roman" w:cs="Times New Roman"/>
          <w:bCs/>
          <w:sz w:val="24"/>
          <w:szCs w:val="24"/>
          <w:lang w:eastAsia="en-GB"/>
        </w:rPr>
        <w:t>Xue</w:t>
      </w:r>
      <w:proofErr w:type="spellEnd"/>
      <w:r w:rsidRPr="006245C7">
        <w:rPr>
          <w:rFonts w:ascii="Times New Roman" w:eastAsia="Times New Roman" w:hAnsi="Times New Roman" w:cs="Times New Roman"/>
          <w:bCs/>
          <w:sz w:val="24"/>
          <w:szCs w:val="24"/>
          <w:lang w:eastAsia="en-GB"/>
        </w:rPr>
        <w:t xml:space="preserve">, T., Zhang, Z., Yang, H., &amp; </w:t>
      </w:r>
      <w:proofErr w:type="spellStart"/>
      <w:r w:rsidRPr="006245C7">
        <w:rPr>
          <w:rFonts w:ascii="Times New Roman" w:eastAsia="Times New Roman" w:hAnsi="Times New Roman" w:cs="Times New Roman"/>
          <w:bCs/>
          <w:sz w:val="24"/>
          <w:szCs w:val="24"/>
          <w:lang w:eastAsia="en-GB"/>
        </w:rPr>
        <w:t>Ren</w:t>
      </w:r>
      <w:proofErr w:type="spellEnd"/>
      <w:r w:rsidRPr="006245C7">
        <w:rPr>
          <w:rFonts w:ascii="Times New Roman" w:eastAsia="Times New Roman" w:hAnsi="Times New Roman" w:cs="Times New Roman"/>
          <w:bCs/>
          <w:sz w:val="24"/>
          <w:szCs w:val="24"/>
          <w:lang w:eastAsia="en-GB"/>
        </w:rPr>
        <w:t xml:space="preserve">, Y. (2024). A </w:t>
      </w:r>
      <w:proofErr w:type="spellStart"/>
      <w:r w:rsidRPr="006245C7">
        <w:rPr>
          <w:rFonts w:ascii="Times New Roman" w:eastAsia="Times New Roman" w:hAnsi="Times New Roman" w:cs="Times New Roman"/>
          <w:bCs/>
          <w:sz w:val="24"/>
          <w:szCs w:val="24"/>
          <w:lang w:eastAsia="en-GB"/>
        </w:rPr>
        <w:t>bibliometric</w:t>
      </w:r>
      <w:proofErr w:type="spellEnd"/>
      <w:r w:rsidRPr="006245C7">
        <w:rPr>
          <w:rFonts w:ascii="Times New Roman" w:eastAsia="Times New Roman" w:hAnsi="Times New Roman" w:cs="Times New Roman"/>
          <w:bCs/>
          <w:sz w:val="24"/>
          <w:szCs w:val="24"/>
          <w:lang w:eastAsia="en-GB"/>
        </w:rPr>
        <w:t xml:space="preserve"> and visual analysis of cognitive function in bipolar disorder from 2012 to 2022. Annals of General Psychiatry, 23(1), 13.</w:t>
      </w:r>
    </w:p>
    <w:p w:rsidR="006F521A" w:rsidRPr="006245C7" w:rsidRDefault="006F521A"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Fechner, H. B., </w:t>
      </w:r>
      <w:proofErr w:type="spellStart"/>
      <w:r w:rsidRPr="006245C7">
        <w:rPr>
          <w:rFonts w:ascii="Times New Roman" w:eastAsia="Times New Roman" w:hAnsi="Times New Roman" w:cs="Times New Roman"/>
          <w:bCs/>
          <w:sz w:val="24"/>
          <w:szCs w:val="24"/>
          <w:lang w:eastAsia="en-GB"/>
        </w:rPr>
        <w:t>Pachur</w:t>
      </w:r>
      <w:proofErr w:type="spellEnd"/>
      <w:r w:rsidRPr="006245C7">
        <w:rPr>
          <w:rFonts w:ascii="Times New Roman" w:eastAsia="Times New Roman" w:hAnsi="Times New Roman" w:cs="Times New Roman"/>
          <w:bCs/>
          <w:sz w:val="24"/>
          <w:szCs w:val="24"/>
          <w:lang w:eastAsia="en-GB"/>
        </w:rPr>
        <w:t xml:space="preserve">, T., &amp; </w:t>
      </w:r>
      <w:proofErr w:type="spellStart"/>
      <w:r w:rsidRPr="006245C7">
        <w:rPr>
          <w:rFonts w:ascii="Times New Roman" w:eastAsia="Times New Roman" w:hAnsi="Times New Roman" w:cs="Times New Roman"/>
          <w:bCs/>
          <w:sz w:val="24"/>
          <w:szCs w:val="24"/>
          <w:lang w:eastAsia="en-GB"/>
        </w:rPr>
        <w:t>Schooler</w:t>
      </w:r>
      <w:proofErr w:type="spellEnd"/>
      <w:r w:rsidRPr="006245C7">
        <w:rPr>
          <w:rFonts w:ascii="Times New Roman" w:eastAsia="Times New Roman" w:hAnsi="Times New Roman" w:cs="Times New Roman"/>
          <w:bCs/>
          <w:sz w:val="24"/>
          <w:szCs w:val="24"/>
          <w:lang w:eastAsia="en-GB"/>
        </w:rPr>
        <w:t>, L. J. (2019). How does aging impact decision making? The contribution of cognitive decline and strategic compensation revealed in a cognitive architecture. Journal of experimental psychology: learning, memory, and cognition, 45(9), 1634.</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Fisher, G. G., Chacon, M., &amp; Chaffee, D. S. (2019). Theories of cognitive aging and work. In Work across the lifespan (pp. 17-45). Academic press.</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Kim, J., &amp; Hwang, S. (2024). The asymmetric effects of improving and declining marital satisfaction on cognitive function. Journal of Marriage and Family.</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Lin, R., Yan, Y. J., Zhou, Y., </w:t>
      </w:r>
      <w:proofErr w:type="spellStart"/>
      <w:r w:rsidRPr="006245C7">
        <w:rPr>
          <w:rFonts w:ascii="Times New Roman" w:eastAsia="Times New Roman" w:hAnsi="Times New Roman" w:cs="Times New Roman"/>
          <w:bCs/>
          <w:sz w:val="24"/>
          <w:szCs w:val="24"/>
          <w:lang w:eastAsia="en-GB"/>
        </w:rPr>
        <w:t>Luo</w:t>
      </w:r>
      <w:proofErr w:type="spellEnd"/>
      <w:r w:rsidRPr="006245C7">
        <w:rPr>
          <w:rFonts w:ascii="Times New Roman" w:eastAsia="Times New Roman" w:hAnsi="Times New Roman" w:cs="Times New Roman"/>
          <w:bCs/>
          <w:sz w:val="24"/>
          <w:szCs w:val="24"/>
          <w:lang w:eastAsia="en-GB"/>
        </w:rPr>
        <w:t xml:space="preserve">, Y. T., </w:t>
      </w:r>
      <w:proofErr w:type="spellStart"/>
      <w:r w:rsidRPr="006245C7">
        <w:rPr>
          <w:rFonts w:ascii="Times New Roman" w:eastAsia="Times New Roman" w:hAnsi="Times New Roman" w:cs="Times New Roman"/>
          <w:bCs/>
          <w:sz w:val="24"/>
          <w:szCs w:val="24"/>
          <w:lang w:eastAsia="en-GB"/>
        </w:rPr>
        <w:t>Cai</w:t>
      </w:r>
      <w:proofErr w:type="spellEnd"/>
      <w:r w:rsidRPr="006245C7">
        <w:rPr>
          <w:rFonts w:ascii="Times New Roman" w:eastAsia="Times New Roman" w:hAnsi="Times New Roman" w:cs="Times New Roman"/>
          <w:bCs/>
          <w:sz w:val="24"/>
          <w:szCs w:val="24"/>
          <w:lang w:eastAsia="en-GB"/>
        </w:rPr>
        <w:t>, Z. Z., Zhu, K. Y., &amp; Li, H. (2020). Effects of Creative Expressive Arts-based Storytelling (</w:t>
      </w:r>
      <w:proofErr w:type="spellStart"/>
      <w:r w:rsidRPr="006245C7">
        <w:rPr>
          <w:rFonts w:ascii="Times New Roman" w:eastAsia="Times New Roman" w:hAnsi="Times New Roman" w:cs="Times New Roman"/>
          <w:bCs/>
          <w:sz w:val="24"/>
          <w:szCs w:val="24"/>
          <w:lang w:eastAsia="en-GB"/>
        </w:rPr>
        <w:t>CrEAS</w:t>
      </w:r>
      <w:proofErr w:type="spellEnd"/>
      <w:r w:rsidRPr="006245C7">
        <w:rPr>
          <w:rFonts w:ascii="Times New Roman" w:eastAsia="Times New Roman" w:hAnsi="Times New Roman" w:cs="Times New Roman"/>
          <w:bCs/>
          <w:sz w:val="24"/>
          <w:szCs w:val="24"/>
          <w:lang w:eastAsia="en-GB"/>
        </w:rPr>
        <w:t>) programme on older adults with mild cognitive impairment: protocol for a randomised, controlled three-arm trial. BMJ open, 10(11), e036915.</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Lin, R., </w:t>
      </w:r>
      <w:proofErr w:type="spellStart"/>
      <w:r w:rsidRPr="006245C7">
        <w:rPr>
          <w:rFonts w:ascii="Times New Roman" w:eastAsia="Times New Roman" w:hAnsi="Times New Roman" w:cs="Times New Roman"/>
          <w:bCs/>
          <w:sz w:val="24"/>
          <w:szCs w:val="24"/>
          <w:lang w:eastAsia="en-GB"/>
        </w:rPr>
        <w:t>Luo</w:t>
      </w:r>
      <w:proofErr w:type="spellEnd"/>
      <w:r w:rsidRPr="006245C7">
        <w:rPr>
          <w:rFonts w:ascii="Times New Roman" w:eastAsia="Times New Roman" w:hAnsi="Times New Roman" w:cs="Times New Roman"/>
          <w:bCs/>
          <w:sz w:val="24"/>
          <w:szCs w:val="24"/>
          <w:lang w:eastAsia="en-GB"/>
        </w:rPr>
        <w:t>, Y. T., Yan, Y. J., Huang, C. S., Chen, L. L., Chen, M. F., ... &amp; Li, H. (2022). Effects of an art-based intervention in older adults with mild cognitive impairment: a randomised controll</w:t>
      </w:r>
      <w:r w:rsidRPr="006245C7">
        <w:rPr>
          <w:rFonts w:ascii="Times New Roman" w:eastAsia="Times New Roman" w:hAnsi="Times New Roman" w:cs="Times New Roman"/>
          <w:b/>
          <w:bCs/>
          <w:sz w:val="24"/>
          <w:szCs w:val="24"/>
          <w:lang w:eastAsia="en-GB"/>
        </w:rPr>
        <w:t xml:space="preserve">ed </w:t>
      </w:r>
      <w:r w:rsidRPr="006245C7">
        <w:rPr>
          <w:rFonts w:ascii="Times New Roman" w:eastAsia="Times New Roman" w:hAnsi="Times New Roman" w:cs="Times New Roman"/>
          <w:bCs/>
          <w:sz w:val="24"/>
          <w:szCs w:val="24"/>
          <w:lang w:eastAsia="en-GB"/>
        </w:rPr>
        <w:t>trial. Age and Ageing, 51(7), afac144.</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proofErr w:type="spellStart"/>
      <w:r w:rsidRPr="006245C7">
        <w:rPr>
          <w:rFonts w:ascii="Times New Roman" w:eastAsia="Times New Roman" w:hAnsi="Times New Roman" w:cs="Times New Roman"/>
          <w:bCs/>
          <w:sz w:val="24"/>
          <w:szCs w:val="24"/>
          <w:lang w:eastAsia="en-GB"/>
        </w:rPr>
        <w:t>Mulkey</w:t>
      </w:r>
      <w:proofErr w:type="spellEnd"/>
      <w:r w:rsidRPr="006245C7">
        <w:rPr>
          <w:rFonts w:ascii="Times New Roman" w:eastAsia="Times New Roman" w:hAnsi="Times New Roman" w:cs="Times New Roman"/>
          <w:bCs/>
          <w:sz w:val="24"/>
          <w:szCs w:val="24"/>
          <w:lang w:eastAsia="en-GB"/>
        </w:rPr>
        <w:t xml:space="preserve">, M. A., Smith, A. B., </w:t>
      </w:r>
      <w:proofErr w:type="spellStart"/>
      <w:r w:rsidRPr="006245C7">
        <w:rPr>
          <w:rFonts w:ascii="Times New Roman" w:eastAsia="Times New Roman" w:hAnsi="Times New Roman" w:cs="Times New Roman"/>
          <w:bCs/>
          <w:sz w:val="24"/>
          <w:szCs w:val="24"/>
          <w:lang w:eastAsia="en-GB"/>
        </w:rPr>
        <w:t>Wion</w:t>
      </w:r>
      <w:proofErr w:type="spellEnd"/>
      <w:r w:rsidRPr="006245C7">
        <w:rPr>
          <w:rFonts w:ascii="Times New Roman" w:eastAsia="Times New Roman" w:hAnsi="Times New Roman" w:cs="Times New Roman"/>
          <w:bCs/>
          <w:sz w:val="24"/>
          <w:szCs w:val="24"/>
          <w:lang w:eastAsia="en-GB"/>
        </w:rPr>
        <w:t xml:space="preserve">, R. K., House, S. L., &amp; </w:t>
      </w:r>
      <w:proofErr w:type="spellStart"/>
      <w:r w:rsidRPr="006245C7">
        <w:rPr>
          <w:rFonts w:ascii="Times New Roman" w:eastAsia="Times New Roman" w:hAnsi="Times New Roman" w:cs="Times New Roman"/>
          <w:bCs/>
          <w:sz w:val="24"/>
          <w:szCs w:val="24"/>
          <w:lang w:eastAsia="en-GB"/>
        </w:rPr>
        <w:t>Wierenga</w:t>
      </w:r>
      <w:proofErr w:type="spellEnd"/>
      <w:r w:rsidRPr="006245C7">
        <w:rPr>
          <w:rFonts w:ascii="Times New Roman" w:eastAsia="Times New Roman" w:hAnsi="Times New Roman" w:cs="Times New Roman"/>
          <w:bCs/>
          <w:sz w:val="24"/>
          <w:szCs w:val="24"/>
          <w:lang w:eastAsia="en-GB"/>
        </w:rPr>
        <w:t xml:space="preserve">, K. L. (2023). </w:t>
      </w:r>
      <w:proofErr w:type="spellStart"/>
      <w:r w:rsidRPr="006245C7">
        <w:rPr>
          <w:rFonts w:ascii="Times New Roman" w:eastAsia="Times New Roman" w:hAnsi="Times New Roman" w:cs="Times New Roman"/>
          <w:bCs/>
          <w:sz w:val="24"/>
          <w:szCs w:val="24"/>
          <w:lang w:eastAsia="en-GB"/>
        </w:rPr>
        <w:t>Nonpharmacological</w:t>
      </w:r>
      <w:proofErr w:type="spellEnd"/>
      <w:r w:rsidRPr="006245C7">
        <w:rPr>
          <w:rFonts w:ascii="Times New Roman" w:eastAsia="Times New Roman" w:hAnsi="Times New Roman" w:cs="Times New Roman"/>
          <w:bCs/>
          <w:sz w:val="24"/>
          <w:szCs w:val="24"/>
          <w:lang w:eastAsia="en-GB"/>
        </w:rPr>
        <w:t xml:space="preserve"> Cognitive Impairment Prevention Interventions in Older Adults Undergoing Cardiac Surgery: A Systematic Review. Journal of Cardiovascular Nursing, 38(5), E165-E177.</w:t>
      </w:r>
    </w:p>
    <w:p w:rsidR="006F521A" w:rsidRPr="006245C7" w:rsidRDefault="006F521A"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Sprague, B. N., Freed, S. A., Webb, C. E., Phillips, C. B., Hyun, J., &amp; Ross, L. A. (2019). The impact of </w:t>
      </w:r>
      <w:proofErr w:type="spellStart"/>
      <w:r w:rsidRPr="006245C7">
        <w:rPr>
          <w:rFonts w:ascii="Times New Roman" w:eastAsia="Times New Roman" w:hAnsi="Times New Roman" w:cs="Times New Roman"/>
          <w:bCs/>
          <w:sz w:val="24"/>
          <w:szCs w:val="24"/>
          <w:lang w:eastAsia="en-GB"/>
        </w:rPr>
        <w:t>behavioral</w:t>
      </w:r>
      <w:proofErr w:type="spellEnd"/>
      <w:r w:rsidRPr="006245C7">
        <w:rPr>
          <w:rFonts w:ascii="Times New Roman" w:eastAsia="Times New Roman" w:hAnsi="Times New Roman" w:cs="Times New Roman"/>
          <w:bCs/>
          <w:sz w:val="24"/>
          <w:szCs w:val="24"/>
          <w:lang w:eastAsia="en-GB"/>
        </w:rPr>
        <w:t xml:space="preserve"> interventions on cognitive function in healthy older adults: A systematic review. Ageing research reviews, 52, 32-52.</w:t>
      </w:r>
    </w:p>
    <w:p w:rsidR="006245C7" w:rsidRPr="006245C7" w:rsidRDefault="006245C7"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Sharma, R. K., </w:t>
      </w:r>
      <w:proofErr w:type="spellStart"/>
      <w:r w:rsidRPr="006245C7">
        <w:rPr>
          <w:rFonts w:ascii="Times New Roman" w:eastAsia="Times New Roman" w:hAnsi="Times New Roman" w:cs="Times New Roman"/>
          <w:bCs/>
          <w:sz w:val="24"/>
          <w:szCs w:val="24"/>
          <w:lang w:eastAsia="en-GB"/>
        </w:rPr>
        <w:t>Chern</w:t>
      </w:r>
      <w:proofErr w:type="spellEnd"/>
      <w:r w:rsidRPr="006245C7">
        <w:rPr>
          <w:rFonts w:ascii="Times New Roman" w:eastAsia="Times New Roman" w:hAnsi="Times New Roman" w:cs="Times New Roman"/>
          <w:bCs/>
          <w:sz w:val="24"/>
          <w:szCs w:val="24"/>
          <w:lang w:eastAsia="en-GB"/>
        </w:rPr>
        <w:t xml:space="preserve">, A., &amp; </w:t>
      </w:r>
      <w:proofErr w:type="spellStart"/>
      <w:r w:rsidRPr="006245C7">
        <w:rPr>
          <w:rFonts w:ascii="Times New Roman" w:eastAsia="Times New Roman" w:hAnsi="Times New Roman" w:cs="Times New Roman"/>
          <w:bCs/>
          <w:sz w:val="24"/>
          <w:szCs w:val="24"/>
          <w:lang w:eastAsia="en-GB"/>
        </w:rPr>
        <w:t>Golub</w:t>
      </w:r>
      <w:proofErr w:type="spellEnd"/>
      <w:r w:rsidRPr="006245C7">
        <w:rPr>
          <w:rFonts w:ascii="Times New Roman" w:eastAsia="Times New Roman" w:hAnsi="Times New Roman" w:cs="Times New Roman"/>
          <w:bCs/>
          <w:sz w:val="24"/>
          <w:szCs w:val="24"/>
          <w:lang w:eastAsia="en-GB"/>
        </w:rPr>
        <w:t xml:space="preserve">, J. S. (2021, February). Age-related hearing loss and the development of cognitive impairment and late-life depression: a scoping overview. In Seminars in Hearing (Vol. 42, No. 01, pp. 010-025). </w:t>
      </w:r>
      <w:proofErr w:type="spellStart"/>
      <w:r w:rsidRPr="006245C7">
        <w:rPr>
          <w:rFonts w:ascii="Times New Roman" w:eastAsia="Times New Roman" w:hAnsi="Times New Roman" w:cs="Times New Roman"/>
          <w:bCs/>
          <w:sz w:val="24"/>
          <w:szCs w:val="24"/>
          <w:lang w:eastAsia="en-GB"/>
        </w:rPr>
        <w:t>Thieme</w:t>
      </w:r>
      <w:proofErr w:type="spellEnd"/>
      <w:r w:rsidRPr="006245C7">
        <w:rPr>
          <w:rFonts w:ascii="Times New Roman" w:eastAsia="Times New Roman" w:hAnsi="Times New Roman" w:cs="Times New Roman"/>
          <w:bCs/>
          <w:sz w:val="24"/>
          <w:szCs w:val="24"/>
          <w:lang w:eastAsia="en-GB"/>
        </w:rPr>
        <w:t xml:space="preserve"> Medical Publishers, Inc..</w:t>
      </w:r>
    </w:p>
    <w:p w:rsidR="006F521A" w:rsidRPr="006245C7" w:rsidRDefault="006F521A" w:rsidP="006245C7">
      <w:pPr>
        <w:pStyle w:val="Akapitzlist"/>
        <w:numPr>
          <w:ilvl w:val="0"/>
          <w:numId w:val="2"/>
        </w:numPr>
        <w:spacing w:after="0"/>
        <w:textAlignment w:val="baseline"/>
        <w:rPr>
          <w:rFonts w:ascii="Times New Roman" w:eastAsia="Times New Roman" w:hAnsi="Times New Roman" w:cs="Times New Roman"/>
          <w:bCs/>
          <w:sz w:val="24"/>
          <w:szCs w:val="24"/>
          <w:lang w:eastAsia="en-GB"/>
        </w:rPr>
      </w:pPr>
      <w:r w:rsidRPr="006245C7">
        <w:rPr>
          <w:rFonts w:ascii="Times New Roman" w:eastAsia="Times New Roman" w:hAnsi="Times New Roman" w:cs="Times New Roman"/>
          <w:bCs/>
          <w:sz w:val="24"/>
          <w:szCs w:val="24"/>
          <w:lang w:eastAsia="en-GB"/>
        </w:rPr>
        <w:t xml:space="preserve">Tyner, C. E., </w:t>
      </w:r>
      <w:proofErr w:type="spellStart"/>
      <w:r w:rsidRPr="006245C7">
        <w:rPr>
          <w:rFonts w:ascii="Times New Roman" w:eastAsia="Times New Roman" w:hAnsi="Times New Roman" w:cs="Times New Roman"/>
          <w:bCs/>
          <w:sz w:val="24"/>
          <w:szCs w:val="24"/>
          <w:lang w:eastAsia="en-GB"/>
        </w:rPr>
        <w:t>Boulton</w:t>
      </w:r>
      <w:proofErr w:type="spellEnd"/>
      <w:r w:rsidRPr="006245C7">
        <w:rPr>
          <w:rFonts w:ascii="Times New Roman" w:eastAsia="Times New Roman" w:hAnsi="Times New Roman" w:cs="Times New Roman"/>
          <w:bCs/>
          <w:sz w:val="24"/>
          <w:szCs w:val="24"/>
          <w:lang w:eastAsia="en-GB"/>
        </w:rPr>
        <w:t xml:space="preserve">, A. J., </w:t>
      </w:r>
      <w:proofErr w:type="spellStart"/>
      <w:r w:rsidRPr="006245C7">
        <w:rPr>
          <w:rFonts w:ascii="Times New Roman" w:eastAsia="Times New Roman" w:hAnsi="Times New Roman" w:cs="Times New Roman"/>
          <w:bCs/>
          <w:sz w:val="24"/>
          <w:szCs w:val="24"/>
          <w:lang w:eastAsia="en-GB"/>
        </w:rPr>
        <w:t>Slotkin</w:t>
      </w:r>
      <w:proofErr w:type="spellEnd"/>
      <w:r w:rsidRPr="006245C7">
        <w:rPr>
          <w:rFonts w:ascii="Times New Roman" w:eastAsia="Times New Roman" w:hAnsi="Times New Roman" w:cs="Times New Roman"/>
          <w:bCs/>
          <w:sz w:val="24"/>
          <w:szCs w:val="24"/>
          <w:lang w:eastAsia="en-GB"/>
        </w:rPr>
        <w:t xml:space="preserve">, J., Cohen, M. L., </w:t>
      </w:r>
      <w:proofErr w:type="spellStart"/>
      <w:r w:rsidRPr="006245C7">
        <w:rPr>
          <w:rFonts w:ascii="Times New Roman" w:eastAsia="Times New Roman" w:hAnsi="Times New Roman" w:cs="Times New Roman"/>
          <w:bCs/>
          <w:sz w:val="24"/>
          <w:szCs w:val="24"/>
          <w:lang w:eastAsia="en-GB"/>
        </w:rPr>
        <w:t>Weintraub</w:t>
      </w:r>
      <w:proofErr w:type="spellEnd"/>
      <w:r w:rsidRPr="006245C7">
        <w:rPr>
          <w:rFonts w:ascii="Times New Roman" w:eastAsia="Times New Roman" w:hAnsi="Times New Roman" w:cs="Times New Roman"/>
          <w:bCs/>
          <w:sz w:val="24"/>
          <w:szCs w:val="24"/>
          <w:lang w:eastAsia="en-GB"/>
        </w:rPr>
        <w:t xml:space="preserve">, S., </w:t>
      </w:r>
      <w:proofErr w:type="spellStart"/>
      <w:r w:rsidRPr="006245C7">
        <w:rPr>
          <w:rFonts w:ascii="Times New Roman" w:eastAsia="Times New Roman" w:hAnsi="Times New Roman" w:cs="Times New Roman"/>
          <w:bCs/>
          <w:sz w:val="24"/>
          <w:szCs w:val="24"/>
          <w:lang w:eastAsia="en-GB"/>
        </w:rPr>
        <w:t>Gershon</w:t>
      </w:r>
      <w:proofErr w:type="spellEnd"/>
      <w:r w:rsidRPr="006245C7">
        <w:rPr>
          <w:rFonts w:ascii="Times New Roman" w:eastAsia="Times New Roman" w:hAnsi="Times New Roman" w:cs="Times New Roman"/>
          <w:bCs/>
          <w:sz w:val="24"/>
          <w:szCs w:val="24"/>
          <w:lang w:eastAsia="en-GB"/>
        </w:rPr>
        <w:t xml:space="preserve">, R. C., &amp; </w:t>
      </w:r>
      <w:proofErr w:type="spellStart"/>
      <w:r w:rsidRPr="006245C7">
        <w:rPr>
          <w:rFonts w:ascii="Times New Roman" w:eastAsia="Times New Roman" w:hAnsi="Times New Roman" w:cs="Times New Roman"/>
          <w:bCs/>
          <w:sz w:val="24"/>
          <w:szCs w:val="24"/>
          <w:lang w:eastAsia="en-GB"/>
        </w:rPr>
        <w:t>Tulsky</w:t>
      </w:r>
      <w:proofErr w:type="spellEnd"/>
      <w:r w:rsidRPr="006245C7">
        <w:rPr>
          <w:rFonts w:ascii="Times New Roman" w:eastAsia="Times New Roman" w:hAnsi="Times New Roman" w:cs="Times New Roman"/>
          <w:bCs/>
          <w:sz w:val="24"/>
          <w:szCs w:val="24"/>
          <w:lang w:eastAsia="en-GB"/>
        </w:rPr>
        <w:t>, D. S. (2024). Exploring symptom clusters in mild cognitive impairment and dementia with the NIH Toolbox. Journal of the International Neuropsychological Society, 1-12.</w:t>
      </w: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6F521A" w:rsidRPr="006F521A" w:rsidRDefault="006F521A" w:rsidP="006F521A">
      <w:pPr>
        <w:spacing w:after="0"/>
        <w:textAlignment w:val="baseline"/>
        <w:rPr>
          <w:rFonts w:ascii="Times New Roman" w:eastAsia="Times New Roman" w:hAnsi="Times New Roman" w:cs="Times New Roman"/>
          <w:bCs/>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p w:rsidR="004041A3" w:rsidRPr="006F521A" w:rsidRDefault="004041A3" w:rsidP="00F723DB">
      <w:pPr>
        <w:spacing w:after="0" w:line="360" w:lineRule="auto"/>
        <w:textAlignment w:val="baseline"/>
        <w:rPr>
          <w:rFonts w:ascii="Times New Roman" w:eastAsia="Times New Roman" w:hAnsi="Times New Roman" w:cs="Times New Roman"/>
          <w:sz w:val="24"/>
          <w:szCs w:val="24"/>
          <w:lang w:eastAsia="en-GB"/>
        </w:rPr>
      </w:pPr>
    </w:p>
    <w:sectPr w:rsidR="004041A3" w:rsidRPr="006F521A" w:rsidSect="00E86B2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M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4E658A"/>
    <w:multiLevelType w:val="hybridMultilevel"/>
    <w:tmpl w:val="7CB49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FC86800"/>
    <w:multiLevelType w:val="hybridMultilevel"/>
    <w:tmpl w:val="47BC8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4041A3"/>
    <w:rsid w:val="004041A3"/>
    <w:rsid w:val="0045772B"/>
    <w:rsid w:val="005C371C"/>
    <w:rsid w:val="006245C7"/>
    <w:rsid w:val="006F521A"/>
    <w:rsid w:val="007E6534"/>
    <w:rsid w:val="00A27F45"/>
    <w:rsid w:val="00A835B9"/>
    <w:rsid w:val="00B15931"/>
    <w:rsid w:val="00C767DD"/>
    <w:rsid w:val="00DF5FAC"/>
    <w:rsid w:val="00E86B27"/>
    <w:rsid w:val="00F723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5C371C"/>
  </w:style>
  <w:style w:type="paragraph" w:styleId="Nagwek2">
    <w:name w:val="heading 2"/>
    <w:basedOn w:val="Normalny"/>
    <w:next w:val="Normalny"/>
    <w:link w:val="Nagwek2Znak"/>
    <w:uiPriority w:val="9"/>
    <w:unhideWhenUsed/>
    <w:qFormat/>
    <w:rsid w:val="00F723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link w:val="Nagwek3Znak"/>
    <w:uiPriority w:val="9"/>
    <w:qFormat/>
    <w:rsid w:val="004041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3Znak">
    <w:name w:val="Nagłówek 3 Znak"/>
    <w:basedOn w:val="Domylnaczcionkaakapitu"/>
    <w:link w:val="Nagwek3"/>
    <w:uiPriority w:val="9"/>
    <w:rsid w:val="004041A3"/>
    <w:rPr>
      <w:rFonts w:ascii="Times New Roman" w:eastAsia="Times New Roman" w:hAnsi="Times New Roman" w:cs="Times New Roman"/>
      <w:b/>
      <w:bCs/>
      <w:sz w:val="27"/>
      <w:szCs w:val="27"/>
      <w:lang w:eastAsia="en-GB"/>
    </w:rPr>
  </w:style>
  <w:style w:type="paragraph" w:customStyle="1" w:styleId="ql-align-center">
    <w:name w:val="ql-align-center"/>
    <w:basedOn w:val="Normalny"/>
    <w:rsid w:val="004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ogrubienie">
    <w:name w:val="Strong"/>
    <w:basedOn w:val="Domylnaczcionkaakapitu"/>
    <w:uiPriority w:val="22"/>
    <w:qFormat/>
    <w:rsid w:val="004041A3"/>
    <w:rPr>
      <w:b/>
      <w:bCs/>
    </w:rPr>
  </w:style>
  <w:style w:type="paragraph" w:styleId="NormalnyWeb">
    <w:name w:val="Normal (Web)"/>
    <w:basedOn w:val="Normalny"/>
    <w:uiPriority w:val="99"/>
    <w:semiHidden/>
    <w:unhideWhenUsed/>
    <w:rsid w:val="004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gwek2Znak">
    <w:name w:val="Nagłówek 2 Znak"/>
    <w:basedOn w:val="Domylnaczcionkaakapitu"/>
    <w:link w:val="Nagwek2"/>
    <w:uiPriority w:val="9"/>
    <w:rsid w:val="00F723DB"/>
    <w:rPr>
      <w:rFonts w:asciiTheme="majorHAnsi" w:eastAsiaTheme="majorEastAsia" w:hAnsiTheme="majorHAnsi" w:cstheme="majorBidi"/>
      <w:b/>
      <w:bCs/>
      <w:color w:val="4F81BD" w:themeColor="accent1"/>
      <w:sz w:val="26"/>
      <w:szCs w:val="26"/>
    </w:rPr>
  </w:style>
  <w:style w:type="character" w:customStyle="1" w:styleId="label-item">
    <w:name w:val="label-item"/>
    <w:basedOn w:val="Domylnaczcionkaakapitu"/>
    <w:rsid w:val="00F723DB"/>
  </w:style>
  <w:style w:type="character" w:customStyle="1" w:styleId="fontstyle01">
    <w:name w:val="fontstyle01"/>
    <w:basedOn w:val="Domylnaczcionkaakapitu"/>
    <w:rsid w:val="00C767DD"/>
    <w:rPr>
      <w:rFonts w:ascii="ArialMT" w:hAnsi="ArialMT" w:hint="default"/>
      <w:b w:val="0"/>
      <w:bCs w:val="0"/>
      <w:i w:val="0"/>
      <w:iCs w:val="0"/>
      <w:color w:val="000000"/>
      <w:sz w:val="22"/>
      <w:szCs w:val="22"/>
    </w:rPr>
  </w:style>
  <w:style w:type="character" w:customStyle="1" w:styleId="fontstyle11">
    <w:name w:val="fontstyle11"/>
    <w:basedOn w:val="Domylnaczcionkaakapitu"/>
    <w:rsid w:val="00C767DD"/>
    <w:rPr>
      <w:rFonts w:ascii="ArialMT" w:hAnsi="ArialMT" w:hint="default"/>
      <w:b w:val="0"/>
      <w:bCs w:val="0"/>
      <w:i w:val="0"/>
      <w:iCs w:val="0"/>
      <w:color w:val="000000"/>
      <w:sz w:val="22"/>
      <w:szCs w:val="22"/>
    </w:rPr>
  </w:style>
  <w:style w:type="paragraph" w:styleId="Akapitzlist">
    <w:name w:val="List Paragraph"/>
    <w:basedOn w:val="Normalny"/>
    <w:uiPriority w:val="34"/>
    <w:qFormat/>
    <w:rsid w:val="00DF5FAC"/>
    <w:pPr>
      <w:ind w:left="720"/>
      <w:contextualSpacing/>
    </w:pPr>
  </w:style>
</w:styles>
</file>

<file path=word/webSettings.xml><?xml version="1.0" encoding="utf-8"?>
<w:webSettings xmlns:r="http://schemas.openxmlformats.org/officeDocument/2006/relationships" xmlns:w="http://schemas.openxmlformats.org/wordprocessingml/2006/main">
  <w:divs>
    <w:div w:id="204031099">
      <w:bodyDiv w:val="1"/>
      <w:marLeft w:val="0"/>
      <w:marRight w:val="0"/>
      <w:marTop w:val="0"/>
      <w:marBottom w:val="0"/>
      <w:divBdr>
        <w:top w:val="none" w:sz="0" w:space="0" w:color="auto"/>
        <w:left w:val="none" w:sz="0" w:space="0" w:color="auto"/>
        <w:bottom w:val="none" w:sz="0" w:space="0" w:color="auto"/>
        <w:right w:val="none" w:sz="0" w:space="0" w:color="auto"/>
      </w:divBdr>
      <w:divsChild>
        <w:div w:id="1501694596">
          <w:marLeft w:val="0"/>
          <w:marRight w:val="0"/>
          <w:marTop w:val="0"/>
          <w:marBottom w:val="0"/>
          <w:divBdr>
            <w:top w:val="none" w:sz="0" w:space="0" w:color="auto"/>
            <w:left w:val="none" w:sz="0" w:space="0" w:color="auto"/>
            <w:bottom w:val="none" w:sz="0" w:space="0" w:color="auto"/>
            <w:right w:val="none" w:sz="0" w:space="0" w:color="auto"/>
          </w:divBdr>
          <w:divsChild>
            <w:div w:id="831143402">
              <w:marLeft w:val="120"/>
              <w:marRight w:val="120"/>
              <w:marTop w:val="120"/>
              <w:marBottom w:val="120"/>
              <w:divBdr>
                <w:top w:val="single" w:sz="4" w:space="0" w:color="EDEDED"/>
                <w:left w:val="single" w:sz="4" w:space="6" w:color="EDEDED"/>
                <w:bottom w:val="single" w:sz="4" w:space="0" w:color="EDEDED"/>
                <w:right w:val="single" w:sz="4" w:space="6" w:color="EDEDED"/>
              </w:divBdr>
              <w:divsChild>
                <w:div w:id="150291870">
                  <w:marLeft w:val="0"/>
                  <w:marRight w:val="0"/>
                  <w:marTop w:val="0"/>
                  <w:marBottom w:val="0"/>
                  <w:divBdr>
                    <w:top w:val="none" w:sz="0" w:space="0" w:color="auto"/>
                    <w:left w:val="none" w:sz="0" w:space="0" w:color="auto"/>
                    <w:bottom w:val="none" w:sz="0" w:space="0" w:color="auto"/>
                    <w:right w:val="none" w:sz="0" w:space="0" w:color="auto"/>
                  </w:divBdr>
                  <w:divsChild>
                    <w:div w:id="1203861206">
                      <w:marLeft w:val="0"/>
                      <w:marRight w:val="0"/>
                      <w:marTop w:val="0"/>
                      <w:marBottom w:val="0"/>
                      <w:divBdr>
                        <w:top w:val="none" w:sz="0" w:space="0" w:color="auto"/>
                        <w:left w:val="none" w:sz="0" w:space="0" w:color="auto"/>
                        <w:bottom w:val="none" w:sz="0" w:space="0" w:color="auto"/>
                        <w:right w:val="none" w:sz="0" w:space="0" w:color="auto"/>
                      </w:divBdr>
                      <w:divsChild>
                        <w:div w:id="6551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91722">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354842491">
          <w:marLeft w:val="0"/>
          <w:marRight w:val="0"/>
          <w:marTop w:val="120"/>
          <w:marBottom w:val="240"/>
          <w:divBdr>
            <w:top w:val="none" w:sz="0" w:space="0" w:color="auto"/>
            <w:left w:val="none" w:sz="0" w:space="0" w:color="auto"/>
            <w:bottom w:val="none" w:sz="0" w:space="0" w:color="auto"/>
            <w:right w:val="none" w:sz="0" w:space="0" w:color="auto"/>
          </w:divBdr>
          <w:divsChild>
            <w:div w:id="980767517">
              <w:marLeft w:val="0"/>
              <w:marRight w:val="0"/>
              <w:marTop w:val="0"/>
              <w:marBottom w:val="0"/>
              <w:divBdr>
                <w:top w:val="none" w:sz="0" w:space="0" w:color="auto"/>
                <w:left w:val="none" w:sz="0" w:space="0" w:color="auto"/>
                <w:bottom w:val="none" w:sz="0" w:space="0" w:color="auto"/>
                <w:right w:val="none" w:sz="0" w:space="0" w:color="auto"/>
              </w:divBdr>
              <w:divsChild>
                <w:div w:id="1226643373">
                  <w:marLeft w:val="0"/>
                  <w:marRight w:val="0"/>
                  <w:marTop w:val="0"/>
                  <w:marBottom w:val="0"/>
                  <w:divBdr>
                    <w:top w:val="none" w:sz="0" w:space="0" w:color="auto"/>
                    <w:left w:val="none" w:sz="0" w:space="0" w:color="auto"/>
                    <w:bottom w:val="none" w:sz="0" w:space="0" w:color="auto"/>
                    <w:right w:val="none" w:sz="0" w:space="0" w:color="auto"/>
                  </w:divBdr>
                  <w:divsChild>
                    <w:div w:id="1784422140">
                      <w:marLeft w:val="0"/>
                      <w:marRight w:val="0"/>
                      <w:marTop w:val="120"/>
                      <w:marBottom w:val="0"/>
                      <w:divBdr>
                        <w:top w:val="none" w:sz="0" w:space="0" w:color="auto"/>
                        <w:left w:val="none" w:sz="0" w:space="0" w:color="auto"/>
                        <w:bottom w:val="none" w:sz="0" w:space="0" w:color="auto"/>
                        <w:right w:val="none" w:sz="0" w:space="0" w:color="auto"/>
                      </w:divBdr>
                      <w:divsChild>
                        <w:div w:id="1679967203">
                          <w:marLeft w:val="0"/>
                          <w:marRight w:val="0"/>
                          <w:marTop w:val="0"/>
                          <w:marBottom w:val="0"/>
                          <w:divBdr>
                            <w:top w:val="none" w:sz="0" w:space="0" w:color="auto"/>
                            <w:left w:val="none" w:sz="0" w:space="0" w:color="auto"/>
                            <w:bottom w:val="none" w:sz="0" w:space="0" w:color="auto"/>
                            <w:right w:val="none" w:sz="0" w:space="0" w:color="auto"/>
                          </w:divBdr>
                          <w:divsChild>
                            <w:div w:id="1860579778">
                              <w:marLeft w:val="0"/>
                              <w:marRight w:val="0"/>
                              <w:marTop w:val="0"/>
                              <w:marBottom w:val="0"/>
                              <w:divBdr>
                                <w:top w:val="none" w:sz="0" w:space="0" w:color="auto"/>
                                <w:left w:val="none" w:sz="0" w:space="0" w:color="auto"/>
                                <w:bottom w:val="none" w:sz="0" w:space="0" w:color="auto"/>
                                <w:right w:val="none" w:sz="0" w:space="0" w:color="auto"/>
                              </w:divBdr>
                            </w:div>
                            <w:div w:id="208386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342758">
                  <w:marLeft w:val="0"/>
                  <w:marRight w:val="0"/>
                  <w:marTop w:val="0"/>
                  <w:marBottom w:val="0"/>
                  <w:divBdr>
                    <w:top w:val="none" w:sz="0" w:space="0" w:color="auto"/>
                    <w:left w:val="none" w:sz="0" w:space="0" w:color="auto"/>
                    <w:bottom w:val="none" w:sz="0" w:space="0" w:color="auto"/>
                    <w:right w:val="none" w:sz="0" w:space="0" w:color="auto"/>
                  </w:divBdr>
                  <w:divsChild>
                    <w:div w:id="1696732868">
                      <w:marLeft w:val="0"/>
                      <w:marRight w:val="0"/>
                      <w:marTop w:val="120"/>
                      <w:marBottom w:val="0"/>
                      <w:divBdr>
                        <w:top w:val="none" w:sz="0" w:space="0" w:color="auto"/>
                        <w:left w:val="none" w:sz="0" w:space="0" w:color="auto"/>
                        <w:bottom w:val="none" w:sz="0" w:space="0" w:color="auto"/>
                        <w:right w:val="none" w:sz="0" w:space="0" w:color="auto"/>
                      </w:divBdr>
                      <w:divsChild>
                        <w:div w:id="876431254">
                          <w:marLeft w:val="0"/>
                          <w:marRight w:val="0"/>
                          <w:marTop w:val="0"/>
                          <w:marBottom w:val="0"/>
                          <w:divBdr>
                            <w:top w:val="none" w:sz="0" w:space="0" w:color="auto"/>
                            <w:left w:val="none" w:sz="0" w:space="0" w:color="auto"/>
                            <w:bottom w:val="none" w:sz="0" w:space="0" w:color="auto"/>
                            <w:right w:val="none" w:sz="0" w:space="0" w:color="auto"/>
                          </w:divBdr>
                          <w:divsChild>
                            <w:div w:id="1313950913">
                              <w:marLeft w:val="0"/>
                              <w:marRight w:val="0"/>
                              <w:marTop w:val="0"/>
                              <w:marBottom w:val="0"/>
                              <w:divBdr>
                                <w:top w:val="none" w:sz="0" w:space="0" w:color="auto"/>
                                <w:left w:val="none" w:sz="0" w:space="0" w:color="auto"/>
                                <w:bottom w:val="none" w:sz="0" w:space="0" w:color="auto"/>
                                <w:right w:val="none" w:sz="0" w:space="0" w:color="auto"/>
                              </w:divBdr>
                            </w:div>
                            <w:div w:id="33268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62662">
                  <w:marLeft w:val="0"/>
                  <w:marRight w:val="0"/>
                  <w:marTop w:val="0"/>
                  <w:marBottom w:val="0"/>
                  <w:divBdr>
                    <w:top w:val="none" w:sz="0" w:space="0" w:color="auto"/>
                    <w:left w:val="none" w:sz="0" w:space="0" w:color="auto"/>
                    <w:bottom w:val="none" w:sz="0" w:space="0" w:color="auto"/>
                    <w:right w:val="none" w:sz="0" w:space="0" w:color="auto"/>
                  </w:divBdr>
                  <w:divsChild>
                    <w:div w:id="1460104723">
                      <w:marLeft w:val="0"/>
                      <w:marRight w:val="0"/>
                      <w:marTop w:val="120"/>
                      <w:marBottom w:val="0"/>
                      <w:divBdr>
                        <w:top w:val="none" w:sz="0" w:space="0" w:color="auto"/>
                        <w:left w:val="none" w:sz="0" w:space="0" w:color="auto"/>
                        <w:bottom w:val="none" w:sz="0" w:space="0" w:color="auto"/>
                        <w:right w:val="none" w:sz="0" w:space="0" w:color="auto"/>
                      </w:divBdr>
                      <w:divsChild>
                        <w:div w:id="946160644">
                          <w:marLeft w:val="0"/>
                          <w:marRight w:val="0"/>
                          <w:marTop w:val="0"/>
                          <w:marBottom w:val="0"/>
                          <w:divBdr>
                            <w:top w:val="none" w:sz="0" w:space="0" w:color="auto"/>
                            <w:left w:val="none" w:sz="0" w:space="0" w:color="auto"/>
                            <w:bottom w:val="none" w:sz="0" w:space="0" w:color="auto"/>
                            <w:right w:val="none" w:sz="0" w:space="0" w:color="auto"/>
                          </w:divBdr>
                          <w:divsChild>
                            <w:div w:id="2052994073">
                              <w:marLeft w:val="0"/>
                              <w:marRight w:val="0"/>
                              <w:marTop w:val="0"/>
                              <w:marBottom w:val="0"/>
                              <w:divBdr>
                                <w:top w:val="none" w:sz="0" w:space="0" w:color="auto"/>
                                <w:left w:val="none" w:sz="0" w:space="0" w:color="auto"/>
                                <w:bottom w:val="none" w:sz="0" w:space="0" w:color="auto"/>
                                <w:right w:val="none" w:sz="0" w:space="0" w:color="auto"/>
                              </w:divBdr>
                            </w:div>
                            <w:div w:id="107146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4943807">
          <w:marLeft w:val="0"/>
          <w:marRight w:val="0"/>
          <w:marTop w:val="240"/>
          <w:marBottom w:val="240"/>
          <w:divBdr>
            <w:top w:val="none" w:sz="0" w:space="0" w:color="auto"/>
            <w:left w:val="none" w:sz="0" w:space="0" w:color="auto"/>
            <w:bottom w:val="none" w:sz="0" w:space="0" w:color="auto"/>
            <w:right w:val="none" w:sz="0" w:space="0" w:color="auto"/>
          </w:divBdr>
          <w:divsChild>
            <w:div w:id="316349390">
              <w:marLeft w:val="0"/>
              <w:marRight w:val="0"/>
              <w:marTop w:val="0"/>
              <w:marBottom w:val="0"/>
              <w:divBdr>
                <w:top w:val="none" w:sz="0" w:space="0" w:color="auto"/>
                <w:left w:val="none" w:sz="0" w:space="0" w:color="auto"/>
                <w:bottom w:val="none" w:sz="0" w:space="0" w:color="auto"/>
                <w:right w:val="none" w:sz="0" w:space="0" w:color="auto"/>
              </w:divBdr>
              <w:divsChild>
                <w:div w:id="140432884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246352435">
      <w:bodyDiv w:val="1"/>
      <w:marLeft w:val="0"/>
      <w:marRight w:val="0"/>
      <w:marTop w:val="0"/>
      <w:marBottom w:val="0"/>
      <w:divBdr>
        <w:top w:val="none" w:sz="0" w:space="0" w:color="auto"/>
        <w:left w:val="none" w:sz="0" w:space="0" w:color="auto"/>
        <w:bottom w:val="none" w:sz="0" w:space="0" w:color="auto"/>
        <w:right w:val="none" w:sz="0" w:space="0" w:color="auto"/>
      </w:divBdr>
    </w:div>
    <w:div w:id="266930477">
      <w:bodyDiv w:val="1"/>
      <w:marLeft w:val="0"/>
      <w:marRight w:val="0"/>
      <w:marTop w:val="0"/>
      <w:marBottom w:val="0"/>
      <w:divBdr>
        <w:top w:val="none" w:sz="0" w:space="0" w:color="auto"/>
        <w:left w:val="none" w:sz="0" w:space="0" w:color="auto"/>
        <w:bottom w:val="none" w:sz="0" w:space="0" w:color="auto"/>
        <w:right w:val="none" w:sz="0" w:space="0" w:color="auto"/>
      </w:divBdr>
    </w:div>
    <w:div w:id="272714685">
      <w:bodyDiv w:val="1"/>
      <w:marLeft w:val="0"/>
      <w:marRight w:val="0"/>
      <w:marTop w:val="0"/>
      <w:marBottom w:val="0"/>
      <w:divBdr>
        <w:top w:val="none" w:sz="0" w:space="0" w:color="auto"/>
        <w:left w:val="none" w:sz="0" w:space="0" w:color="auto"/>
        <w:bottom w:val="none" w:sz="0" w:space="0" w:color="auto"/>
        <w:right w:val="none" w:sz="0" w:space="0" w:color="auto"/>
      </w:divBdr>
    </w:div>
    <w:div w:id="744843249">
      <w:bodyDiv w:val="1"/>
      <w:marLeft w:val="0"/>
      <w:marRight w:val="0"/>
      <w:marTop w:val="0"/>
      <w:marBottom w:val="0"/>
      <w:divBdr>
        <w:top w:val="none" w:sz="0" w:space="0" w:color="auto"/>
        <w:left w:val="none" w:sz="0" w:space="0" w:color="auto"/>
        <w:bottom w:val="none" w:sz="0" w:space="0" w:color="auto"/>
        <w:right w:val="none" w:sz="0" w:space="0" w:color="auto"/>
      </w:divBdr>
    </w:div>
    <w:div w:id="938484524">
      <w:bodyDiv w:val="1"/>
      <w:marLeft w:val="0"/>
      <w:marRight w:val="0"/>
      <w:marTop w:val="0"/>
      <w:marBottom w:val="0"/>
      <w:divBdr>
        <w:top w:val="none" w:sz="0" w:space="0" w:color="auto"/>
        <w:left w:val="none" w:sz="0" w:space="0" w:color="auto"/>
        <w:bottom w:val="none" w:sz="0" w:space="0" w:color="auto"/>
        <w:right w:val="none" w:sz="0" w:space="0" w:color="auto"/>
      </w:divBdr>
    </w:div>
    <w:div w:id="1617829586">
      <w:bodyDiv w:val="1"/>
      <w:marLeft w:val="0"/>
      <w:marRight w:val="0"/>
      <w:marTop w:val="0"/>
      <w:marBottom w:val="0"/>
      <w:divBdr>
        <w:top w:val="none" w:sz="0" w:space="0" w:color="auto"/>
        <w:left w:val="none" w:sz="0" w:space="0" w:color="auto"/>
        <w:bottom w:val="none" w:sz="0" w:space="0" w:color="auto"/>
        <w:right w:val="none" w:sz="0" w:space="0" w:color="auto"/>
      </w:divBdr>
    </w:div>
    <w:div w:id="1697461787">
      <w:bodyDiv w:val="1"/>
      <w:marLeft w:val="0"/>
      <w:marRight w:val="0"/>
      <w:marTop w:val="0"/>
      <w:marBottom w:val="0"/>
      <w:divBdr>
        <w:top w:val="none" w:sz="0" w:space="0" w:color="auto"/>
        <w:left w:val="none" w:sz="0" w:space="0" w:color="auto"/>
        <w:bottom w:val="none" w:sz="0" w:space="0" w:color="auto"/>
        <w:right w:val="none" w:sz="0" w:space="0" w:color="auto"/>
      </w:divBdr>
    </w:div>
    <w:div w:id="178311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3263</Words>
  <Characters>18605</Characters>
  <Application>Microsoft Office Word</Application>
  <DocSecurity>0</DocSecurity>
  <Lines>155</Lines>
  <Paragraphs>43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21825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5</cp:revision>
  <dcterms:created xsi:type="dcterms:W3CDTF">2024-11-19T10:47:00Z</dcterms:created>
  <dcterms:modified xsi:type="dcterms:W3CDTF">2024-11-19T11:02:00Z</dcterms:modified>
</cp:coreProperties>
</file>