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27C47" w14:textId="5843C164" w:rsidR="008B0826" w:rsidRDefault="008B0826" w:rsidP="00BC7F1A">
      <w:pPr>
        <w:spacing w:line="360" w:lineRule="auto"/>
        <w:rPr>
          <w:noProof/>
        </w:rPr>
      </w:pPr>
      <w:r>
        <w:rPr>
          <w:noProof/>
        </w:rPr>
        <w:drawing>
          <wp:anchor distT="0" distB="0" distL="114300" distR="114300" simplePos="0" relativeHeight="251658240" behindDoc="0" locked="0" layoutInCell="1" allowOverlap="1" wp14:anchorId="03C35305" wp14:editId="631383EA">
            <wp:simplePos x="0" y="0"/>
            <wp:positionH relativeFrom="column">
              <wp:posOffset>-777241</wp:posOffset>
            </wp:positionH>
            <wp:positionV relativeFrom="paragraph">
              <wp:posOffset>-708660</wp:posOffset>
            </wp:positionV>
            <wp:extent cx="2051657" cy="853440"/>
            <wp:effectExtent l="0" t="0" r="6350" b="3810"/>
            <wp:wrapNone/>
            <wp:docPr id="804225247" name="Picture 1" descr="Independent Members of University Council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ependent Members of University Council - CUC Board Vacanci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674" t="14485" r="7242" b="18889"/>
                    <a:stretch>
                      <a:fillRect/>
                    </a:stretch>
                  </pic:blipFill>
                  <pic:spPr bwMode="auto">
                    <a:xfrm>
                      <a:off x="0" y="0"/>
                      <a:ext cx="2054910" cy="85479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EB1CD8" w14:textId="77777777" w:rsidR="0075493B" w:rsidRDefault="0075493B" w:rsidP="00D869CF">
      <w:pPr>
        <w:spacing w:line="240" w:lineRule="auto"/>
        <w:rPr>
          <w:rFonts w:ascii="Arial" w:hAnsi="Arial" w:cs="Arial"/>
          <w:b/>
          <w:bCs/>
          <w:u w:val="single"/>
        </w:rPr>
      </w:pPr>
    </w:p>
    <w:p w14:paraId="0CF23BA8" w14:textId="77777777" w:rsidR="0075493B" w:rsidRDefault="0075493B" w:rsidP="00D869CF">
      <w:pPr>
        <w:spacing w:line="240" w:lineRule="auto"/>
        <w:rPr>
          <w:rFonts w:ascii="Arial" w:hAnsi="Arial" w:cs="Arial"/>
          <w:b/>
          <w:bCs/>
          <w:u w:val="single"/>
        </w:rPr>
      </w:pPr>
    </w:p>
    <w:p w14:paraId="1ACB2C72" w14:textId="77777777" w:rsidR="0075493B" w:rsidRDefault="0075493B" w:rsidP="00D869CF">
      <w:pPr>
        <w:spacing w:line="240" w:lineRule="auto"/>
        <w:rPr>
          <w:rFonts w:ascii="Arial" w:hAnsi="Arial" w:cs="Arial"/>
          <w:b/>
          <w:bCs/>
          <w:u w:val="single"/>
        </w:rPr>
      </w:pPr>
    </w:p>
    <w:p w14:paraId="61C9264D" w14:textId="77777777" w:rsidR="0075493B" w:rsidRDefault="0075493B" w:rsidP="00D869CF">
      <w:pPr>
        <w:spacing w:line="240" w:lineRule="auto"/>
        <w:rPr>
          <w:rFonts w:ascii="Arial" w:hAnsi="Arial" w:cs="Arial"/>
          <w:b/>
          <w:bCs/>
          <w:u w:val="single"/>
        </w:rPr>
      </w:pPr>
    </w:p>
    <w:p w14:paraId="5212BBE5" w14:textId="6DC96233" w:rsidR="008B0826" w:rsidRPr="00D869CF" w:rsidRDefault="008B0826" w:rsidP="00D869CF">
      <w:pPr>
        <w:spacing w:line="240" w:lineRule="auto"/>
        <w:rPr>
          <w:rFonts w:ascii="Arial" w:hAnsi="Arial" w:cs="Arial"/>
          <w:b/>
          <w:bCs/>
          <w:u w:val="single"/>
        </w:rPr>
      </w:pPr>
      <w:r w:rsidRPr="00D869CF">
        <w:rPr>
          <w:rFonts w:ascii="Arial" w:hAnsi="Arial" w:cs="Arial"/>
          <w:b/>
          <w:bCs/>
          <w:u w:val="single"/>
        </w:rPr>
        <w:t>Module name: Introduction to Public Health</w:t>
      </w:r>
    </w:p>
    <w:p w14:paraId="6F15BEE5" w14:textId="2658D7D4" w:rsidR="008B0826" w:rsidRPr="00D869CF" w:rsidRDefault="008B0826" w:rsidP="00D869CF">
      <w:pPr>
        <w:spacing w:line="240" w:lineRule="auto"/>
        <w:rPr>
          <w:rFonts w:ascii="Arial" w:hAnsi="Arial" w:cs="Arial"/>
          <w:b/>
          <w:bCs/>
          <w:u w:val="single"/>
        </w:rPr>
      </w:pPr>
      <w:r w:rsidRPr="00D869CF">
        <w:rPr>
          <w:rFonts w:ascii="Arial" w:hAnsi="Arial" w:cs="Arial"/>
          <w:b/>
          <w:bCs/>
          <w:u w:val="single"/>
        </w:rPr>
        <w:t>Module code: LCHS4008</w:t>
      </w:r>
    </w:p>
    <w:p w14:paraId="1F8FA698" w14:textId="132D40FB" w:rsidR="008B0826" w:rsidRPr="00D869CF" w:rsidRDefault="008B0826" w:rsidP="00D869CF">
      <w:pPr>
        <w:spacing w:line="240" w:lineRule="auto"/>
        <w:rPr>
          <w:rFonts w:ascii="Arial" w:hAnsi="Arial" w:cs="Arial"/>
          <w:b/>
          <w:bCs/>
          <w:u w:val="single"/>
        </w:rPr>
      </w:pPr>
      <w:r w:rsidRPr="00D869CF">
        <w:rPr>
          <w:rFonts w:ascii="Arial" w:hAnsi="Arial" w:cs="Arial"/>
          <w:b/>
          <w:bCs/>
          <w:u w:val="single"/>
        </w:rPr>
        <w:t xml:space="preserve">Student name: Nevena </w:t>
      </w:r>
      <w:r w:rsidR="00D869CF" w:rsidRPr="00D869CF">
        <w:rPr>
          <w:rFonts w:ascii="Arial" w:hAnsi="Arial" w:cs="Arial"/>
          <w:b/>
          <w:bCs/>
          <w:u w:val="single"/>
        </w:rPr>
        <w:t>S</w:t>
      </w:r>
      <w:r w:rsidRPr="00D869CF">
        <w:rPr>
          <w:rFonts w:ascii="Arial" w:hAnsi="Arial" w:cs="Arial"/>
          <w:b/>
          <w:bCs/>
          <w:u w:val="single"/>
        </w:rPr>
        <w:t>emkova</w:t>
      </w:r>
    </w:p>
    <w:p w14:paraId="41844741" w14:textId="0A550274" w:rsidR="008B0826" w:rsidRPr="00D869CF" w:rsidRDefault="008B0826" w:rsidP="00D869CF">
      <w:pPr>
        <w:spacing w:line="240" w:lineRule="auto"/>
        <w:rPr>
          <w:rFonts w:ascii="Arial" w:hAnsi="Arial" w:cs="Arial"/>
          <w:b/>
          <w:bCs/>
          <w:u w:val="single"/>
        </w:rPr>
      </w:pPr>
      <w:r w:rsidRPr="00D869CF">
        <w:rPr>
          <w:rFonts w:ascii="Arial" w:hAnsi="Arial" w:cs="Arial"/>
          <w:b/>
          <w:bCs/>
          <w:u w:val="single"/>
        </w:rPr>
        <w:t>Student ID: 2515168</w:t>
      </w:r>
    </w:p>
    <w:p w14:paraId="4DD47A35" w14:textId="3675A59F" w:rsidR="008B0826" w:rsidRPr="00D869CF" w:rsidRDefault="008B0826" w:rsidP="00D869CF">
      <w:pPr>
        <w:spacing w:line="240" w:lineRule="auto"/>
        <w:rPr>
          <w:rFonts w:ascii="Arial" w:hAnsi="Arial" w:cs="Arial"/>
          <w:b/>
          <w:bCs/>
          <w:u w:val="single"/>
        </w:rPr>
      </w:pPr>
      <w:r w:rsidRPr="00D869CF">
        <w:rPr>
          <w:rFonts w:ascii="Arial" w:hAnsi="Arial" w:cs="Arial"/>
          <w:b/>
          <w:bCs/>
          <w:u w:val="single"/>
        </w:rPr>
        <w:t>Lecturer’s name: Dr Patronella Ganza</w:t>
      </w:r>
    </w:p>
    <w:p w14:paraId="6FF706FF" w14:textId="77777777" w:rsidR="0075493B" w:rsidRDefault="0075493B">
      <w:pPr>
        <w:pStyle w:val="TOCHeading"/>
        <w:rPr>
          <w:rFonts w:asciiTheme="minorHAnsi" w:eastAsiaTheme="minorHAnsi" w:hAnsiTheme="minorHAnsi" w:cstheme="minorBidi"/>
          <w:color w:val="auto"/>
          <w:kern w:val="2"/>
          <w:sz w:val="24"/>
          <w:szCs w:val="24"/>
          <w:lang w:eastAsia="en-US"/>
          <w14:ligatures w14:val="standardContextual"/>
        </w:rPr>
      </w:pPr>
    </w:p>
    <w:p w14:paraId="57C60E17" w14:textId="77777777" w:rsidR="0075493B" w:rsidRDefault="0075493B">
      <w:pPr>
        <w:pStyle w:val="TOCHeading"/>
        <w:rPr>
          <w:rFonts w:asciiTheme="minorHAnsi" w:eastAsiaTheme="minorHAnsi" w:hAnsiTheme="minorHAnsi" w:cstheme="minorBidi"/>
          <w:color w:val="auto"/>
          <w:kern w:val="2"/>
          <w:sz w:val="24"/>
          <w:szCs w:val="24"/>
          <w:lang w:eastAsia="en-US"/>
          <w14:ligatures w14:val="standardContextual"/>
        </w:rPr>
      </w:pPr>
    </w:p>
    <w:p w14:paraId="749CB61A" w14:textId="77777777" w:rsidR="0075493B" w:rsidRDefault="0075493B">
      <w:pPr>
        <w:pStyle w:val="TOCHeading"/>
        <w:rPr>
          <w:rFonts w:asciiTheme="minorHAnsi" w:eastAsiaTheme="minorHAnsi" w:hAnsiTheme="minorHAnsi" w:cstheme="minorBidi"/>
          <w:color w:val="auto"/>
          <w:kern w:val="2"/>
          <w:sz w:val="24"/>
          <w:szCs w:val="24"/>
          <w:lang w:eastAsia="en-US"/>
          <w14:ligatures w14:val="standardContextual"/>
        </w:rPr>
      </w:pPr>
    </w:p>
    <w:p w14:paraId="72013568" w14:textId="77777777" w:rsidR="0075493B" w:rsidRDefault="0075493B">
      <w:pPr>
        <w:pStyle w:val="TOCHeading"/>
        <w:rPr>
          <w:rFonts w:asciiTheme="minorHAnsi" w:eastAsiaTheme="minorHAnsi" w:hAnsiTheme="minorHAnsi" w:cstheme="minorBidi"/>
          <w:color w:val="auto"/>
          <w:kern w:val="2"/>
          <w:sz w:val="24"/>
          <w:szCs w:val="24"/>
          <w:lang w:eastAsia="en-US"/>
          <w14:ligatures w14:val="standardContextual"/>
        </w:rPr>
      </w:pPr>
    </w:p>
    <w:p w14:paraId="22568F6F" w14:textId="77777777" w:rsidR="0075493B" w:rsidRDefault="0075493B">
      <w:pPr>
        <w:pStyle w:val="TOCHeading"/>
        <w:rPr>
          <w:rFonts w:asciiTheme="minorHAnsi" w:eastAsiaTheme="minorHAnsi" w:hAnsiTheme="minorHAnsi" w:cstheme="minorBidi"/>
          <w:color w:val="auto"/>
          <w:kern w:val="2"/>
          <w:sz w:val="24"/>
          <w:szCs w:val="24"/>
          <w:lang w:eastAsia="en-US"/>
          <w14:ligatures w14:val="standardContextual"/>
        </w:rPr>
      </w:pPr>
    </w:p>
    <w:sdt>
      <w:sdtPr>
        <w:rPr>
          <w:rFonts w:asciiTheme="minorHAnsi" w:eastAsiaTheme="minorHAnsi" w:hAnsiTheme="minorHAnsi" w:cstheme="minorBidi"/>
          <w:color w:val="auto"/>
          <w:kern w:val="2"/>
          <w:sz w:val="24"/>
          <w:szCs w:val="24"/>
          <w:lang w:eastAsia="en-US"/>
          <w14:ligatures w14:val="standardContextual"/>
        </w:rPr>
        <w:id w:val="-1170486886"/>
        <w:docPartObj>
          <w:docPartGallery w:val="Table of Contents"/>
          <w:docPartUnique/>
        </w:docPartObj>
      </w:sdtPr>
      <w:sdtEndPr>
        <w:rPr>
          <w:b/>
          <w:bCs/>
        </w:rPr>
      </w:sdtEndPr>
      <w:sdtContent>
        <w:p w14:paraId="77CAF48C" w14:textId="336AC6BA" w:rsidR="00F22112" w:rsidRPr="0075493B" w:rsidRDefault="00F22112">
          <w:pPr>
            <w:pStyle w:val="TOCHeading"/>
            <w:rPr>
              <w:rFonts w:asciiTheme="minorHAnsi" w:eastAsiaTheme="minorHAnsi" w:hAnsiTheme="minorHAnsi" w:cstheme="minorBidi"/>
              <w:color w:val="auto"/>
              <w:kern w:val="2"/>
              <w:sz w:val="24"/>
              <w:szCs w:val="24"/>
              <w:lang w:eastAsia="en-US"/>
              <w14:ligatures w14:val="standardContextual"/>
            </w:rPr>
          </w:pPr>
          <w:r w:rsidRPr="00D869CF">
            <w:rPr>
              <w:b/>
              <w:bCs/>
              <w:color w:val="000000" w:themeColor="text1"/>
            </w:rPr>
            <w:t>Table of Contents</w:t>
          </w:r>
        </w:p>
        <w:p w14:paraId="674B7653" w14:textId="35D230BF" w:rsidR="0075493B" w:rsidRDefault="00F221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607737" w:history="1">
            <w:r w:rsidR="0075493B" w:rsidRPr="006C734E">
              <w:rPr>
                <w:rStyle w:val="Hyperlink"/>
                <w:b/>
                <w:bCs/>
                <w:noProof/>
              </w:rPr>
              <w:t>Assessment 2 - Report on a Health Issue: Tuberculosis</w:t>
            </w:r>
            <w:r w:rsidR="0075493B">
              <w:rPr>
                <w:noProof/>
                <w:webHidden/>
              </w:rPr>
              <w:tab/>
            </w:r>
            <w:r w:rsidR="0075493B">
              <w:rPr>
                <w:noProof/>
                <w:webHidden/>
              </w:rPr>
              <w:fldChar w:fldCharType="begin"/>
            </w:r>
            <w:r w:rsidR="0075493B">
              <w:rPr>
                <w:noProof/>
                <w:webHidden/>
              </w:rPr>
              <w:instrText xml:space="preserve"> PAGEREF _Toc225607737 \h </w:instrText>
            </w:r>
            <w:r w:rsidR="0075493B">
              <w:rPr>
                <w:noProof/>
                <w:webHidden/>
              </w:rPr>
            </w:r>
            <w:r w:rsidR="0075493B">
              <w:rPr>
                <w:noProof/>
                <w:webHidden/>
              </w:rPr>
              <w:fldChar w:fldCharType="separate"/>
            </w:r>
            <w:r w:rsidR="0075493B">
              <w:rPr>
                <w:noProof/>
                <w:webHidden/>
              </w:rPr>
              <w:t>2</w:t>
            </w:r>
            <w:r w:rsidR="0075493B">
              <w:rPr>
                <w:noProof/>
                <w:webHidden/>
              </w:rPr>
              <w:fldChar w:fldCharType="end"/>
            </w:r>
          </w:hyperlink>
        </w:p>
        <w:p w14:paraId="5507437D" w14:textId="5F8E9382" w:rsidR="0075493B" w:rsidRDefault="0075493B">
          <w:pPr>
            <w:pStyle w:val="TOC2"/>
            <w:tabs>
              <w:tab w:val="right" w:leader="dot" w:pos="9016"/>
            </w:tabs>
            <w:rPr>
              <w:rFonts w:eastAsiaTheme="minorEastAsia"/>
              <w:noProof/>
              <w:lang w:eastAsia="en-GB"/>
            </w:rPr>
          </w:pPr>
          <w:hyperlink w:anchor="_Toc225607738" w:history="1">
            <w:r w:rsidRPr="006C734E">
              <w:rPr>
                <w:rStyle w:val="Hyperlink"/>
                <w:noProof/>
              </w:rPr>
              <w:t>Introduction</w:t>
            </w:r>
            <w:r>
              <w:rPr>
                <w:noProof/>
                <w:webHidden/>
              </w:rPr>
              <w:tab/>
            </w:r>
            <w:r>
              <w:rPr>
                <w:noProof/>
                <w:webHidden/>
              </w:rPr>
              <w:fldChar w:fldCharType="begin"/>
            </w:r>
            <w:r>
              <w:rPr>
                <w:noProof/>
                <w:webHidden/>
              </w:rPr>
              <w:instrText xml:space="preserve"> PAGEREF _Toc225607738 \h </w:instrText>
            </w:r>
            <w:r>
              <w:rPr>
                <w:noProof/>
                <w:webHidden/>
              </w:rPr>
            </w:r>
            <w:r>
              <w:rPr>
                <w:noProof/>
                <w:webHidden/>
              </w:rPr>
              <w:fldChar w:fldCharType="separate"/>
            </w:r>
            <w:r>
              <w:rPr>
                <w:noProof/>
                <w:webHidden/>
              </w:rPr>
              <w:t>2</w:t>
            </w:r>
            <w:r>
              <w:rPr>
                <w:noProof/>
                <w:webHidden/>
              </w:rPr>
              <w:fldChar w:fldCharType="end"/>
            </w:r>
          </w:hyperlink>
        </w:p>
        <w:p w14:paraId="12B4FD7C" w14:textId="3D489748" w:rsidR="0075493B" w:rsidRDefault="0075493B">
          <w:pPr>
            <w:pStyle w:val="TOC2"/>
            <w:tabs>
              <w:tab w:val="right" w:leader="dot" w:pos="9016"/>
            </w:tabs>
            <w:rPr>
              <w:rFonts w:eastAsiaTheme="minorEastAsia"/>
              <w:noProof/>
              <w:lang w:eastAsia="en-GB"/>
            </w:rPr>
          </w:pPr>
          <w:hyperlink w:anchor="_Toc225607739" w:history="1">
            <w:r w:rsidRPr="006C734E">
              <w:rPr>
                <w:rStyle w:val="Hyperlink"/>
                <w:noProof/>
              </w:rPr>
              <w:t>Tracking and Checking Tuberculosis</w:t>
            </w:r>
            <w:r>
              <w:rPr>
                <w:noProof/>
                <w:webHidden/>
              </w:rPr>
              <w:tab/>
            </w:r>
            <w:r>
              <w:rPr>
                <w:noProof/>
                <w:webHidden/>
              </w:rPr>
              <w:fldChar w:fldCharType="begin"/>
            </w:r>
            <w:r>
              <w:rPr>
                <w:noProof/>
                <w:webHidden/>
              </w:rPr>
              <w:instrText xml:space="preserve"> PAGEREF _Toc225607739 \h </w:instrText>
            </w:r>
            <w:r>
              <w:rPr>
                <w:noProof/>
                <w:webHidden/>
              </w:rPr>
            </w:r>
            <w:r>
              <w:rPr>
                <w:noProof/>
                <w:webHidden/>
              </w:rPr>
              <w:fldChar w:fldCharType="separate"/>
            </w:r>
            <w:r>
              <w:rPr>
                <w:noProof/>
                <w:webHidden/>
              </w:rPr>
              <w:t>2</w:t>
            </w:r>
            <w:r>
              <w:rPr>
                <w:noProof/>
                <w:webHidden/>
              </w:rPr>
              <w:fldChar w:fldCharType="end"/>
            </w:r>
          </w:hyperlink>
        </w:p>
        <w:p w14:paraId="446D472D" w14:textId="53638F15" w:rsidR="0075493B" w:rsidRDefault="0075493B">
          <w:pPr>
            <w:pStyle w:val="TOC2"/>
            <w:tabs>
              <w:tab w:val="right" w:leader="dot" w:pos="9016"/>
            </w:tabs>
            <w:rPr>
              <w:rFonts w:eastAsiaTheme="minorEastAsia"/>
              <w:noProof/>
              <w:lang w:eastAsia="en-GB"/>
            </w:rPr>
          </w:pPr>
          <w:hyperlink w:anchor="_Toc225607740" w:history="1">
            <w:r w:rsidRPr="006C734E">
              <w:rPr>
                <w:rStyle w:val="Hyperlink"/>
                <w:noProof/>
              </w:rPr>
              <w:t>Controlling the disease</w:t>
            </w:r>
            <w:r>
              <w:rPr>
                <w:noProof/>
                <w:webHidden/>
              </w:rPr>
              <w:tab/>
            </w:r>
            <w:r>
              <w:rPr>
                <w:noProof/>
                <w:webHidden/>
              </w:rPr>
              <w:fldChar w:fldCharType="begin"/>
            </w:r>
            <w:r>
              <w:rPr>
                <w:noProof/>
                <w:webHidden/>
              </w:rPr>
              <w:instrText xml:space="preserve"> PAGEREF _Toc225607740 \h </w:instrText>
            </w:r>
            <w:r>
              <w:rPr>
                <w:noProof/>
                <w:webHidden/>
              </w:rPr>
            </w:r>
            <w:r>
              <w:rPr>
                <w:noProof/>
                <w:webHidden/>
              </w:rPr>
              <w:fldChar w:fldCharType="separate"/>
            </w:r>
            <w:r>
              <w:rPr>
                <w:noProof/>
                <w:webHidden/>
              </w:rPr>
              <w:t>3</w:t>
            </w:r>
            <w:r>
              <w:rPr>
                <w:noProof/>
                <w:webHidden/>
              </w:rPr>
              <w:fldChar w:fldCharType="end"/>
            </w:r>
          </w:hyperlink>
        </w:p>
        <w:p w14:paraId="2F506DFA" w14:textId="7E2A0D5C" w:rsidR="0075493B" w:rsidRDefault="0075493B">
          <w:pPr>
            <w:pStyle w:val="TOC2"/>
            <w:tabs>
              <w:tab w:val="right" w:leader="dot" w:pos="9016"/>
            </w:tabs>
            <w:rPr>
              <w:rFonts w:eastAsiaTheme="minorEastAsia"/>
              <w:noProof/>
              <w:lang w:eastAsia="en-GB"/>
            </w:rPr>
          </w:pPr>
          <w:hyperlink w:anchor="_Toc225607741" w:history="1">
            <w:r w:rsidRPr="006C734E">
              <w:rPr>
                <w:rStyle w:val="Hyperlink"/>
                <w:noProof/>
              </w:rPr>
              <w:t>Effects of Tuberculosis on Communities</w:t>
            </w:r>
            <w:r>
              <w:rPr>
                <w:noProof/>
                <w:webHidden/>
              </w:rPr>
              <w:tab/>
            </w:r>
            <w:r>
              <w:rPr>
                <w:noProof/>
                <w:webHidden/>
              </w:rPr>
              <w:fldChar w:fldCharType="begin"/>
            </w:r>
            <w:r>
              <w:rPr>
                <w:noProof/>
                <w:webHidden/>
              </w:rPr>
              <w:instrText xml:space="preserve"> PAGEREF _Toc225607741 \h </w:instrText>
            </w:r>
            <w:r>
              <w:rPr>
                <w:noProof/>
                <w:webHidden/>
              </w:rPr>
            </w:r>
            <w:r>
              <w:rPr>
                <w:noProof/>
                <w:webHidden/>
              </w:rPr>
              <w:fldChar w:fldCharType="separate"/>
            </w:r>
            <w:r>
              <w:rPr>
                <w:noProof/>
                <w:webHidden/>
              </w:rPr>
              <w:t>4</w:t>
            </w:r>
            <w:r>
              <w:rPr>
                <w:noProof/>
                <w:webHidden/>
              </w:rPr>
              <w:fldChar w:fldCharType="end"/>
            </w:r>
          </w:hyperlink>
        </w:p>
        <w:p w14:paraId="3B97E77D" w14:textId="3C6139B7" w:rsidR="0075493B" w:rsidRDefault="0075493B">
          <w:pPr>
            <w:pStyle w:val="TOC2"/>
            <w:tabs>
              <w:tab w:val="right" w:leader="dot" w:pos="9016"/>
            </w:tabs>
            <w:rPr>
              <w:rFonts w:eastAsiaTheme="minorEastAsia"/>
              <w:noProof/>
              <w:lang w:eastAsia="en-GB"/>
            </w:rPr>
          </w:pPr>
          <w:hyperlink w:anchor="_Toc225607742" w:history="1">
            <w:r w:rsidRPr="006C734E">
              <w:rPr>
                <w:rStyle w:val="Hyperlink"/>
                <w:noProof/>
              </w:rPr>
              <w:t>Health and Social Care Support Services</w:t>
            </w:r>
            <w:r>
              <w:rPr>
                <w:noProof/>
                <w:webHidden/>
              </w:rPr>
              <w:tab/>
            </w:r>
            <w:r>
              <w:rPr>
                <w:noProof/>
                <w:webHidden/>
              </w:rPr>
              <w:fldChar w:fldCharType="begin"/>
            </w:r>
            <w:r>
              <w:rPr>
                <w:noProof/>
                <w:webHidden/>
              </w:rPr>
              <w:instrText xml:space="preserve"> PAGEREF _Toc225607742 \h </w:instrText>
            </w:r>
            <w:r>
              <w:rPr>
                <w:noProof/>
                <w:webHidden/>
              </w:rPr>
            </w:r>
            <w:r>
              <w:rPr>
                <w:noProof/>
                <w:webHidden/>
              </w:rPr>
              <w:fldChar w:fldCharType="separate"/>
            </w:r>
            <w:r>
              <w:rPr>
                <w:noProof/>
                <w:webHidden/>
              </w:rPr>
              <w:t>4</w:t>
            </w:r>
            <w:r>
              <w:rPr>
                <w:noProof/>
                <w:webHidden/>
              </w:rPr>
              <w:fldChar w:fldCharType="end"/>
            </w:r>
          </w:hyperlink>
        </w:p>
        <w:p w14:paraId="4D986DD1" w14:textId="29F3A5AD" w:rsidR="0075493B" w:rsidRDefault="0075493B">
          <w:pPr>
            <w:pStyle w:val="TOC2"/>
            <w:tabs>
              <w:tab w:val="right" w:leader="dot" w:pos="9016"/>
            </w:tabs>
            <w:rPr>
              <w:rFonts w:eastAsiaTheme="minorEastAsia"/>
              <w:noProof/>
              <w:lang w:eastAsia="en-GB"/>
            </w:rPr>
          </w:pPr>
          <w:hyperlink w:anchor="_Toc225607743" w:history="1">
            <w:r w:rsidRPr="006C734E">
              <w:rPr>
                <w:rStyle w:val="Hyperlink"/>
                <w:noProof/>
              </w:rPr>
              <w:t>Simple Actions for Working Adults</w:t>
            </w:r>
            <w:r>
              <w:rPr>
                <w:noProof/>
                <w:webHidden/>
              </w:rPr>
              <w:tab/>
            </w:r>
            <w:r>
              <w:rPr>
                <w:noProof/>
                <w:webHidden/>
              </w:rPr>
              <w:fldChar w:fldCharType="begin"/>
            </w:r>
            <w:r>
              <w:rPr>
                <w:noProof/>
                <w:webHidden/>
              </w:rPr>
              <w:instrText xml:space="preserve"> PAGEREF _Toc225607743 \h </w:instrText>
            </w:r>
            <w:r>
              <w:rPr>
                <w:noProof/>
                <w:webHidden/>
              </w:rPr>
            </w:r>
            <w:r>
              <w:rPr>
                <w:noProof/>
                <w:webHidden/>
              </w:rPr>
              <w:fldChar w:fldCharType="separate"/>
            </w:r>
            <w:r>
              <w:rPr>
                <w:noProof/>
                <w:webHidden/>
              </w:rPr>
              <w:t>5</w:t>
            </w:r>
            <w:r>
              <w:rPr>
                <w:noProof/>
                <w:webHidden/>
              </w:rPr>
              <w:fldChar w:fldCharType="end"/>
            </w:r>
          </w:hyperlink>
        </w:p>
        <w:p w14:paraId="6BB9C8BC" w14:textId="25D5AB94" w:rsidR="0075493B" w:rsidRDefault="0075493B">
          <w:pPr>
            <w:pStyle w:val="TOC2"/>
            <w:tabs>
              <w:tab w:val="right" w:leader="dot" w:pos="9016"/>
            </w:tabs>
            <w:rPr>
              <w:rFonts w:eastAsiaTheme="minorEastAsia"/>
              <w:noProof/>
              <w:lang w:eastAsia="en-GB"/>
            </w:rPr>
          </w:pPr>
          <w:hyperlink w:anchor="_Toc225607744" w:history="1">
            <w:r w:rsidRPr="006C734E">
              <w:rPr>
                <w:rStyle w:val="Hyperlink"/>
                <w:noProof/>
              </w:rPr>
              <w:t>Conclusion</w:t>
            </w:r>
            <w:r>
              <w:rPr>
                <w:noProof/>
                <w:webHidden/>
              </w:rPr>
              <w:tab/>
            </w:r>
            <w:r>
              <w:rPr>
                <w:noProof/>
                <w:webHidden/>
              </w:rPr>
              <w:fldChar w:fldCharType="begin"/>
            </w:r>
            <w:r>
              <w:rPr>
                <w:noProof/>
                <w:webHidden/>
              </w:rPr>
              <w:instrText xml:space="preserve"> PAGEREF _Toc225607744 \h </w:instrText>
            </w:r>
            <w:r>
              <w:rPr>
                <w:noProof/>
                <w:webHidden/>
              </w:rPr>
            </w:r>
            <w:r>
              <w:rPr>
                <w:noProof/>
                <w:webHidden/>
              </w:rPr>
              <w:fldChar w:fldCharType="separate"/>
            </w:r>
            <w:r>
              <w:rPr>
                <w:noProof/>
                <w:webHidden/>
              </w:rPr>
              <w:t>5</w:t>
            </w:r>
            <w:r>
              <w:rPr>
                <w:noProof/>
                <w:webHidden/>
              </w:rPr>
              <w:fldChar w:fldCharType="end"/>
            </w:r>
          </w:hyperlink>
        </w:p>
        <w:p w14:paraId="5156BE05" w14:textId="2DE7EAAA" w:rsidR="0075493B" w:rsidRDefault="0075493B">
          <w:pPr>
            <w:pStyle w:val="TOC2"/>
            <w:tabs>
              <w:tab w:val="right" w:leader="dot" w:pos="9016"/>
            </w:tabs>
            <w:rPr>
              <w:rFonts w:eastAsiaTheme="minorEastAsia"/>
              <w:noProof/>
              <w:lang w:eastAsia="en-GB"/>
            </w:rPr>
          </w:pPr>
          <w:hyperlink w:anchor="_Toc225607745" w:history="1">
            <w:r w:rsidRPr="006C734E">
              <w:rPr>
                <w:rStyle w:val="Hyperlink"/>
                <w:noProof/>
              </w:rPr>
              <w:t>Reference List</w:t>
            </w:r>
            <w:r>
              <w:rPr>
                <w:noProof/>
                <w:webHidden/>
              </w:rPr>
              <w:tab/>
            </w:r>
            <w:r>
              <w:rPr>
                <w:noProof/>
                <w:webHidden/>
              </w:rPr>
              <w:fldChar w:fldCharType="begin"/>
            </w:r>
            <w:r>
              <w:rPr>
                <w:noProof/>
                <w:webHidden/>
              </w:rPr>
              <w:instrText xml:space="preserve"> PAGEREF _Toc225607745 \h </w:instrText>
            </w:r>
            <w:r>
              <w:rPr>
                <w:noProof/>
                <w:webHidden/>
              </w:rPr>
            </w:r>
            <w:r>
              <w:rPr>
                <w:noProof/>
                <w:webHidden/>
              </w:rPr>
              <w:fldChar w:fldCharType="separate"/>
            </w:r>
            <w:r>
              <w:rPr>
                <w:noProof/>
                <w:webHidden/>
              </w:rPr>
              <w:t>6</w:t>
            </w:r>
            <w:r>
              <w:rPr>
                <w:noProof/>
                <w:webHidden/>
              </w:rPr>
              <w:fldChar w:fldCharType="end"/>
            </w:r>
          </w:hyperlink>
        </w:p>
        <w:p w14:paraId="40148EA7" w14:textId="07C4AB0C" w:rsidR="00F22112" w:rsidRDefault="00F22112">
          <w:r>
            <w:rPr>
              <w:b/>
              <w:bCs/>
            </w:rPr>
            <w:fldChar w:fldCharType="end"/>
          </w:r>
        </w:p>
      </w:sdtContent>
    </w:sdt>
    <w:p w14:paraId="002B52A5" w14:textId="77777777" w:rsidR="00F22112" w:rsidRDefault="00F22112" w:rsidP="00BC7F1A">
      <w:pPr>
        <w:spacing w:line="360" w:lineRule="auto"/>
        <w:rPr>
          <w:rFonts w:ascii="Arial" w:hAnsi="Arial" w:cs="Arial"/>
          <w:b/>
          <w:bCs/>
          <w:sz w:val="22"/>
          <w:szCs w:val="22"/>
          <w:u w:val="single"/>
        </w:rPr>
      </w:pPr>
    </w:p>
    <w:p w14:paraId="312989C3" w14:textId="77777777" w:rsidR="0075493B" w:rsidRDefault="0075493B" w:rsidP="00F22112">
      <w:pPr>
        <w:pStyle w:val="Heading1"/>
        <w:jc w:val="center"/>
        <w:rPr>
          <w:b/>
          <w:bCs/>
          <w:color w:val="000000" w:themeColor="text1"/>
          <w:sz w:val="36"/>
          <w:szCs w:val="36"/>
        </w:rPr>
      </w:pPr>
    </w:p>
    <w:p w14:paraId="3147B21E" w14:textId="77777777" w:rsidR="0075493B" w:rsidRDefault="0075493B" w:rsidP="00F22112">
      <w:pPr>
        <w:pStyle w:val="Heading1"/>
        <w:jc w:val="center"/>
        <w:rPr>
          <w:b/>
          <w:bCs/>
          <w:color w:val="000000" w:themeColor="text1"/>
          <w:sz w:val="36"/>
          <w:szCs w:val="36"/>
        </w:rPr>
      </w:pPr>
    </w:p>
    <w:p w14:paraId="5F487A73" w14:textId="2196CD1E" w:rsidR="008B0826" w:rsidRPr="00F22112" w:rsidRDefault="00F22112" w:rsidP="00F22112">
      <w:pPr>
        <w:pStyle w:val="Heading1"/>
        <w:jc w:val="center"/>
        <w:rPr>
          <w:b/>
          <w:bCs/>
          <w:color w:val="000000" w:themeColor="text1"/>
          <w:sz w:val="36"/>
          <w:szCs w:val="36"/>
        </w:rPr>
      </w:pPr>
      <w:bookmarkStart w:id="0" w:name="_Toc225607737"/>
      <w:r w:rsidRPr="00F22112">
        <w:rPr>
          <w:b/>
          <w:bCs/>
          <w:color w:val="000000" w:themeColor="text1"/>
          <w:sz w:val="36"/>
          <w:szCs w:val="36"/>
        </w:rPr>
        <w:t>Assessment 2 - Report on a Health Issue: Tuberculosis</w:t>
      </w:r>
      <w:bookmarkEnd w:id="0"/>
    </w:p>
    <w:p w14:paraId="46B0ACF9" w14:textId="77777777" w:rsidR="008B0826" w:rsidRDefault="008B0826" w:rsidP="00BC7F1A">
      <w:pPr>
        <w:spacing w:line="360" w:lineRule="auto"/>
        <w:rPr>
          <w:rFonts w:ascii="Arial" w:hAnsi="Arial" w:cs="Arial"/>
          <w:b/>
          <w:bCs/>
          <w:sz w:val="22"/>
          <w:szCs w:val="22"/>
          <w:u w:val="single"/>
        </w:rPr>
      </w:pPr>
    </w:p>
    <w:p w14:paraId="03567412" w14:textId="7A8E7879" w:rsidR="00261BAA" w:rsidRPr="00F22112" w:rsidRDefault="00261BAA" w:rsidP="00F22112">
      <w:pPr>
        <w:pStyle w:val="Heading2"/>
        <w:rPr>
          <w:b w:val="0"/>
        </w:rPr>
      </w:pPr>
      <w:bookmarkStart w:id="1" w:name="_Toc225607738"/>
      <w:r w:rsidRPr="00F22112">
        <w:t>Introduction</w:t>
      </w:r>
      <w:bookmarkEnd w:id="1"/>
    </w:p>
    <w:p w14:paraId="26AF95EE" w14:textId="0B6D64FA"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Despite being best known for lung involvement, tuberculosis</w:t>
      </w:r>
      <w:r w:rsidR="005922CB" w:rsidRPr="00BC7F1A">
        <w:rPr>
          <w:rFonts w:ascii="Arial" w:hAnsi="Arial" w:cs="Arial"/>
          <w:sz w:val="22"/>
          <w:szCs w:val="22"/>
        </w:rPr>
        <w:t xml:space="preserve"> (TB)</w:t>
      </w:r>
      <w:r w:rsidRPr="00BC7F1A">
        <w:rPr>
          <w:rFonts w:ascii="Arial" w:hAnsi="Arial" w:cs="Arial"/>
          <w:sz w:val="22"/>
          <w:szCs w:val="22"/>
        </w:rPr>
        <w:t xml:space="preserve"> stems from Mycobacterium tuberculosis, a pathogen capable of affecting organs like the kidneys or even the brain. Tiny airborne particles that are released when someone infected speaks, coughs, or sneezes spread it</w:t>
      </w:r>
      <w:r w:rsidR="00071F46" w:rsidRPr="00BC7F1A">
        <w:rPr>
          <w:rFonts w:ascii="Arial" w:hAnsi="Arial" w:cs="Arial"/>
          <w:sz w:val="22"/>
          <w:szCs w:val="22"/>
        </w:rPr>
        <w:t xml:space="preserve"> (NHS, 2023). </w:t>
      </w:r>
      <w:r w:rsidRPr="00BC7F1A">
        <w:rPr>
          <w:rFonts w:ascii="Arial" w:hAnsi="Arial" w:cs="Arial"/>
          <w:sz w:val="22"/>
          <w:szCs w:val="22"/>
        </w:rPr>
        <w:t xml:space="preserve">Not every individual exposed becomes ill right away; some host the bacteria without showing signs, these individuals are known as </w:t>
      </w:r>
      <w:r w:rsidR="00976E9A">
        <w:rPr>
          <w:rFonts w:ascii="Arial" w:hAnsi="Arial" w:cs="Arial"/>
          <w:sz w:val="22"/>
          <w:szCs w:val="22"/>
        </w:rPr>
        <w:t>TB latent carriers</w:t>
      </w:r>
      <w:r w:rsidRPr="00BC7F1A">
        <w:rPr>
          <w:rFonts w:ascii="Arial" w:hAnsi="Arial" w:cs="Arial"/>
          <w:sz w:val="22"/>
          <w:szCs w:val="22"/>
        </w:rPr>
        <w:t xml:space="preserve">. When illness does emerge, with clear symptoms and transmission risk, </w:t>
      </w:r>
      <w:r w:rsidR="004219D6" w:rsidRPr="00BC7F1A">
        <w:rPr>
          <w:rFonts w:ascii="Arial" w:hAnsi="Arial" w:cs="Arial"/>
          <w:sz w:val="22"/>
          <w:szCs w:val="22"/>
        </w:rPr>
        <w:t xml:space="preserve">it is labelled as </w:t>
      </w:r>
      <w:r w:rsidRPr="00BC7F1A">
        <w:rPr>
          <w:rFonts w:ascii="Arial" w:hAnsi="Arial" w:cs="Arial"/>
          <w:sz w:val="22"/>
          <w:szCs w:val="22"/>
        </w:rPr>
        <w:t>active TB. Health experts draw this distinction carefully during diagnosis and planning care</w:t>
      </w:r>
      <w:r w:rsidR="00071F46" w:rsidRPr="00BC7F1A">
        <w:rPr>
          <w:rFonts w:ascii="Arial" w:hAnsi="Arial" w:cs="Arial"/>
          <w:sz w:val="22"/>
          <w:szCs w:val="22"/>
        </w:rPr>
        <w:t xml:space="preserve"> (NICE, 2019).</w:t>
      </w:r>
    </w:p>
    <w:p w14:paraId="39179890" w14:textId="5928354F" w:rsidR="00261BAA" w:rsidRPr="00BC7F1A" w:rsidRDefault="00261BAA" w:rsidP="006F389B">
      <w:pPr>
        <w:pStyle w:val="NormalWeb"/>
        <w:spacing w:line="360" w:lineRule="auto"/>
        <w:rPr>
          <w:rFonts w:ascii="Arial" w:hAnsi="Arial" w:cs="Arial"/>
          <w:sz w:val="22"/>
          <w:szCs w:val="22"/>
        </w:rPr>
      </w:pPr>
      <w:r w:rsidRPr="00BC7F1A">
        <w:rPr>
          <w:rFonts w:ascii="Arial" w:hAnsi="Arial" w:cs="Arial"/>
          <w:sz w:val="22"/>
          <w:szCs w:val="22"/>
        </w:rPr>
        <w:t xml:space="preserve">One </w:t>
      </w:r>
      <w:r w:rsidR="004219D6" w:rsidRPr="00BC7F1A">
        <w:rPr>
          <w:rFonts w:ascii="Arial" w:hAnsi="Arial" w:cs="Arial"/>
          <w:sz w:val="22"/>
          <w:szCs w:val="22"/>
        </w:rPr>
        <w:t>of the main TB symptoms is</w:t>
      </w:r>
      <w:r w:rsidRPr="00BC7F1A">
        <w:rPr>
          <w:rFonts w:ascii="Arial" w:hAnsi="Arial" w:cs="Arial"/>
          <w:sz w:val="22"/>
          <w:szCs w:val="22"/>
        </w:rPr>
        <w:t xml:space="preserve"> a persistent cough lasting more than </w:t>
      </w:r>
      <w:proofErr w:type="gramStart"/>
      <w:r w:rsidRPr="00BC7F1A">
        <w:rPr>
          <w:rFonts w:ascii="Arial" w:hAnsi="Arial" w:cs="Arial"/>
          <w:sz w:val="22"/>
          <w:szCs w:val="22"/>
        </w:rPr>
        <w:t>twenty</w:t>
      </w:r>
      <w:r w:rsidR="004219D6" w:rsidRPr="00BC7F1A">
        <w:rPr>
          <w:rFonts w:ascii="Arial" w:hAnsi="Arial" w:cs="Arial"/>
          <w:sz w:val="22"/>
          <w:szCs w:val="22"/>
        </w:rPr>
        <w:t xml:space="preserve"> </w:t>
      </w:r>
      <w:r w:rsidRPr="00BC7F1A">
        <w:rPr>
          <w:rFonts w:ascii="Arial" w:hAnsi="Arial" w:cs="Arial"/>
          <w:sz w:val="22"/>
          <w:szCs w:val="22"/>
        </w:rPr>
        <w:t>one</w:t>
      </w:r>
      <w:proofErr w:type="gramEnd"/>
      <w:r w:rsidRPr="00BC7F1A">
        <w:rPr>
          <w:rFonts w:ascii="Arial" w:hAnsi="Arial" w:cs="Arial"/>
          <w:sz w:val="22"/>
          <w:szCs w:val="22"/>
        </w:rPr>
        <w:t xml:space="preserve"> days, sometimes </w:t>
      </w:r>
      <w:r w:rsidR="004219D6" w:rsidRPr="00BC7F1A">
        <w:rPr>
          <w:rFonts w:ascii="Arial" w:hAnsi="Arial" w:cs="Arial"/>
          <w:sz w:val="22"/>
          <w:szCs w:val="22"/>
        </w:rPr>
        <w:t>involving coughing up</w:t>
      </w:r>
      <w:r w:rsidRPr="00BC7F1A">
        <w:rPr>
          <w:rFonts w:ascii="Arial" w:hAnsi="Arial" w:cs="Arial"/>
          <w:sz w:val="22"/>
          <w:szCs w:val="22"/>
        </w:rPr>
        <w:t xml:space="preserve"> blood. Alongside it come fatigue </w:t>
      </w:r>
      <w:r w:rsidR="004219D6" w:rsidRPr="00BC7F1A">
        <w:rPr>
          <w:rFonts w:ascii="Arial" w:hAnsi="Arial" w:cs="Arial"/>
          <w:sz w:val="22"/>
          <w:szCs w:val="22"/>
        </w:rPr>
        <w:t>that</w:t>
      </w:r>
      <w:r w:rsidRPr="00BC7F1A">
        <w:rPr>
          <w:rFonts w:ascii="Arial" w:hAnsi="Arial" w:cs="Arial"/>
          <w:sz w:val="22"/>
          <w:szCs w:val="22"/>
        </w:rPr>
        <w:t xml:space="preserve"> disrupts daily life</w:t>
      </w:r>
      <w:r w:rsidR="004219D6" w:rsidRPr="00BC7F1A">
        <w:rPr>
          <w:rFonts w:ascii="Arial" w:hAnsi="Arial" w:cs="Arial"/>
          <w:sz w:val="22"/>
          <w:szCs w:val="22"/>
        </w:rPr>
        <w:t xml:space="preserve"> and </w:t>
      </w:r>
      <w:r w:rsidRPr="00BC7F1A">
        <w:rPr>
          <w:rFonts w:ascii="Arial" w:hAnsi="Arial" w:cs="Arial"/>
          <w:sz w:val="22"/>
          <w:szCs w:val="22"/>
        </w:rPr>
        <w:t>night sweats</w:t>
      </w:r>
      <w:r w:rsidR="00071F46" w:rsidRPr="00BC7F1A">
        <w:rPr>
          <w:rFonts w:ascii="Arial" w:hAnsi="Arial" w:cs="Arial"/>
          <w:sz w:val="22"/>
          <w:szCs w:val="22"/>
        </w:rPr>
        <w:t xml:space="preserve"> (NHS, 2023).</w:t>
      </w:r>
      <w:r w:rsidRPr="00BC7F1A">
        <w:rPr>
          <w:rFonts w:ascii="Arial" w:hAnsi="Arial" w:cs="Arial"/>
          <w:sz w:val="22"/>
          <w:szCs w:val="22"/>
        </w:rPr>
        <w:t xml:space="preserve"> Though treatment exists, the illness continues to burden populations worldwide. According to WHO data from 2023, nearly 11 million faced diagnosis in 2022 alone</w:t>
      </w:r>
      <w:r w:rsidR="00E0056B" w:rsidRPr="00BC7F1A">
        <w:rPr>
          <w:rFonts w:ascii="Arial" w:hAnsi="Arial" w:cs="Arial"/>
          <w:sz w:val="22"/>
          <w:szCs w:val="22"/>
        </w:rPr>
        <w:t xml:space="preserve"> (WHO, 2023)</w:t>
      </w:r>
      <w:r w:rsidRPr="00BC7F1A">
        <w:rPr>
          <w:rFonts w:ascii="Arial" w:hAnsi="Arial" w:cs="Arial"/>
          <w:sz w:val="22"/>
          <w:szCs w:val="22"/>
        </w:rPr>
        <w:t>. Britain handles outbreaks with greater success compared to many nations</w:t>
      </w:r>
      <w:r w:rsidR="00976E9A">
        <w:rPr>
          <w:rFonts w:ascii="Arial" w:hAnsi="Arial" w:cs="Arial"/>
          <w:sz w:val="22"/>
          <w:szCs w:val="22"/>
        </w:rPr>
        <w:t xml:space="preserve"> due to the free diagnosis and treatment provided by the NHS </w:t>
      </w:r>
      <w:r w:rsidR="006F389B" w:rsidRPr="006F389B">
        <w:rPr>
          <w:rFonts w:ascii="Arial" w:hAnsi="Arial" w:cs="Arial"/>
          <w:sz w:val="22"/>
          <w:szCs w:val="22"/>
        </w:rPr>
        <w:t>(Public Health England, 2015)</w:t>
      </w:r>
      <w:r w:rsidR="006F389B">
        <w:rPr>
          <w:rFonts w:ascii="Arial" w:hAnsi="Arial" w:cs="Arial"/>
          <w:sz w:val="22"/>
          <w:szCs w:val="22"/>
        </w:rPr>
        <w:t xml:space="preserve">. </w:t>
      </w:r>
      <w:r w:rsidRPr="00BC7F1A">
        <w:rPr>
          <w:rFonts w:ascii="Arial" w:hAnsi="Arial" w:cs="Arial"/>
          <w:sz w:val="22"/>
          <w:szCs w:val="22"/>
        </w:rPr>
        <w:t>Still, roughly four and a half thousand individuals receive a positive result annually</w:t>
      </w:r>
      <w:r w:rsidR="00E0056B" w:rsidRPr="00BC7F1A">
        <w:rPr>
          <w:rFonts w:ascii="Arial" w:hAnsi="Arial" w:cs="Arial"/>
          <w:sz w:val="22"/>
          <w:szCs w:val="22"/>
        </w:rPr>
        <w:t xml:space="preserve">, most of which live </w:t>
      </w:r>
      <w:r w:rsidRPr="00BC7F1A">
        <w:rPr>
          <w:rFonts w:ascii="Arial" w:hAnsi="Arial" w:cs="Arial"/>
          <w:sz w:val="22"/>
          <w:szCs w:val="22"/>
        </w:rPr>
        <w:t>in densely packed urban areas. Figures released by UKHSA confirm this trend holds through recent years</w:t>
      </w:r>
      <w:r w:rsidR="00E0056B" w:rsidRPr="00BC7F1A">
        <w:rPr>
          <w:rFonts w:ascii="Arial" w:hAnsi="Arial" w:cs="Arial"/>
          <w:sz w:val="22"/>
          <w:szCs w:val="22"/>
        </w:rPr>
        <w:t xml:space="preserve"> (UKHSA, 2023)</w:t>
      </w:r>
      <w:r w:rsidRPr="00BC7F1A">
        <w:rPr>
          <w:rFonts w:ascii="Arial" w:hAnsi="Arial" w:cs="Arial"/>
          <w:sz w:val="22"/>
          <w:szCs w:val="22"/>
        </w:rPr>
        <w:t>.</w:t>
      </w:r>
    </w:p>
    <w:p w14:paraId="391FDDEB" w14:textId="77777777" w:rsidR="00261BAA" w:rsidRPr="00BC7F1A" w:rsidRDefault="00261BAA" w:rsidP="00F22112">
      <w:pPr>
        <w:pStyle w:val="Heading2"/>
      </w:pPr>
      <w:bookmarkStart w:id="2" w:name="_Toc225607739"/>
      <w:r w:rsidRPr="00BC7F1A">
        <w:t>Tracking and Checking Tuberculosis</w:t>
      </w:r>
      <w:bookmarkEnd w:id="2"/>
    </w:p>
    <w:p w14:paraId="16915BA3" w14:textId="2E4E9201"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Tracking progress in public health depends on reliable measurement. One key </w:t>
      </w:r>
      <w:r w:rsidR="00F22112" w:rsidRPr="00BC7F1A">
        <w:rPr>
          <w:rFonts w:ascii="Arial" w:hAnsi="Arial" w:cs="Arial"/>
          <w:sz w:val="22"/>
          <w:szCs w:val="22"/>
        </w:rPr>
        <w:t>strategy</w:t>
      </w:r>
      <w:r w:rsidRPr="00BC7F1A">
        <w:rPr>
          <w:rFonts w:ascii="Arial" w:hAnsi="Arial" w:cs="Arial"/>
          <w:sz w:val="22"/>
          <w:szCs w:val="22"/>
        </w:rPr>
        <w:t xml:space="preserve"> used across the UK for monitoring </w:t>
      </w:r>
      <w:r w:rsidR="005922CB" w:rsidRPr="00BC7F1A">
        <w:rPr>
          <w:rFonts w:ascii="Arial" w:hAnsi="Arial" w:cs="Arial"/>
          <w:sz w:val="22"/>
          <w:szCs w:val="22"/>
        </w:rPr>
        <w:t>TB</w:t>
      </w:r>
      <w:r w:rsidRPr="00BC7F1A">
        <w:rPr>
          <w:rFonts w:ascii="Arial" w:hAnsi="Arial" w:cs="Arial"/>
          <w:sz w:val="22"/>
          <w:szCs w:val="22"/>
        </w:rPr>
        <w:t xml:space="preserve"> is known as the Notification System. Because TB has legal status as a notifiable disease, physicians are required to inform local health protection teams whenever they confirm a diagnosis. Such reports flow into the UK Health Security Agency, forming a central picture of where cases cluster</w:t>
      </w:r>
      <w:r w:rsidR="00AB42D2" w:rsidRPr="00BC7F1A">
        <w:rPr>
          <w:rFonts w:ascii="Arial" w:hAnsi="Arial" w:cs="Arial"/>
          <w:sz w:val="22"/>
          <w:szCs w:val="22"/>
        </w:rPr>
        <w:t xml:space="preserve"> (UKHSA, 2023)</w:t>
      </w:r>
      <w:r w:rsidRPr="00BC7F1A">
        <w:rPr>
          <w:rFonts w:ascii="Arial" w:hAnsi="Arial" w:cs="Arial"/>
          <w:sz w:val="22"/>
          <w:szCs w:val="22"/>
        </w:rPr>
        <w:t>. Patterns in the data guide decisions about allocating resources</w:t>
      </w:r>
      <w:r w:rsidR="00AB42D2" w:rsidRPr="00BC7F1A">
        <w:rPr>
          <w:rFonts w:ascii="Arial" w:hAnsi="Arial" w:cs="Arial"/>
          <w:sz w:val="22"/>
          <w:szCs w:val="22"/>
        </w:rPr>
        <w:t>,</w:t>
      </w:r>
      <w:r w:rsidRPr="00BC7F1A">
        <w:rPr>
          <w:rFonts w:ascii="Arial" w:hAnsi="Arial" w:cs="Arial"/>
          <w:sz w:val="22"/>
          <w:szCs w:val="22"/>
        </w:rPr>
        <w:t xml:space="preserve"> like funding clinics or hiring expert nursing staff</w:t>
      </w:r>
      <w:r w:rsidR="00AB42D2" w:rsidRPr="00BC7F1A">
        <w:rPr>
          <w:rFonts w:ascii="Arial" w:hAnsi="Arial" w:cs="Arial"/>
          <w:sz w:val="22"/>
          <w:szCs w:val="22"/>
        </w:rPr>
        <w:t>,</w:t>
      </w:r>
      <w:r w:rsidRPr="00BC7F1A">
        <w:rPr>
          <w:rFonts w:ascii="Arial" w:hAnsi="Arial" w:cs="Arial"/>
          <w:sz w:val="22"/>
          <w:szCs w:val="22"/>
        </w:rPr>
        <w:t xml:space="preserve"> to places with greatest need.</w:t>
      </w:r>
    </w:p>
    <w:p w14:paraId="617538D5" w14:textId="2EA6309B"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lastRenderedPageBreak/>
        <w:t xml:space="preserve">Not everyone shows symptoms right away; some carry </w:t>
      </w:r>
      <w:r w:rsidR="005922CB" w:rsidRPr="00BC7F1A">
        <w:rPr>
          <w:rFonts w:ascii="Arial" w:hAnsi="Arial" w:cs="Arial"/>
          <w:sz w:val="22"/>
          <w:szCs w:val="22"/>
        </w:rPr>
        <w:t>TB</w:t>
      </w:r>
      <w:r w:rsidRPr="00BC7F1A">
        <w:rPr>
          <w:rFonts w:ascii="Arial" w:hAnsi="Arial" w:cs="Arial"/>
          <w:sz w:val="22"/>
          <w:szCs w:val="22"/>
        </w:rPr>
        <w:t xml:space="preserve"> without knowing</w:t>
      </w:r>
      <w:r w:rsidR="004E7FA7">
        <w:rPr>
          <w:rFonts w:ascii="Arial" w:hAnsi="Arial" w:cs="Arial"/>
          <w:sz w:val="22"/>
          <w:szCs w:val="22"/>
        </w:rPr>
        <w:t xml:space="preserve"> (latent TB)</w:t>
      </w:r>
      <w:r w:rsidRPr="00BC7F1A">
        <w:rPr>
          <w:rFonts w:ascii="Arial" w:hAnsi="Arial" w:cs="Arial"/>
          <w:sz w:val="22"/>
          <w:szCs w:val="22"/>
        </w:rPr>
        <w:t xml:space="preserve">. Health teams take steps before illness appears, focusing on those more likely to be affected. </w:t>
      </w:r>
      <w:r w:rsidR="00AB42D2" w:rsidRPr="00BC7F1A">
        <w:rPr>
          <w:rFonts w:ascii="Arial" w:hAnsi="Arial" w:cs="Arial"/>
          <w:sz w:val="22"/>
          <w:szCs w:val="22"/>
        </w:rPr>
        <w:t>For example, I</w:t>
      </w:r>
      <w:r w:rsidRPr="00BC7F1A">
        <w:rPr>
          <w:rFonts w:ascii="Arial" w:hAnsi="Arial" w:cs="Arial"/>
          <w:sz w:val="22"/>
          <w:szCs w:val="22"/>
        </w:rPr>
        <w:t>ndividuals arriving from regions with widespread TB may face screening upon entry</w:t>
      </w:r>
      <w:r w:rsidR="00071F46" w:rsidRPr="00BC7F1A">
        <w:rPr>
          <w:rFonts w:ascii="Arial" w:hAnsi="Arial" w:cs="Arial"/>
          <w:sz w:val="22"/>
          <w:szCs w:val="22"/>
        </w:rPr>
        <w:t xml:space="preserve"> (NICE, 2019).</w:t>
      </w:r>
      <w:r w:rsidRPr="00BC7F1A">
        <w:rPr>
          <w:rFonts w:ascii="Arial" w:hAnsi="Arial" w:cs="Arial"/>
          <w:sz w:val="22"/>
          <w:szCs w:val="22"/>
        </w:rPr>
        <w:t xml:space="preserve"> A blood check called IGRA, sometimes swapped for a skin patch method known as Mantoux, helps spot hidden infections. When results show dormant bacteria, treatment begins early. Prevention</w:t>
      </w:r>
      <w:r w:rsidR="00AB42D2" w:rsidRPr="00BC7F1A">
        <w:rPr>
          <w:rFonts w:ascii="Arial" w:hAnsi="Arial" w:cs="Arial"/>
          <w:sz w:val="22"/>
          <w:szCs w:val="22"/>
        </w:rPr>
        <w:t xml:space="preserve"> starts</w:t>
      </w:r>
      <w:r w:rsidRPr="00BC7F1A">
        <w:rPr>
          <w:rFonts w:ascii="Arial" w:hAnsi="Arial" w:cs="Arial"/>
          <w:sz w:val="22"/>
          <w:szCs w:val="22"/>
        </w:rPr>
        <w:t xml:space="preserve"> at this stage, blocking progression into full illness. Stopping it quietly cuts long</w:t>
      </w:r>
      <w:r w:rsidR="004E7FA7">
        <w:rPr>
          <w:rFonts w:ascii="Arial" w:hAnsi="Arial" w:cs="Arial"/>
          <w:sz w:val="22"/>
          <w:szCs w:val="22"/>
        </w:rPr>
        <w:t xml:space="preserve"> </w:t>
      </w:r>
      <w:r w:rsidRPr="00BC7F1A">
        <w:rPr>
          <w:rFonts w:ascii="Arial" w:hAnsi="Arial" w:cs="Arial"/>
          <w:sz w:val="22"/>
          <w:szCs w:val="22"/>
        </w:rPr>
        <w:t>term costs. Safety rises when care moves ahead of sickness. Quiet control beats crisis response every time.</w:t>
      </w:r>
    </w:p>
    <w:p w14:paraId="69121B31" w14:textId="722FBD82" w:rsidR="00261BAA" w:rsidRPr="00BC7F1A" w:rsidRDefault="00AB42D2" w:rsidP="00BC7F1A">
      <w:pPr>
        <w:spacing w:line="360" w:lineRule="auto"/>
        <w:rPr>
          <w:rFonts w:ascii="Arial" w:hAnsi="Arial" w:cs="Arial"/>
          <w:sz w:val="22"/>
          <w:szCs w:val="22"/>
        </w:rPr>
      </w:pPr>
      <w:proofErr w:type="gramStart"/>
      <w:r w:rsidRPr="00BC7F1A">
        <w:rPr>
          <w:rFonts w:ascii="Arial" w:hAnsi="Arial" w:cs="Arial"/>
          <w:sz w:val="22"/>
          <w:szCs w:val="22"/>
        </w:rPr>
        <w:t>As a whole</w:t>
      </w:r>
      <w:r w:rsidR="00261BAA" w:rsidRPr="00BC7F1A">
        <w:rPr>
          <w:rFonts w:ascii="Arial" w:hAnsi="Arial" w:cs="Arial"/>
          <w:sz w:val="22"/>
          <w:szCs w:val="22"/>
        </w:rPr>
        <w:t>, the</w:t>
      </w:r>
      <w:proofErr w:type="gramEnd"/>
      <w:r w:rsidR="00261BAA" w:rsidRPr="00BC7F1A">
        <w:rPr>
          <w:rFonts w:ascii="Arial" w:hAnsi="Arial" w:cs="Arial"/>
          <w:sz w:val="22"/>
          <w:szCs w:val="22"/>
        </w:rPr>
        <w:t xml:space="preserve"> United Kingdom applies Molecular Surveillance. Examining patient samples means checking the genetic code of </w:t>
      </w:r>
      <w:r w:rsidR="005922CB" w:rsidRPr="00BC7F1A">
        <w:rPr>
          <w:rFonts w:ascii="Arial" w:hAnsi="Arial" w:cs="Arial"/>
          <w:sz w:val="22"/>
          <w:szCs w:val="22"/>
        </w:rPr>
        <w:t>TB</w:t>
      </w:r>
      <w:r w:rsidR="00261BAA" w:rsidRPr="00BC7F1A">
        <w:rPr>
          <w:rFonts w:ascii="Arial" w:hAnsi="Arial" w:cs="Arial"/>
          <w:sz w:val="22"/>
          <w:szCs w:val="22"/>
        </w:rPr>
        <w:t xml:space="preserve"> bacteria. Identical strains in separate individuals suggest shared infection sources. When matches occur, experts group cases into clusters. Health officials track transmission patterns across populations using these links</w:t>
      </w:r>
      <w:r w:rsidR="00071F46" w:rsidRPr="00BC7F1A">
        <w:rPr>
          <w:rFonts w:ascii="Arial" w:hAnsi="Arial" w:cs="Arial"/>
          <w:sz w:val="22"/>
          <w:szCs w:val="22"/>
        </w:rPr>
        <w:t xml:space="preserve"> (The Lancet, 2022).</w:t>
      </w:r>
      <w:r w:rsidR="00261BAA" w:rsidRPr="00BC7F1A">
        <w:rPr>
          <w:rFonts w:ascii="Arial" w:hAnsi="Arial" w:cs="Arial"/>
          <w:sz w:val="22"/>
          <w:szCs w:val="22"/>
        </w:rPr>
        <w:t xml:space="preserve"> Connections emerge even without personal contact between affected persons.</w:t>
      </w:r>
    </w:p>
    <w:p w14:paraId="76AA2281" w14:textId="77777777" w:rsidR="00261BAA" w:rsidRPr="00BC7F1A" w:rsidRDefault="00261BAA" w:rsidP="00F22112">
      <w:pPr>
        <w:pStyle w:val="Heading2"/>
      </w:pPr>
      <w:bookmarkStart w:id="3" w:name="_Toc225607740"/>
      <w:r w:rsidRPr="00BC7F1A">
        <w:t>Controlling the disease</w:t>
      </w:r>
      <w:bookmarkEnd w:id="3"/>
    </w:p>
    <w:p w14:paraId="77FAAACB" w14:textId="5FA6D095"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Treating </w:t>
      </w:r>
      <w:r w:rsidR="005922CB" w:rsidRPr="00BC7F1A">
        <w:rPr>
          <w:rFonts w:ascii="Arial" w:hAnsi="Arial" w:cs="Arial"/>
          <w:sz w:val="22"/>
          <w:szCs w:val="22"/>
        </w:rPr>
        <w:t>TB</w:t>
      </w:r>
      <w:r w:rsidRPr="00BC7F1A">
        <w:rPr>
          <w:rFonts w:ascii="Arial" w:hAnsi="Arial" w:cs="Arial"/>
          <w:sz w:val="22"/>
          <w:szCs w:val="22"/>
        </w:rPr>
        <w:t xml:space="preserve"> remains challenging due to its lengthy </w:t>
      </w:r>
      <w:r w:rsidR="00FF2961" w:rsidRPr="00BC7F1A">
        <w:rPr>
          <w:rFonts w:ascii="Arial" w:hAnsi="Arial" w:cs="Arial"/>
          <w:sz w:val="22"/>
          <w:szCs w:val="22"/>
        </w:rPr>
        <w:t>treatment</w:t>
      </w:r>
      <w:r w:rsidRPr="00BC7F1A">
        <w:rPr>
          <w:rFonts w:ascii="Arial" w:hAnsi="Arial" w:cs="Arial"/>
          <w:sz w:val="22"/>
          <w:szCs w:val="22"/>
        </w:rPr>
        <w:t>. Mostly, success comes from following an exact antibiotic plan. A typical case requires using</w:t>
      </w:r>
      <w:r w:rsidR="00FF2961" w:rsidRPr="00BC7F1A">
        <w:rPr>
          <w:rFonts w:ascii="Arial" w:hAnsi="Arial" w:cs="Arial"/>
          <w:sz w:val="22"/>
          <w:szCs w:val="22"/>
        </w:rPr>
        <w:t xml:space="preserve"> the medication </w:t>
      </w:r>
      <w:r w:rsidRPr="00BC7F1A">
        <w:rPr>
          <w:rFonts w:ascii="Arial" w:hAnsi="Arial" w:cs="Arial"/>
          <w:sz w:val="22"/>
          <w:szCs w:val="22"/>
        </w:rPr>
        <w:t>Rifampicin, Isoniazid, Pyrazinamide, along with Ethambutol for no less than half a year</w:t>
      </w:r>
      <w:r w:rsidR="00071F46" w:rsidRPr="00BC7F1A">
        <w:rPr>
          <w:rFonts w:ascii="Arial" w:hAnsi="Arial" w:cs="Arial"/>
          <w:sz w:val="22"/>
          <w:szCs w:val="22"/>
        </w:rPr>
        <w:t xml:space="preserve"> (NICE, 2019). </w:t>
      </w:r>
      <w:r w:rsidRPr="00BC7F1A">
        <w:rPr>
          <w:rFonts w:ascii="Arial" w:hAnsi="Arial" w:cs="Arial"/>
          <w:sz w:val="22"/>
          <w:szCs w:val="22"/>
        </w:rPr>
        <w:t xml:space="preserve">That duration exceeds most infections since the </w:t>
      </w:r>
      <w:r w:rsidR="00FF2961" w:rsidRPr="00BC7F1A">
        <w:rPr>
          <w:rFonts w:ascii="Arial" w:hAnsi="Arial" w:cs="Arial"/>
          <w:sz w:val="22"/>
          <w:szCs w:val="22"/>
        </w:rPr>
        <w:t>bacteria</w:t>
      </w:r>
      <w:r w:rsidRPr="00BC7F1A">
        <w:rPr>
          <w:rFonts w:ascii="Arial" w:hAnsi="Arial" w:cs="Arial"/>
          <w:sz w:val="22"/>
          <w:szCs w:val="22"/>
        </w:rPr>
        <w:t xml:space="preserve"> multiply </w:t>
      </w:r>
      <w:r w:rsidR="00FF2961" w:rsidRPr="00BC7F1A">
        <w:rPr>
          <w:rFonts w:ascii="Arial" w:hAnsi="Arial" w:cs="Arial"/>
          <w:sz w:val="22"/>
          <w:szCs w:val="22"/>
        </w:rPr>
        <w:t>slowly</w:t>
      </w:r>
      <w:r w:rsidRPr="00BC7F1A">
        <w:rPr>
          <w:rFonts w:ascii="Arial" w:hAnsi="Arial" w:cs="Arial"/>
          <w:sz w:val="22"/>
          <w:szCs w:val="22"/>
        </w:rPr>
        <w:t xml:space="preserve">, making them tough </w:t>
      </w:r>
      <w:r w:rsidR="00FF2961" w:rsidRPr="00BC7F1A">
        <w:rPr>
          <w:rFonts w:ascii="Arial" w:hAnsi="Arial" w:cs="Arial"/>
          <w:sz w:val="22"/>
          <w:szCs w:val="22"/>
        </w:rPr>
        <w:t>to kill</w:t>
      </w:r>
      <w:r w:rsidRPr="00BC7F1A">
        <w:rPr>
          <w:rFonts w:ascii="Arial" w:hAnsi="Arial" w:cs="Arial"/>
          <w:sz w:val="22"/>
          <w:szCs w:val="22"/>
        </w:rPr>
        <w:t>.</w:t>
      </w:r>
    </w:p>
    <w:p w14:paraId="6677185E" w14:textId="1555B6EC"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Stopping medication early </w:t>
      </w:r>
      <w:r w:rsidR="00FF2961" w:rsidRPr="00BC7F1A">
        <w:rPr>
          <w:rFonts w:ascii="Arial" w:hAnsi="Arial" w:cs="Arial"/>
          <w:sz w:val="22"/>
          <w:szCs w:val="22"/>
        </w:rPr>
        <w:t xml:space="preserve">could </w:t>
      </w:r>
      <w:r w:rsidRPr="00BC7F1A">
        <w:rPr>
          <w:rFonts w:ascii="Arial" w:hAnsi="Arial" w:cs="Arial"/>
          <w:sz w:val="22"/>
          <w:szCs w:val="22"/>
        </w:rPr>
        <w:t xml:space="preserve">create </w:t>
      </w:r>
      <w:r w:rsidR="00FF2961" w:rsidRPr="00BC7F1A">
        <w:rPr>
          <w:rFonts w:ascii="Arial" w:hAnsi="Arial" w:cs="Arial"/>
          <w:sz w:val="22"/>
          <w:szCs w:val="22"/>
        </w:rPr>
        <w:t>antibiotic resistant TB bacteria</w:t>
      </w:r>
      <w:r w:rsidR="00071F46" w:rsidRPr="00BC7F1A">
        <w:rPr>
          <w:rFonts w:ascii="Arial" w:hAnsi="Arial" w:cs="Arial"/>
          <w:sz w:val="22"/>
          <w:szCs w:val="22"/>
        </w:rPr>
        <w:t xml:space="preserve"> (The Lancet, 2022).</w:t>
      </w:r>
      <w:r w:rsidRPr="00BC7F1A">
        <w:rPr>
          <w:rFonts w:ascii="Arial" w:hAnsi="Arial" w:cs="Arial"/>
          <w:sz w:val="22"/>
          <w:szCs w:val="22"/>
        </w:rPr>
        <w:t xml:space="preserve"> Most people quit when symptoms fade, often around </w:t>
      </w:r>
      <w:r w:rsidR="00FF2961" w:rsidRPr="00BC7F1A">
        <w:rPr>
          <w:rFonts w:ascii="Arial" w:hAnsi="Arial" w:cs="Arial"/>
          <w:sz w:val="22"/>
          <w:szCs w:val="22"/>
        </w:rPr>
        <w:t>the eighth week</w:t>
      </w:r>
      <w:r w:rsidRPr="00BC7F1A">
        <w:rPr>
          <w:rFonts w:ascii="Arial" w:hAnsi="Arial" w:cs="Arial"/>
          <w:sz w:val="22"/>
          <w:szCs w:val="22"/>
        </w:rPr>
        <w:t>. That leaves surviving bacteria free to multiply. Health</w:t>
      </w:r>
      <w:r w:rsidR="00FF2961" w:rsidRPr="00BC7F1A">
        <w:rPr>
          <w:rFonts w:ascii="Arial" w:hAnsi="Arial" w:cs="Arial"/>
          <w:sz w:val="22"/>
          <w:szCs w:val="22"/>
        </w:rPr>
        <w:t>care</w:t>
      </w:r>
      <w:r w:rsidRPr="00BC7F1A">
        <w:rPr>
          <w:rFonts w:ascii="Arial" w:hAnsi="Arial" w:cs="Arial"/>
          <w:sz w:val="22"/>
          <w:szCs w:val="22"/>
        </w:rPr>
        <w:t xml:space="preserve"> systems face real trouble once </w:t>
      </w:r>
      <w:r w:rsidR="00FF2961" w:rsidRPr="00BC7F1A">
        <w:rPr>
          <w:rFonts w:ascii="Arial" w:hAnsi="Arial" w:cs="Arial"/>
          <w:sz w:val="22"/>
          <w:szCs w:val="22"/>
        </w:rPr>
        <w:t>resistive bacteria are present since previous treatments are no longer effective</w:t>
      </w:r>
      <w:r w:rsidRPr="00BC7F1A">
        <w:rPr>
          <w:rFonts w:ascii="Arial" w:hAnsi="Arial" w:cs="Arial"/>
          <w:sz w:val="22"/>
          <w:szCs w:val="22"/>
        </w:rPr>
        <w:t xml:space="preserve">. One solution The NHS </w:t>
      </w:r>
      <w:r w:rsidR="00FF2961" w:rsidRPr="00BC7F1A">
        <w:rPr>
          <w:rFonts w:ascii="Arial" w:hAnsi="Arial" w:cs="Arial"/>
          <w:sz w:val="22"/>
          <w:szCs w:val="22"/>
        </w:rPr>
        <w:t xml:space="preserve">uses is to </w:t>
      </w:r>
      <w:r w:rsidRPr="00BC7F1A">
        <w:rPr>
          <w:rFonts w:ascii="Arial" w:hAnsi="Arial" w:cs="Arial"/>
          <w:sz w:val="22"/>
          <w:szCs w:val="22"/>
        </w:rPr>
        <w:t>assigns staff to supervise each dose in person</w:t>
      </w:r>
      <w:r w:rsidR="00071F46" w:rsidRPr="00BC7F1A">
        <w:rPr>
          <w:rFonts w:ascii="Arial" w:hAnsi="Arial" w:cs="Arial"/>
          <w:sz w:val="22"/>
          <w:szCs w:val="22"/>
        </w:rPr>
        <w:t xml:space="preserve"> (NHS, 2023).</w:t>
      </w:r>
      <w:r w:rsidRPr="00BC7F1A">
        <w:rPr>
          <w:rFonts w:ascii="Arial" w:hAnsi="Arial" w:cs="Arial"/>
          <w:sz w:val="22"/>
          <w:szCs w:val="22"/>
        </w:rPr>
        <w:t xml:space="preserve"> </w:t>
      </w:r>
      <w:r w:rsidR="00FF2961" w:rsidRPr="00BC7F1A">
        <w:rPr>
          <w:rFonts w:ascii="Arial" w:hAnsi="Arial" w:cs="Arial"/>
          <w:sz w:val="22"/>
          <w:szCs w:val="22"/>
        </w:rPr>
        <w:t>A healthcare worker observes a patient take the medicine every day</w:t>
      </w:r>
      <w:r w:rsidRPr="00BC7F1A">
        <w:rPr>
          <w:rFonts w:ascii="Arial" w:hAnsi="Arial" w:cs="Arial"/>
          <w:sz w:val="22"/>
          <w:szCs w:val="22"/>
        </w:rPr>
        <w:t>. Close watching might seem excessive</w:t>
      </w:r>
      <w:r w:rsidR="00FF2961" w:rsidRPr="00BC7F1A">
        <w:rPr>
          <w:rFonts w:ascii="Arial" w:hAnsi="Arial" w:cs="Arial"/>
          <w:sz w:val="22"/>
          <w:szCs w:val="22"/>
        </w:rPr>
        <w:t>,</w:t>
      </w:r>
      <w:r w:rsidRPr="00BC7F1A">
        <w:rPr>
          <w:rFonts w:ascii="Arial" w:hAnsi="Arial" w:cs="Arial"/>
          <w:sz w:val="22"/>
          <w:szCs w:val="22"/>
        </w:rPr>
        <w:t xml:space="preserve"> </w:t>
      </w:r>
      <w:r w:rsidR="00FF2961" w:rsidRPr="00BC7F1A">
        <w:rPr>
          <w:rFonts w:ascii="Arial" w:hAnsi="Arial" w:cs="Arial"/>
          <w:sz w:val="22"/>
          <w:szCs w:val="22"/>
        </w:rPr>
        <w:t>y</w:t>
      </w:r>
      <w:r w:rsidRPr="00BC7F1A">
        <w:rPr>
          <w:rFonts w:ascii="Arial" w:hAnsi="Arial" w:cs="Arial"/>
          <w:sz w:val="22"/>
          <w:szCs w:val="22"/>
        </w:rPr>
        <w:t>et results show fewer relapses</w:t>
      </w:r>
      <w:r w:rsidR="00FF2961" w:rsidRPr="00BC7F1A">
        <w:rPr>
          <w:rFonts w:ascii="Arial" w:hAnsi="Arial" w:cs="Arial"/>
          <w:sz w:val="22"/>
          <w:szCs w:val="22"/>
        </w:rPr>
        <w:t xml:space="preserve"> and</w:t>
      </w:r>
      <w:r w:rsidRPr="00BC7F1A">
        <w:rPr>
          <w:rFonts w:ascii="Arial" w:hAnsi="Arial" w:cs="Arial"/>
          <w:sz w:val="22"/>
          <w:szCs w:val="22"/>
        </w:rPr>
        <w:t xml:space="preserve"> less transmission. Protection spreads beyond one individual</w:t>
      </w:r>
      <w:r w:rsidR="00FF2961" w:rsidRPr="00BC7F1A">
        <w:rPr>
          <w:rFonts w:ascii="Arial" w:hAnsi="Arial" w:cs="Arial"/>
          <w:sz w:val="22"/>
          <w:szCs w:val="22"/>
        </w:rPr>
        <w:t>,</w:t>
      </w:r>
      <w:r w:rsidRPr="00BC7F1A">
        <w:rPr>
          <w:rFonts w:ascii="Arial" w:hAnsi="Arial" w:cs="Arial"/>
          <w:sz w:val="22"/>
          <w:szCs w:val="22"/>
        </w:rPr>
        <w:t xml:space="preserve"> </w:t>
      </w:r>
      <w:r w:rsidR="00FF2961" w:rsidRPr="00BC7F1A">
        <w:rPr>
          <w:rFonts w:ascii="Arial" w:hAnsi="Arial" w:cs="Arial"/>
          <w:sz w:val="22"/>
          <w:szCs w:val="22"/>
        </w:rPr>
        <w:t>e</w:t>
      </w:r>
      <w:r w:rsidRPr="00BC7F1A">
        <w:rPr>
          <w:rFonts w:ascii="Arial" w:hAnsi="Arial" w:cs="Arial"/>
          <w:sz w:val="22"/>
          <w:szCs w:val="22"/>
        </w:rPr>
        <w:t>ntire communities stay safer when treatment completes fully.</w:t>
      </w:r>
    </w:p>
    <w:p w14:paraId="01EEBA46" w14:textId="18736C46"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Stopping problems before they start matters just as much as treatment. </w:t>
      </w:r>
      <w:r w:rsidR="00FF2961" w:rsidRPr="00BC7F1A">
        <w:rPr>
          <w:rFonts w:ascii="Arial" w:hAnsi="Arial" w:cs="Arial"/>
          <w:sz w:val="22"/>
          <w:szCs w:val="22"/>
        </w:rPr>
        <w:t>Infants</w:t>
      </w:r>
      <w:r w:rsidRPr="00BC7F1A">
        <w:rPr>
          <w:rFonts w:ascii="Arial" w:hAnsi="Arial" w:cs="Arial"/>
          <w:sz w:val="22"/>
          <w:szCs w:val="22"/>
        </w:rPr>
        <w:t xml:space="preserve"> and those more likely to get </w:t>
      </w:r>
      <w:r w:rsidR="005922CB" w:rsidRPr="00BC7F1A">
        <w:rPr>
          <w:rFonts w:ascii="Arial" w:hAnsi="Arial" w:cs="Arial"/>
          <w:sz w:val="22"/>
          <w:szCs w:val="22"/>
        </w:rPr>
        <w:t>TB</w:t>
      </w:r>
      <w:r w:rsidRPr="00BC7F1A">
        <w:rPr>
          <w:rFonts w:ascii="Arial" w:hAnsi="Arial" w:cs="Arial"/>
          <w:sz w:val="22"/>
          <w:szCs w:val="22"/>
        </w:rPr>
        <w:t xml:space="preserve"> receive the BCG shot</w:t>
      </w:r>
      <w:r w:rsidR="00071F46" w:rsidRPr="00BC7F1A">
        <w:rPr>
          <w:rFonts w:ascii="Arial" w:hAnsi="Arial" w:cs="Arial"/>
          <w:sz w:val="22"/>
          <w:szCs w:val="22"/>
        </w:rPr>
        <w:t xml:space="preserve"> (NHS, 2023). </w:t>
      </w:r>
      <w:r w:rsidRPr="00BC7F1A">
        <w:rPr>
          <w:rFonts w:ascii="Arial" w:hAnsi="Arial" w:cs="Arial"/>
          <w:sz w:val="22"/>
          <w:szCs w:val="22"/>
        </w:rPr>
        <w:t>Though not perfect, the vaccine works well against severe childhood forms of the illness. Tracking down anyone exposed helps break chains of spread.</w:t>
      </w:r>
      <w:r w:rsidR="00FF2961" w:rsidRPr="00BC7F1A">
        <w:rPr>
          <w:rFonts w:ascii="Arial" w:hAnsi="Arial" w:cs="Arial"/>
          <w:sz w:val="22"/>
          <w:szCs w:val="22"/>
        </w:rPr>
        <w:t xml:space="preserve"> F</w:t>
      </w:r>
      <w:r w:rsidRPr="00BC7F1A">
        <w:rPr>
          <w:rFonts w:ascii="Arial" w:hAnsi="Arial" w:cs="Arial"/>
          <w:sz w:val="22"/>
          <w:szCs w:val="22"/>
        </w:rPr>
        <w:t xml:space="preserve">ollowing up with close contacts </w:t>
      </w:r>
      <w:r w:rsidR="00FF2961" w:rsidRPr="00BC7F1A">
        <w:rPr>
          <w:rFonts w:ascii="Arial" w:hAnsi="Arial" w:cs="Arial"/>
          <w:sz w:val="22"/>
          <w:szCs w:val="22"/>
        </w:rPr>
        <w:t xml:space="preserve">of a patient </w:t>
      </w:r>
      <w:r w:rsidRPr="00BC7F1A">
        <w:rPr>
          <w:rFonts w:ascii="Arial" w:hAnsi="Arial" w:cs="Arial"/>
          <w:sz w:val="22"/>
          <w:szCs w:val="22"/>
        </w:rPr>
        <w:t>makes a big difference</w:t>
      </w:r>
      <w:r w:rsidR="00FF2961" w:rsidRPr="00BC7F1A">
        <w:rPr>
          <w:rFonts w:ascii="Arial" w:hAnsi="Arial" w:cs="Arial"/>
          <w:sz w:val="22"/>
          <w:szCs w:val="22"/>
        </w:rPr>
        <w:t xml:space="preserve"> in preventing further spread</w:t>
      </w:r>
      <w:r w:rsidR="00071F46" w:rsidRPr="00BC7F1A">
        <w:rPr>
          <w:rFonts w:ascii="Arial" w:hAnsi="Arial" w:cs="Arial"/>
          <w:sz w:val="22"/>
          <w:szCs w:val="22"/>
        </w:rPr>
        <w:t xml:space="preserve"> (UKHSA, 2023).</w:t>
      </w:r>
      <w:r w:rsidRPr="00BC7F1A">
        <w:rPr>
          <w:rFonts w:ascii="Arial" w:hAnsi="Arial" w:cs="Arial"/>
          <w:sz w:val="22"/>
          <w:szCs w:val="22"/>
        </w:rPr>
        <w:t xml:space="preserve"> Once someone receives a diagnosis, nurses begin identifying individuals they shared living spaces or workplaces with. Early testing of these people helps prevent rapid spread. Containing transmission often begins at this stage.</w:t>
      </w:r>
    </w:p>
    <w:p w14:paraId="3E6CC707" w14:textId="77777777" w:rsidR="00261BAA" w:rsidRPr="00BC7F1A" w:rsidRDefault="00261BAA" w:rsidP="00D869CF">
      <w:pPr>
        <w:pStyle w:val="Heading2"/>
      </w:pPr>
      <w:bookmarkStart w:id="4" w:name="_Toc225607741"/>
      <w:r w:rsidRPr="00BC7F1A">
        <w:lastRenderedPageBreak/>
        <w:t>Effects of Tuberculosis on Communities</w:t>
      </w:r>
      <w:bookmarkEnd w:id="4"/>
    </w:p>
    <w:p w14:paraId="6E1C28D7" w14:textId="7ACCE17B"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Illness does not stop at symptoms; its reach extends into how society treats those affected. Social stigma remains a widespread challenge linked to </w:t>
      </w:r>
      <w:r w:rsidR="005922CB" w:rsidRPr="00BC7F1A">
        <w:rPr>
          <w:rFonts w:ascii="Arial" w:hAnsi="Arial" w:cs="Arial"/>
          <w:sz w:val="22"/>
          <w:szCs w:val="22"/>
        </w:rPr>
        <w:t>TB</w:t>
      </w:r>
      <w:r w:rsidR="00071F46" w:rsidRPr="00BC7F1A">
        <w:rPr>
          <w:rFonts w:ascii="Arial" w:hAnsi="Arial" w:cs="Arial"/>
          <w:sz w:val="22"/>
          <w:szCs w:val="22"/>
        </w:rPr>
        <w:t xml:space="preserve"> (TB Alert, 2024).</w:t>
      </w:r>
      <w:r w:rsidRPr="00BC7F1A">
        <w:rPr>
          <w:rFonts w:ascii="Arial" w:hAnsi="Arial" w:cs="Arial"/>
          <w:sz w:val="22"/>
          <w:szCs w:val="22"/>
        </w:rPr>
        <w:t xml:space="preserve"> Many still connect the disease with dirtiness or low income, despite progress over time. As a result, individuals might find themselves cut off - distanced by </w:t>
      </w:r>
      <w:r w:rsidR="00AB42D2" w:rsidRPr="00BC7F1A">
        <w:rPr>
          <w:rFonts w:ascii="Arial" w:hAnsi="Arial" w:cs="Arial"/>
          <w:sz w:val="22"/>
          <w:szCs w:val="22"/>
        </w:rPr>
        <w:t>neighbours</w:t>
      </w:r>
      <w:r w:rsidRPr="00BC7F1A">
        <w:rPr>
          <w:rFonts w:ascii="Arial" w:hAnsi="Arial" w:cs="Arial"/>
          <w:sz w:val="22"/>
          <w:szCs w:val="22"/>
        </w:rPr>
        <w:t>, coworkers, relatives. Being pushed away can spark emotional strain: sadness, anxiety, constant pressure building inside</w:t>
      </w:r>
      <w:r w:rsidR="00844EBE" w:rsidRPr="00BC7F1A">
        <w:rPr>
          <w:rFonts w:ascii="Arial" w:hAnsi="Arial" w:cs="Arial"/>
          <w:sz w:val="22"/>
          <w:szCs w:val="22"/>
        </w:rPr>
        <w:t xml:space="preserve"> and could lead to depression</w:t>
      </w:r>
      <w:r w:rsidRPr="00BC7F1A">
        <w:rPr>
          <w:rFonts w:ascii="Arial" w:hAnsi="Arial" w:cs="Arial"/>
          <w:sz w:val="22"/>
          <w:szCs w:val="22"/>
        </w:rPr>
        <w:t>. Healing becomes tougher when loneliness joins coughing and fatigue in the daily struggle.</w:t>
      </w:r>
    </w:p>
    <w:p w14:paraId="4957B405" w14:textId="53FEE3C0"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Long </w:t>
      </w:r>
      <w:r w:rsidR="005922CB" w:rsidRPr="00BC7F1A">
        <w:rPr>
          <w:rFonts w:ascii="Arial" w:hAnsi="Arial" w:cs="Arial"/>
          <w:sz w:val="22"/>
          <w:szCs w:val="22"/>
        </w:rPr>
        <w:t>TB</w:t>
      </w:r>
      <w:r w:rsidRPr="00BC7F1A">
        <w:rPr>
          <w:rFonts w:ascii="Arial" w:hAnsi="Arial" w:cs="Arial"/>
          <w:sz w:val="22"/>
          <w:szCs w:val="22"/>
        </w:rPr>
        <w:t xml:space="preserve"> treatments often force individuals away from employment for extended periods. Since recovery stretches over several months, wage loss becomes inevitable</w:t>
      </w:r>
      <w:r w:rsidR="00FF2961" w:rsidRPr="00BC7F1A">
        <w:rPr>
          <w:rFonts w:ascii="Arial" w:hAnsi="Arial" w:cs="Arial"/>
          <w:sz w:val="22"/>
          <w:szCs w:val="22"/>
        </w:rPr>
        <w:t xml:space="preserve">, </w:t>
      </w:r>
      <w:r w:rsidRPr="00BC7F1A">
        <w:rPr>
          <w:rFonts w:ascii="Arial" w:hAnsi="Arial" w:cs="Arial"/>
          <w:sz w:val="22"/>
          <w:szCs w:val="22"/>
        </w:rPr>
        <w:t xml:space="preserve">especially among poorly paid workers or </w:t>
      </w:r>
      <w:r w:rsidR="00FF2961" w:rsidRPr="00BC7F1A">
        <w:rPr>
          <w:rFonts w:ascii="Arial" w:hAnsi="Arial" w:cs="Arial"/>
          <w:sz w:val="22"/>
          <w:szCs w:val="22"/>
        </w:rPr>
        <w:t>self-employers</w:t>
      </w:r>
      <w:r w:rsidRPr="00BC7F1A">
        <w:rPr>
          <w:rFonts w:ascii="Arial" w:hAnsi="Arial" w:cs="Arial"/>
          <w:sz w:val="22"/>
          <w:szCs w:val="22"/>
        </w:rPr>
        <w:t xml:space="preserve">. Without steady earnings, financial pressure builds quickly. </w:t>
      </w:r>
      <w:r w:rsidR="00844EBE" w:rsidRPr="00BC7F1A">
        <w:rPr>
          <w:rFonts w:ascii="Arial" w:hAnsi="Arial" w:cs="Arial"/>
          <w:sz w:val="22"/>
          <w:szCs w:val="22"/>
        </w:rPr>
        <w:t>This often leads to people building debt to support themselves and in extreme cases people can lose their homes</w:t>
      </w:r>
      <w:r w:rsidRPr="00BC7F1A">
        <w:rPr>
          <w:rFonts w:ascii="Arial" w:hAnsi="Arial" w:cs="Arial"/>
          <w:sz w:val="22"/>
          <w:szCs w:val="22"/>
        </w:rPr>
        <w:t>. When multiple households face these setbacks simultaneously due to an outbreak, support systems buckle under demand</w:t>
      </w:r>
      <w:r w:rsidR="00071F46" w:rsidRPr="00BC7F1A">
        <w:rPr>
          <w:rFonts w:ascii="Arial" w:hAnsi="Arial" w:cs="Arial"/>
          <w:sz w:val="22"/>
          <w:szCs w:val="22"/>
        </w:rPr>
        <w:t xml:space="preserve"> (TB Alert, 2024).</w:t>
      </w:r>
      <w:r w:rsidRPr="00BC7F1A">
        <w:rPr>
          <w:rFonts w:ascii="Arial" w:hAnsi="Arial" w:cs="Arial"/>
          <w:sz w:val="22"/>
          <w:szCs w:val="22"/>
        </w:rPr>
        <w:t xml:space="preserve"> Local aid networks, already stretched thin, find themselves overwhelmed by rising need.</w:t>
      </w:r>
    </w:p>
    <w:p w14:paraId="7B1E6E76" w14:textId="71634716"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When TB spreads unchecked, cases of </w:t>
      </w:r>
      <w:r w:rsidR="00844EBE" w:rsidRPr="00BC7F1A">
        <w:rPr>
          <w:rFonts w:ascii="Arial" w:hAnsi="Arial" w:cs="Arial"/>
          <w:sz w:val="22"/>
          <w:szCs w:val="22"/>
        </w:rPr>
        <w:t>antibiotic-resistant</w:t>
      </w:r>
      <w:r w:rsidRPr="00BC7F1A">
        <w:rPr>
          <w:rFonts w:ascii="Arial" w:hAnsi="Arial" w:cs="Arial"/>
          <w:sz w:val="22"/>
          <w:szCs w:val="22"/>
        </w:rPr>
        <w:t xml:space="preserve"> TB often appear. Such strains survive usual antibiotic treatments. One MDR-TB infection costs the NHS heavily</w:t>
      </w:r>
      <w:r w:rsidR="00844EBE" w:rsidRPr="00BC7F1A">
        <w:rPr>
          <w:rFonts w:ascii="Arial" w:hAnsi="Arial" w:cs="Arial"/>
          <w:sz w:val="22"/>
          <w:szCs w:val="22"/>
        </w:rPr>
        <w:t>,</w:t>
      </w:r>
      <w:r w:rsidRPr="00BC7F1A">
        <w:rPr>
          <w:rFonts w:ascii="Arial" w:hAnsi="Arial" w:cs="Arial"/>
          <w:sz w:val="22"/>
          <w:szCs w:val="22"/>
        </w:rPr>
        <w:t xml:space="preserve"> treatment relies on stronger</w:t>
      </w:r>
      <w:r w:rsidR="00844EBE" w:rsidRPr="00BC7F1A">
        <w:rPr>
          <w:rFonts w:ascii="Arial" w:hAnsi="Arial" w:cs="Arial"/>
          <w:sz w:val="22"/>
          <w:szCs w:val="22"/>
        </w:rPr>
        <w:t xml:space="preserve"> and more toxic</w:t>
      </w:r>
      <w:r w:rsidRPr="00BC7F1A">
        <w:rPr>
          <w:rFonts w:ascii="Arial" w:hAnsi="Arial" w:cs="Arial"/>
          <w:sz w:val="22"/>
          <w:szCs w:val="22"/>
        </w:rPr>
        <w:t xml:space="preserve"> medications, which bring harsher </w:t>
      </w:r>
      <w:r w:rsidR="00844EBE" w:rsidRPr="00BC7F1A">
        <w:rPr>
          <w:rFonts w:ascii="Arial" w:hAnsi="Arial" w:cs="Arial"/>
          <w:sz w:val="22"/>
          <w:szCs w:val="22"/>
        </w:rPr>
        <w:t>side effects</w:t>
      </w:r>
      <w:r w:rsidR="00BC7F1A" w:rsidRPr="00BC7F1A">
        <w:rPr>
          <w:rFonts w:ascii="Arial" w:hAnsi="Arial" w:cs="Arial"/>
          <w:sz w:val="22"/>
          <w:szCs w:val="22"/>
        </w:rPr>
        <w:t xml:space="preserve"> (The Lancet, 2022).</w:t>
      </w:r>
      <w:r w:rsidRPr="00BC7F1A">
        <w:rPr>
          <w:rFonts w:ascii="Arial" w:hAnsi="Arial" w:cs="Arial"/>
          <w:sz w:val="22"/>
          <w:szCs w:val="22"/>
        </w:rPr>
        <w:t xml:space="preserve"> As these resistant forms gain ground in populations, they create lasting health risks. Managing them demands far greater effort than ordinary TB outbreaks.</w:t>
      </w:r>
    </w:p>
    <w:p w14:paraId="63957C98" w14:textId="003E833F" w:rsidR="00261BAA" w:rsidRPr="00BC7F1A" w:rsidRDefault="00261BAA" w:rsidP="00D869CF">
      <w:pPr>
        <w:pStyle w:val="Heading2"/>
      </w:pPr>
      <w:bookmarkStart w:id="5" w:name="_Toc225607742"/>
      <w:r w:rsidRPr="00BC7F1A">
        <w:t>Health and Social Care Support Services</w:t>
      </w:r>
      <w:bookmarkEnd w:id="5"/>
    </w:p>
    <w:p w14:paraId="78D9AE41" w14:textId="5F25BB66"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A healing journey for </w:t>
      </w:r>
      <w:r w:rsidR="005922CB" w:rsidRPr="00BC7F1A">
        <w:rPr>
          <w:rFonts w:ascii="Arial" w:hAnsi="Arial" w:cs="Arial"/>
          <w:sz w:val="22"/>
          <w:szCs w:val="22"/>
        </w:rPr>
        <w:t>TB</w:t>
      </w:r>
      <w:r w:rsidRPr="00BC7F1A">
        <w:rPr>
          <w:rFonts w:ascii="Arial" w:hAnsi="Arial" w:cs="Arial"/>
          <w:sz w:val="22"/>
          <w:szCs w:val="22"/>
        </w:rPr>
        <w:t xml:space="preserve"> demands more than medication alone</w:t>
      </w:r>
      <w:r w:rsidR="00844EBE" w:rsidRPr="00BC7F1A">
        <w:rPr>
          <w:rFonts w:ascii="Arial" w:hAnsi="Arial" w:cs="Arial"/>
          <w:sz w:val="22"/>
          <w:szCs w:val="22"/>
        </w:rPr>
        <w:t>, s</w:t>
      </w:r>
      <w:r w:rsidRPr="00BC7F1A">
        <w:rPr>
          <w:rFonts w:ascii="Arial" w:hAnsi="Arial" w:cs="Arial"/>
          <w:sz w:val="22"/>
          <w:szCs w:val="22"/>
        </w:rPr>
        <w:t xml:space="preserve">upport comes from </w:t>
      </w:r>
      <w:r w:rsidR="00844EBE" w:rsidRPr="00BC7F1A">
        <w:rPr>
          <w:rFonts w:ascii="Arial" w:hAnsi="Arial" w:cs="Arial"/>
          <w:sz w:val="22"/>
          <w:szCs w:val="22"/>
        </w:rPr>
        <w:t>a multi-disciplinary team</w:t>
      </w:r>
      <w:r w:rsidRPr="00BC7F1A">
        <w:rPr>
          <w:rFonts w:ascii="Arial" w:hAnsi="Arial" w:cs="Arial"/>
          <w:sz w:val="22"/>
          <w:szCs w:val="22"/>
        </w:rPr>
        <w:t>. Care stretches beyond tablets - it includes emotional, social, and practical attention. Treatment works best when people are seen fully, not just their illness.</w:t>
      </w:r>
    </w:p>
    <w:p w14:paraId="51FEE80D" w14:textId="4A6FE1FB" w:rsidR="00261BAA" w:rsidRPr="00BC7F1A" w:rsidRDefault="00261BAA" w:rsidP="00BC7F1A">
      <w:pPr>
        <w:pStyle w:val="ListParagraph"/>
        <w:numPr>
          <w:ilvl w:val="0"/>
          <w:numId w:val="17"/>
        </w:numPr>
        <w:spacing w:line="360" w:lineRule="auto"/>
        <w:rPr>
          <w:rFonts w:ascii="Arial" w:hAnsi="Arial" w:cs="Arial"/>
          <w:sz w:val="22"/>
          <w:szCs w:val="22"/>
        </w:rPr>
      </w:pPr>
      <w:r w:rsidRPr="00BC7F1A">
        <w:rPr>
          <w:rFonts w:ascii="Arial" w:hAnsi="Arial" w:cs="Arial"/>
          <w:sz w:val="22"/>
          <w:szCs w:val="22"/>
        </w:rPr>
        <w:t xml:space="preserve">Home visits by TB nurse specialists </w:t>
      </w:r>
      <w:r w:rsidR="00844EBE" w:rsidRPr="00BC7F1A">
        <w:rPr>
          <w:rFonts w:ascii="Arial" w:hAnsi="Arial" w:cs="Arial"/>
          <w:sz w:val="22"/>
          <w:szCs w:val="22"/>
        </w:rPr>
        <w:t>are</w:t>
      </w:r>
      <w:r w:rsidRPr="00BC7F1A">
        <w:rPr>
          <w:rFonts w:ascii="Arial" w:hAnsi="Arial" w:cs="Arial"/>
          <w:sz w:val="22"/>
          <w:szCs w:val="22"/>
        </w:rPr>
        <w:t xml:space="preserve"> a key part of care</w:t>
      </w:r>
      <w:r w:rsidR="00BC7F1A" w:rsidRPr="00BC7F1A">
        <w:rPr>
          <w:rFonts w:ascii="Arial" w:hAnsi="Arial" w:cs="Arial"/>
          <w:sz w:val="22"/>
          <w:szCs w:val="22"/>
        </w:rPr>
        <w:t xml:space="preserve"> (NHS, 2023).</w:t>
      </w:r>
      <w:r w:rsidRPr="00BC7F1A">
        <w:rPr>
          <w:rFonts w:ascii="Arial" w:hAnsi="Arial" w:cs="Arial"/>
          <w:sz w:val="22"/>
          <w:szCs w:val="22"/>
        </w:rPr>
        <w:t xml:space="preserve"> Because they show up where patients live, treatment feels less distant. Their role includes explaining medication details while watching for </w:t>
      </w:r>
      <w:r w:rsidR="00844EBE" w:rsidRPr="00BC7F1A">
        <w:rPr>
          <w:rFonts w:ascii="Arial" w:hAnsi="Arial" w:cs="Arial"/>
          <w:sz w:val="22"/>
          <w:szCs w:val="22"/>
        </w:rPr>
        <w:t>side effects</w:t>
      </w:r>
      <w:r w:rsidRPr="00BC7F1A">
        <w:rPr>
          <w:rFonts w:ascii="Arial" w:hAnsi="Arial" w:cs="Arial"/>
          <w:sz w:val="22"/>
          <w:szCs w:val="22"/>
        </w:rPr>
        <w:t xml:space="preserve">. When discomfort arises, these nurses adjust support quickly. A steady connection forms, which often keeps individuals engaged. regular check-ins make </w:t>
      </w:r>
      <w:r w:rsidR="00844EBE" w:rsidRPr="00BC7F1A">
        <w:rPr>
          <w:rFonts w:ascii="Arial" w:hAnsi="Arial" w:cs="Arial"/>
          <w:sz w:val="22"/>
          <w:szCs w:val="22"/>
        </w:rPr>
        <w:t>the length treatment period</w:t>
      </w:r>
      <w:r w:rsidRPr="00BC7F1A">
        <w:rPr>
          <w:rFonts w:ascii="Arial" w:hAnsi="Arial" w:cs="Arial"/>
          <w:sz w:val="22"/>
          <w:szCs w:val="22"/>
        </w:rPr>
        <w:t xml:space="preserve"> manageable. Trust builds through consistent presence, not just medical knowledge.</w:t>
      </w:r>
    </w:p>
    <w:p w14:paraId="3B191F0D" w14:textId="6180B230" w:rsidR="00261BAA" w:rsidRPr="00BC7F1A" w:rsidRDefault="00844EBE" w:rsidP="00BC7F1A">
      <w:pPr>
        <w:pStyle w:val="ListParagraph"/>
        <w:numPr>
          <w:ilvl w:val="0"/>
          <w:numId w:val="17"/>
        </w:numPr>
        <w:spacing w:line="360" w:lineRule="auto"/>
        <w:rPr>
          <w:rFonts w:ascii="Arial" w:hAnsi="Arial" w:cs="Arial"/>
          <w:sz w:val="22"/>
          <w:szCs w:val="22"/>
        </w:rPr>
      </w:pPr>
      <w:r w:rsidRPr="00BC7F1A">
        <w:rPr>
          <w:rFonts w:ascii="Arial" w:hAnsi="Arial" w:cs="Arial"/>
          <w:sz w:val="22"/>
          <w:szCs w:val="22"/>
        </w:rPr>
        <w:t>TB thrives in damp, cold, and overcrowded houses, so social care is a big part of the solution.</w:t>
      </w:r>
      <w:r w:rsidR="00261BAA" w:rsidRPr="00BC7F1A">
        <w:rPr>
          <w:rFonts w:ascii="Arial" w:hAnsi="Arial" w:cs="Arial"/>
          <w:sz w:val="22"/>
          <w:szCs w:val="22"/>
        </w:rPr>
        <w:t xml:space="preserve"> When someone shares a room with nine others, stopping transmission becomes nearly impossible. Health workers then </w:t>
      </w:r>
      <w:r w:rsidRPr="00BC7F1A">
        <w:rPr>
          <w:rFonts w:ascii="Arial" w:hAnsi="Arial" w:cs="Arial"/>
          <w:sz w:val="22"/>
          <w:szCs w:val="22"/>
        </w:rPr>
        <w:t>work</w:t>
      </w:r>
      <w:r w:rsidR="00261BAA" w:rsidRPr="00BC7F1A">
        <w:rPr>
          <w:rFonts w:ascii="Arial" w:hAnsi="Arial" w:cs="Arial"/>
          <w:sz w:val="22"/>
          <w:szCs w:val="22"/>
        </w:rPr>
        <w:t xml:space="preserve"> with local housing </w:t>
      </w:r>
      <w:r w:rsidRPr="00BC7F1A">
        <w:rPr>
          <w:rFonts w:ascii="Arial" w:hAnsi="Arial" w:cs="Arial"/>
          <w:sz w:val="22"/>
          <w:szCs w:val="22"/>
        </w:rPr>
        <w:t>officers to</w:t>
      </w:r>
      <w:r w:rsidR="00261BAA" w:rsidRPr="00BC7F1A">
        <w:rPr>
          <w:rFonts w:ascii="Arial" w:hAnsi="Arial" w:cs="Arial"/>
          <w:sz w:val="22"/>
          <w:szCs w:val="22"/>
        </w:rPr>
        <w:t xml:space="preserve"> </w:t>
      </w:r>
      <w:r w:rsidRPr="00BC7F1A">
        <w:rPr>
          <w:rFonts w:ascii="Arial" w:hAnsi="Arial" w:cs="Arial"/>
          <w:sz w:val="22"/>
          <w:szCs w:val="22"/>
        </w:rPr>
        <w:lastRenderedPageBreak/>
        <w:t>move</w:t>
      </w:r>
      <w:r w:rsidR="00261BAA" w:rsidRPr="00BC7F1A">
        <w:rPr>
          <w:rFonts w:ascii="Arial" w:hAnsi="Arial" w:cs="Arial"/>
          <w:sz w:val="22"/>
          <w:szCs w:val="22"/>
        </w:rPr>
        <w:t xml:space="preserve"> patients into safer spaces</w:t>
      </w:r>
      <w:r w:rsidRPr="00BC7F1A">
        <w:rPr>
          <w:rFonts w:ascii="Arial" w:hAnsi="Arial" w:cs="Arial"/>
          <w:sz w:val="22"/>
          <w:szCs w:val="22"/>
        </w:rPr>
        <w:t xml:space="preserve"> so they can recover without infecting their families</w:t>
      </w:r>
      <w:r w:rsidR="00BC7F1A" w:rsidRPr="00BC7F1A">
        <w:rPr>
          <w:rFonts w:ascii="Arial" w:hAnsi="Arial" w:cs="Arial"/>
          <w:sz w:val="22"/>
          <w:szCs w:val="22"/>
        </w:rPr>
        <w:t xml:space="preserve"> (TB Alert, 2024).</w:t>
      </w:r>
    </w:p>
    <w:p w14:paraId="4DC917E1" w14:textId="3D6E7A0A" w:rsidR="00261BAA" w:rsidRPr="00BC7F1A" w:rsidRDefault="00261BAA" w:rsidP="00BC7F1A">
      <w:pPr>
        <w:pStyle w:val="ListParagraph"/>
        <w:numPr>
          <w:ilvl w:val="0"/>
          <w:numId w:val="17"/>
        </w:numPr>
        <w:spacing w:line="360" w:lineRule="auto"/>
        <w:rPr>
          <w:rFonts w:ascii="Arial" w:hAnsi="Arial" w:cs="Arial"/>
          <w:sz w:val="22"/>
          <w:szCs w:val="22"/>
        </w:rPr>
      </w:pPr>
      <w:r w:rsidRPr="00BC7F1A">
        <w:rPr>
          <w:rFonts w:ascii="Arial" w:hAnsi="Arial" w:cs="Arial"/>
          <w:sz w:val="22"/>
          <w:szCs w:val="22"/>
        </w:rPr>
        <w:t>Many people feel isolated during long treatments, especially when stigma surrounds their condition. Yet talking with others who’ve faced similar struggles often brings comfort. Shared experiences reduce feelings of shame</w:t>
      </w:r>
      <w:r w:rsidR="00844EBE" w:rsidRPr="00BC7F1A">
        <w:rPr>
          <w:rFonts w:ascii="Arial" w:hAnsi="Arial" w:cs="Arial"/>
          <w:sz w:val="22"/>
          <w:szCs w:val="22"/>
        </w:rPr>
        <w:t>, s</w:t>
      </w:r>
      <w:r w:rsidRPr="00BC7F1A">
        <w:rPr>
          <w:rFonts w:ascii="Arial" w:hAnsi="Arial" w:cs="Arial"/>
          <w:sz w:val="22"/>
          <w:szCs w:val="22"/>
        </w:rPr>
        <w:t xml:space="preserve">ometimes just knowing recovery is </w:t>
      </w:r>
      <w:proofErr w:type="gramStart"/>
      <w:r w:rsidRPr="00BC7F1A">
        <w:rPr>
          <w:rFonts w:ascii="Arial" w:hAnsi="Arial" w:cs="Arial"/>
          <w:sz w:val="22"/>
          <w:szCs w:val="22"/>
        </w:rPr>
        <w:t>possible</w:t>
      </w:r>
      <w:proofErr w:type="gramEnd"/>
      <w:r w:rsidRPr="00BC7F1A">
        <w:rPr>
          <w:rFonts w:ascii="Arial" w:hAnsi="Arial" w:cs="Arial"/>
          <w:sz w:val="22"/>
          <w:szCs w:val="22"/>
        </w:rPr>
        <w:t xml:space="preserve"> makes a difference. Groups offer space to speak openly, without fear</w:t>
      </w:r>
      <w:r w:rsidR="00BC7F1A" w:rsidRPr="00BC7F1A">
        <w:rPr>
          <w:rFonts w:ascii="Arial" w:hAnsi="Arial" w:cs="Arial"/>
          <w:sz w:val="22"/>
          <w:szCs w:val="22"/>
        </w:rPr>
        <w:t xml:space="preserve"> (TB Alert, 2024).</w:t>
      </w:r>
      <w:r w:rsidRPr="00BC7F1A">
        <w:rPr>
          <w:rFonts w:ascii="Arial" w:hAnsi="Arial" w:cs="Arial"/>
          <w:sz w:val="22"/>
          <w:szCs w:val="22"/>
        </w:rPr>
        <w:t xml:space="preserve"> This kind of connection matters more than it might first appear.</w:t>
      </w:r>
    </w:p>
    <w:p w14:paraId="36A5EAA1" w14:textId="202664A0" w:rsidR="00261BAA" w:rsidRPr="00BC7F1A" w:rsidRDefault="00261BAA" w:rsidP="00BC7F1A">
      <w:pPr>
        <w:pStyle w:val="ListParagraph"/>
        <w:numPr>
          <w:ilvl w:val="0"/>
          <w:numId w:val="17"/>
        </w:numPr>
        <w:spacing w:line="360" w:lineRule="auto"/>
        <w:rPr>
          <w:rFonts w:ascii="Arial" w:hAnsi="Arial" w:cs="Arial"/>
          <w:sz w:val="22"/>
          <w:szCs w:val="22"/>
        </w:rPr>
      </w:pPr>
      <w:r w:rsidRPr="00BC7F1A">
        <w:rPr>
          <w:rFonts w:ascii="Arial" w:hAnsi="Arial" w:cs="Arial"/>
          <w:sz w:val="22"/>
          <w:szCs w:val="22"/>
        </w:rPr>
        <w:t xml:space="preserve">Finding care can be tough when someone lives on the streets or struggles with substance </w:t>
      </w:r>
      <w:r w:rsidR="00844EBE" w:rsidRPr="00BC7F1A">
        <w:rPr>
          <w:rFonts w:ascii="Arial" w:hAnsi="Arial" w:cs="Arial"/>
          <w:sz w:val="22"/>
          <w:szCs w:val="22"/>
        </w:rPr>
        <w:t>abuse</w:t>
      </w:r>
      <w:r w:rsidRPr="00BC7F1A">
        <w:rPr>
          <w:rFonts w:ascii="Arial" w:hAnsi="Arial" w:cs="Arial"/>
          <w:sz w:val="22"/>
          <w:szCs w:val="22"/>
        </w:rPr>
        <w:t>. Instead of waiting in clinics, machines come to them through mobile units such as "Find and Treat"</w:t>
      </w:r>
      <w:r w:rsidR="00BC7F1A" w:rsidRPr="00BC7F1A">
        <w:rPr>
          <w:rFonts w:ascii="Arial" w:hAnsi="Arial" w:cs="Arial"/>
          <w:sz w:val="22"/>
          <w:szCs w:val="22"/>
        </w:rPr>
        <w:t xml:space="preserve"> (NHS, 2023).</w:t>
      </w:r>
      <w:r w:rsidRPr="00BC7F1A">
        <w:rPr>
          <w:rFonts w:ascii="Arial" w:hAnsi="Arial" w:cs="Arial"/>
          <w:sz w:val="22"/>
          <w:szCs w:val="22"/>
        </w:rPr>
        <w:t xml:space="preserve"> These vans move through neighbourhoods, reaching those </w:t>
      </w:r>
      <w:r w:rsidR="00C9233B" w:rsidRPr="00BC7F1A">
        <w:rPr>
          <w:rFonts w:ascii="Arial" w:hAnsi="Arial" w:cs="Arial"/>
          <w:sz w:val="22"/>
          <w:szCs w:val="22"/>
        </w:rPr>
        <w:t>who cannot access a hospital</w:t>
      </w:r>
      <w:r w:rsidRPr="00BC7F1A">
        <w:rPr>
          <w:rFonts w:ascii="Arial" w:hAnsi="Arial" w:cs="Arial"/>
          <w:sz w:val="22"/>
          <w:szCs w:val="22"/>
        </w:rPr>
        <w:t>. Help arrives without needing appointments, buildings, or fixed hours. Once found, patients receive support that moves beyond diagnosis, guiding them toward housing or recovery spaces.</w:t>
      </w:r>
    </w:p>
    <w:p w14:paraId="1626FECE" w14:textId="77777777" w:rsidR="00261BAA" w:rsidRPr="00BC7F1A" w:rsidRDefault="00261BAA" w:rsidP="00D869CF">
      <w:pPr>
        <w:pStyle w:val="Heading2"/>
      </w:pPr>
      <w:bookmarkStart w:id="6" w:name="_Toc225607743"/>
      <w:r w:rsidRPr="00BC7F1A">
        <w:t>Simple Actions for Working Adults</w:t>
      </w:r>
      <w:bookmarkEnd w:id="6"/>
    </w:p>
    <w:p w14:paraId="7109CFEB" w14:textId="37A5989C" w:rsidR="00261BAA" w:rsidRPr="00BC7F1A" w:rsidRDefault="00C9233B" w:rsidP="00BC7F1A">
      <w:pPr>
        <w:spacing w:line="360" w:lineRule="auto"/>
        <w:rPr>
          <w:rFonts w:ascii="Arial" w:hAnsi="Arial" w:cs="Arial"/>
          <w:sz w:val="22"/>
          <w:szCs w:val="22"/>
        </w:rPr>
      </w:pPr>
      <w:r w:rsidRPr="00BC7F1A">
        <w:rPr>
          <w:rFonts w:ascii="Arial" w:hAnsi="Arial" w:cs="Arial"/>
          <w:sz w:val="22"/>
          <w:szCs w:val="22"/>
        </w:rPr>
        <w:t>Healthcare professionals must take steps that work, providing cultural support</w:t>
      </w:r>
      <w:r w:rsidR="00261BAA" w:rsidRPr="00BC7F1A">
        <w:rPr>
          <w:rFonts w:ascii="Arial" w:hAnsi="Arial" w:cs="Arial"/>
          <w:sz w:val="22"/>
          <w:szCs w:val="22"/>
        </w:rPr>
        <w:t xml:space="preserve"> during treatment</w:t>
      </w:r>
      <w:r w:rsidRPr="00BC7F1A">
        <w:rPr>
          <w:rFonts w:ascii="Arial" w:hAnsi="Arial" w:cs="Arial"/>
          <w:sz w:val="22"/>
          <w:szCs w:val="22"/>
        </w:rPr>
        <w:t xml:space="preserve"> is one of these</w:t>
      </w:r>
      <w:r w:rsidR="00261BAA" w:rsidRPr="00BC7F1A">
        <w:rPr>
          <w:rFonts w:ascii="Arial" w:hAnsi="Arial" w:cs="Arial"/>
          <w:sz w:val="22"/>
          <w:szCs w:val="22"/>
        </w:rPr>
        <w:t xml:space="preserve">. Lots of those dealing with TB in Britain arrive from places where </w:t>
      </w:r>
      <w:r w:rsidRPr="00BC7F1A">
        <w:rPr>
          <w:rFonts w:ascii="Arial" w:hAnsi="Arial" w:cs="Arial"/>
          <w:sz w:val="22"/>
          <w:szCs w:val="22"/>
        </w:rPr>
        <w:t xml:space="preserve">there is </w:t>
      </w:r>
      <w:r w:rsidR="00261BAA" w:rsidRPr="00BC7F1A">
        <w:rPr>
          <w:rFonts w:ascii="Arial" w:hAnsi="Arial" w:cs="Arial"/>
          <w:sz w:val="22"/>
          <w:szCs w:val="22"/>
        </w:rPr>
        <w:t xml:space="preserve">fear around </w:t>
      </w:r>
      <w:r w:rsidRPr="00BC7F1A">
        <w:rPr>
          <w:rFonts w:ascii="Arial" w:hAnsi="Arial" w:cs="Arial"/>
          <w:sz w:val="22"/>
          <w:szCs w:val="22"/>
        </w:rPr>
        <w:t>illness</w:t>
      </w:r>
      <w:r w:rsidR="00261BAA" w:rsidRPr="00BC7F1A">
        <w:rPr>
          <w:rFonts w:ascii="Arial" w:hAnsi="Arial" w:cs="Arial"/>
          <w:sz w:val="22"/>
          <w:szCs w:val="22"/>
        </w:rPr>
        <w:t xml:space="preserve">. </w:t>
      </w:r>
      <w:r w:rsidRPr="00BC7F1A">
        <w:rPr>
          <w:rFonts w:ascii="Arial" w:hAnsi="Arial" w:cs="Arial"/>
          <w:sz w:val="22"/>
          <w:szCs w:val="22"/>
        </w:rPr>
        <w:t>Professionals should provide information in the patient’s first language and respect their cultural beliefs while still ensuring they take their medicine</w:t>
      </w:r>
      <w:r w:rsidR="00BC7F1A" w:rsidRPr="00BC7F1A">
        <w:rPr>
          <w:rFonts w:ascii="Arial" w:hAnsi="Arial" w:cs="Arial"/>
          <w:sz w:val="22"/>
          <w:szCs w:val="22"/>
        </w:rPr>
        <w:t xml:space="preserve"> (NICE, 2019).</w:t>
      </w:r>
    </w:p>
    <w:p w14:paraId="174447BC" w14:textId="6E4ED1C5" w:rsidR="00C9233B" w:rsidRPr="00BC7F1A" w:rsidRDefault="00C9233B" w:rsidP="00BC7F1A">
      <w:pPr>
        <w:spacing w:line="360" w:lineRule="auto"/>
        <w:rPr>
          <w:rFonts w:ascii="Arial" w:hAnsi="Arial" w:cs="Arial"/>
          <w:sz w:val="22"/>
          <w:szCs w:val="22"/>
        </w:rPr>
      </w:pPr>
      <w:r w:rsidRPr="00BC7F1A">
        <w:rPr>
          <w:rFonts w:ascii="Arial" w:hAnsi="Arial" w:cs="Arial"/>
          <w:sz w:val="22"/>
          <w:szCs w:val="22"/>
        </w:rPr>
        <w:t>Secondly, professionals should focus on "Holistic Care." Instead of just asking "Did you take your pills?", they should ask "Are you eating enough?" or "Can you afford the bus to the clinic?"</w:t>
      </w:r>
      <w:r w:rsidR="00BC7F1A" w:rsidRPr="00BC7F1A">
        <w:rPr>
          <w:rFonts w:ascii="Arial" w:hAnsi="Arial" w:cs="Arial"/>
          <w:sz w:val="22"/>
          <w:szCs w:val="22"/>
        </w:rPr>
        <w:t xml:space="preserve"> (NHS, 2023).</w:t>
      </w:r>
      <w:r w:rsidRPr="00BC7F1A">
        <w:rPr>
          <w:rFonts w:ascii="Arial" w:hAnsi="Arial" w:cs="Arial"/>
          <w:sz w:val="22"/>
          <w:szCs w:val="22"/>
        </w:rPr>
        <w:t xml:space="preserve"> By solving these small practical problems, perhaps by providing food vouchers or travel costs, the professional makes it much more likely that the patient will finish their treatment and be cured.</w:t>
      </w:r>
    </w:p>
    <w:p w14:paraId="10242016" w14:textId="42E64726" w:rsidR="00261BAA" w:rsidRPr="00BC7F1A" w:rsidRDefault="00261BAA" w:rsidP="00D869CF">
      <w:pPr>
        <w:pStyle w:val="Heading2"/>
      </w:pPr>
      <w:bookmarkStart w:id="7" w:name="_Toc225607744"/>
      <w:r w:rsidRPr="00BC7F1A">
        <w:t>Conclusion</w:t>
      </w:r>
      <w:bookmarkEnd w:id="7"/>
    </w:p>
    <w:p w14:paraId="54EF9E31" w14:textId="004DA275" w:rsidR="00261BAA" w:rsidRPr="00BC7F1A" w:rsidRDefault="00261BAA" w:rsidP="00BC7F1A">
      <w:pPr>
        <w:spacing w:line="360" w:lineRule="auto"/>
        <w:rPr>
          <w:rFonts w:ascii="Arial" w:hAnsi="Arial" w:cs="Arial"/>
          <w:sz w:val="22"/>
          <w:szCs w:val="22"/>
        </w:rPr>
      </w:pPr>
      <w:r w:rsidRPr="00BC7F1A">
        <w:rPr>
          <w:rFonts w:ascii="Arial" w:hAnsi="Arial" w:cs="Arial"/>
          <w:sz w:val="22"/>
          <w:szCs w:val="22"/>
        </w:rPr>
        <w:t xml:space="preserve">Ultimately, tackling </w:t>
      </w:r>
      <w:r w:rsidR="005922CB" w:rsidRPr="00BC7F1A">
        <w:rPr>
          <w:rFonts w:ascii="Arial" w:hAnsi="Arial" w:cs="Arial"/>
          <w:sz w:val="22"/>
          <w:szCs w:val="22"/>
        </w:rPr>
        <w:t>TB</w:t>
      </w:r>
      <w:r w:rsidRPr="00BC7F1A">
        <w:rPr>
          <w:rFonts w:ascii="Arial" w:hAnsi="Arial" w:cs="Arial"/>
          <w:sz w:val="22"/>
          <w:szCs w:val="22"/>
        </w:rPr>
        <w:t xml:space="preserve"> demands more than medicine alone. Despite </w:t>
      </w:r>
      <w:r w:rsidR="00C9233B" w:rsidRPr="00BC7F1A">
        <w:rPr>
          <w:rFonts w:ascii="Arial" w:hAnsi="Arial" w:cs="Arial"/>
          <w:sz w:val="22"/>
          <w:szCs w:val="22"/>
        </w:rPr>
        <w:t>effective treatment being</w:t>
      </w:r>
      <w:r w:rsidRPr="00BC7F1A">
        <w:rPr>
          <w:rFonts w:ascii="Arial" w:hAnsi="Arial" w:cs="Arial"/>
          <w:sz w:val="22"/>
          <w:szCs w:val="22"/>
        </w:rPr>
        <w:t xml:space="preserve"> available, challenges persist due to conditions such as low income, poor living environments, </w:t>
      </w:r>
      <w:r w:rsidR="00C9233B" w:rsidRPr="00BC7F1A">
        <w:rPr>
          <w:rFonts w:ascii="Arial" w:hAnsi="Arial" w:cs="Arial"/>
          <w:sz w:val="22"/>
          <w:szCs w:val="22"/>
        </w:rPr>
        <w:t>and stigma around illness</w:t>
      </w:r>
      <w:r w:rsidR="00BC7F1A" w:rsidRPr="00BC7F1A">
        <w:rPr>
          <w:rFonts w:ascii="Arial" w:hAnsi="Arial" w:cs="Arial"/>
          <w:sz w:val="22"/>
          <w:szCs w:val="22"/>
        </w:rPr>
        <w:t xml:space="preserve"> (TB Alert, 2024).</w:t>
      </w:r>
      <w:r w:rsidRPr="00BC7F1A">
        <w:rPr>
          <w:rFonts w:ascii="Arial" w:hAnsi="Arial" w:cs="Arial"/>
          <w:sz w:val="22"/>
          <w:szCs w:val="22"/>
        </w:rPr>
        <w:t xml:space="preserve"> The UK benefits from reliable reporting networks along with trained nursing staff focused on this condition</w:t>
      </w:r>
      <w:r w:rsidR="00BC7F1A" w:rsidRPr="00BC7F1A">
        <w:rPr>
          <w:rFonts w:ascii="Arial" w:hAnsi="Arial" w:cs="Arial"/>
          <w:sz w:val="22"/>
          <w:szCs w:val="22"/>
        </w:rPr>
        <w:t xml:space="preserve"> (UKHSA, 2023).</w:t>
      </w:r>
      <w:r w:rsidRPr="00BC7F1A">
        <w:rPr>
          <w:rFonts w:ascii="Arial" w:hAnsi="Arial" w:cs="Arial"/>
          <w:sz w:val="22"/>
          <w:szCs w:val="22"/>
        </w:rPr>
        <w:t xml:space="preserve"> Yet, those at highest risk remain impacted, since </w:t>
      </w:r>
      <w:r w:rsidR="00C9233B" w:rsidRPr="00BC7F1A">
        <w:rPr>
          <w:rFonts w:ascii="Arial" w:hAnsi="Arial" w:cs="Arial"/>
          <w:sz w:val="22"/>
          <w:szCs w:val="22"/>
        </w:rPr>
        <w:t>care</w:t>
      </w:r>
      <w:r w:rsidRPr="00BC7F1A">
        <w:rPr>
          <w:rFonts w:ascii="Arial" w:hAnsi="Arial" w:cs="Arial"/>
          <w:sz w:val="22"/>
          <w:szCs w:val="22"/>
        </w:rPr>
        <w:t xml:space="preserve"> does not reach everyone equally.</w:t>
      </w:r>
    </w:p>
    <w:p w14:paraId="2478B4EC" w14:textId="1C68E830" w:rsidR="00AB42D2" w:rsidRDefault="00261BAA" w:rsidP="00BC7F1A">
      <w:pPr>
        <w:spacing w:line="360" w:lineRule="auto"/>
        <w:rPr>
          <w:rFonts w:ascii="Arial" w:hAnsi="Arial" w:cs="Arial"/>
          <w:sz w:val="22"/>
          <w:szCs w:val="22"/>
        </w:rPr>
      </w:pPr>
      <w:r w:rsidRPr="00BC7F1A">
        <w:rPr>
          <w:rFonts w:ascii="Arial" w:hAnsi="Arial" w:cs="Arial"/>
          <w:sz w:val="22"/>
          <w:szCs w:val="22"/>
        </w:rPr>
        <w:t xml:space="preserve">To get a real handle on TB, collaboration between healthcare systems and support networks becomes essential. Tackling poor living conditions matters just as much as attacking the </w:t>
      </w:r>
      <w:r w:rsidR="00C9233B" w:rsidRPr="00BC7F1A">
        <w:rPr>
          <w:rFonts w:ascii="Arial" w:hAnsi="Arial" w:cs="Arial"/>
          <w:sz w:val="22"/>
          <w:szCs w:val="22"/>
        </w:rPr>
        <w:t>illness</w:t>
      </w:r>
      <w:r w:rsidRPr="00BC7F1A">
        <w:rPr>
          <w:rFonts w:ascii="Arial" w:hAnsi="Arial" w:cs="Arial"/>
          <w:sz w:val="22"/>
          <w:szCs w:val="22"/>
        </w:rPr>
        <w:t xml:space="preserve"> itself. </w:t>
      </w:r>
      <w:r w:rsidR="00C9233B" w:rsidRPr="00BC7F1A">
        <w:rPr>
          <w:rFonts w:ascii="Arial" w:hAnsi="Arial" w:cs="Arial"/>
          <w:sz w:val="22"/>
          <w:szCs w:val="22"/>
        </w:rPr>
        <w:t xml:space="preserve">By focusing on early diagnosis through screening </w:t>
      </w:r>
      <w:r w:rsidR="00BC7F1A" w:rsidRPr="00BC7F1A">
        <w:rPr>
          <w:rFonts w:ascii="Arial" w:hAnsi="Arial" w:cs="Arial"/>
          <w:sz w:val="22"/>
          <w:szCs w:val="22"/>
        </w:rPr>
        <w:t xml:space="preserve">(NICE, 2019) </w:t>
      </w:r>
      <w:r w:rsidR="00C9233B" w:rsidRPr="00BC7F1A">
        <w:rPr>
          <w:rFonts w:ascii="Arial" w:hAnsi="Arial" w:cs="Arial"/>
          <w:sz w:val="22"/>
          <w:szCs w:val="22"/>
        </w:rPr>
        <w:t xml:space="preserve">and supporting </w:t>
      </w:r>
      <w:r w:rsidR="00C9233B" w:rsidRPr="00BC7F1A">
        <w:rPr>
          <w:rFonts w:ascii="Arial" w:hAnsi="Arial" w:cs="Arial"/>
          <w:sz w:val="22"/>
          <w:szCs w:val="22"/>
        </w:rPr>
        <w:lastRenderedPageBreak/>
        <w:t>patients through the long treatment process with specialist nurses and social care, we can reduce the impact of TB on our communities and protect the public's health for the future.</w:t>
      </w:r>
    </w:p>
    <w:p w14:paraId="17181A2F" w14:textId="77777777" w:rsidR="00F22112" w:rsidRPr="00BC7F1A" w:rsidRDefault="00F22112" w:rsidP="00BC7F1A">
      <w:pPr>
        <w:spacing w:line="360" w:lineRule="auto"/>
        <w:rPr>
          <w:rFonts w:ascii="Arial" w:hAnsi="Arial" w:cs="Arial"/>
          <w:sz w:val="22"/>
          <w:szCs w:val="22"/>
        </w:rPr>
      </w:pPr>
    </w:p>
    <w:p w14:paraId="72AB4BB0" w14:textId="7162BA84" w:rsidR="004219D6" w:rsidRPr="00F22112" w:rsidRDefault="004219D6" w:rsidP="00D869CF">
      <w:pPr>
        <w:pStyle w:val="Heading2"/>
        <w:rPr>
          <w:u w:val="none"/>
        </w:rPr>
      </w:pPr>
      <w:bookmarkStart w:id="8" w:name="_Toc225607745"/>
      <w:r w:rsidRPr="00BC7F1A">
        <w:t>Reference List</w:t>
      </w:r>
      <w:bookmarkEnd w:id="8"/>
    </w:p>
    <w:p w14:paraId="30838345" w14:textId="77777777" w:rsidR="004219D6" w:rsidRDefault="004219D6" w:rsidP="0075493B">
      <w:pPr>
        <w:spacing w:line="360" w:lineRule="auto"/>
        <w:rPr>
          <w:rFonts w:ascii="Arial" w:hAnsi="Arial" w:cs="Arial"/>
          <w:sz w:val="22"/>
          <w:szCs w:val="22"/>
        </w:rPr>
      </w:pPr>
      <w:r w:rsidRPr="00BC7F1A">
        <w:rPr>
          <w:rFonts w:ascii="Arial" w:hAnsi="Arial" w:cs="Arial"/>
          <w:b/>
          <w:bCs/>
          <w:sz w:val="22"/>
          <w:szCs w:val="22"/>
        </w:rPr>
        <w:t>NHS (2023).</w:t>
      </w:r>
      <w:r w:rsidRPr="00BC7F1A">
        <w:rPr>
          <w:rFonts w:ascii="Arial" w:hAnsi="Arial" w:cs="Arial"/>
          <w:sz w:val="22"/>
          <w:szCs w:val="22"/>
        </w:rPr>
        <w:t> </w:t>
      </w:r>
      <w:r w:rsidRPr="00BC7F1A">
        <w:rPr>
          <w:rFonts w:ascii="Arial" w:hAnsi="Arial" w:cs="Arial"/>
          <w:i/>
          <w:iCs/>
          <w:sz w:val="22"/>
          <w:szCs w:val="22"/>
        </w:rPr>
        <w:t>Tuberculosis (TB).</w:t>
      </w:r>
      <w:r w:rsidRPr="00BC7F1A">
        <w:rPr>
          <w:rFonts w:ascii="Arial" w:hAnsi="Arial" w:cs="Arial"/>
          <w:sz w:val="22"/>
          <w:szCs w:val="22"/>
        </w:rPr>
        <w:t> [online] Available at: </w:t>
      </w:r>
      <w:hyperlink r:id="rId9" w:tgtFrame="_blank" w:history="1">
        <w:r w:rsidRPr="00BC7F1A">
          <w:rPr>
            <w:rStyle w:val="Hyperlink"/>
            <w:rFonts w:ascii="Arial" w:hAnsi="Arial" w:cs="Arial"/>
            <w:sz w:val="22"/>
            <w:szCs w:val="22"/>
          </w:rPr>
          <w:t>https://www.nhs.uk/conditions/tuberculosis-tb/</w:t>
        </w:r>
      </w:hyperlink>
      <w:r w:rsidRPr="00BC7F1A">
        <w:rPr>
          <w:rFonts w:ascii="Arial" w:hAnsi="Arial" w:cs="Arial"/>
          <w:sz w:val="22"/>
          <w:szCs w:val="22"/>
        </w:rPr>
        <w:t> [Accessed 21 Mar. 2026].</w:t>
      </w:r>
    </w:p>
    <w:p w14:paraId="2B7D64DB" w14:textId="5941F9F0" w:rsidR="006347C1" w:rsidRDefault="006347C1" w:rsidP="0075493B">
      <w:pPr>
        <w:spacing w:line="360" w:lineRule="auto"/>
        <w:rPr>
          <w:rFonts w:ascii="Arial" w:hAnsi="Arial" w:cs="Arial"/>
          <w:sz w:val="22"/>
          <w:szCs w:val="22"/>
        </w:rPr>
      </w:pPr>
      <w:r w:rsidRPr="00BC7F1A">
        <w:rPr>
          <w:rFonts w:ascii="Arial" w:hAnsi="Arial" w:cs="Arial"/>
          <w:b/>
          <w:bCs/>
          <w:sz w:val="22"/>
          <w:szCs w:val="22"/>
        </w:rPr>
        <w:t>NICE (2019).</w:t>
      </w:r>
      <w:r w:rsidRPr="00BC7F1A">
        <w:rPr>
          <w:rFonts w:ascii="Arial" w:hAnsi="Arial" w:cs="Arial"/>
          <w:sz w:val="22"/>
          <w:szCs w:val="22"/>
        </w:rPr>
        <w:t> </w:t>
      </w:r>
      <w:r w:rsidRPr="00BC7F1A">
        <w:rPr>
          <w:rFonts w:ascii="Arial" w:hAnsi="Arial" w:cs="Arial"/>
          <w:i/>
          <w:iCs/>
          <w:sz w:val="22"/>
          <w:szCs w:val="22"/>
        </w:rPr>
        <w:t>Tuberculosis: NICE guideline [NG33].</w:t>
      </w:r>
      <w:r w:rsidRPr="00BC7F1A">
        <w:rPr>
          <w:rFonts w:ascii="Arial" w:hAnsi="Arial" w:cs="Arial"/>
          <w:sz w:val="22"/>
          <w:szCs w:val="22"/>
        </w:rPr>
        <w:t> [online] Available at: </w:t>
      </w:r>
      <w:hyperlink r:id="rId10" w:tgtFrame="_blank" w:history="1">
        <w:r w:rsidRPr="00BC7F1A">
          <w:rPr>
            <w:rStyle w:val="Hyperlink"/>
            <w:rFonts w:ascii="Arial" w:hAnsi="Arial" w:cs="Arial"/>
            <w:sz w:val="22"/>
            <w:szCs w:val="22"/>
          </w:rPr>
          <w:t>https://www.nice.org.uk/guidance/ng33</w:t>
        </w:r>
      </w:hyperlink>
      <w:r w:rsidRPr="00BC7F1A">
        <w:rPr>
          <w:rFonts w:ascii="Arial" w:hAnsi="Arial" w:cs="Arial"/>
          <w:sz w:val="22"/>
          <w:szCs w:val="22"/>
        </w:rPr>
        <w:t> [Accessed 21 Mar. 2026].</w:t>
      </w:r>
    </w:p>
    <w:p w14:paraId="0E7959E5" w14:textId="76631093" w:rsidR="006347C1" w:rsidRDefault="006347C1" w:rsidP="0075493B">
      <w:pPr>
        <w:pStyle w:val="NormalWeb"/>
        <w:spacing w:line="360" w:lineRule="auto"/>
        <w:rPr>
          <w:rFonts w:ascii="Arial" w:hAnsi="Arial" w:cs="Arial"/>
          <w:sz w:val="22"/>
          <w:szCs w:val="22"/>
        </w:rPr>
      </w:pPr>
      <w:r w:rsidRPr="006F389B">
        <w:rPr>
          <w:rStyle w:val="whitespace-normal"/>
          <w:rFonts w:ascii="Arial" w:hAnsi="Arial" w:cs="Arial"/>
          <w:b/>
          <w:bCs/>
          <w:sz w:val="22"/>
          <w:szCs w:val="22"/>
        </w:rPr>
        <w:t>Public Health England</w:t>
      </w:r>
      <w:r w:rsidRPr="006F389B">
        <w:rPr>
          <w:rFonts w:ascii="Arial" w:hAnsi="Arial" w:cs="Arial"/>
          <w:b/>
          <w:bCs/>
          <w:sz w:val="22"/>
          <w:szCs w:val="22"/>
        </w:rPr>
        <w:t xml:space="preserve"> (2015)</w:t>
      </w:r>
      <w:r>
        <w:rPr>
          <w:rFonts w:ascii="Arial" w:hAnsi="Arial" w:cs="Arial"/>
          <w:b/>
          <w:bCs/>
          <w:sz w:val="22"/>
          <w:szCs w:val="22"/>
        </w:rPr>
        <w:t>.</w:t>
      </w:r>
      <w:r w:rsidRPr="006F389B">
        <w:rPr>
          <w:rFonts w:ascii="Arial" w:hAnsi="Arial" w:cs="Arial"/>
          <w:sz w:val="22"/>
          <w:szCs w:val="22"/>
        </w:rPr>
        <w:t xml:space="preserve"> </w:t>
      </w:r>
      <w:r w:rsidRPr="006F389B">
        <w:rPr>
          <w:rStyle w:val="Emphasis"/>
          <w:rFonts w:ascii="Arial" w:hAnsi="Arial" w:cs="Arial"/>
          <w:sz w:val="22"/>
          <w:szCs w:val="22"/>
        </w:rPr>
        <w:t>Collaborative tuberculosis strategy for England 2015 to 2020</w:t>
      </w:r>
      <w:r w:rsidRPr="006F389B">
        <w:rPr>
          <w:rFonts w:ascii="Arial" w:hAnsi="Arial" w:cs="Arial"/>
          <w:sz w:val="22"/>
          <w:szCs w:val="22"/>
        </w:rPr>
        <w:t xml:space="preserve">. London: Public Health England. Available at: </w:t>
      </w:r>
      <w:hyperlink r:id="rId11" w:tgtFrame="_new" w:history="1">
        <w:r w:rsidRPr="006F389B">
          <w:rPr>
            <w:rStyle w:val="Hyperlink"/>
            <w:rFonts w:ascii="Arial" w:hAnsi="Arial" w:cs="Arial"/>
            <w:sz w:val="22"/>
            <w:szCs w:val="22"/>
          </w:rPr>
          <w:t>https://www.gov.uk/government/publications/collaborative-tuberculosis-strategy-for-england</w:t>
        </w:r>
      </w:hyperlink>
      <w:r w:rsidRPr="006F389B">
        <w:rPr>
          <w:rFonts w:ascii="Arial" w:hAnsi="Arial" w:cs="Arial"/>
          <w:sz w:val="22"/>
          <w:szCs w:val="22"/>
        </w:rPr>
        <w:t xml:space="preserve"> </w:t>
      </w:r>
      <w:r>
        <w:rPr>
          <w:rFonts w:ascii="Arial" w:hAnsi="Arial" w:cs="Arial"/>
          <w:sz w:val="22"/>
          <w:szCs w:val="22"/>
        </w:rPr>
        <w:t>[</w:t>
      </w:r>
      <w:r w:rsidRPr="006F389B">
        <w:rPr>
          <w:rFonts w:ascii="Arial" w:hAnsi="Arial" w:cs="Arial"/>
          <w:sz w:val="22"/>
          <w:szCs w:val="22"/>
        </w:rPr>
        <w:t>Accessed: 28 March 2026</w:t>
      </w:r>
      <w:r>
        <w:rPr>
          <w:rFonts w:ascii="Arial" w:hAnsi="Arial" w:cs="Arial"/>
          <w:sz w:val="22"/>
          <w:szCs w:val="22"/>
        </w:rPr>
        <w:t>]</w:t>
      </w:r>
      <w:r w:rsidRPr="006F389B">
        <w:rPr>
          <w:rFonts w:ascii="Arial" w:hAnsi="Arial" w:cs="Arial"/>
          <w:sz w:val="22"/>
          <w:szCs w:val="22"/>
        </w:rPr>
        <w:t>.</w:t>
      </w:r>
    </w:p>
    <w:p w14:paraId="3CBB8AE0" w14:textId="00C9BFA1" w:rsidR="006347C1" w:rsidRDefault="006347C1" w:rsidP="0075493B">
      <w:pPr>
        <w:spacing w:line="360" w:lineRule="auto"/>
        <w:rPr>
          <w:rFonts w:ascii="Arial" w:hAnsi="Arial" w:cs="Arial"/>
          <w:sz w:val="22"/>
          <w:szCs w:val="22"/>
        </w:rPr>
      </w:pPr>
      <w:r w:rsidRPr="00BC7F1A">
        <w:rPr>
          <w:rFonts w:ascii="Arial" w:hAnsi="Arial" w:cs="Arial"/>
          <w:b/>
          <w:bCs/>
          <w:sz w:val="22"/>
          <w:szCs w:val="22"/>
        </w:rPr>
        <w:t>TB Alert (2024).</w:t>
      </w:r>
      <w:r w:rsidRPr="00BC7F1A">
        <w:rPr>
          <w:rFonts w:ascii="Arial" w:hAnsi="Arial" w:cs="Arial"/>
          <w:sz w:val="22"/>
          <w:szCs w:val="22"/>
        </w:rPr>
        <w:t> </w:t>
      </w:r>
      <w:r w:rsidRPr="00BC7F1A">
        <w:rPr>
          <w:rFonts w:ascii="Arial" w:hAnsi="Arial" w:cs="Arial"/>
          <w:i/>
          <w:iCs/>
          <w:sz w:val="22"/>
          <w:szCs w:val="22"/>
        </w:rPr>
        <w:t>What is TB?</w:t>
      </w:r>
      <w:r w:rsidRPr="00BC7F1A">
        <w:rPr>
          <w:rFonts w:ascii="Arial" w:hAnsi="Arial" w:cs="Arial"/>
          <w:sz w:val="22"/>
          <w:szCs w:val="22"/>
        </w:rPr>
        <w:t> [online] Available at: </w:t>
      </w:r>
      <w:hyperlink r:id="rId12" w:tgtFrame="_blank" w:history="1">
        <w:r w:rsidRPr="00BC7F1A">
          <w:rPr>
            <w:rStyle w:val="Hyperlink"/>
            <w:rFonts w:ascii="Arial" w:hAnsi="Arial" w:cs="Arial"/>
            <w:sz w:val="22"/>
            <w:szCs w:val="22"/>
          </w:rPr>
          <w:t>https://www.tbalert.org/about-tb/</w:t>
        </w:r>
      </w:hyperlink>
      <w:r w:rsidRPr="00BC7F1A">
        <w:rPr>
          <w:rFonts w:ascii="Arial" w:hAnsi="Arial" w:cs="Arial"/>
          <w:sz w:val="22"/>
          <w:szCs w:val="22"/>
        </w:rPr>
        <w:t> [Accessed 21 Mar. 2026].</w:t>
      </w:r>
    </w:p>
    <w:p w14:paraId="0690F43B" w14:textId="262A8992" w:rsidR="006347C1" w:rsidRPr="006347C1" w:rsidRDefault="006347C1" w:rsidP="0075493B">
      <w:pPr>
        <w:spacing w:line="360" w:lineRule="auto"/>
        <w:rPr>
          <w:rFonts w:ascii="Arial" w:hAnsi="Arial" w:cs="Arial"/>
          <w:sz w:val="22"/>
          <w:szCs w:val="22"/>
        </w:rPr>
      </w:pPr>
      <w:r w:rsidRPr="00BC7F1A">
        <w:rPr>
          <w:rFonts w:ascii="Arial" w:hAnsi="Arial" w:cs="Arial"/>
          <w:b/>
          <w:bCs/>
          <w:sz w:val="22"/>
          <w:szCs w:val="22"/>
        </w:rPr>
        <w:t>The Lancet (2022).</w:t>
      </w:r>
      <w:r w:rsidRPr="00BC7F1A">
        <w:rPr>
          <w:rFonts w:ascii="Arial" w:hAnsi="Arial" w:cs="Arial"/>
          <w:sz w:val="22"/>
          <w:szCs w:val="22"/>
        </w:rPr>
        <w:t> </w:t>
      </w:r>
      <w:r w:rsidRPr="00BC7F1A">
        <w:rPr>
          <w:rFonts w:ascii="Arial" w:hAnsi="Arial" w:cs="Arial"/>
          <w:i/>
          <w:iCs/>
          <w:sz w:val="22"/>
          <w:szCs w:val="22"/>
        </w:rPr>
        <w:t>The global challenge of drug-resistant tuberculosis.</w:t>
      </w:r>
      <w:r w:rsidRPr="00BC7F1A">
        <w:rPr>
          <w:rFonts w:ascii="Arial" w:hAnsi="Arial" w:cs="Arial"/>
          <w:sz w:val="22"/>
          <w:szCs w:val="22"/>
        </w:rPr>
        <w:t> [online] Available at: </w:t>
      </w:r>
      <w:hyperlink r:id="rId13" w:tgtFrame="_blank" w:history="1">
        <w:r w:rsidRPr="00BC7F1A">
          <w:rPr>
            <w:rStyle w:val="Hyperlink"/>
            <w:rFonts w:ascii="Arial" w:hAnsi="Arial" w:cs="Arial"/>
            <w:sz w:val="22"/>
            <w:szCs w:val="22"/>
          </w:rPr>
          <w:t>https://www.thelancet.com/journals/lanres/article/PIIS2213-2600(22)00110-3/fulltext</w:t>
        </w:r>
      </w:hyperlink>
      <w:r w:rsidRPr="00BC7F1A">
        <w:rPr>
          <w:rFonts w:ascii="Arial" w:hAnsi="Arial" w:cs="Arial"/>
          <w:sz w:val="22"/>
          <w:szCs w:val="22"/>
        </w:rPr>
        <w:t> [Accessed 21 Mar. 2026].</w:t>
      </w:r>
    </w:p>
    <w:p w14:paraId="404FA9EF" w14:textId="77777777" w:rsidR="004219D6" w:rsidRPr="00BC7F1A" w:rsidRDefault="004219D6" w:rsidP="0075493B">
      <w:pPr>
        <w:spacing w:line="360" w:lineRule="auto"/>
        <w:rPr>
          <w:rFonts w:ascii="Arial" w:hAnsi="Arial" w:cs="Arial"/>
          <w:sz w:val="22"/>
          <w:szCs w:val="22"/>
        </w:rPr>
      </w:pPr>
      <w:r w:rsidRPr="00BC7F1A">
        <w:rPr>
          <w:rFonts w:ascii="Arial" w:hAnsi="Arial" w:cs="Arial"/>
          <w:b/>
          <w:bCs/>
          <w:sz w:val="22"/>
          <w:szCs w:val="22"/>
        </w:rPr>
        <w:t>UK Health Security Agency (2023).</w:t>
      </w:r>
      <w:r w:rsidRPr="00BC7F1A">
        <w:rPr>
          <w:rFonts w:ascii="Arial" w:hAnsi="Arial" w:cs="Arial"/>
          <w:sz w:val="22"/>
          <w:szCs w:val="22"/>
        </w:rPr>
        <w:t> </w:t>
      </w:r>
      <w:r w:rsidRPr="00BC7F1A">
        <w:rPr>
          <w:rFonts w:ascii="Arial" w:hAnsi="Arial" w:cs="Arial"/>
          <w:i/>
          <w:iCs/>
          <w:sz w:val="22"/>
          <w:szCs w:val="22"/>
        </w:rPr>
        <w:t>Tuberculosis in England: 2022 report.</w:t>
      </w:r>
      <w:r w:rsidRPr="00BC7F1A">
        <w:rPr>
          <w:rFonts w:ascii="Arial" w:hAnsi="Arial" w:cs="Arial"/>
          <w:sz w:val="22"/>
          <w:szCs w:val="22"/>
        </w:rPr>
        <w:t> [online] Available at: </w:t>
      </w:r>
      <w:hyperlink r:id="rId14" w:tgtFrame="_blank" w:history="1">
        <w:r w:rsidRPr="00BC7F1A">
          <w:rPr>
            <w:rStyle w:val="Hyperlink"/>
            <w:rFonts w:ascii="Arial" w:hAnsi="Arial" w:cs="Arial"/>
            <w:sz w:val="22"/>
            <w:szCs w:val="22"/>
          </w:rPr>
          <w:t>https://www.gov.uk/government/statistics/tuberculosis-in-england-2022-report</w:t>
        </w:r>
      </w:hyperlink>
      <w:r w:rsidRPr="00BC7F1A">
        <w:rPr>
          <w:rFonts w:ascii="Arial" w:hAnsi="Arial" w:cs="Arial"/>
          <w:sz w:val="22"/>
          <w:szCs w:val="22"/>
        </w:rPr>
        <w:t> [Accessed 21 Mar. 2026].</w:t>
      </w:r>
    </w:p>
    <w:p w14:paraId="35016444" w14:textId="63F7F3C1" w:rsidR="004219D6" w:rsidRPr="006347C1" w:rsidRDefault="006347C1" w:rsidP="0075493B">
      <w:pPr>
        <w:spacing w:line="360" w:lineRule="auto"/>
        <w:rPr>
          <w:rFonts w:ascii="Arial" w:hAnsi="Arial" w:cs="Arial"/>
          <w:sz w:val="22"/>
          <w:szCs w:val="22"/>
        </w:rPr>
      </w:pPr>
      <w:r w:rsidRPr="006347C1">
        <w:rPr>
          <w:rFonts w:ascii="Arial" w:hAnsi="Arial" w:cs="Arial"/>
          <w:b/>
          <w:bCs/>
          <w:sz w:val="22"/>
          <w:szCs w:val="22"/>
        </w:rPr>
        <w:t>World Health Organization (2023)</w:t>
      </w:r>
      <w:r w:rsidRPr="006347C1">
        <w:rPr>
          <w:rFonts w:ascii="Arial" w:hAnsi="Arial" w:cs="Arial"/>
          <w:b/>
          <w:bCs/>
          <w:sz w:val="22"/>
          <w:szCs w:val="22"/>
        </w:rPr>
        <w:t>.</w:t>
      </w:r>
      <w:r w:rsidRPr="006347C1">
        <w:rPr>
          <w:rFonts w:ascii="Arial" w:hAnsi="Arial" w:cs="Arial"/>
          <w:sz w:val="22"/>
          <w:szCs w:val="22"/>
        </w:rPr>
        <w:t xml:space="preserve"> </w:t>
      </w:r>
      <w:r w:rsidRPr="006347C1">
        <w:rPr>
          <w:rFonts w:ascii="Arial" w:hAnsi="Arial" w:cs="Arial"/>
          <w:i/>
          <w:iCs/>
          <w:sz w:val="22"/>
          <w:szCs w:val="22"/>
        </w:rPr>
        <w:t>Global tuberculosis report 2023</w:t>
      </w:r>
      <w:r w:rsidRPr="006347C1">
        <w:rPr>
          <w:rFonts w:ascii="Arial" w:hAnsi="Arial" w:cs="Arial"/>
          <w:sz w:val="22"/>
          <w:szCs w:val="22"/>
        </w:rPr>
        <w:t xml:space="preserve">. Geneva: World Health Organization. Available at: </w:t>
      </w:r>
      <w:hyperlink r:id="rId15" w:tgtFrame="_new" w:history="1">
        <w:r w:rsidRPr="006347C1">
          <w:rPr>
            <w:rStyle w:val="Hyperlink"/>
            <w:rFonts w:ascii="Arial" w:hAnsi="Arial" w:cs="Arial"/>
            <w:sz w:val="22"/>
            <w:szCs w:val="22"/>
          </w:rPr>
          <w:t>https://www.who.int/publications/i/item/9789240083851</w:t>
        </w:r>
      </w:hyperlink>
      <w:r w:rsidRPr="006347C1">
        <w:rPr>
          <w:rFonts w:ascii="Arial" w:hAnsi="Arial" w:cs="Arial"/>
          <w:sz w:val="22"/>
          <w:szCs w:val="22"/>
        </w:rPr>
        <w:t xml:space="preserve"> </w:t>
      </w:r>
      <w:r>
        <w:rPr>
          <w:rFonts w:ascii="Arial" w:hAnsi="Arial" w:cs="Arial"/>
          <w:sz w:val="22"/>
          <w:szCs w:val="22"/>
        </w:rPr>
        <w:t>[</w:t>
      </w:r>
      <w:r w:rsidRPr="006347C1">
        <w:rPr>
          <w:rFonts w:ascii="Arial" w:hAnsi="Arial" w:cs="Arial"/>
          <w:sz w:val="22"/>
          <w:szCs w:val="22"/>
        </w:rPr>
        <w:t>Accessed: 28 March 2026</w:t>
      </w:r>
      <w:r>
        <w:rPr>
          <w:rFonts w:ascii="Arial" w:hAnsi="Arial" w:cs="Arial"/>
          <w:sz w:val="22"/>
          <w:szCs w:val="22"/>
        </w:rPr>
        <w:t>]</w:t>
      </w:r>
      <w:r w:rsidRPr="006347C1">
        <w:rPr>
          <w:rFonts w:ascii="Arial" w:hAnsi="Arial" w:cs="Arial"/>
          <w:sz w:val="22"/>
          <w:szCs w:val="22"/>
        </w:rPr>
        <w:t>.</w:t>
      </w:r>
    </w:p>
    <w:sectPr w:rsidR="004219D6" w:rsidRPr="006347C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05DB2" w14:textId="77777777" w:rsidR="00374B45" w:rsidRDefault="00374B45" w:rsidP="00F22112">
      <w:pPr>
        <w:spacing w:after="0" w:line="240" w:lineRule="auto"/>
      </w:pPr>
      <w:r>
        <w:separator/>
      </w:r>
    </w:p>
  </w:endnote>
  <w:endnote w:type="continuationSeparator" w:id="0">
    <w:p w14:paraId="384A941B" w14:textId="77777777" w:rsidR="00374B45" w:rsidRDefault="00374B45" w:rsidP="00F22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345900"/>
      <w:docPartObj>
        <w:docPartGallery w:val="Page Numbers (Bottom of Page)"/>
        <w:docPartUnique/>
      </w:docPartObj>
    </w:sdtPr>
    <w:sdtContent>
      <w:p w14:paraId="74E1639A" w14:textId="63376512" w:rsidR="00F22112" w:rsidRDefault="00F22112">
        <w:pPr>
          <w:pStyle w:val="Footer"/>
          <w:jc w:val="center"/>
        </w:pPr>
        <w:r>
          <w:fldChar w:fldCharType="begin"/>
        </w:r>
        <w:r>
          <w:instrText>PAGE   \* MERGEFORMAT</w:instrText>
        </w:r>
        <w:r>
          <w:fldChar w:fldCharType="separate"/>
        </w:r>
        <w:r>
          <w:t>2</w:t>
        </w:r>
        <w:r>
          <w:fldChar w:fldCharType="end"/>
        </w:r>
      </w:p>
    </w:sdtContent>
  </w:sdt>
  <w:p w14:paraId="1847E0F7" w14:textId="77777777" w:rsidR="00F22112" w:rsidRDefault="00F22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D864E" w14:textId="77777777" w:rsidR="00374B45" w:rsidRDefault="00374B45" w:rsidP="00F22112">
      <w:pPr>
        <w:spacing w:after="0" w:line="240" w:lineRule="auto"/>
      </w:pPr>
      <w:r>
        <w:separator/>
      </w:r>
    </w:p>
  </w:footnote>
  <w:footnote w:type="continuationSeparator" w:id="0">
    <w:p w14:paraId="0CA7273F" w14:textId="77777777" w:rsidR="00374B45" w:rsidRDefault="00374B45" w:rsidP="00F22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6AE1"/>
    <w:multiLevelType w:val="multilevel"/>
    <w:tmpl w:val="FF5E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E3C1C"/>
    <w:multiLevelType w:val="multilevel"/>
    <w:tmpl w:val="7BDE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32819"/>
    <w:multiLevelType w:val="hybridMultilevel"/>
    <w:tmpl w:val="2F400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05088"/>
    <w:multiLevelType w:val="multilevel"/>
    <w:tmpl w:val="7632B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65D1C"/>
    <w:multiLevelType w:val="multilevel"/>
    <w:tmpl w:val="8EB06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A574C"/>
    <w:multiLevelType w:val="multilevel"/>
    <w:tmpl w:val="7584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1D5957"/>
    <w:multiLevelType w:val="multilevel"/>
    <w:tmpl w:val="3A88F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CE6DA0"/>
    <w:multiLevelType w:val="multilevel"/>
    <w:tmpl w:val="CF94E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2231A0"/>
    <w:multiLevelType w:val="multilevel"/>
    <w:tmpl w:val="0EA2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C8357A"/>
    <w:multiLevelType w:val="hybridMultilevel"/>
    <w:tmpl w:val="90C8B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E11EC"/>
    <w:multiLevelType w:val="multilevel"/>
    <w:tmpl w:val="6E84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C51319"/>
    <w:multiLevelType w:val="multilevel"/>
    <w:tmpl w:val="CD4C6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912A7F"/>
    <w:multiLevelType w:val="multilevel"/>
    <w:tmpl w:val="FC44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F367EA"/>
    <w:multiLevelType w:val="multilevel"/>
    <w:tmpl w:val="8DEE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F117DE"/>
    <w:multiLevelType w:val="multilevel"/>
    <w:tmpl w:val="AB485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3B6D86"/>
    <w:multiLevelType w:val="multilevel"/>
    <w:tmpl w:val="D9461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536D8"/>
    <w:multiLevelType w:val="hybridMultilevel"/>
    <w:tmpl w:val="5C3285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36527049">
    <w:abstractNumId w:val="11"/>
  </w:num>
  <w:num w:numId="2" w16cid:durableId="98070597">
    <w:abstractNumId w:val="7"/>
  </w:num>
  <w:num w:numId="3" w16cid:durableId="793256345">
    <w:abstractNumId w:val="6"/>
  </w:num>
  <w:num w:numId="4" w16cid:durableId="429158476">
    <w:abstractNumId w:val="5"/>
  </w:num>
  <w:num w:numId="5" w16cid:durableId="1213926211">
    <w:abstractNumId w:val="14"/>
  </w:num>
  <w:num w:numId="6" w16cid:durableId="581447024">
    <w:abstractNumId w:val="10"/>
  </w:num>
  <w:num w:numId="7" w16cid:durableId="1168249298">
    <w:abstractNumId w:val="12"/>
  </w:num>
  <w:num w:numId="8" w16cid:durableId="279117882">
    <w:abstractNumId w:val="13"/>
  </w:num>
  <w:num w:numId="9" w16cid:durableId="1926378276">
    <w:abstractNumId w:val="0"/>
  </w:num>
  <w:num w:numId="10" w16cid:durableId="902568422">
    <w:abstractNumId w:val="4"/>
  </w:num>
  <w:num w:numId="11" w16cid:durableId="396512133">
    <w:abstractNumId w:val="8"/>
  </w:num>
  <w:num w:numId="12" w16cid:durableId="259991788">
    <w:abstractNumId w:val="15"/>
  </w:num>
  <w:num w:numId="13" w16cid:durableId="1940527922">
    <w:abstractNumId w:val="3"/>
  </w:num>
  <w:num w:numId="14" w16cid:durableId="1248416922">
    <w:abstractNumId w:val="1"/>
  </w:num>
  <w:num w:numId="15" w16cid:durableId="1278878626">
    <w:abstractNumId w:val="9"/>
  </w:num>
  <w:num w:numId="16" w16cid:durableId="1844736651">
    <w:abstractNumId w:val="2"/>
  </w:num>
  <w:num w:numId="17" w16cid:durableId="892083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BAA"/>
    <w:rsid w:val="000135DA"/>
    <w:rsid w:val="00071F46"/>
    <w:rsid w:val="0010393D"/>
    <w:rsid w:val="001572D8"/>
    <w:rsid w:val="00261BAA"/>
    <w:rsid w:val="00334F1D"/>
    <w:rsid w:val="00374B45"/>
    <w:rsid w:val="004219D6"/>
    <w:rsid w:val="004E7FA7"/>
    <w:rsid w:val="00511513"/>
    <w:rsid w:val="005922CB"/>
    <w:rsid w:val="006347C1"/>
    <w:rsid w:val="00677B02"/>
    <w:rsid w:val="006B2161"/>
    <w:rsid w:val="006B43E5"/>
    <w:rsid w:val="006C2E8A"/>
    <w:rsid w:val="006F389B"/>
    <w:rsid w:val="0075493B"/>
    <w:rsid w:val="008179D4"/>
    <w:rsid w:val="008258F8"/>
    <w:rsid w:val="00844EBE"/>
    <w:rsid w:val="00893433"/>
    <w:rsid w:val="008B0826"/>
    <w:rsid w:val="00976E9A"/>
    <w:rsid w:val="00A22395"/>
    <w:rsid w:val="00A477D0"/>
    <w:rsid w:val="00AA65D6"/>
    <w:rsid w:val="00AB42D2"/>
    <w:rsid w:val="00BC7F1A"/>
    <w:rsid w:val="00C9233B"/>
    <w:rsid w:val="00D869CF"/>
    <w:rsid w:val="00E0056B"/>
    <w:rsid w:val="00F22112"/>
    <w:rsid w:val="00FF2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4170"/>
  <w15:chartTrackingRefBased/>
  <w15:docId w15:val="{97AAC80E-10AF-4C4A-9EA4-DC432BA6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B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69CF"/>
    <w:pPr>
      <w:keepNext/>
      <w:keepLines/>
      <w:spacing w:before="160" w:after="80"/>
      <w:outlineLvl w:val="1"/>
    </w:pPr>
    <w:rPr>
      <w:rFonts w:asciiTheme="majorHAnsi" w:eastAsiaTheme="majorEastAsia" w:hAnsiTheme="majorHAnsi" w:cstheme="majorBidi"/>
      <w:b/>
      <w:color w:val="000000" w:themeColor="text1"/>
      <w:sz w:val="28"/>
      <w:szCs w:val="32"/>
      <w:u w:val="single"/>
    </w:rPr>
  </w:style>
  <w:style w:type="paragraph" w:styleId="Heading3">
    <w:name w:val="heading 3"/>
    <w:basedOn w:val="Normal"/>
    <w:next w:val="Normal"/>
    <w:link w:val="Heading3Char"/>
    <w:uiPriority w:val="9"/>
    <w:semiHidden/>
    <w:unhideWhenUsed/>
    <w:qFormat/>
    <w:rsid w:val="00261B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B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B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B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B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B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B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B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69CF"/>
    <w:rPr>
      <w:rFonts w:asciiTheme="majorHAnsi" w:eastAsiaTheme="majorEastAsia" w:hAnsiTheme="majorHAnsi" w:cstheme="majorBidi"/>
      <w:b/>
      <w:color w:val="000000" w:themeColor="text1"/>
      <w:sz w:val="28"/>
      <w:szCs w:val="32"/>
      <w:u w:val="single"/>
    </w:rPr>
  </w:style>
  <w:style w:type="character" w:customStyle="1" w:styleId="Heading3Char">
    <w:name w:val="Heading 3 Char"/>
    <w:basedOn w:val="DefaultParagraphFont"/>
    <w:link w:val="Heading3"/>
    <w:uiPriority w:val="9"/>
    <w:semiHidden/>
    <w:rsid w:val="00261B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B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B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B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B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B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BAA"/>
    <w:rPr>
      <w:rFonts w:eastAsiaTheme="majorEastAsia" w:cstheme="majorBidi"/>
      <w:color w:val="272727" w:themeColor="text1" w:themeTint="D8"/>
    </w:rPr>
  </w:style>
  <w:style w:type="paragraph" w:styleId="Title">
    <w:name w:val="Title"/>
    <w:basedOn w:val="Normal"/>
    <w:next w:val="Normal"/>
    <w:link w:val="TitleChar"/>
    <w:uiPriority w:val="10"/>
    <w:qFormat/>
    <w:rsid w:val="00261B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B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B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B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BAA"/>
    <w:pPr>
      <w:spacing w:before="160"/>
      <w:jc w:val="center"/>
    </w:pPr>
    <w:rPr>
      <w:i/>
      <w:iCs/>
      <w:color w:val="404040" w:themeColor="text1" w:themeTint="BF"/>
    </w:rPr>
  </w:style>
  <w:style w:type="character" w:customStyle="1" w:styleId="QuoteChar">
    <w:name w:val="Quote Char"/>
    <w:basedOn w:val="DefaultParagraphFont"/>
    <w:link w:val="Quote"/>
    <w:uiPriority w:val="29"/>
    <w:rsid w:val="00261BAA"/>
    <w:rPr>
      <w:i/>
      <w:iCs/>
      <w:color w:val="404040" w:themeColor="text1" w:themeTint="BF"/>
    </w:rPr>
  </w:style>
  <w:style w:type="paragraph" w:styleId="ListParagraph">
    <w:name w:val="List Paragraph"/>
    <w:basedOn w:val="Normal"/>
    <w:uiPriority w:val="34"/>
    <w:qFormat/>
    <w:rsid w:val="00261BAA"/>
    <w:pPr>
      <w:ind w:left="720"/>
      <w:contextualSpacing/>
    </w:pPr>
  </w:style>
  <w:style w:type="character" w:styleId="IntenseEmphasis">
    <w:name w:val="Intense Emphasis"/>
    <w:basedOn w:val="DefaultParagraphFont"/>
    <w:uiPriority w:val="21"/>
    <w:qFormat/>
    <w:rsid w:val="00261BAA"/>
    <w:rPr>
      <w:i/>
      <w:iCs/>
      <w:color w:val="0F4761" w:themeColor="accent1" w:themeShade="BF"/>
    </w:rPr>
  </w:style>
  <w:style w:type="paragraph" w:styleId="IntenseQuote">
    <w:name w:val="Intense Quote"/>
    <w:basedOn w:val="Normal"/>
    <w:next w:val="Normal"/>
    <w:link w:val="IntenseQuoteChar"/>
    <w:uiPriority w:val="30"/>
    <w:qFormat/>
    <w:rsid w:val="00261B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BAA"/>
    <w:rPr>
      <w:i/>
      <w:iCs/>
      <w:color w:val="0F4761" w:themeColor="accent1" w:themeShade="BF"/>
    </w:rPr>
  </w:style>
  <w:style w:type="character" w:styleId="IntenseReference">
    <w:name w:val="Intense Reference"/>
    <w:basedOn w:val="DefaultParagraphFont"/>
    <w:uiPriority w:val="32"/>
    <w:qFormat/>
    <w:rsid w:val="00261BAA"/>
    <w:rPr>
      <w:b/>
      <w:bCs/>
      <w:smallCaps/>
      <w:color w:val="0F4761" w:themeColor="accent1" w:themeShade="BF"/>
      <w:spacing w:val="5"/>
    </w:rPr>
  </w:style>
  <w:style w:type="character" w:styleId="Hyperlink">
    <w:name w:val="Hyperlink"/>
    <w:basedOn w:val="DefaultParagraphFont"/>
    <w:uiPriority w:val="99"/>
    <w:unhideWhenUsed/>
    <w:rsid w:val="00261BAA"/>
    <w:rPr>
      <w:color w:val="467886" w:themeColor="hyperlink"/>
      <w:u w:val="single"/>
    </w:rPr>
  </w:style>
  <w:style w:type="character" w:styleId="UnresolvedMention">
    <w:name w:val="Unresolved Mention"/>
    <w:basedOn w:val="DefaultParagraphFont"/>
    <w:uiPriority w:val="99"/>
    <w:semiHidden/>
    <w:unhideWhenUsed/>
    <w:rsid w:val="00261BAA"/>
    <w:rPr>
      <w:color w:val="605E5C"/>
      <w:shd w:val="clear" w:color="auto" w:fill="E1DFDD"/>
    </w:rPr>
  </w:style>
  <w:style w:type="paragraph" w:styleId="Header">
    <w:name w:val="header"/>
    <w:basedOn w:val="Normal"/>
    <w:link w:val="HeaderChar"/>
    <w:uiPriority w:val="99"/>
    <w:unhideWhenUsed/>
    <w:rsid w:val="00F22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112"/>
  </w:style>
  <w:style w:type="paragraph" w:styleId="Footer">
    <w:name w:val="footer"/>
    <w:basedOn w:val="Normal"/>
    <w:link w:val="FooterChar"/>
    <w:uiPriority w:val="99"/>
    <w:unhideWhenUsed/>
    <w:rsid w:val="00F22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112"/>
  </w:style>
  <w:style w:type="paragraph" w:styleId="TOCHeading">
    <w:name w:val="TOC Heading"/>
    <w:basedOn w:val="Heading1"/>
    <w:next w:val="Normal"/>
    <w:uiPriority w:val="39"/>
    <w:unhideWhenUsed/>
    <w:qFormat/>
    <w:rsid w:val="00F2211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22112"/>
    <w:pPr>
      <w:spacing w:after="100"/>
    </w:pPr>
  </w:style>
  <w:style w:type="paragraph" w:styleId="TOC2">
    <w:name w:val="toc 2"/>
    <w:basedOn w:val="Normal"/>
    <w:next w:val="Normal"/>
    <w:autoRedefine/>
    <w:uiPriority w:val="39"/>
    <w:unhideWhenUsed/>
    <w:rsid w:val="00F22112"/>
    <w:pPr>
      <w:spacing w:after="100"/>
      <w:ind w:left="240"/>
    </w:pPr>
  </w:style>
  <w:style w:type="paragraph" w:styleId="NormalWeb">
    <w:name w:val="Normal (Web)"/>
    <w:basedOn w:val="Normal"/>
    <w:uiPriority w:val="99"/>
    <w:unhideWhenUsed/>
    <w:rsid w:val="006F38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6F389B"/>
  </w:style>
  <w:style w:type="character" w:styleId="Emphasis">
    <w:name w:val="Emphasis"/>
    <w:basedOn w:val="DefaultParagraphFont"/>
    <w:uiPriority w:val="20"/>
    <w:qFormat/>
    <w:rsid w:val="006F38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m/url?sa=E&amp;q=https%3A%2F%2Fwww.thelancet.com%2Fjournals%2Flanres%2Farticle%2FPIIS2213-2600(22)00110-3%2Ffulltex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url?sa=E&amp;q=https%3A%2F%2Fwww.tbalert.org%2Fabout-tb%2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ollaborative-tuberculosis-strategy-for-england" TargetMode="External"/><Relationship Id="rId5" Type="http://schemas.openxmlformats.org/officeDocument/2006/relationships/webSettings" Target="webSettings.xml"/><Relationship Id="rId15" Type="http://schemas.openxmlformats.org/officeDocument/2006/relationships/hyperlink" Target="https://www.who.int/publications/i/item/9789240083851" TargetMode="External"/><Relationship Id="rId10" Type="http://schemas.openxmlformats.org/officeDocument/2006/relationships/hyperlink" Target="https://www.google.com/url?sa=E&amp;q=https%3A%2F%2Fwww.nice.org.uk%2Fguidance%2Fng33" TargetMode="External"/><Relationship Id="rId4" Type="http://schemas.openxmlformats.org/officeDocument/2006/relationships/settings" Target="settings.xml"/><Relationship Id="rId9" Type="http://schemas.openxmlformats.org/officeDocument/2006/relationships/hyperlink" Target="https://www.google.com/url?sa=E&amp;q=https%3A%2F%2Fwww.nhs.uk%2Fconditions%2Ftuberculosis-tb%2F" TargetMode="External"/><Relationship Id="rId14" Type="http://schemas.openxmlformats.org/officeDocument/2006/relationships/hyperlink" Target="https://www.google.com/url?sa=E&amp;q=https%3A%2F%2Fwww.gov.uk%2Fgovernment%2Fstatistics%2Ftuberculosis-in-england-2022-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DC824-D52D-46CC-B04F-B37EBE900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6816</TotalTime>
  <Pages>6</Pages>
  <Words>2014</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Chenchev</dc:creator>
  <cp:keywords/>
  <dc:description/>
  <cp:lastModifiedBy>nevena semkova</cp:lastModifiedBy>
  <cp:revision>6</cp:revision>
  <dcterms:created xsi:type="dcterms:W3CDTF">2026-03-23T20:31:00Z</dcterms:created>
  <dcterms:modified xsi:type="dcterms:W3CDTF">2026-03-28T16:31:00Z</dcterms:modified>
</cp:coreProperties>
</file>