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68D7C1" w14:textId="173B22CC" w:rsidR="000556D5" w:rsidRDefault="00621828" w:rsidP="00621828">
      <w:pPr>
        <w:spacing w:line="360" w:lineRule="auto"/>
      </w:pPr>
      <w:r w:rsidRPr="00621828">
        <w:t>Anticipating loss: rethinking endangerment in heritage futures</w:t>
      </w:r>
      <w:r>
        <w:t xml:space="preserve"> </w:t>
      </w:r>
    </w:p>
    <w:p w14:paraId="24B67BB7" w14:textId="07B4D0D5" w:rsidR="00621828" w:rsidRDefault="00621828" w:rsidP="00621828">
      <w:pPr>
        <w:spacing w:line="360" w:lineRule="auto"/>
      </w:pPr>
    </w:p>
    <w:p w14:paraId="6FF84665" w14:textId="577E163A" w:rsidR="00F34B28" w:rsidRDefault="000A393D" w:rsidP="00621828">
      <w:pPr>
        <w:spacing w:line="360" w:lineRule="auto"/>
      </w:pPr>
      <w:r>
        <w:t>The paper opens up with discussing how the current global socio-economic, environmental, and political orders are experiencing an unpredictable and accelerated rate of loss including those of heritage</w:t>
      </w:r>
      <w:r w:rsidR="00D82FCE">
        <w:t>,</w:t>
      </w:r>
      <w:r>
        <w:t xml:space="preserve"> </w:t>
      </w:r>
      <w:r w:rsidR="00F34B28">
        <w:t>practices,</w:t>
      </w:r>
      <w:r>
        <w:t xml:space="preserve"> and objects. </w:t>
      </w:r>
      <w:r w:rsidR="00E23102">
        <w:t xml:space="preserve">However, they go on to say how this is not unfamiliar for heritage </w:t>
      </w:r>
      <w:r w:rsidR="00D82FCE">
        <w:t>as</w:t>
      </w:r>
      <w:r w:rsidR="00E23102">
        <w:t xml:space="preserve"> this perception of risk and endangerment is a fundamental element in the creation of heritage value. </w:t>
      </w:r>
      <w:r w:rsidR="00E23102" w:rsidRPr="00F34B28">
        <w:t xml:space="preserve">That this sense of endangerment is a motivating factor for heritage practice for if we </w:t>
      </w:r>
      <w:r w:rsidR="00F34B28" w:rsidRPr="00F34B28">
        <w:t>view</w:t>
      </w:r>
      <w:r w:rsidR="00E23102" w:rsidRPr="00F34B28">
        <w:t xml:space="preserve"> heritage as a</w:t>
      </w:r>
      <w:r w:rsidR="002F67E5" w:rsidRPr="00F34B28">
        <w:t>n</w:t>
      </w:r>
      <w:r w:rsidR="00E23102" w:rsidRPr="00F34B28">
        <w:t xml:space="preserve"> irreplaceable and non-renewable resource the</w:t>
      </w:r>
      <w:r w:rsidR="00F34B28" w:rsidRPr="00F34B28">
        <w:t>n</w:t>
      </w:r>
      <w:r w:rsidR="00E23102" w:rsidRPr="00F34B28">
        <w:t xml:space="preserve"> once it has gone it </w:t>
      </w:r>
      <w:r w:rsidR="002F67E5" w:rsidRPr="00F34B28">
        <w:t>can</w:t>
      </w:r>
      <w:r w:rsidR="00F34B28" w:rsidRPr="00F34B28">
        <w:t>not</w:t>
      </w:r>
      <w:r w:rsidR="00E23102" w:rsidRPr="00F34B28">
        <w:t xml:space="preserve"> be replaced</w:t>
      </w:r>
      <w:r w:rsidR="00F34B28">
        <w:t xml:space="preserve"> and as such it should be preserved however the article looks at if there can be benefits to allowing it to be lost.</w:t>
      </w:r>
    </w:p>
    <w:p w14:paraId="2229BFE9" w14:textId="68D0E46A" w:rsidR="00CF1E25" w:rsidRDefault="002F67E5" w:rsidP="00621828">
      <w:pPr>
        <w:spacing w:line="360" w:lineRule="auto"/>
      </w:pPr>
      <w:r>
        <w:t xml:space="preserve">The article goes on to the </w:t>
      </w:r>
      <w:r w:rsidRPr="00F34B28">
        <w:t>potential of loss to heritage showing</w:t>
      </w:r>
      <w:r>
        <w:t xml:space="preserve"> the example of the “patina” in a gradually degrading historic structure as it can provide us with </w:t>
      </w:r>
      <w:r w:rsidR="007837E5">
        <w:t>an</w:t>
      </w:r>
      <w:r>
        <w:t xml:space="preserve"> aesthetic value while adding with the authenticity of the structure for the degrading castle will convey its age more than that of </w:t>
      </w:r>
      <w:r w:rsidR="00D82FCE">
        <w:t xml:space="preserve">a </w:t>
      </w:r>
      <w:r>
        <w:t>restoration project.</w:t>
      </w:r>
      <w:r w:rsidR="00EB150A">
        <w:t xml:space="preserve"> For example,</w:t>
      </w:r>
      <w:r w:rsidR="00EB150A" w:rsidRPr="00D82FCE">
        <w:rPr>
          <w:highlight w:val="yellow"/>
        </w:rPr>
        <w:t xml:space="preserve"> </w:t>
      </w:r>
      <w:r w:rsidR="00EB150A" w:rsidRPr="00F34B28">
        <w:t xml:space="preserve">with castle Coch </w:t>
      </w:r>
      <w:r w:rsidR="00F34B28" w:rsidRPr="00F34B28">
        <w:t xml:space="preserve">a </w:t>
      </w:r>
      <w:r w:rsidR="00EB150A" w:rsidRPr="00F34B28">
        <w:t>restor</w:t>
      </w:r>
      <w:r w:rsidR="0000724B" w:rsidRPr="00F34B28">
        <w:t>ation</w:t>
      </w:r>
      <w:r w:rsidR="00F34B28" w:rsidRPr="00F34B28">
        <w:t xml:space="preserve"> project that began</w:t>
      </w:r>
      <w:r w:rsidR="00EB150A" w:rsidRPr="00F34B28">
        <w:t xml:space="preserve"> </w:t>
      </w:r>
      <w:r w:rsidR="0000724B" w:rsidRPr="00F34B28">
        <w:t>in 1871 w</w:t>
      </w:r>
      <w:r w:rsidR="00F34B28" w:rsidRPr="00F34B28">
        <w:t>hich</w:t>
      </w:r>
      <w:r w:rsidR="0000724B" w:rsidRPr="00F34B28">
        <w:t xml:space="preserve"> rebuilt the Norman ruins as a medieval fantasy country residence</w:t>
      </w:r>
      <w:r w:rsidR="0000724B">
        <w:t>.</w:t>
      </w:r>
      <w:r w:rsidR="0000724B">
        <w:rPr>
          <w:rStyle w:val="FootnoteReference"/>
        </w:rPr>
        <w:footnoteReference w:id="1"/>
      </w:r>
      <w:r w:rsidR="0000724B">
        <w:t xml:space="preserve"> Where visitors to this site will not </w:t>
      </w:r>
      <w:r w:rsidR="00700F7C">
        <w:t>see</w:t>
      </w:r>
      <w:r w:rsidR="0000724B">
        <w:t xml:space="preserve"> the ruins of Norman heritage but instead the heritage of 19</w:t>
      </w:r>
      <w:r w:rsidR="0000724B" w:rsidRPr="0000724B">
        <w:rPr>
          <w:vertAlign w:val="superscript"/>
        </w:rPr>
        <w:t>th</w:t>
      </w:r>
      <w:r w:rsidR="0000724B">
        <w:t xml:space="preserve"> century industrialists. </w:t>
      </w:r>
      <w:r w:rsidR="00804874">
        <w:t>However,</w:t>
      </w:r>
      <w:r w:rsidR="00D62669">
        <w:t xml:space="preserve"> the entire process </w:t>
      </w:r>
      <w:r w:rsidR="00804874">
        <w:t>of heritage conservation is to delay the natural process of deterioration.  The prior example displays the issues surrounding this, as despite the ruin conveying its age more than the restoration</w:t>
      </w:r>
      <w:r w:rsidR="00700F7C">
        <w:t>,</w:t>
      </w:r>
      <w:r w:rsidR="00804874">
        <w:t xml:space="preserve"> if the castle is to keep teaching us our heritage it would inevitably have to be restored to prevent its complete destruction as the centuries progress. </w:t>
      </w:r>
      <w:r w:rsidR="0062419A">
        <w:t>But at the same time the destruction of the heritage at Castle Coch in its transformation to a country house shows us the power</w:t>
      </w:r>
      <w:r w:rsidR="007843C3">
        <w:t xml:space="preserve"> of loss in heritage for it can show us in the future how the ruin was used and understood by those who transformed it into something new</w:t>
      </w:r>
      <w:r w:rsidR="00700F7C">
        <w:t>,</w:t>
      </w:r>
      <w:r w:rsidR="007843C3">
        <w:t xml:space="preserve"> allowing us to gain a greater insight into the attitudes towards heritage at the period it transformed</w:t>
      </w:r>
      <w:r w:rsidR="00402EE4">
        <w:t xml:space="preserve">. This could be applicable to heritage today that we allow to be lost as a form </w:t>
      </w:r>
      <w:r w:rsidR="00841DF4">
        <w:t>of heritage</w:t>
      </w:r>
      <w:r w:rsidR="00402EE4">
        <w:t xml:space="preserve"> progression rather than attempting to keep it stagnant and never progressing. </w:t>
      </w:r>
      <w:r w:rsidR="00841DF4">
        <w:t xml:space="preserve">Harrison uses a similar argument but instead bases it off the ecologist Chris Thomas </w:t>
      </w:r>
      <w:r w:rsidR="005F3607">
        <w:t>where he argues that there are gains as well as losses with change and that “</w:t>
      </w:r>
      <w:r w:rsidR="005F3607" w:rsidRPr="005F3607">
        <w:t>We need to avoid interpreting change as loss when change is inevitable</w:t>
      </w:r>
      <w:r w:rsidR="005F3607">
        <w:t>”</w:t>
      </w:r>
      <w:r w:rsidR="005F3607">
        <w:rPr>
          <w:rStyle w:val="FootnoteReference"/>
        </w:rPr>
        <w:footnoteReference w:id="2"/>
      </w:r>
      <w:r w:rsidR="005F3607">
        <w:t xml:space="preserve"> It</w:t>
      </w:r>
      <w:r w:rsidR="00700F7C">
        <w:t xml:space="preserve"> is</w:t>
      </w:r>
      <w:r w:rsidR="005F3607">
        <w:t xml:space="preserve"> this idea that Harrison explores in the article but with heritage instead of ecology.</w:t>
      </w:r>
      <w:r w:rsidR="00950DB4">
        <w:t xml:space="preserve"> </w:t>
      </w:r>
    </w:p>
    <w:p w14:paraId="65049348" w14:textId="50A99FA6" w:rsidR="00950DB4" w:rsidRDefault="00950DB4" w:rsidP="00621828">
      <w:pPr>
        <w:spacing w:line="360" w:lineRule="auto"/>
      </w:pPr>
      <w:proofErr w:type="spellStart"/>
      <w:r w:rsidRPr="00950DB4">
        <w:lastRenderedPageBreak/>
        <w:t>Fredheim</w:t>
      </w:r>
      <w:proofErr w:type="spellEnd"/>
      <w:r w:rsidRPr="00950DB4">
        <w:t xml:space="preserve"> and Khalaf look at the different models used to understand heritage such as the cultural value method proposed by Stephenson which was in response to heritage landscapes in her view being mismanaged in New Zealand in this model, she divided cultural heritage into forms “physical, tangible and measurable features”</w:t>
      </w:r>
      <w:r w:rsidRPr="00950DB4">
        <w:rPr>
          <w:vertAlign w:val="superscript"/>
        </w:rPr>
        <w:footnoteReference w:id="3"/>
      </w:r>
      <w:r w:rsidRPr="00950DB4">
        <w:t xml:space="preserve"> Harrison agrees with this methodology for understanding heritage for it allows for a “dialogical” approaches to recognizing and respecting the interaction between the physical and nonphysical in how we understand heritage.</w:t>
      </w:r>
      <w:r w:rsidRPr="00950DB4">
        <w:rPr>
          <w:vertAlign w:val="superscript"/>
        </w:rPr>
        <w:footnoteReference w:id="4"/>
      </w:r>
      <w:r w:rsidRPr="00950DB4">
        <w:t xml:space="preserve"> </w:t>
      </w:r>
    </w:p>
    <w:p w14:paraId="4DE569A0" w14:textId="2839AC02" w:rsidR="00824E7D" w:rsidRDefault="007837E5" w:rsidP="00621828">
      <w:pPr>
        <w:spacing w:line="360" w:lineRule="auto"/>
      </w:pPr>
      <w:r>
        <w:t xml:space="preserve">The article addresses the idea that this loss is inevitable where if the models are correct on climate change, then coastal communities will experience a significant loss in heritage </w:t>
      </w:r>
      <w:r w:rsidR="0059023F">
        <w:t xml:space="preserve">and how heritage will need to adapt in response to this. </w:t>
      </w:r>
      <w:r w:rsidR="004A47B4">
        <w:t>However,</w:t>
      </w:r>
      <w:r w:rsidR="0059023F">
        <w:t xml:space="preserve"> there are technical barriers </w:t>
      </w:r>
      <w:r w:rsidR="004A47B4">
        <w:t>to successfully adapting to this as there is a lack of technical expertise including an unfamiliarity with the existing adaptation practices and technical feasibility of them</w:t>
      </w:r>
      <w:r w:rsidR="004A47B4">
        <w:rPr>
          <w:rStyle w:val="FootnoteReference"/>
        </w:rPr>
        <w:footnoteReference w:id="5"/>
      </w:r>
      <w:r w:rsidR="004A47B4">
        <w:t xml:space="preserve">. This leads onto another issue with heritage loss in the imbalance of power between those </w:t>
      </w:r>
      <w:r w:rsidR="002E1F0F">
        <w:t>dictating</w:t>
      </w:r>
      <w:r w:rsidR="004A47B4">
        <w:t xml:space="preserve"> what is allowed to be lost and what should be preserved as well as the method of preservation. </w:t>
      </w:r>
      <w:r w:rsidR="00E4710F">
        <w:t xml:space="preserve">As then the questions on who gets to decide what </w:t>
      </w:r>
      <w:r w:rsidR="009A2064">
        <w:t>heritage is and what is worthy of this preservation</w:t>
      </w:r>
      <w:r w:rsidR="00A50212">
        <w:t>. Another form of this inequality of power comes from the inequality of knowledge which UNESCO calls the “information gap” where the main form of sharing the knowledge of the developments in heritage technology and methods comes from research institutions and universities who have access to the scientific journals where this discourse and developments can occur. But in the developing nations the research institutes will struggle to afford access to them and as such their scientists will not be able to interact with these developments despite potentially being most in need of them.</w:t>
      </w:r>
      <w:r w:rsidR="00A50212">
        <w:rPr>
          <w:rStyle w:val="FootnoteReference"/>
        </w:rPr>
        <w:footnoteReference w:id="6"/>
      </w:r>
      <w:r w:rsidR="0062419A">
        <w:t xml:space="preserve"> </w:t>
      </w:r>
      <w:r w:rsidR="005F3607">
        <w:t xml:space="preserve">This can best be shown by the extent of the difficulties we may be facing with the ecological changes as shown in case study on the effect of climate change on heritage buildings. Which when applied to </w:t>
      </w:r>
      <w:r w:rsidR="005F3607" w:rsidRPr="005F3607">
        <w:t>Duomo di Milano</w:t>
      </w:r>
      <w:r w:rsidR="005F3607">
        <w:t xml:space="preserve"> in Italy shows the potential scale of the adaptations needed to preserve these buildings. which shows that the</w:t>
      </w:r>
      <w:r w:rsidR="00D13870">
        <w:t xml:space="preserve"> with the projected risk to varnish layers on the paintings that the risk of mould damage increases due to a prolonged period of high indoor humidity. </w:t>
      </w:r>
    </w:p>
    <w:p w14:paraId="0492C463" w14:textId="1E0F4510" w:rsidR="009A2064" w:rsidRDefault="00144476" w:rsidP="00621828">
      <w:pPr>
        <w:spacing w:line="360" w:lineRule="auto"/>
      </w:pPr>
      <w:r>
        <w:t>Where ecological changes will impact heritage futures will the temporary removal of the objects be accepted as a method of preservation while the technology is being developed to protect these items from ecological damage until they can be returned</w:t>
      </w:r>
      <w:r w:rsidR="00824E7D">
        <w:t>. However</w:t>
      </w:r>
      <w:r>
        <w:t xml:space="preserve"> due to this imbalance of power</w:t>
      </w:r>
      <w:r w:rsidR="00824E7D">
        <w:t xml:space="preserve"> </w:t>
      </w:r>
      <w:r w:rsidR="00824E7D">
        <w:lastRenderedPageBreak/>
        <w:t>in the relationship of those who cannot preserve and those who can states may be forced into accepting the loss of their heritage against there wishes. As</w:t>
      </w:r>
      <w:r>
        <w:t xml:space="preserve"> would the </w:t>
      </w:r>
      <w:r w:rsidR="00824E7D">
        <w:t>United States</w:t>
      </w:r>
      <w:r>
        <w:t xml:space="preserve"> </w:t>
      </w:r>
      <w:r w:rsidR="00824E7D">
        <w:t xml:space="preserve">its </w:t>
      </w:r>
      <w:r>
        <w:t xml:space="preserve">museum </w:t>
      </w:r>
      <w:r w:rsidR="007A2658">
        <w:t>inventories</w:t>
      </w:r>
      <w:r w:rsidR="00824E7D">
        <w:t xml:space="preserve"> and heritage</w:t>
      </w:r>
      <w:r>
        <w:t xml:space="preserve"> due to a rising concern of damage from the growing wildfires or would this removal or allowed destruction only </w:t>
      </w:r>
      <w:r w:rsidR="00824E7D">
        <w:t>to occur</w:t>
      </w:r>
      <w:r>
        <w:t xml:space="preserve"> to those states that are already poorer and do not possess as much </w:t>
      </w:r>
      <w:r w:rsidR="00824E7D">
        <w:t xml:space="preserve">economic or technological </w:t>
      </w:r>
      <w:r>
        <w:t>strength</w:t>
      </w:r>
      <w:r w:rsidR="00824E7D">
        <w:t xml:space="preserve"> to prevent </w:t>
      </w:r>
      <w:r w:rsidR="00950DB4">
        <w:t xml:space="preserve">the loss of there heritage in the face of these concerns </w:t>
      </w:r>
      <w:r>
        <w:t xml:space="preserve"> </w:t>
      </w:r>
    </w:p>
    <w:p w14:paraId="1C841990" w14:textId="2961C3D1" w:rsidR="00D82FCE" w:rsidRDefault="00824E7D" w:rsidP="00621828">
      <w:pPr>
        <w:spacing w:line="360" w:lineRule="auto"/>
      </w:pPr>
      <w:r>
        <w:t>Where we can see the sheer cost involved for the preservation of heritage will be in Venice and the attempts to keep the city afloat to preserve it.</w:t>
      </w:r>
      <w:r w:rsidR="00CE402A">
        <w:t xml:space="preserve"> Where it is contending with the rising seawater of a predicted 100cm rise in relative sea level as a coastal city</w:t>
      </w:r>
      <w:r w:rsidR="00CE402A">
        <w:rPr>
          <w:rStyle w:val="FootnoteReference"/>
        </w:rPr>
        <w:footnoteReference w:id="7"/>
      </w:r>
      <w:r w:rsidR="00CE402A">
        <w:t>.</w:t>
      </w:r>
      <w:r w:rsidR="00F751BC">
        <w:t xml:space="preserve"> Coupled with how its foundations have sunk into the mud 15cm over the past century makes saving the city a costly affair. </w:t>
      </w:r>
      <w:r w:rsidR="00CE402A">
        <w:t xml:space="preserve"> The projected costs to save the city with the Mose project</w:t>
      </w:r>
      <w:r w:rsidR="00700F7C">
        <w:t>,</w:t>
      </w:r>
      <w:r w:rsidR="00CE402A">
        <w:t xml:space="preserve"> a sea defensive barrier system</w:t>
      </w:r>
      <w:r w:rsidR="00700F7C">
        <w:t>,</w:t>
      </w:r>
      <w:r w:rsidR="00CE402A">
        <w:t xml:space="preserve"> </w:t>
      </w:r>
      <w:r w:rsidR="00F751BC">
        <w:t>costing almost £7bn a significant amount more than the £4.1bn that was the initial budget.  Even this however is not enough to protect the city in the long term for while it may protect the city its only projected to do so for another 100 years after which a Dutch solution in the delta project would be required.</w:t>
      </w:r>
      <w:r w:rsidR="00F751BC">
        <w:rPr>
          <w:rStyle w:val="FootnoteReference"/>
        </w:rPr>
        <w:footnoteReference w:id="8"/>
      </w:r>
      <w:r w:rsidR="00F751BC">
        <w:t xml:space="preserve"> However t</w:t>
      </w:r>
      <w:r w:rsidR="00700F7C">
        <w:t>h</w:t>
      </w:r>
      <w:r w:rsidR="00F751BC">
        <w:t xml:space="preserve">is would also be costly and would take decades to construct with the delta project in the Netherlands taking 50 years and £6.2bn to complete. </w:t>
      </w:r>
      <w:r w:rsidR="00950DB4">
        <w:t xml:space="preserve">While this may be feasible for the wealthiest nations to preserve heritage buildings and cities, it is not for economically deprived states suffering from the effects of climate change. </w:t>
      </w:r>
      <w:r w:rsidR="00D82FCE">
        <w:t>However,</w:t>
      </w:r>
      <w:r w:rsidR="00041DF7">
        <w:t xml:space="preserve"> </w:t>
      </w:r>
      <w:r w:rsidR="00F34B28">
        <w:t xml:space="preserve">due to </w:t>
      </w:r>
      <w:r w:rsidR="00041DF7">
        <w:t xml:space="preserve">this economic cost for preserving </w:t>
      </w:r>
      <w:r w:rsidR="00041DF7" w:rsidRPr="00F34B28">
        <w:t>heritage th</w:t>
      </w:r>
      <w:r w:rsidR="00F34B28" w:rsidRPr="00F34B28">
        <w:t>at</w:t>
      </w:r>
      <w:r w:rsidR="00041DF7" w:rsidRPr="00F34B28">
        <w:t xml:space="preserve"> </w:t>
      </w:r>
      <w:r w:rsidR="00F34B28" w:rsidRPr="00F34B28">
        <w:t>ideas of</w:t>
      </w:r>
      <w:r w:rsidR="00041DF7" w:rsidRPr="00F34B28">
        <w:t xml:space="preserve"> degrowth </w:t>
      </w:r>
      <w:r w:rsidR="00F34B28" w:rsidRPr="00F34B28">
        <w:t>surrounding</w:t>
      </w:r>
      <w:r w:rsidR="00041DF7" w:rsidRPr="00F34B28">
        <w:t xml:space="preserve"> heritage be beneficial to allow</w:t>
      </w:r>
      <w:r w:rsidR="00041DF7">
        <w:t xml:space="preserve"> us to do more with less for a lower cost as suggested by Latouche with the removal of duplicate items from museums which would free up storage space releasing the potential of our collections.</w:t>
      </w:r>
      <w:r w:rsidR="00041DF7">
        <w:rPr>
          <w:rStyle w:val="FootnoteReference"/>
        </w:rPr>
        <w:footnoteReference w:id="9"/>
      </w:r>
      <w:r w:rsidR="00041DF7">
        <w:t xml:space="preserve"> </w:t>
      </w:r>
      <w:r w:rsidR="00D82FCE">
        <w:t xml:space="preserve">This in order for heritage to thrive that it may have to shrink rather than continue is a interesting idea for if we can still display and teach about the same amount of heritage or even potentially more then pursuing this would be beneficial. </w:t>
      </w:r>
      <w:r w:rsidR="00700F7C">
        <w:t>However,</w:t>
      </w:r>
      <w:r w:rsidR="00D82FCE">
        <w:t xml:space="preserve"> it could also result in a loss of understanding for certain parts of heritage that may not be immediately recognised. </w:t>
      </w:r>
    </w:p>
    <w:p w14:paraId="19F6D728" w14:textId="08220A31" w:rsidR="0062419A" w:rsidRDefault="0062419A" w:rsidP="00621828">
      <w:pPr>
        <w:spacing w:line="360" w:lineRule="auto"/>
      </w:pPr>
      <w:r>
        <w:t>The methods used to decide what is classed as heritage need to be more transparent if we are to truly embrace loss as a part of heritage futures as</w:t>
      </w:r>
      <w:r w:rsidR="00950DB4">
        <w:t xml:space="preserve"> it has its benefits </w:t>
      </w:r>
      <w:r>
        <w:t xml:space="preserve">there </w:t>
      </w:r>
      <w:r w:rsidR="00950DB4">
        <w:t>will remain</w:t>
      </w:r>
      <w:r>
        <w:t xml:space="preserve"> doubts as to </w:t>
      </w:r>
      <w:r w:rsidR="00950DB4">
        <w:t xml:space="preserve">why certain heritage objects are allowed to be lost and why others must remain at all costs. Given </w:t>
      </w:r>
      <w:r w:rsidR="00950DB4">
        <w:lastRenderedPageBreak/>
        <w:t>the lack of transparency and the economic and technological divide between the most privileged and deprived states</w:t>
      </w:r>
      <w:r w:rsidR="0054359D">
        <w:t>,</w:t>
      </w:r>
      <w:r w:rsidR="00950DB4">
        <w:t xml:space="preserve"> where one can afford to choose to keep </w:t>
      </w:r>
      <w:r w:rsidR="0054359D">
        <w:t>their</w:t>
      </w:r>
      <w:r w:rsidR="00950DB4">
        <w:t xml:space="preserve"> heritage alive despite</w:t>
      </w:r>
      <w:r w:rsidR="0054359D">
        <w:t xml:space="preserve"> if</w:t>
      </w:r>
      <w:r w:rsidR="00950DB4">
        <w:t xml:space="preserve"> it no longer being a world heritage site and another that would be reliant on the funding provided to preserve it</w:t>
      </w:r>
      <w:r w:rsidR="00700F7C">
        <w:t>,</w:t>
      </w:r>
      <w:r w:rsidR="0054359D">
        <w:t xml:space="preserve"> then these two nations will have radically different views on what constitutes heritage. </w:t>
      </w:r>
      <w:r w:rsidR="00E56284">
        <w:t>However,</w:t>
      </w:r>
      <w:r w:rsidR="0054359D">
        <w:t xml:space="preserve"> this concern is addressed in the papers conclusion where it states that we cannot overestimate or romanticise the potential of this loss because of these inequalities of power from Gordillo</w:t>
      </w:r>
      <w:r w:rsidR="00E56284">
        <w:t>’</w:t>
      </w:r>
      <w:r w:rsidR="0054359D">
        <w:t xml:space="preserve">s work and </w:t>
      </w:r>
      <w:r w:rsidR="00E56284">
        <w:t xml:space="preserve">Dawdy’s because it has some potential uses. Instead, it should be used as a line of inquiry into if a specific heritage item has to remain stagnant or if it has some benefits in being allowed to be repurposed or lost. In this Harrison is at their most convincing for loss but this can only be accepted if the entire process is transparent otherwise the power imbalance will be brought into question. </w:t>
      </w:r>
    </w:p>
    <w:p w14:paraId="1CEDB034" w14:textId="658D696B" w:rsidR="00740ECD" w:rsidRDefault="00740ECD" w:rsidP="00621828">
      <w:pPr>
        <w:spacing w:line="360" w:lineRule="auto"/>
      </w:pPr>
    </w:p>
    <w:p w14:paraId="7D12265A" w14:textId="3C564DE5" w:rsidR="00740ECD" w:rsidRDefault="00740ECD" w:rsidP="00621828">
      <w:pPr>
        <w:spacing w:line="360" w:lineRule="auto"/>
      </w:pPr>
    </w:p>
    <w:p w14:paraId="6538E9FE" w14:textId="7E7792D3" w:rsidR="00740ECD" w:rsidRDefault="00740ECD" w:rsidP="00621828">
      <w:pPr>
        <w:spacing w:line="360" w:lineRule="auto"/>
      </w:pPr>
      <w:r w:rsidRPr="00740ECD">
        <w:t xml:space="preserve">Ammerman, A.J. and </w:t>
      </w:r>
      <w:proofErr w:type="spellStart"/>
      <w:r w:rsidRPr="00740ECD">
        <w:t>McClennen</w:t>
      </w:r>
      <w:proofErr w:type="spellEnd"/>
      <w:r w:rsidRPr="00740ECD">
        <w:t xml:space="preserve">, C.E. (2000) “Saving Venice,” Science, 289(5483), pp. 1301–1302. Available at: </w:t>
      </w:r>
      <w:hyperlink r:id="rId7" w:history="1">
        <w:r w:rsidRPr="00A96939">
          <w:rPr>
            <w:rStyle w:val="Hyperlink"/>
          </w:rPr>
          <w:t>https://doi.org/10.1126/science.289.5483.1301</w:t>
        </w:r>
      </w:hyperlink>
      <w:r w:rsidRPr="00740ECD">
        <w:t>.</w:t>
      </w:r>
    </w:p>
    <w:p w14:paraId="01C6C21B" w14:textId="4A531D73" w:rsidR="00740ECD" w:rsidRDefault="00740ECD" w:rsidP="00621828">
      <w:pPr>
        <w:spacing w:line="360" w:lineRule="auto"/>
      </w:pPr>
      <w:proofErr w:type="spellStart"/>
      <w:r w:rsidRPr="00740ECD">
        <w:t>Fatorić</w:t>
      </w:r>
      <w:proofErr w:type="spellEnd"/>
      <w:r w:rsidRPr="00740ECD">
        <w:t xml:space="preserve">, S. and </w:t>
      </w:r>
      <w:proofErr w:type="spellStart"/>
      <w:r w:rsidRPr="00740ECD">
        <w:t>Seekamp</w:t>
      </w:r>
      <w:proofErr w:type="spellEnd"/>
      <w:r w:rsidRPr="00740ECD">
        <w:t xml:space="preserve">, E. (2017) “Securing the future of cultural heritage by identifying barriers to and strategizing solutions for preservation under changing climate conditions,” Sustainability, 9(11), p. 2143. Available at: </w:t>
      </w:r>
      <w:hyperlink r:id="rId8" w:history="1">
        <w:r w:rsidR="00407DD2" w:rsidRPr="00A96939">
          <w:rPr>
            <w:rStyle w:val="Hyperlink"/>
          </w:rPr>
          <w:t>https://doi.org/10.3390/su9112143</w:t>
        </w:r>
      </w:hyperlink>
      <w:r w:rsidRPr="00740ECD">
        <w:t>.</w:t>
      </w:r>
    </w:p>
    <w:p w14:paraId="191B5B8C" w14:textId="3C2CF3F7" w:rsidR="00407DD2" w:rsidRDefault="00407DD2" w:rsidP="00621828">
      <w:pPr>
        <w:spacing w:line="360" w:lineRule="auto"/>
      </w:pPr>
      <w:proofErr w:type="spellStart"/>
      <w:r w:rsidRPr="00407DD2">
        <w:t>Fredheim</w:t>
      </w:r>
      <w:proofErr w:type="spellEnd"/>
      <w:r w:rsidRPr="00407DD2">
        <w:t>, L.H. and Khalaf, M. (2016) “The significance of values: Heritage value typologies re-examined,” International Journal of Heritage Studies, 22(6), pp. 466–481. Available at: https://doi.org/10.1080/13527258.2016.1171247.</w:t>
      </w:r>
    </w:p>
    <w:p w14:paraId="64255417" w14:textId="6A5F0167" w:rsidR="00740ECD" w:rsidRDefault="00740ECD" w:rsidP="00621828">
      <w:pPr>
        <w:spacing w:line="360" w:lineRule="auto"/>
      </w:pPr>
      <w:r w:rsidRPr="00740ECD">
        <w:t xml:space="preserve"> Italy's plan to save Venice from sinking (no date) BBC Future. BBC. Available at: https://www.bbc.com/future/article/20220927-italys-plan-to-save-venice-from-sinking#:~:text=A%20similar%20construction%20would%2C%20according,bn)%20and%20is%20incredibly%20intricat (Accessed: November 3, 2022).</w:t>
      </w:r>
    </w:p>
    <w:p w14:paraId="5F0043C9" w14:textId="61C1498A" w:rsidR="00740ECD" w:rsidRDefault="00740ECD" w:rsidP="00621828">
      <w:pPr>
        <w:spacing w:line="360" w:lineRule="auto"/>
      </w:pPr>
      <w:r w:rsidRPr="00740ECD">
        <w:t>Morgan, J. and Macdonald, S. (2018) “De-growing Museum Collections for new heritage futures,” International Journal of Heritage Studies, 26(1), pp. 56–70. Available at: https://doi.org/10.1080/13527258.2018.1530289.</w:t>
      </w:r>
    </w:p>
    <w:p w14:paraId="058B8CA5" w14:textId="267CCA08" w:rsidR="00740ECD" w:rsidRDefault="00740ECD" w:rsidP="00621828">
      <w:pPr>
        <w:spacing w:line="360" w:lineRule="auto"/>
      </w:pPr>
      <w:r w:rsidRPr="00740ECD">
        <w:t>Otero, J. (2021) “Heritage Conservation Future: Where we stand, challenges ahead, and a paradigm shift,” Global Challenges, 6(1), p. 2100084. Available at: https://doi.org/10.1002/gch2.202100084.</w:t>
      </w:r>
    </w:p>
    <w:p w14:paraId="3D2F7F90" w14:textId="10E3ECB2" w:rsidR="00740ECD" w:rsidRDefault="00740ECD" w:rsidP="00621828">
      <w:pPr>
        <w:spacing w:line="360" w:lineRule="auto"/>
      </w:pPr>
      <w:r w:rsidRPr="00740ECD">
        <w:lastRenderedPageBreak/>
        <w:t xml:space="preserve">Partners in Fantasy (no date) </w:t>
      </w:r>
      <w:proofErr w:type="spellStart"/>
      <w:r w:rsidRPr="00740ECD">
        <w:t>Cadw</w:t>
      </w:r>
      <w:proofErr w:type="spellEnd"/>
      <w:r w:rsidRPr="00740ECD">
        <w:t>. Available at: https://cadw.gov.wales/more-about-castell-coch (Accessed: November 1, 2022).</w:t>
      </w:r>
    </w:p>
    <w:p w14:paraId="12FC25A9" w14:textId="4283E2A2" w:rsidR="00740ECD" w:rsidRDefault="00740ECD" w:rsidP="00621828">
      <w:pPr>
        <w:spacing w:line="360" w:lineRule="auto"/>
      </w:pPr>
      <w:r w:rsidRPr="00740ECD">
        <w:t xml:space="preserve"> Thomas, C. 2018. “Time to Embrace the Anthropocene: An Interview with Chris Thomas.” British Ecological Society Bulletin 49 (1, March): 40–43.</w:t>
      </w:r>
    </w:p>
    <w:sectPr w:rsidR="00740EC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1643E7" w14:textId="77777777" w:rsidR="00010771" w:rsidRDefault="00010771" w:rsidP="0000724B">
      <w:pPr>
        <w:spacing w:after="0" w:line="240" w:lineRule="auto"/>
      </w:pPr>
      <w:r>
        <w:separator/>
      </w:r>
    </w:p>
  </w:endnote>
  <w:endnote w:type="continuationSeparator" w:id="0">
    <w:p w14:paraId="0A7352A7" w14:textId="77777777" w:rsidR="00010771" w:rsidRDefault="00010771" w:rsidP="000072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CA1151" w14:textId="77777777" w:rsidR="00010771" w:rsidRDefault="00010771" w:rsidP="0000724B">
      <w:pPr>
        <w:spacing w:after="0" w:line="240" w:lineRule="auto"/>
      </w:pPr>
      <w:r>
        <w:separator/>
      </w:r>
    </w:p>
  </w:footnote>
  <w:footnote w:type="continuationSeparator" w:id="0">
    <w:p w14:paraId="62C5B439" w14:textId="77777777" w:rsidR="00010771" w:rsidRDefault="00010771" w:rsidP="0000724B">
      <w:pPr>
        <w:spacing w:after="0" w:line="240" w:lineRule="auto"/>
      </w:pPr>
      <w:r>
        <w:continuationSeparator/>
      </w:r>
    </w:p>
  </w:footnote>
  <w:footnote w:id="1">
    <w:p w14:paraId="139C3F56" w14:textId="43C0D788" w:rsidR="0000724B" w:rsidRDefault="0000724B">
      <w:pPr>
        <w:pStyle w:val="FootnoteText"/>
      </w:pPr>
      <w:r>
        <w:rPr>
          <w:rStyle w:val="FootnoteReference"/>
        </w:rPr>
        <w:footnoteRef/>
      </w:r>
      <w:r>
        <w:t xml:space="preserve"> </w:t>
      </w:r>
      <w:r w:rsidR="005B7768" w:rsidRPr="005B7768">
        <w:t xml:space="preserve">Partners in Fantasy (no date) </w:t>
      </w:r>
      <w:proofErr w:type="spellStart"/>
      <w:r w:rsidR="005B7768" w:rsidRPr="005B7768">
        <w:t>Cadw</w:t>
      </w:r>
      <w:proofErr w:type="spellEnd"/>
      <w:r w:rsidR="005B7768" w:rsidRPr="005B7768">
        <w:t xml:space="preserve">. Available at: https://cadw.gov.wales/more-about-castell-coch (Accessed: November </w:t>
      </w:r>
      <w:r w:rsidR="005B7768">
        <w:t>1</w:t>
      </w:r>
      <w:r w:rsidR="005B7768" w:rsidRPr="005B7768">
        <w:t>, 2022).</w:t>
      </w:r>
    </w:p>
  </w:footnote>
  <w:footnote w:id="2">
    <w:p w14:paraId="08C7730C" w14:textId="133AB474" w:rsidR="005F3607" w:rsidRDefault="005F3607">
      <w:pPr>
        <w:pStyle w:val="FootnoteText"/>
      </w:pPr>
      <w:r>
        <w:rPr>
          <w:rStyle w:val="FootnoteReference"/>
        </w:rPr>
        <w:footnoteRef/>
      </w:r>
      <w:r>
        <w:t xml:space="preserve"> </w:t>
      </w:r>
      <w:r w:rsidRPr="005F3607">
        <w:t>Thomas, C. 2018. “Time to Embrace the Anthropocene: An Interview with Chris Thomas.” British Ecological Society Bulletin 49 (1, March): 40–43.</w:t>
      </w:r>
    </w:p>
  </w:footnote>
  <w:footnote w:id="3">
    <w:p w14:paraId="55D3109B" w14:textId="77777777" w:rsidR="00950DB4" w:rsidRDefault="00950DB4" w:rsidP="00950DB4">
      <w:pPr>
        <w:pStyle w:val="FootnoteText"/>
      </w:pPr>
      <w:r>
        <w:rPr>
          <w:rStyle w:val="FootnoteReference"/>
        </w:rPr>
        <w:footnoteRef/>
      </w:r>
      <w:r>
        <w:t xml:space="preserve"> </w:t>
      </w:r>
      <w:proofErr w:type="spellStart"/>
      <w:r w:rsidRPr="00100708">
        <w:t>Fredheim</w:t>
      </w:r>
      <w:proofErr w:type="spellEnd"/>
      <w:r w:rsidRPr="00100708">
        <w:t>, L.H. and Khalaf, M. (2016) “The significance of values: Heritage value typologies re-examined,” International Journal of Heritage Studies, 22(6), pp. 466–481. Available at: https://doi.org/10.1080/13527258.2016.1171247.</w:t>
      </w:r>
    </w:p>
  </w:footnote>
  <w:footnote w:id="4">
    <w:p w14:paraId="1D30DFF4" w14:textId="77777777" w:rsidR="00950DB4" w:rsidRDefault="00950DB4" w:rsidP="00950DB4">
      <w:pPr>
        <w:pStyle w:val="FootnoteText"/>
      </w:pPr>
      <w:r>
        <w:rPr>
          <w:rStyle w:val="FootnoteReference"/>
        </w:rPr>
        <w:footnoteRef/>
      </w:r>
      <w:r>
        <w:t xml:space="preserve"> </w:t>
      </w:r>
      <w:r w:rsidRPr="009B1218">
        <w:t xml:space="preserve">  </w:t>
      </w:r>
      <w:proofErr w:type="spellStart"/>
      <w:r w:rsidRPr="009B1218">
        <w:t>Fredheim</w:t>
      </w:r>
      <w:proofErr w:type="spellEnd"/>
      <w:r w:rsidRPr="009B1218">
        <w:t>, L.H. and Khalaf, M. (2016) “The significance of values</w:t>
      </w:r>
      <w:r>
        <w:t xml:space="preserve"> p.7</w:t>
      </w:r>
    </w:p>
  </w:footnote>
  <w:footnote w:id="5">
    <w:p w14:paraId="43201C98" w14:textId="5BC1D14C" w:rsidR="004A47B4" w:rsidRDefault="004A47B4">
      <w:pPr>
        <w:pStyle w:val="FootnoteText"/>
      </w:pPr>
      <w:r>
        <w:rPr>
          <w:rStyle w:val="FootnoteReference"/>
        </w:rPr>
        <w:footnoteRef/>
      </w:r>
      <w:r>
        <w:t xml:space="preserve"> </w:t>
      </w:r>
      <w:proofErr w:type="spellStart"/>
      <w:r w:rsidRPr="004A47B4">
        <w:t>Fatorić</w:t>
      </w:r>
      <w:proofErr w:type="spellEnd"/>
      <w:r w:rsidRPr="004A47B4">
        <w:t xml:space="preserve">, S. and </w:t>
      </w:r>
      <w:proofErr w:type="spellStart"/>
      <w:r w:rsidRPr="004A47B4">
        <w:t>Seekamp</w:t>
      </w:r>
      <w:proofErr w:type="spellEnd"/>
      <w:r w:rsidRPr="004A47B4">
        <w:t>, E. (2017) “Securing the future of cultural heritage by identifying barriers to and strategizing solutions for preservation under changing climate conditions,” Sustainability, 9(11), p. 2143. Available at: https://doi.org/10.3390/su9112143.</w:t>
      </w:r>
    </w:p>
  </w:footnote>
  <w:footnote w:id="6">
    <w:p w14:paraId="0B27B0BA" w14:textId="205F7F77" w:rsidR="00A50212" w:rsidRDefault="00A50212">
      <w:pPr>
        <w:pStyle w:val="FootnoteText"/>
      </w:pPr>
      <w:r>
        <w:rPr>
          <w:rStyle w:val="FootnoteReference"/>
        </w:rPr>
        <w:footnoteRef/>
      </w:r>
      <w:r>
        <w:t xml:space="preserve"> </w:t>
      </w:r>
      <w:r w:rsidRPr="00A50212">
        <w:t>Otero, J. (2021) “Heritage Conservation Future: Where we stand, challenges ahead, and a paradigm shift,” Global Challenges, 6(1), p. 2100084. Available at: https://doi.org/10.1002/gch2.202100084.</w:t>
      </w:r>
    </w:p>
  </w:footnote>
  <w:footnote w:id="7">
    <w:p w14:paraId="43E54E7B" w14:textId="6AA4092C" w:rsidR="00CE402A" w:rsidRDefault="00CE402A">
      <w:pPr>
        <w:pStyle w:val="FootnoteText"/>
      </w:pPr>
      <w:r>
        <w:rPr>
          <w:rStyle w:val="FootnoteReference"/>
        </w:rPr>
        <w:footnoteRef/>
      </w:r>
      <w:r>
        <w:t xml:space="preserve"> </w:t>
      </w:r>
      <w:r w:rsidRPr="00CE402A">
        <w:t xml:space="preserve">Ammerman, A.J. and </w:t>
      </w:r>
      <w:proofErr w:type="spellStart"/>
      <w:r w:rsidRPr="00CE402A">
        <w:t>McClennen</w:t>
      </w:r>
      <w:proofErr w:type="spellEnd"/>
      <w:r w:rsidRPr="00CE402A">
        <w:t>, C.E. (2000) “Saving Venice,” Science, 289(5483), pp. 1301–1302. Available at: https://doi.org/10.1126/science.289.5483.1301.</w:t>
      </w:r>
    </w:p>
  </w:footnote>
  <w:footnote w:id="8">
    <w:p w14:paraId="67319301" w14:textId="40AB4EAD" w:rsidR="00F751BC" w:rsidRDefault="00F751BC">
      <w:pPr>
        <w:pStyle w:val="FootnoteText"/>
      </w:pPr>
      <w:r>
        <w:rPr>
          <w:rStyle w:val="FootnoteReference"/>
        </w:rPr>
        <w:footnoteRef/>
      </w:r>
      <w:r>
        <w:t xml:space="preserve"> </w:t>
      </w:r>
      <w:r w:rsidR="00950DB4" w:rsidRPr="00950DB4">
        <w:t>Italy's plan to save Venice from sinking (no date) BBC Future. BBC. Available at: https://www.bbc.com/future/article/20220927-italys-plan-to-save-venice-from-sinking#:~:text=A%20similar%20construction%20would%2C%20according,bn)%20and%20is%20incredibly%20intricat (Accessed: November 3, 2022).</w:t>
      </w:r>
    </w:p>
  </w:footnote>
  <w:footnote w:id="9">
    <w:p w14:paraId="20CC1320" w14:textId="0E83B7E4" w:rsidR="00041DF7" w:rsidRDefault="00041DF7">
      <w:pPr>
        <w:pStyle w:val="FootnoteText"/>
      </w:pPr>
      <w:r>
        <w:rPr>
          <w:rStyle w:val="FootnoteReference"/>
        </w:rPr>
        <w:footnoteRef/>
      </w:r>
      <w:r>
        <w:t xml:space="preserve"> </w:t>
      </w:r>
      <w:r w:rsidR="00D82FCE" w:rsidRPr="00D82FCE">
        <w:t>Morgan, J. and Macdonald, S. (2018) “De-growing Museum Collections for new heritage futures,” International Journal of Heritage Studies, 26(1), pp. 56–70. Available at: https://doi.org/10.1080/13527258.2018.1530289.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21828"/>
    <w:rsid w:val="0000724B"/>
    <w:rsid w:val="00010771"/>
    <w:rsid w:val="00041DF7"/>
    <w:rsid w:val="000556D5"/>
    <w:rsid w:val="000A393D"/>
    <w:rsid w:val="000A6EDA"/>
    <w:rsid w:val="00100708"/>
    <w:rsid w:val="00144476"/>
    <w:rsid w:val="001E1CC8"/>
    <w:rsid w:val="002B606A"/>
    <w:rsid w:val="002E1F0F"/>
    <w:rsid w:val="002F67E5"/>
    <w:rsid w:val="00402EE4"/>
    <w:rsid w:val="00407DD2"/>
    <w:rsid w:val="004A47B4"/>
    <w:rsid w:val="0054359D"/>
    <w:rsid w:val="00563999"/>
    <w:rsid w:val="0059023F"/>
    <w:rsid w:val="005B7768"/>
    <w:rsid w:val="005D2813"/>
    <w:rsid w:val="005F3607"/>
    <w:rsid w:val="00621828"/>
    <w:rsid w:val="0062419A"/>
    <w:rsid w:val="00700F7C"/>
    <w:rsid w:val="00740ECD"/>
    <w:rsid w:val="007837E5"/>
    <w:rsid w:val="007843C3"/>
    <w:rsid w:val="007A2658"/>
    <w:rsid w:val="00804874"/>
    <w:rsid w:val="00824E7D"/>
    <w:rsid w:val="00841DF4"/>
    <w:rsid w:val="00857336"/>
    <w:rsid w:val="00870939"/>
    <w:rsid w:val="00950DB4"/>
    <w:rsid w:val="009A2064"/>
    <w:rsid w:val="009B1218"/>
    <w:rsid w:val="00A50212"/>
    <w:rsid w:val="00B61A41"/>
    <w:rsid w:val="00BC2AA3"/>
    <w:rsid w:val="00CE402A"/>
    <w:rsid w:val="00CF1E25"/>
    <w:rsid w:val="00D13870"/>
    <w:rsid w:val="00D62669"/>
    <w:rsid w:val="00D765CE"/>
    <w:rsid w:val="00D82FCE"/>
    <w:rsid w:val="00DD1280"/>
    <w:rsid w:val="00E23102"/>
    <w:rsid w:val="00E4710F"/>
    <w:rsid w:val="00E56284"/>
    <w:rsid w:val="00EB150A"/>
    <w:rsid w:val="00F34B28"/>
    <w:rsid w:val="00F47C4F"/>
    <w:rsid w:val="00F751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2C27DF"/>
  <w15:docId w15:val="{770A5A52-D90F-485F-8CA6-7CFDBE482A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0724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0724B"/>
    <w:rPr>
      <w:sz w:val="20"/>
      <w:szCs w:val="20"/>
    </w:rPr>
  </w:style>
  <w:style w:type="character" w:styleId="FootnoteReference">
    <w:name w:val="footnote reference"/>
    <w:basedOn w:val="DefaultParagraphFont"/>
    <w:uiPriority w:val="99"/>
    <w:semiHidden/>
    <w:unhideWhenUsed/>
    <w:rsid w:val="0000724B"/>
    <w:rPr>
      <w:vertAlign w:val="superscript"/>
    </w:rPr>
  </w:style>
  <w:style w:type="paragraph" w:styleId="EndnoteText">
    <w:name w:val="endnote text"/>
    <w:basedOn w:val="Normal"/>
    <w:link w:val="EndnoteTextChar"/>
    <w:uiPriority w:val="99"/>
    <w:semiHidden/>
    <w:unhideWhenUsed/>
    <w:rsid w:val="007837E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837E5"/>
    <w:rPr>
      <w:sz w:val="20"/>
      <w:szCs w:val="20"/>
    </w:rPr>
  </w:style>
  <w:style w:type="character" w:styleId="EndnoteReference">
    <w:name w:val="endnote reference"/>
    <w:basedOn w:val="DefaultParagraphFont"/>
    <w:uiPriority w:val="99"/>
    <w:semiHidden/>
    <w:unhideWhenUsed/>
    <w:rsid w:val="007837E5"/>
    <w:rPr>
      <w:vertAlign w:val="superscript"/>
    </w:rPr>
  </w:style>
  <w:style w:type="character" w:styleId="Hyperlink">
    <w:name w:val="Hyperlink"/>
    <w:basedOn w:val="DefaultParagraphFont"/>
    <w:uiPriority w:val="99"/>
    <w:unhideWhenUsed/>
    <w:rsid w:val="00740ECD"/>
    <w:rPr>
      <w:color w:val="0563C1" w:themeColor="hyperlink"/>
      <w:u w:val="single"/>
    </w:rPr>
  </w:style>
  <w:style w:type="character" w:styleId="UnresolvedMention">
    <w:name w:val="Unresolved Mention"/>
    <w:basedOn w:val="DefaultParagraphFont"/>
    <w:uiPriority w:val="99"/>
    <w:semiHidden/>
    <w:unhideWhenUsed/>
    <w:rsid w:val="00740E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oi.org/10.3390/su9112143" TargetMode="External"/><Relationship Id="rId3" Type="http://schemas.openxmlformats.org/officeDocument/2006/relationships/settings" Target="settings.xml"/><Relationship Id="rId7" Type="http://schemas.openxmlformats.org/officeDocument/2006/relationships/hyperlink" Target="https://doi.org/10.1126/science.289.5483.130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72D98F-0915-45C7-A88D-2D7904D33B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3456</TotalTime>
  <Pages>5</Pages>
  <Words>1723</Words>
  <Characters>8912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Sztanko S (FCI)</dc:creator>
  <cp:keywords/>
  <dc:description/>
  <cp:lastModifiedBy>Sztanko S (FCI)</cp:lastModifiedBy>
  <cp:revision>3</cp:revision>
  <dcterms:created xsi:type="dcterms:W3CDTF">2022-11-01T11:50:00Z</dcterms:created>
  <dcterms:modified xsi:type="dcterms:W3CDTF">2022-11-03T23:19:00Z</dcterms:modified>
</cp:coreProperties>
</file>