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01E44" w14:textId="59251F71" w:rsidR="00E14460" w:rsidRDefault="00857FED">
      <w:r>
        <w:t xml:space="preserve">This </w:t>
      </w:r>
      <w:r w:rsidR="00351D2B">
        <w:t>paper</w:t>
      </w:r>
      <w:r>
        <w:t xml:space="preserve"> will discuss how the media has had an extensive effect on the continuation of terrorist attacks.</w:t>
      </w:r>
      <w:r w:rsidR="00E14460">
        <w:t xml:space="preserve"> </w:t>
      </w:r>
    </w:p>
    <w:p w14:paraId="35B27BEF" w14:textId="77777777" w:rsidR="00E14460" w:rsidRDefault="00E14460"/>
    <w:p w14:paraId="1EEA1143" w14:textId="380DD9E7" w:rsidR="00857FED" w:rsidRDefault="00857FED">
      <w:r>
        <w:t xml:space="preserve">This </w:t>
      </w:r>
      <w:r w:rsidR="00351D2B">
        <w:t>paper</w:t>
      </w:r>
      <w:r>
        <w:t xml:space="preserve"> will prioritise the attacks of the self-claimed group known as ‘ISIS.’</w:t>
      </w:r>
    </w:p>
    <w:p w14:paraId="56BFE562" w14:textId="77777777" w:rsidR="008D7087" w:rsidRDefault="008D7087"/>
    <w:p w14:paraId="7FE1CAB4" w14:textId="3FACE051" w:rsidR="00031CCF" w:rsidRDefault="008D7087">
      <w:r>
        <w:t xml:space="preserve">The widespread coverage of terrorist attack not only </w:t>
      </w:r>
      <w:r w:rsidR="00E14460">
        <w:t>magnifies</w:t>
      </w:r>
      <w:r>
        <w:t xml:space="preserve"> the fear and trauma experience by the victims, but also installs a sense of vulnerability amongst the general population. By capturing headlines and dominati</w:t>
      </w:r>
      <w:r w:rsidR="00031CCF">
        <w:t>ng</w:t>
      </w:r>
      <w:r>
        <w:t xml:space="preserve"> global news, terrorists can project an image of strength and significance despite often operation from positions of relative weakness, </w:t>
      </w:r>
      <w:r w:rsidR="00E14460">
        <w:t>the constant replaying of images and narratives of violence can desensitize audiences and normalize extrem</w:t>
      </w:r>
      <w:r w:rsidR="00031CCF">
        <w:t>ist</w:t>
      </w:r>
      <w:r w:rsidR="00E14460">
        <w:t xml:space="preserve"> behaviour. </w:t>
      </w:r>
    </w:p>
    <w:p w14:paraId="3A2ACF65" w14:textId="77777777" w:rsidR="00031CCF" w:rsidRDefault="00031CCF"/>
    <w:p w14:paraId="4BBFA89B" w14:textId="142A69D5" w:rsidR="00031CCF" w:rsidRDefault="00E14460">
      <w:r>
        <w:t>A natural question can be asked about whether the media coverage of the attacks create direct consequences for the behaviour of the terrorist groups, but once these groups are in the spotlight, this also allows them to exploit the exposure to spread the message potentially further, create fear or even recruit new followers (</w:t>
      </w:r>
      <w:proofErr w:type="spellStart"/>
      <w:r>
        <w:t>Jetter</w:t>
      </w:r>
      <w:proofErr w:type="spellEnd"/>
      <w:r>
        <w:t>, 2017).</w:t>
      </w:r>
      <w:r w:rsidR="00377452">
        <w:t xml:space="preserve"> </w:t>
      </w:r>
    </w:p>
    <w:p w14:paraId="25ADECB1" w14:textId="77777777" w:rsidR="00031CCF" w:rsidRDefault="00031CCF"/>
    <w:p w14:paraId="2DE9539C" w14:textId="12B4304E" w:rsidR="00E14460" w:rsidRDefault="00377452">
      <w:r>
        <w:t>A popular group of terrorists we can discuss is ISIS.</w:t>
      </w:r>
    </w:p>
    <w:p w14:paraId="0B91EF17" w14:textId="77777777" w:rsidR="00857FED" w:rsidRDefault="00857FED"/>
    <w:p w14:paraId="365DE22D" w14:textId="2A5B4C7C" w:rsidR="00857FED" w:rsidRDefault="00857FED">
      <w:r>
        <w:t xml:space="preserve">What is ISIS? </w:t>
      </w:r>
    </w:p>
    <w:p w14:paraId="24F474FF" w14:textId="0C98D7CA" w:rsidR="00857FED" w:rsidRDefault="00857FED">
      <w:r>
        <w:t>ISIS is a group of terrorists in the Islamic state also known as ‘The Islamic state of Iraq and Al-sham’ (Wood, 2015). They follow a variety of Islamic beliefs which are distinctive to the path to the day of judgement, this also matters to their strategy (Wood, 2015). In September (2015), the Islamic state’s chief spokesman called on all Muslims in western countries such as the UK and France and told them to find an ‘infidel’ and smash his head with a rock, poison him and even run him over with a car.</w:t>
      </w:r>
    </w:p>
    <w:p w14:paraId="58A94F95" w14:textId="77777777" w:rsidR="00857FED" w:rsidRDefault="00857FED"/>
    <w:p w14:paraId="12E4CEC7" w14:textId="14A18577" w:rsidR="00857FED" w:rsidRDefault="00857FED">
      <w:r>
        <w:t>What terrorist attack can we link to the spokesman’s speech?</w:t>
      </w:r>
    </w:p>
    <w:p w14:paraId="3BD75498" w14:textId="77777777" w:rsidR="00857FED" w:rsidRDefault="00857FED"/>
    <w:p w14:paraId="2DB73B1D" w14:textId="12254559" w:rsidR="00857FED" w:rsidRDefault="00857FED">
      <w:r>
        <w:t>This is very important to</w:t>
      </w:r>
      <w:r w:rsidR="00665933">
        <w:t xml:space="preserve"> link</w:t>
      </w:r>
      <w:r>
        <w:t xml:space="preserve"> because later in July 2016, a terrorist attack occurred in Nice, France. This attack was done by driving a 19-ton truck into a crowd of over 30,000 people who gathered to celebrate Bastille Day. The terrorist eventually killed 87 people and further injuring 458 more (Gonzalez, et al, 2019).</w:t>
      </w:r>
      <w:r w:rsidR="008D7087">
        <w:t xml:space="preserve"> ISIS knowing that the media would cover this incident, eventually came out and claimed this attack as if they claimed it to be a good thing and deserved kudos. The purpose of the attack was to receive media coverage to provide fear, instability and to express their extremist ways (Gonzalez, et al, 2019).</w:t>
      </w:r>
    </w:p>
    <w:p w14:paraId="657D5F47" w14:textId="77777777" w:rsidR="00857FED" w:rsidRDefault="00857FED"/>
    <w:p w14:paraId="1393C190" w14:textId="5B4C352E" w:rsidR="00857FED" w:rsidRDefault="00857FED">
      <w:r>
        <w:t>this is relevant to this discussion because it was spoken into reality by the spokesman and the media had covered what the spokesman said, but if they had not, maybe then the terrorist attack in Nice might not have happened.</w:t>
      </w:r>
      <w:r w:rsidR="00E764ED">
        <w:t xml:space="preserve"> There is a theory called ‘social contagion theory’ which suggests that </w:t>
      </w:r>
      <w:proofErr w:type="gramStart"/>
      <w:r w:rsidR="00E764ED">
        <w:t>individuals</w:t>
      </w:r>
      <w:proofErr w:type="gramEnd"/>
      <w:r w:rsidR="00E764ED">
        <w:t xml:space="preserve"> emotions, actions etc can be influenced though environments such as social media, one of the core principles of this theory is social influence, this can be done through a variety of mechanisms including persuasion, social comparison or normative influence. (</w:t>
      </w:r>
      <w:proofErr w:type="spellStart"/>
      <w:r w:rsidR="00E764ED">
        <w:t>TheoryHub</w:t>
      </w:r>
      <w:proofErr w:type="spellEnd"/>
      <w:r w:rsidR="00E764ED">
        <w:t>, 2024).</w:t>
      </w:r>
    </w:p>
    <w:p w14:paraId="5A70C1C0" w14:textId="77777777" w:rsidR="00857FED" w:rsidRDefault="00857FED"/>
    <w:p w14:paraId="0F9E43B4" w14:textId="77777777" w:rsidR="00665933" w:rsidRDefault="00665933"/>
    <w:p w14:paraId="6A36781E" w14:textId="3AE21DCE" w:rsidR="00857FED" w:rsidRDefault="00857FED">
      <w:r>
        <w:lastRenderedPageBreak/>
        <w:t>What was the result of the attack?</w:t>
      </w:r>
    </w:p>
    <w:p w14:paraId="03B89F8A" w14:textId="77777777" w:rsidR="00857FED" w:rsidRDefault="00857FED"/>
    <w:p w14:paraId="76A8B97F" w14:textId="1EB32982" w:rsidR="00857FED" w:rsidRDefault="00857FED">
      <w:r>
        <w:t xml:space="preserve">Not only did ISIS result in killing and injuring people, but a questionnaire was provided to 804 staff members in the hospital that survivors were sent to and 488 staff were exposed (61%), 203 were bystanders of the </w:t>
      </w:r>
      <w:r w:rsidR="00EE307A">
        <w:t>attack and</w:t>
      </w:r>
      <w:r>
        <w:t xml:space="preserve"> 285 had professional exposure. The staff who endured the professional exposure, reported </w:t>
      </w:r>
      <w:r w:rsidR="00EE307A">
        <w:t>anxiety (13.2%), depression (4.6%), suicidal thoughts (5.5%), PTSD (9.4%), partial PTSD (17.7) (Bentz, et al, 2021).</w:t>
      </w:r>
    </w:p>
    <w:p w14:paraId="6CC12F0E" w14:textId="77777777" w:rsidR="00EE307A" w:rsidRDefault="00EE307A"/>
    <w:p w14:paraId="3D863447" w14:textId="6978384A" w:rsidR="00EE307A" w:rsidRDefault="00EE307A">
      <w:r>
        <w:t xml:space="preserve">Not only do terrorist attacks just kill and injure, </w:t>
      </w:r>
      <w:proofErr w:type="gramStart"/>
      <w:r>
        <w:t>it</w:t>
      </w:r>
      <w:proofErr w:type="gramEnd"/>
      <w:r>
        <w:t xml:space="preserve"> also has psychological damage who witnessed the attack or even hospital staff.</w:t>
      </w:r>
    </w:p>
    <w:p w14:paraId="389699F9" w14:textId="77777777" w:rsidR="00857FED" w:rsidRDefault="00857FED"/>
    <w:p w14:paraId="3D8D0066" w14:textId="77777777" w:rsidR="00A83851" w:rsidRDefault="00A83851"/>
    <w:p w14:paraId="2AA4D7BC" w14:textId="77777777" w:rsidR="00A83851" w:rsidRDefault="00A83851"/>
    <w:p w14:paraId="23141AC8" w14:textId="77777777" w:rsidR="00A83851" w:rsidRDefault="00A83851"/>
    <w:p w14:paraId="586B3E73" w14:textId="71E81011" w:rsidR="00A83851" w:rsidRDefault="00A83851">
      <w:r>
        <w:t>Manchester arena bombing 2017:</w:t>
      </w:r>
    </w:p>
    <w:p w14:paraId="6ED34655" w14:textId="63F766D7" w:rsidR="00A83851" w:rsidRDefault="00A83851">
      <w:r>
        <w:t xml:space="preserve">In </w:t>
      </w:r>
      <w:proofErr w:type="gramStart"/>
      <w:r>
        <w:t>may</w:t>
      </w:r>
      <w:proofErr w:type="gramEnd"/>
      <w:r>
        <w:t xml:space="preserve"> 2017, there was also another ISIS attack that shocked the world and resulted in </w:t>
      </w:r>
      <w:proofErr w:type="spellStart"/>
      <w:r>
        <w:t>on</w:t>
      </w:r>
      <w:proofErr w:type="spellEnd"/>
      <w:r>
        <w:t xml:space="preserve"> of the deadliest attacks on UK soil since the 2005 </w:t>
      </w:r>
      <w:r w:rsidR="00665933">
        <w:t>London</w:t>
      </w:r>
      <w:r>
        <w:t xml:space="preserve"> bombings (</w:t>
      </w:r>
      <w:r w:rsidR="008D7087">
        <w:t>Craigie, et al, 2020</w:t>
      </w:r>
      <w:r>
        <w:t xml:space="preserve">). </w:t>
      </w:r>
      <w:r w:rsidR="000B3E7B">
        <w:t>This attack not only ruined lives but it ruined the whole of the UK. Eventually, upon investigation, it was discovered that the attacker was involved with ISIS training and strategies and ISIS later claimed credit for the attack (Ramakrishna, 2018). This also provides evidence that the requirement of media is crucial for ISIS to portray their message and potentially recruit further terrorists.</w:t>
      </w:r>
    </w:p>
    <w:p w14:paraId="42ADAC33" w14:textId="77777777" w:rsidR="00665933" w:rsidRDefault="00665933"/>
    <w:p w14:paraId="5FAD5B72" w14:textId="71F1BC0A" w:rsidR="00665933" w:rsidRDefault="00665933">
      <w:r>
        <w:t>Conclusion:</w:t>
      </w:r>
    </w:p>
    <w:p w14:paraId="0C90CB38" w14:textId="77777777" w:rsidR="00031CCF" w:rsidRDefault="00031CCF"/>
    <w:p w14:paraId="5E448133" w14:textId="342E4752" w:rsidR="00E764ED" w:rsidRDefault="00E764ED">
      <w:r>
        <w:t>Joe Whittaker’s (2022) study largely focuses on seeking to re-ontologize online radicalization. The study specifies that ‘individuals can become terrorists after being exposed to online content.</w:t>
      </w:r>
    </w:p>
    <w:p w14:paraId="56E181CC" w14:textId="77777777" w:rsidR="00E764ED" w:rsidRDefault="00E764ED"/>
    <w:p w14:paraId="7285DED9" w14:textId="15A10B8B" w:rsidR="00031CCF" w:rsidRDefault="00031CCF">
      <w:r>
        <w:t>It’s important to state that the media attention that terrorists receive is the one of the main outcomes achieved in the favour of the terrorist as it could spark that flame in other terrorists to commit the attacks, the media itself is not the problem but it’s the over extensive media coverage that these attacks receive.</w:t>
      </w:r>
    </w:p>
    <w:p w14:paraId="1EE0C3D0" w14:textId="77777777" w:rsidR="00031CCF" w:rsidRDefault="00031CCF"/>
    <w:p w14:paraId="46E11990" w14:textId="14C32EA2" w:rsidR="00665933" w:rsidRDefault="00665933">
      <w:r>
        <w:t>It is very clear that ISIS and many other terrorist groups rely on media coverage to spread their message and purpose. It isn’t entirely the media’s fault for covering the attacks as it is a very important part of media to ensure people know what’s happening globally, but there is an argument to be made about how extensively the media does cover the attacks, we can tie in Netflix’s documentaries for example, for almost glorifying ‘real crime documentaries’ as if this is a normal thing to do. The extensiveness allows for the purpose and message to be spread and potentially reignite someone’s motive to be the next terrorist.</w:t>
      </w:r>
    </w:p>
    <w:p w14:paraId="23CA87C1" w14:textId="77777777" w:rsidR="00351D2B" w:rsidRDefault="00351D2B"/>
    <w:p w14:paraId="03FAA173" w14:textId="439CE4AC" w:rsidR="00351D2B" w:rsidRDefault="00351D2B">
      <w:r>
        <w:t>In conclusion, the provided evidence isn’t strong enough to determine if extensive media is as bad as it is good. There are many pros and cons with the media but ultimately it is important that the world knows what is going on.</w:t>
      </w:r>
    </w:p>
    <w:p w14:paraId="79BBE5CE" w14:textId="77777777" w:rsidR="00857FED" w:rsidRDefault="00857FED">
      <w:r>
        <w:br w:type="page"/>
      </w:r>
    </w:p>
    <w:p w14:paraId="7F9A81FA" w14:textId="1AFB20F0" w:rsidR="00857FED" w:rsidRDefault="00857FED">
      <w:r>
        <w:lastRenderedPageBreak/>
        <w:t>Reference list:</w:t>
      </w:r>
    </w:p>
    <w:p w14:paraId="7EC1C534" w14:textId="77777777" w:rsidR="00857FED" w:rsidRDefault="00857FED">
      <w:pPr>
        <w:rPr>
          <w:rFonts w:ascii="Arial" w:hAnsi="Arial" w:cs="Arial"/>
          <w:color w:val="222222"/>
          <w:sz w:val="20"/>
          <w:szCs w:val="20"/>
          <w:shd w:val="clear" w:color="auto" w:fill="FFFFFF"/>
        </w:rPr>
      </w:pPr>
    </w:p>
    <w:p w14:paraId="2E9F221B" w14:textId="7465C19E" w:rsidR="00857FED" w:rsidRDefault="00857FED">
      <w:pPr>
        <w:rPr>
          <w:rFonts w:ascii="Arial" w:hAnsi="Arial" w:cs="Arial"/>
          <w:color w:val="222222"/>
          <w:sz w:val="20"/>
          <w:szCs w:val="20"/>
          <w:shd w:val="clear" w:color="auto" w:fill="FFFFFF"/>
        </w:rPr>
      </w:pPr>
      <w:r>
        <w:rPr>
          <w:rFonts w:ascii="Arial" w:hAnsi="Arial" w:cs="Arial"/>
          <w:color w:val="222222"/>
          <w:sz w:val="20"/>
          <w:szCs w:val="20"/>
          <w:shd w:val="clear" w:color="auto" w:fill="FFFFFF"/>
        </w:rPr>
        <w:t>Wood, G., 2015. What ISIS really wants.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Atlantic</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315</w:t>
      </w:r>
      <w:r>
        <w:rPr>
          <w:rFonts w:ascii="Arial" w:hAnsi="Arial" w:cs="Arial"/>
          <w:color w:val="222222"/>
          <w:sz w:val="20"/>
          <w:szCs w:val="20"/>
          <w:shd w:val="clear" w:color="auto" w:fill="FFFFFF"/>
        </w:rPr>
        <w:t>(2), pp.78-94.</w:t>
      </w:r>
    </w:p>
    <w:p w14:paraId="33FB8DCC" w14:textId="77777777" w:rsidR="00EE307A" w:rsidRDefault="00EE307A">
      <w:pPr>
        <w:rPr>
          <w:rFonts w:ascii="Arial" w:hAnsi="Arial" w:cs="Arial"/>
          <w:color w:val="222222"/>
          <w:sz w:val="20"/>
          <w:szCs w:val="20"/>
          <w:shd w:val="clear" w:color="auto" w:fill="FFFFFF"/>
        </w:rPr>
      </w:pPr>
    </w:p>
    <w:p w14:paraId="234094CF" w14:textId="57C9A405" w:rsidR="00EE307A" w:rsidRDefault="00EE307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Gonzalez, J.F., Thomas, J., </w:t>
      </w:r>
      <w:proofErr w:type="spellStart"/>
      <w:r>
        <w:rPr>
          <w:rFonts w:ascii="Arial" w:hAnsi="Arial" w:cs="Arial"/>
          <w:color w:val="222222"/>
          <w:sz w:val="20"/>
          <w:szCs w:val="20"/>
          <w:shd w:val="clear" w:color="auto" w:fill="FFFFFF"/>
        </w:rPr>
        <w:t>Decroocq</w:t>
      </w:r>
      <w:proofErr w:type="spellEnd"/>
      <w:r>
        <w:rPr>
          <w:rFonts w:ascii="Arial" w:hAnsi="Arial" w:cs="Arial"/>
          <w:color w:val="222222"/>
          <w:sz w:val="20"/>
          <w:szCs w:val="20"/>
          <w:shd w:val="clear" w:color="auto" w:fill="FFFFFF"/>
        </w:rPr>
        <w:t xml:space="preserve">, L., </w:t>
      </w:r>
      <w:proofErr w:type="spellStart"/>
      <w:r>
        <w:rPr>
          <w:rFonts w:ascii="Arial" w:hAnsi="Arial" w:cs="Arial"/>
          <w:color w:val="222222"/>
          <w:sz w:val="20"/>
          <w:szCs w:val="20"/>
          <w:shd w:val="clear" w:color="auto" w:fill="FFFFFF"/>
        </w:rPr>
        <w:t>Raynier</w:t>
      </w:r>
      <w:proofErr w:type="spellEnd"/>
      <w:r>
        <w:rPr>
          <w:rFonts w:ascii="Arial" w:hAnsi="Arial" w:cs="Arial"/>
          <w:color w:val="222222"/>
          <w:sz w:val="20"/>
          <w:szCs w:val="20"/>
          <w:shd w:val="clear" w:color="auto" w:fill="FFFFFF"/>
        </w:rPr>
        <w:t xml:space="preserve">, J.L., </w:t>
      </w:r>
      <w:proofErr w:type="spellStart"/>
      <w:r>
        <w:rPr>
          <w:rFonts w:ascii="Arial" w:hAnsi="Arial" w:cs="Arial"/>
          <w:color w:val="222222"/>
          <w:sz w:val="20"/>
          <w:szCs w:val="20"/>
          <w:shd w:val="clear" w:color="auto" w:fill="FFFFFF"/>
        </w:rPr>
        <w:t>Carles</w:t>
      </w:r>
      <w:proofErr w:type="spellEnd"/>
      <w:r>
        <w:rPr>
          <w:rFonts w:ascii="Arial" w:hAnsi="Arial" w:cs="Arial"/>
          <w:color w:val="222222"/>
          <w:sz w:val="20"/>
          <w:szCs w:val="20"/>
          <w:shd w:val="clear" w:color="auto" w:fill="FFFFFF"/>
        </w:rPr>
        <w:t xml:space="preserve">, M., de </w:t>
      </w:r>
      <w:proofErr w:type="spellStart"/>
      <w:r>
        <w:rPr>
          <w:rFonts w:ascii="Arial" w:hAnsi="Arial" w:cs="Arial"/>
          <w:color w:val="222222"/>
          <w:sz w:val="20"/>
          <w:szCs w:val="20"/>
          <w:shd w:val="clear" w:color="auto" w:fill="FFFFFF"/>
        </w:rPr>
        <w:t>Peretti</w:t>
      </w:r>
      <w:proofErr w:type="spellEnd"/>
      <w:r>
        <w:rPr>
          <w:rFonts w:ascii="Arial" w:hAnsi="Arial" w:cs="Arial"/>
          <w:color w:val="222222"/>
          <w:sz w:val="20"/>
          <w:szCs w:val="20"/>
          <w:shd w:val="clear" w:color="auto" w:fill="FFFFFF"/>
        </w:rPr>
        <w:t xml:space="preserve">, F., </w:t>
      </w:r>
      <w:proofErr w:type="spellStart"/>
      <w:r>
        <w:rPr>
          <w:rFonts w:ascii="Arial" w:hAnsi="Arial" w:cs="Arial"/>
          <w:color w:val="222222"/>
          <w:sz w:val="20"/>
          <w:szCs w:val="20"/>
          <w:shd w:val="clear" w:color="auto" w:fill="FFFFFF"/>
        </w:rPr>
        <w:t>Trojani</w:t>
      </w:r>
      <w:proofErr w:type="spellEnd"/>
      <w:r>
        <w:rPr>
          <w:rFonts w:ascii="Arial" w:hAnsi="Arial" w:cs="Arial"/>
          <w:color w:val="222222"/>
          <w:sz w:val="20"/>
          <w:szCs w:val="20"/>
          <w:shd w:val="clear" w:color="auto" w:fill="FFFFFF"/>
        </w:rPr>
        <w:t>, C. and Boileau, P., 2019. The 14 July 2016 terrorist attack in Nice: the experience of orthopaedic surgeons.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Orthopaedics &amp; Traumatology: Surgery &amp; Research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105</w:t>
      </w:r>
      <w:r>
        <w:rPr>
          <w:rFonts w:ascii="Arial" w:hAnsi="Arial" w:cs="Arial"/>
          <w:color w:val="222222"/>
          <w:sz w:val="20"/>
          <w:szCs w:val="20"/>
          <w:shd w:val="clear" w:color="auto" w:fill="FFFFFF"/>
        </w:rPr>
        <w:t>(3), pp.505-511.</w:t>
      </w:r>
    </w:p>
    <w:p w14:paraId="7EFEF97C" w14:textId="77777777" w:rsidR="00EE307A" w:rsidRDefault="00EE307A">
      <w:pPr>
        <w:rPr>
          <w:rFonts w:ascii="Arial" w:hAnsi="Arial" w:cs="Arial"/>
          <w:color w:val="222222"/>
          <w:sz w:val="20"/>
          <w:szCs w:val="20"/>
          <w:shd w:val="clear" w:color="auto" w:fill="FFFFFF"/>
        </w:rPr>
      </w:pPr>
    </w:p>
    <w:p w14:paraId="41C9028F" w14:textId="5D1F44E8" w:rsidR="00EE307A" w:rsidRDefault="00EE307A">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Bentz, L., </w:t>
      </w:r>
      <w:proofErr w:type="spellStart"/>
      <w:r>
        <w:rPr>
          <w:rFonts w:ascii="Arial" w:hAnsi="Arial" w:cs="Arial"/>
          <w:color w:val="222222"/>
          <w:sz w:val="20"/>
          <w:szCs w:val="20"/>
          <w:shd w:val="clear" w:color="auto" w:fill="FFFFFF"/>
        </w:rPr>
        <w:t>Vandentorren</w:t>
      </w:r>
      <w:proofErr w:type="spellEnd"/>
      <w:r>
        <w:rPr>
          <w:rFonts w:ascii="Arial" w:hAnsi="Arial" w:cs="Arial"/>
          <w:color w:val="222222"/>
          <w:sz w:val="20"/>
          <w:szCs w:val="20"/>
          <w:shd w:val="clear" w:color="auto" w:fill="FFFFFF"/>
        </w:rPr>
        <w:t xml:space="preserve">, S., Fabre, R., Bride, J., </w:t>
      </w:r>
      <w:proofErr w:type="spellStart"/>
      <w:r>
        <w:rPr>
          <w:rFonts w:ascii="Arial" w:hAnsi="Arial" w:cs="Arial"/>
          <w:color w:val="222222"/>
          <w:sz w:val="20"/>
          <w:szCs w:val="20"/>
          <w:shd w:val="clear" w:color="auto" w:fill="FFFFFF"/>
        </w:rPr>
        <w:t>Pirard</w:t>
      </w:r>
      <w:proofErr w:type="spellEnd"/>
      <w:r>
        <w:rPr>
          <w:rFonts w:ascii="Arial" w:hAnsi="Arial" w:cs="Arial"/>
          <w:color w:val="222222"/>
          <w:sz w:val="20"/>
          <w:szCs w:val="20"/>
          <w:shd w:val="clear" w:color="auto" w:fill="FFFFFF"/>
        </w:rPr>
        <w:t xml:space="preserve">, P., </w:t>
      </w:r>
      <w:proofErr w:type="spellStart"/>
      <w:r>
        <w:rPr>
          <w:rFonts w:ascii="Arial" w:hAnsi="Arial" w:cs="Arial"/>
          <w:color w:val="222222"/>
          <w:sz w:val="20"/>
          <w:szCs w:val="20"/>
          <w:shd w:val="clear" w:color="auto" w:fill="FFFFFF"/>
        </w:rPr>
        <w:t>Doulet</w:t>
      </w:r>
      <w:proofErr w:type="spellEnd"/>
      <w:r>
        <w:rPr>
          <w:rFonts w:ascii="Arial" w:hAnsi="Arial" w:cs="Arial"/>
          <w:color w:val="222222"/>
          <w:sz w:val="20"/>
          <w:szCs w:val="20"/>
          <w:shd w:val="clear" w:color="auto" w:fill="FFFFFF"/>
        </w:rPr>
        <w:t xml:space="preserve">, N., </w:t>
      </w:r>
      <w:proofErr w:type="spellStart"/>
      <w:r>
        <w:rPr>
          <w:rFonts w:ascii="Arial" w:hAnsi="Arial" w:cs="Arial"/>
          <w:color w:val="222222"/>
          <w:sz w:val="20"/>
          <w:szCs w:val="20"/>
          <w:shd w:val="clear" w:color="auto" w:fill="FFFFFF"/>
        </w:rPr>
        <w:t>Baubet</w:t>
      </w:r>
      <w:proofErr w:type="spellEnd"/>
      <w:r>
        <w:rPr>
          <w:rFonts w:ascii="Arial" w:hAnsi="Arial" w:cs="Arial"/>
          <w:color w:val="222222"/>
          <w:sz w:val="20"/>
          <w:szCs w:val="20"/>
          <w:shd w:val="clear" w:color="auto" w:fill="FFFFFF"/>
        </w:rPr>
        <w:t xml:space="preserve">, T., </w:t>
      </w:r>
      <w:proofErr w:type="spellStart"/>
      <w:r>
        <w:rPr>
          <w:rFonts w:ascii="Arial" w:hAnsi="Arial" w:cs="Arial"/>
          <w:color w:val="222222"/>
          <w:sz w:val="20"/>
          <w:szCs w:val="20"/>
          <w:shd w:val="clear" w:color="auto" w:fill="FFFFFF"/>
        </w:rPr>
        <w:t>Motreff</w:t>
      </w:r>
      <w:proofErr w:type="spellEnd"/>
      <w:r>
        <w:rPr>
          <w:rFonts w:ascii="Arial" w:hAnsi="Arial" w:cs="Arial"/>
          <w:color w:val="222222"/>
          <w:sz w:val="20"/>
          <w:szCs w:val="20"/>
          <w:shd w:val="clear" w:color="auto" w:fill="FFFFFF"/>
        </w:rPr>
        <w:t xml:space="preserve">, Y. and </w:t>
      </w:r>
      <w:proofErr w:type="spellStart"/>
      <w:r>
        <w:rPr>
          <w:rFonts w:ascii="Arial" w:hAnsi="Arial" w:cs="Arial"/>
          <w:color w:val="222222"/>
          <w:sz w:val="20"/>
          <w:szCs w:val="20"/>
          <w:shd w:val="clear" w:color="auto" w:fill="FFFFFF"/>
        </w:rPr>
        <w:t>Pradier</w:t>
      </w:r>
      <w:proofErr w:type="spellEnd"/>
      <w:r>
        <w:rPr>
          <w:rFonts w:ascii="Arial" w:hAnsi="Arial" w:cs="Arial"/>
          <w:color w:val="222222"/>
          <w:sz w:val="20"/>
          <w:szCs w:val="20"/>
          <w:shd w:val="clear" w:color="auto" w:fill="FFFFFF"/>
        </w:rPr>
        <w:t>, C., 2021. Mental health impact among hospital staff in the aftermath of the Nice 2016 terror attack: the ECHOS de Nice study.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BMC public health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21</w:t>
      </w:r>
      <w:r>
        <w:rPr>
          <w:rFonts w:ascii="Arial" w:hAnsi="Arial" w:cs="Arial"/>
          <w:color w:val="222222"/>
          <w:sz w:val="20"/>
          <w:szCs w:val="20"/>
          <w:shd w:val="clear" w:color="auto" w:fill="FFFFFF"/>
        </w:rPr>
        <w:t>, pp.1-17.</w:t>
      </w:r>
    </w:p>
    <w:p w14:paraId="1B159900" w14:textId="77777777" w:rsidR="00EE307A" w:rsidRDefault="00EE307A"/>
    <w:p w14:paraId="04B41DB6" w14:textId="4C754F44" w:rsidR="00A83851" w:rsidRDefault="00A83851">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Jetter</w:t>
      </w:r>
      <w:proofErr w:type="spellEnd"/>
      <w:r>
        <w:rPr>
          <w:rFonts w:ascii="Arial" w:hAnsi="Arial" w:cs="Arial"/>
          <w:color w:val="222222"/>
          <w:sz w:val="20"/>
          <w:szCs w:val="20"/>
          <w:shd w:val="clear" w:color="auto" w:fill="FFFFFF"/>
        </w:rPr>
        <w:t>, M., 2017. The effect of media attention on terrorism.</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Public Economics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153</w:t>
      </w:r>
      <w:r>
        <w:rPr>
          <w:rFonts w:ascii="Arial" w:hAnsi="Arial" w:cs="Arial"/>
          <w:color w:val="222222"/>
          <w:sz w:val="20"/>
          <w:szCs w:val="20"/>
          <w:shd w:val="clear" w:color="auto" w:fill="FFFFFF"/>
        </w:rPr>
        <w:t>, pp.32-48.</w:t>
      </w:r>
    </w:p>
    <w:p w14:paraId="702654D9" w14:textId="77777777" w:rsidR="008D7087" w:rsidRDefault="008D7087">
      <w:pPr>
        <w:rPr>
          <w:rFonts w:ascii="Arial" w:hAnsi="Arial" w:cs="Arial"/>
          <w:color w:val="222222"/>
          <w:sz w:val="20"/>
          <w:szCs w:val="20"/>
          <w:shd w:val="clear" w:color="auto" w:fill="FFFFFF"/>
        </w:rPr>
      </w:pPr>
    </w:p>
    <w:p w14:paraId="4323A800" w14:textId="17325F7A" w:rsidR="008D7087" w:rsidRDefault="008D7087">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Craigie, R.J., </w:t>
      </w:r>
      <w:proofErr w:type="spellStart"/>
      <w:r>
        <w:rPr>
          <w:rFonts w:ascii="Arial" w:hAnsi="Arial" w:cs="Arial"/>
          <w:color w:val="222222"/>
          <w:sz w:val="20"/>
          <w:szCs w:val="20"/>
          <w:shd w:val="clear" w:color="auto" w:fill="FFFFFF"/>
        </w:rPr>
        <w:t>Farrelly</w:t>
      </w:r>
      <w:proofErr w:type="spellEnd"/>
      <w:r>
        <w:rPr>
          <w:rFonts w:ascii="Arial" w:hAnsi="Arial" w:cs="Arial"/>
          <w:color w:val="222222"/>
          <w:sz w:val="20"/>
          <w:szCs w:val="20"/>
          <w:shd w:val="clear" w:color="auto" w:fill="FFFFFF"/>
        </w:rPr>
        <w:t>, P.J., Santos, R., Smith, S.R., Pollard, J.S. and Jones, D.J., 2020. Manchester Arena bombing: lessons learnt from a mass casualty incident.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BMJ Mil Health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166</w:t>
      </w:r>
      <w:r>
        <w:rPr>
          <w:rFonts w:ascii="Arial" w:hAnsi="Arial" w:cs="Arial"/>
          <w:color w:val="222222"/>
          <w:sz w:val="20"/>
          <w:szCs w:val="20"/>
          <w:shd w:val="clear" w:color="auto" w:fill="FFFFFF"/>
        </w:rPr>
        <w:t>(2), pp.72-75.</w:t>
      </w:r>
    </w:p>
    <w:p w14:paraId="70F8021F" w14:textId="77777777" w:rsidR="000B3E7B" w:rsidRDefault="000B3E7B">
      <w:pPr>
        <w:rPr>
          <w:rFonts w:ascii="Arial" w:hAnsi="Arial" w:cs="Arial"/>
          <w:color w:val="222222"/>
          <w:sz w:val="20"/>
          <w:szCs w:val="20"/>
          <w:shd w:val="clear" w:color="auto" w:fill="FFFFFF"/>
        </w:rPr>
      </w:pPr>
    </w:p>
    <w:p w14:paraId="57F73876" w14:textId="7C0C42D4" w:rsidR="000B3E7B" w:rsidRDefault="000B3E7B">
      <w:r>
        <w:rPr>
          <w:rFonts w:ascii="Arial" w:hAnsi="Arial" w:cs="Arial"/>
          <w:color w:val="222222"/>
          <w:sz w:val="20"/>
          <w:szCs w:val="20"/>
          <w:shd w:val="clear" w:color="auto" w:fill="FFFFFF"/>
        </w:rPr>
        <w:t>Ramakrishna, K., 2018. Unpacking the ISIS Threat: The Violent Potentials of Religious Fundamentalism.</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National Interest</w:t>
      </w:r>
      <w:r>
        <w:rPr>
          <w:rFonts w:ascii="Arial" w:hAnsi="Arial" w:cs="Arial"/>
          <w:color w:val="222222"/>
          <w:sz w:val="20"/>
          <w:szCs w:val="20"/>
          <w:shd w:val="clear" w:color="auto" w:fill="FFFFFF"/>
        </w:rPr>
        <w:t>, (59), pp.87-93.</w:t>
      </w:r>
    </w:p>
    <w:p w14:paraId="0652B13A" w14:textId="77777777" w:rsidR="00E764ED" w:rsidRDefault="00E764ED"/>
    <w:p w14:paraId="2EB2B80E" w14:textId="1FCEA757" w:rsidR="00E764ED" w:rsidRDefault="00E764ED">
      <w:proofErr w:type="spellStart"/>
      <w:r>
        <w:rPr>
          <w:rStyle w:val="spellingerror"/>
          <w:rFonts w:ascii="Barlow Semi Condensed" w:hAnsi="Barlow Semi Condensed"/>
          <w:color w:val="191919"/>
          <w:lang w:val="en-US"/>
        </w:rPr>
        <w:t>TheoryHub</w:t>
      </w:r>
      <w:proofErr w:type="spellEnd"/>
      <w:r>
        <w:rPr>
          <w:rStyle w:val="apple-converted-space"/>
          <w:rFonts w:ascii="Barlow Semi Condensed" w:hAnsi="Barlow Semi Condensed"/>
          <w:color w:val="191919"/>
          <w:lang w:val="en-US"/>
        </w:rPr>
        <w:t> </w:t>
      </w:r>
      <w:r>
        <w:rPr>
          <w:rStyle w:val="normaltextrun"/>
          <w:rFonts w:ascii="Barlow Semi Condensed" w:hAnsi="Barlow Semi Condensed"/>
          <w:color w:val="191919"/>
          <w:lang w:val="en-US"/>
        </w:rPr>
        <w:t>(2024)</w:t>
      </w:r>
      <w:r>
        <w:rPr>
          <w:rStyle w:val="apple-converted-space"/>
          <w:rFonts w:ascii="Barlow Semi Condensed" w:hAnsi="Barlow Semi Condensed"/>
          <w:color w:val="191919"/>
          <w:lang w:val="en-US"/>
        </w:rPr>
        <w:t> </w:t>
      </w:r>
      <w:r>
        <w:rPr>
          <w:rStyle w:val="normaltextrun"/>
          <w:rFonts w:ascii="Barlow Semi Condensed" w:hAnsi="Barlow Semi Condensed"/>
          <w:i/>
          <w:iCs/>
          <w:color w:val="191919"/>
          <w:lang w:val="en-US"/>
        </w:rPr>
        <w:t>Social Contagion Theory.</w:t>
      </w:r>
      <w:r>
        <w:rPr>
          <w:rStyle w:val="apple-converted-space"/>
          <w:rFonts w:ascii="Barlow Semi Condensed" w:hAnsi="Barlow Semi Condensed"/>
          <w:i/>
          <w:iCs/>
          <w:color w:val="191919"/>
          <w:lang w:val="en-US"/>
        </w:rPr>
        <w:t> </w:t>
      </w:r>
      <w:r>
        <w:rPr>
          <w:rStyle w:val="normaltextrun"/>
          <w:rFonts w:ascii="Barlow Semi Condensed" w:hAnsi="Barlow Semi Condensed"/>
          <w:color w:val="191919"/>
          <w:lang w:val="en-US"/>
        </w:rPr>
        <w:t>Available at:</w:t>
      </w:r>
      <w:r>
        <w:rPr>
          <w:rStyle w:val="apple-converted-space"/>
          <w:rFonts w:ascii="Barlow Semi Condensed" w:hAnsi="Barlow Semi Condensed"/>
          <w:color w:val="191919"/>
          <w:lang w:val="en-US"/>
        </w:rPr>
        <w:t> </w:t>
      </w:r>
      <w:hyperlink r:id="rId4" w:tgtFrame="_blank" w:history="1">
        <w:r>
          <w:rPr>
            <w:rStyle w:val="normaltextrun"/>
            <w:rFonts w:ascii="Barlow Semi Condensed" w:hAnsi="Barlow Semi Condensed" w:cs="Segoe UI"/>
            <w:color w:val="000000"/>
            <w:u w:val="single"/>
            <w:lang w:val="en-US"/>
          </w:rPr>
          <w:t>https://open.ncl.ac.uk/academic-theories/31/social-contagion-</w:t>
        </w:r>
      </w:hyperlink>
      <w:hyperlink r:id="rId5" w:tgtFrame="_blank" w:history="1">
        <w:r>
          <w:rPr>
            <w:rStyle w:val="normaltextrun"/>
            <w:rFonts w:ascii="Barlow Semi Condensed" w:hAnsi="Barlow Semi Condensed" w:cs="Segoe UI"/>
            <w:color w:val="000000"/>
            <w:u w:val="single"/>
            <w:lang w:val="en-US"/>
          </w:rPr>
          <w:t>theory/</w:t>
        </w:r>
      </w:hyperlink>
      <w:r>
        <w:rPr>
          <w:rStyle w:val="normaltextrun"/>
          <w:rFonts w:ascii="Barlow Semi Condensed" w:hAnsi="Barlow Semi Condensed"/>
          <w:color w:val="191919"/>
          <w:lang w:val="en-US"/>
        </w:rPr>
        <w:t>  (Accessed: 28 April 2024). </w:t>
      </w:r>
    </w:p>
    <w:sectPr w:rsidR="00E764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rlow Semi Condensed">
    <w:panose1 w:val="00000506000000000000"/>
    <w:charset w:val="4D"/>
    <w:family w:val="auto"/>
    <w:pitch w:val="variable"/>
    <w:sig w:usb0="20000007" w:usb1="00000000"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FED"/>
    <w:rsid w:val="00031CCF"/>
    <w:rsid w:val="000B3E7B"/>
    <w:rsid w:val="00351D2B"/>
    <w:rsid w:val="00377452"/>
    <w:rsid w:val="004127C9"/>
    <w:rsid w:val="00665933"/>
    <w:rsid w:val="006943CD"/>
    <w:rsid w:val="00857FED"/>
    <w:rsid w:val="008D7087"/>
    <w:rsid w:val="00962BE8"/>
    <w:rsid w:val="00A83851"/>
    <w:rsid w:val="00B25F58"/>
    <w:rsid w:val="00DF05D2"/>
    <w:rsid w:val="00E14460"/>
    <w:rsid w:val="00E764ED"/>
    <w:rsid w:val="00EE3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F8D1E4"/>
  <w15:chartTrackingRefBased/>
  <w15:docId w15:val="{A6FD3FBA-BC3C-AE4E-8422-BC194D87F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F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F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7F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F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F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FE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FE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FE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FE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F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F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7F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F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F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F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F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F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FED"/>
    <w:rPr>
      <w:rFonts w:eastAsiaTheme="majorEastAsia" w:cstheme="majorBidi"/>
      <w:color w:val="272727" w:themeColor="text1" w:themeTint="D8"/>
    </w:rPr>
  </w:style>
  <w:style w:type="paragraph" w:styleId="Title">
    <w:name w:val="Title"/>
    <w:basedOn w:val="Normal"/>
    <w:next w:val="Normal"/>
    <w:link w:val="TitleChar"/>
    <w:uiPriority w:val="10"/>
    <w:qFormat/>
    <w:rsid w:val="00857FE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F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FE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F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FE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57FED"/>
    <w:rPr>
      <w:i/>
      <w:iCs/>
      <w:color w:val="404040" w:themeColor="text1" w:themeTint="BF"/>
    </w:rPr>
  </w:style>
  <w:style w:type="paragraph" w:styleId="ListParagraph">
    <w:name w:val="List Paragraph"/>
    <w:basedOn w:val="Normal"/>
    <w:uiPriority w:val="34"/>
    <w:qFormat/>
    <w:rsid w:val="00857FED"/>
    <w:pPr>
      <w:ind w:left="720"/>
      <w:contextualSpacing/>
    </w:pPr>
  </w:style>
  <w:style w:type="character" w:styleId="IntenseEmphasis">
    <w:name w:val="Intense Emphasis"/>
    <w:basedOn w:val="DefaultParagraphFont"/>
    <w:uiPriority w:val="21"/>
    <w:qFormat/>
    <w:rsid w:val="00857FED"/>
    <w:rPr>
      <w:i/>
      <w:iCs/>
      <w:color w:val="0F4761" w:themeColor="accent1" w:themeShade="BF"/>
    </w:rPr>
  </w:style>
  <w:style w:type="paragraph" w:styleId="IntenseQuote">
    <w:name w:val="Intense Quote"/>
    <w:basedOn w:val="Normal"/>
    <w:next w:val="Normal"/>
    <w:link w:val="IntenseQuoteChar"/>
    <w:uiPriority w:val="30"/>
    <w:qFormat/>
    <w:rsid w:val="00857F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FED"/>
    <w:rPr>
      <w:i/>
      <w:iCs/>
      <w:color w:val="0F4761" w:themeColor="accent1" w:themeShade="BF"/>
    </w:rPr>
  </w:style>
  <w:style w:type="character" w:styleId="IntenseReference">
    <w:name w:val="Intense Reference"/>
    <w:basedOn w:val="DefaultParagraphFont"/>
    <w:uiPriority w:val="32"/>
    <w:qFormat/>
    <w:rsid w:val="00857FED"/>
    <w:rPr>
      <w:b/>
      <w:bCs/>
      <w:smallCaps/>
      <w:color w:val="0F4761" w:themeColor="accent1" w:themeShade="BF"/>
      <w:spacing w:val="5"/>
    </w:rPr>
  </w:style>
  <w:style w:type="character" w:customStyle="1" w:styleId="apple-converted-space">
    <w:name w:val="apple-converted-space"/>
    <w:basedOn w:val="DefaultParagraphFont"/>
    <w:rsid w:val="00857FED"/>
  </w:style>
  <w:style w:type="character" w:customStyle="1" w:styleId="normaltextrun">
    <w:name w:val="normaltextrun"/>
    <w:basedOn w:val="DefaultParagraphFont"/>
    <w:rsid w:val="00E764ED"/>
  </w:style>
  <w:style w:type="character" w:customStyle="1" w:styleId="spellingerror">
    <w:name w:val="spellingerror"/>
    <w:basedOn w:val="DefaultParagraphFont"/>
    <w:rsid w:val="00E76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open.ncl.ac.uk/academic-theories/31/social-contagion-theory/" TargetMode="External"/><Relationship Id="rId4" Type="http://schemas.openxmlformats.org/officeDocument/2006/relationships/hyperlink" Target="https://open.ncl.ac.uk/academic-theories/31/social-contagion-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1031</Words>
  <Characters>5882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Sturgess (2200579)</dc:creator>
  <cp:keywords/>
  <dc:description/>
  <cp:lastModifiedBy>Connor Sturgess (2200579)</cp:lastModifiedBy>
  <cp:revision>2</cp:revision>
  <dcterms:created xsi:type="dcterms:W3CDTF">2024-05-02T10:00:00Z</dcterms:created>
  <dcterms:modified xsi:type="dcterms:W3CDTF">2024-05-02T10:00:00Z</dcterms:modified>
</cp:coreProperties>
</file>