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C09EF" w14:textId="77777777" w:rsidR="0004779A" w:rsidRDefault="0004779A" w:rsidP="0004779A">
      <w:pPr>
        <w:pStyle w:val="Normal1"/>
        <w:spacing w:line="360" w:lineRule="auto"/>
        <w:jc w:val="right"/>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US"/>
        </w:rPr>
        <w:drawing>
          <wp:inline distT="114300" distB="114300" distL="114300" distR="114300" wp14:anchorId="2D9F7A8A" wp14:editId="5A2CBF99">
            <wp:extent cx="2609850" cy="1019175"/>
            <wp:effectExtent l="0" t="0" r="0" b="0"/>
            <wp:docPr id="1" name="image1.png" descr="A close-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black text&#10;&#10;Description automatically generated"/>
                    <pic:cNvPicPr preferRelativeResize="0"/>
                  </pic:nvPicPr>
                  <pic:blipFill>
                    <a:blip r:embed="rId8"/>
                    <a:srcRect/>
                    <a:stretch>
                      <a:fillRect/>
                    </a:stretch>
                  </pic:blipFill>
                  <pic:spPr>
                    <a:xfrm>
                      <a:off x="0" y="0"/>
                      <a:ext cx="2609850" cy="1019175"/>
                    </a:xfrm>
                    <a:prstGeom prst="rect">
                      <a:avLst/>
                    </a:prstGeom>
                    <a:ln/>
                  </pic:spPr>
                </pic:pic>
              </a:graphicData>
            </a:graphic>
          </wp:inline>
        </w:drawing>
      </w:r>
    </w:p>
    <w:p w14:paraId="3445C33B" w14:textId="77777777" w:rsidR="0004779A" w:rsidRDefault="0004779A" w:rsidP="0004779A">
      <w:pPr>
        <w:pStyle w:val="Normal1"/>
        <w:spacing w:line="360" w:lineRule="auto"/>
        <w:jc w:val="right"/>
        <w:rPr>
          <w:rFonts w:ascii="Times New Roman" w:eastAsia="Times New Roman" w:hAnsi="Times New Roman" w:cs="Times New Roman"/>
          <w:b/>
          <w:sz w:val="32"/>
          <w:szCs w:val="32"/>
        </w:rPr>
      </w:pPr>
    </w:p>
    <w:p w14:paraId="735F8B1F"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p>
    <w:p w14:paraId="33690931"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p>
    <w:p w14:paraId="5F926A0D"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p>
    <w:p w14:paraId="0EFB58FB"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BUSINESS MANAGEMENT (LEVEL 5) - LCBB5005 PROJECT MANAGEMENT - COMPONENT 2: COURSEWORK: ESSAY </w:t>
      </w:r>
    </w:p>
    <w:p w14:paraId="5B914A02"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p>
    <w:p w14:paraId="6FD10ABC"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4195D099"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p>
    <w:p w14:paraId="2B7052A1"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p>
    <w:p w14:paraId="0F1EA430"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p>
    <w:p w14:paraId="258D73AC"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Laura-</w:t>
      </w:r>
      <w:proofErr w:type="spellStart"/>
      <w:r>
        <w:rPr>
          <w:rFonts w:ascii="Times New Roman" w:eastAsia="Times New Roman" w:hAnsi="Times New Roman" w:cs="Times New Roman"/>
          <w:b/>
          <w:sz w:val="28"/>
          <w:szCs w:val="28"/>
        </w:rPr>
        <w:t>Andreea</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Doru</w:t>
      </w:r>
      <w:proofErr w:type="spellEnd"/>
      <w:r>
        <w:rPr>
          <w:rFonts w:ascii="Times New Roman" w:eastAsia="Times New Roman" w:hAnsi="Times New Roman" w:cs="Times New Roman"/>
          <w:b/>
          <w:sz w:val="28"/>
          <w:szCs w:val="28"/>
        </w:rPr>
        <w:t xml:space="preserve"> </w:t>
      </w:r>
    </w:p>
    <w:p w14:paraId="3E9B43BC"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2125338</w:t>
      </w:r>
    </w:p>
    <w:p w14:paraId="65824A41" w14:textId="77777777" w:rsidR="0004779A" w:rsidRDefault="0004779A" w:rsidP="0004779A">
      <w:pPr>
        <w:pStyle w:val="Normal1"/>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Lecturer: </w:t>
      </w:r>
      <w:r w:rsidRPr="005E4CE8">
        <w:rPr>
          <w:rFonts w:ascii="Times New Roman" w:eastAsia="Times New Roman" w:hAnsi="Times New Roman" w:cs="Times New Roman"/>
          <w:b/>
          <w:bCs/>
          <w:sz w:val="28"/>
          <w:szCs w:val="28"/>
        </w:rPr>
        <w:t>Anupam Mazumdar</w:t>
      </w:r>
    </w:p>
    <w:p w14:paraId="526779FA" w14:textId="77777777" w:rsidR="0004779A" w:rsidRDefault="0004779A" w:rsidP="0004779A">
      <w:pPr>
        <w:pStyle w:val="Normal1"/>
        <w:spacing w:line="360" w:lineRule="auto"/>
        <w:jc w:val="right"/>
        <w:rPr>
          <w:rFonts w:ascii="Times New Roman" w:eastAsia="Times New Roman" w:hAnsi="Times New Roman" w:cs="Times New Roman"/>
          <w:sz w:val="28"/>
          <w:szCs w:val="28"/>
        </w:rPr>
      </w:pPr>
    </w:p>
    <w:p w14:paraId="66BF47E8"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p>
    <w:p w14:paraId="53367230" w14:textId="77777777" w:rsidR="0004779A" w:rsidRDefault="0004779A" w:rsidP="0004779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b w:val="0"/>
          <w:bCs w:val="0"/>
          <w:color w:val="auto"/>
          <w:sz w:val="22"/>
          <w:szCs w:val="22"/>
          <w:lang w:val="en-GB" w:bidi="bn-IN"/>
        </w:rPr>
        <w:id w:val="2297689"/>
        <w:docPartObj>
          <w:docPartGallery w:val="Table of Contents"/>
          <w:docPartUnique/>
        </w:docPartObj>
      </w:sdtPr>
      <w:sdtContent>
        <w:p w14:paraId="6AC76C48" w14:textId="77777777" w:rsidR="0004779A" w:rsidRPr="00993C46" w:rsidRDefault="0004779A" w:rsidP="0004779A">
          <w:pPr>
            <w:pStyle w:val="TOCHeading"/>
            <w:spacing w:line="360" w:lineRule="auto"/>
            <w:jc w:val="center"/>
            <w:rPr>
              <w:rFonts w:ascii="Times New Roman" w:hAnsi="Times New Roman" w:cs="Times New Roman"/>
              <w:color w:val="auto"/>
              <w:sz w:val="24"/>
              <w:szCs w:val="24"/>
            </w:rPr>
          </w:pPr>
          <w:r w:rsidRPr="00993C46">
            <w:rPr>
              <w:rFonts w:ascii="Times New Roman" w:hAnsi="Times New Roman" w:cs="Times New Roman"/>
              <w:color w:val="auto"/>
              <w:sz w:val="24"/>
              <w:szCs w:val="24"/>
            </w:rPr>
            <w:t>Table of Contents</w:t>
          </w:r>
        </w:p>
        <w:p w14:paraId="7F9205FB" w14:textId="77777777" w:rsidR="0004779A" w:rsidRPr="00993C46" w:rsidRDefault="0004779A" w:rsidP="0004779A">
          <w:pPr>
            <w:pStyle w:val="TOC1"/>
            <w:tabs>
              <w:tab w:val="right" w:leader="dot" w:pos="9350"/>
            </w:tabs>
            <w:spacing w:line="360" w:lineRule="auto"/>
            <w:rPr>
              <w:rFonts w:ascii="Times New Roman" w:hAnsi="Times New Roman" w:cs="Times New Roman"/>
              <w:noProof/>
              <w:sz w:val="24"/>
              <w:szCs w:val="24"/>
            </w:rPr>
          </w:pPr>
          <w:r w:rsidRPr="00993C46">
            <w:rPr>
              <w:rFonts w:ascii="Times New Roman" w:hAnsi="Times New Roman" w:cs="Times New Roman"/>
              <w:sz w:val="24"/>
              <w:szCs w:val="24"/>
            </w:rPr>
            <w:fldChar w:fldCharType="begin"/>
          </w:r>
          <w:r w:rsidRPr="00993C46">
            <w:rPr>
              <w:rFonts w:ascii="Times New Roman" w:hAnsi="Times New Roman" w:cs="Times New Roman"/>
              <w:sz w:val="24"/>
              <w:szCs w:val="24"/>
            </w:rPr>
            <w:instrText xml:space="preserve"> TOC \o "1-3" \h \z \u </w:instrText>
          </w:r>
          <w:r w:rsidRPr="00993C46">
            <w:rPr>
              <w:rFonts w:ascii="Times New Roman" w:hAnsi="Times New Roman" w:cs="Times New Roman"/>
              <w:sz w:val="24"/>
              <w:szCs w:val="24"/>
            </w:rPr>
            <w:fldChar w:fldCharType="separate"/>
          </w:r>
          <w:hyperlink w:anchor="_Toc152251566" w:history="1">
            <w:r w:rsidRPr="00993C46">
              <w:rPr>
                <w:rStyle w:val="Hyperlink"/>
                <w:rFonts w:ascii="Times New Roman" w:hAnsi="Times New Roman" w:cs="Times New Roman"/>
                <w:noProof/>
                <w:sz w:val="24"/>
                <w:szCs w:val="24"/>
              </w:rPr>
              <w:t>Introduction</w:t>
            </w:r>
            <w:r w:rsidRPr="00993C46">
              <w:rPr>
                <w:rFonts w:ascii="Times New Roman" w:hAnsi="Times New Roman" w:cs="Times New Roman"/>
                <w:noProof/>
                <w:webHidden/>
                <w:sz w:val="24"/>
                <w:szCs w:val="24"/>
              </w:rPr>
              <w:tab/>
            </w:r>
            <w:r w:rsidRPr="00993C46">
              <w:rPr>
                <w:rFonts w:ascii="Times New Roman" w:hAnsi="Times New Roman" w:cs="Times New Roman"/>
                <w:noProof/>
                <w:webHidden/>
                <w:sz w:val="24"/>
                <w:szCs w:val="24"/>
              </w:rPr>
              <w:fldChar w:fldCharType="begin"/>
            </w:r>
            <w:r w:rsidRPr="00993C46">
              <w:rPr>
                <w:rFonts w:ascii="Times New Roman" w:hAnsi="Times New Roman" w:cs="Times New Roman"/>
                <w:noProof/>
                <w:webHidden/>
                <w:sz w:val="24"/>
                <w:szCs w:val="24"/>
              </w:rPr>
              <w:instrText xml:space="preserve"> PAGEREF _Toc152251566 \h </w:instrText>
            </w:r>
            <w:r w:rsidRPr="00993C46">
              <w:rPr>
                <w:rFonts w:ascii="Times New Roman" w:hAnsi="Times New Roman" w:cs="Times New Roman"/>
                <w:noProof/>
                <w:webHidden/>
                <w:sz w:val="24"/>
                <w:szCs w:val="24"/>
              </w:rPr>
            </w:r>
            <w:r w:rsidRPr="00993C46">
              <w:rPr>
                <w:rFonts w:ascii="Times New Roman" w:hAnsi="Times New Roman" w:cs="Times New Roman"/>
                <w:noProof/>
                <w:webHidden/>
                <w:sz w:val="24"/>
                <w:szCs w:val="24"/>
              </w:rPr>
              <w:fldChar w:fldCharType="separate"/>
            </w:r>
            <w:r w:rsidRPr="00993C46">
              <w:rPr>
                <w:rFonts w:ascii="Times New Roman" w:hAnsi="Times New Roman" w:cs="Times New Roman"/>
                <w:noProof/>
                <w:webHidden/>
                <w:sz w:val="24"/>
                <w:szCs w:val="24"/>
              </w:rPr>
              <w:t>3</w:t>
            </w:r>
            <w:r w:rsidRPr="00993C46">
              <w:rPr>
                <w:rFonts w:ascii="Times New Roman" w:hAnsi="Times New Roman" w:cs="Times New Roman"/>
                <w:noProof/>
                <w:webHidden/>
                <w:sz w:val="24"/>
                <w:szCs w:val="24"/>
              </w:rPr>
              <w:fldChar w:fldCharType="end"/>
            </w:r>
          </w:hyperlink>
        </w:p>
        <w:p w14:paraId="1FFC69E4"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67" w:history="1">
            <w:r w:rsidR="0004779A" w:rsidRPr="00993C46">
              <w:rPr>
                <w:rStyle w:val="Hyperlink"/>
                <w:rFonts w:ascii="Times New Roman" w:hAnsi="Times New Roman" w:cs="Times New Roman"/>
                <w:noProof/>
                <w:sz w:val="24"/>
                <w:szCs w:val="24"/>
              </w:rPr>
              <w:t>Detailed Narrative on Project Thinking</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_Toc152251567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3</w:t>
            </w:r>
            <w:r w:rsidR="0004779A" w:rsidRPr="00993C46">
              <w:rPr>
                <w:rFonts w:ascii="Times New Roman" w:hAnsi="Times New Roman" w:cs="Times New Roman"/>
                <w:noProof/>
                <w:webHidden/>
                <w:sz w:val="24"/>
                <w:szCs w:val="24"/>
              </w:rPr>
              <w:fldChar w:fldCharType="end"/>
            </w:r>
          </w:hyperlink>
        </w:p>
        <w:p w14:paraId="31772579"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68" w:history="1">
            <w:r w:rsidR="0004779A" w:rsidRPr="00993C46">
              <w:rPr>
                <w:rStyle w:val="Hyperlink"/>
                <w:rFonts w:ascii="Times New Roman" w:hAnsi="Times New Roman" w:cs="Times New Roman"/>
                <w:noProof/>
                <w:sz w:val="24"/>
                <w:szCs w:val="24"/>
              </w:rPr>
              <w:t xml:space="preserve">Success or Failure in the Future IT Sector of </w:t>
            </w:r>
            <w:r w:rsidR="0004779A">
              <w:rPr>
                <w:rStyle w:val="Hyperlink"/>
                <w:rFonts w:ascii="Times New Roman" w:hAnsi="Times New Roman" w:cs="Times New Roman"/>
                <w:noProof/>
                <w:sz w:val="24"/>
                <w:szCs w:val="24"/>
              </w:rPr>
              <w:t xml:space="preserve">the </w:t>
            </w:r>
            <w:r w:rsidR="0004779A" w:rsidRPr="00993C46">
              <w:rPr>
                <w:rStyle w:val="Hyperlink"/>
                <w:rFonts w:ascii="Times New Roman" w:hAnsi="Times New Roman" w:cs="Times New Roman"/>
                <w:noProof/>
                <w:sz w:val="24"/>
                <w:szCs w:val="24"/>
              </w:rPr>
              <w:t>UK with Reasons</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_Toc152251568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5</w:t>
            </w:r>
            <w:r w:rsidR="0004779A" w:rsidRPr="00993C46">
              <w:rPr>
                <w:rFonts w:ascii="Times New Roman" w:hAnsi="Times New Roman" w:cs="Times New Roman"/>
                <w:noProof/>
                <w:webHidden/>
                <w:sz w:val="24"/>
                <w:szCs w:val="24"/>
              </w:rPr>
              <w:fldChar w:fldCharType="end"/>
            </w:r>
          </w:hyperlink>
        </w:p>
        <w:p w14:paraId="42E55E09"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69" w:history="1">
            <w:r w:rsidR="0004779A" w:rsidRPr="00993C46">
              <w:rPr>
                <w:rStyle w:val="Hyperlink"/>
                <w:rFonts w:ascii="Times New Roman" w:hAnsi="Times New Roman" w:cs="Times New Roman"/>
                <w:noProof/>
                <w:sz w:val="24"/>
                <w:szCs w:val="24"/>
              </w:rPr>
              <w:t>Justification for Stance</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_Toc152251569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6</w:t>
            </w:r>
            <w:r w:rsidR="0004779A" w:rsidRPr="00993C46">
              <w:rPr>
                <w:rFonts w:ascii="Times New Roman" w:hAnsi="Times New Roman" w:cs="Times New Roman"/>
                <w:noProof/>
                <w:webHidden/>
                <w:sz w:val="24"/>
                <w:szCs w:val="24"/>
              </w:rPr>
              <w:fldChar w:fldCharType="end"/>
            </w:r>
          </w:hyperlink>
        </w:p>
        <w:p w14:paraId="74555941"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70" w:history="1">
            <w:r w:rsidR="0004779A" w:rsidRPr="00993C46">
              <w:rPr>
                <w:rStyle w:val="Hyperlink"/>
                <w:rFonts w:ascii="Times New Roman" w:hAnsi="Times New Roman" w:cs="Times New Roman"/>
                <w:noProof/>
                <w:sz w:val="24"/>
                <w:szCs w:val="24"/>
              </w:rPr>
              <w:t>Lessons Learned from the Project</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_Toc152251570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7</w:t>
            </w:r>
            <w:r w:rsidR="0004779A" w:rsidRPr="00993C46">
              <w:rPr>
                <w:rFonts w:ascii="Times New Roman" w:hAnsi="Times New Roman" w:cs="Times New Roman"/>
                <w:noProof/>
                <w:webHidden/>
                <w:sz w:val="24"/>
                <w:szCs w:val="24"/>
              </w:rPr>
              <w:fldChar w:fldCharType="end"/>
            </w:r>
          </w:hyperlink>
        </w:p>
        <w:p w14:paraId="094E1897"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71" w:history="1">
            <w:r w:rsidR="0004779A" w:rsidRPr="00993C46">
              <w:rPr>
                <w:rStyle w:val="Hyperlink"/>
                <w:rFonts w:ascii="Times New Roman" w:hAnsi="Times New Roman" w:cs="Times New Roman"/>
                <w:noProof/>
                <w:sz w:val="24"/>
                <w:szCs w:val="24"/>
              </w:rPr>
              <w:t>Recommendations</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_Toc152251571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8</w:t>
            </w:r>
            <w:r w:rsidR="0004779A" w:rsidRPr="00993C46">
              <w:rPr>
                <w:rFonts w:ascii="Times New Roman" w:hAnsi="Times New Roman" w:cs="Times New Roman"/>
                <w:noProof/>
                <w:webHidden/>
                <w:sz w:val="24"/>
                <w:szCs w:val="24"/>
              </w:rPr>
              <w:fldChar w:fldCharType="end"/>
            </w:r>
          </w:hyperlink>
        </w:p>
        <w:p w14:paraId="141203A4"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72" w:history="1">
            <w:r w:rsidR="0004779A" w:rsidRPr="00993C46">
              <w:rPr>
                <w:rStyle w:val="Hyperlink"/>
                <w:rFonts w:ascii="Times New Roman" w:hAnsi="Times New Roman" w:cs="Times New Roman"/>
                <w:noProof/>
                <w:sz w:val="24"/>
                <w:szCs w:val="24"/>
              </w:rPr>
              <w:t>Conclusions</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_Toc152251572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9</w:t>
            </w:r>
            <w:r w:rsidR="0004779A" w:rsidRPr="00993C46">
              <w:rPr>
                <w:rFonts w:ascii="Times New Roman" w:hAnsi="Times New Roman" w:cs="Times New Roman"/>
                <w:noProof/>
                <w:webHidden/>
                <w:sz w:val="24"/>
                <w:szCs w:val="24"/>
              </w:rPr>
              <w:fldChar w:fldCharType="end"/>
            </w:r>
          </w:hyperlink>
        </w:p>
        <w:p w14:paraId="1222798E" w14:textId="77777777" w:rsidR="0004779A" w:rsidRPr="00993C46" w:rsidRDefault="00000000" w:rsidP="0004779A">
          <w:pPr>
            <w:pStyle w:val="TOC1"/>
            <w:tabs>
              <w:tab w:val="right" w:leader="dot" w:pos="9350"/>
            </w:tabs>
            <w:spacing w:line="360" w:lineRule="auto"/>
            <w:rPr>
              <w:rFonts w:ascii="Times New Roman" w:hAnsi="Times New Roman" w:cs="Times New Roman"/>
              <w:noProof/>
              <w:sz w:val="24"/>
              <w:szCs w:val="24"/>
            </w:rPr>
          </w:pPr>
          <w:hyperlink w:anchor="_Toc152251573" w:history="1">
            <w:r w:rsidR="0004779A" w:rsidRPr="00993C46">
              <w:rPr>
                <w:rStyle w:val="Hyperlink"/>
                <w:rFonts w:ascii="Times New Roman" w:hAnsi="Times New Roman" w:cs="Times New Roman"/>
                <w:noProof/>
                <w:sz w:val="24"/>
                <w:szCs w:val="24"/>
              </w:rPr>
              <w:t>Reference List</w:t>
            </w:r>
            <w:r w:rsidR="0004779A" w:rsidRPr="00993C46">
              <w:rPr>
                <w:rFonts w:ascii="Times New Roman" w:hAnsi="Times New Roman" w:cs="Times New Roman"/>
                <w:noProof/>
                <w:webHidden/>
                <w:sz w:val="24"/>
                <w:szCs w:val="24"/>
              </w:rPr>
              <w:tab/>
            </w:r>
            <w:r w:rsidR="0004779A" w:rsidRPr="00993C46">
              <w:rPr>
                <w:rFonts w:ascii="Times New Roman" w:hAnsi="Times New Roman" w:cs="Times New Roman"/>
                <w:noProof/>
                <w:webHidden/>
                <w:sz w:val="24"/>
                <w:szCs w:val="24"/>
              </w:rPr>
              <w:fldChar w:fldCharType="begin"/>
            </w:r>
            <w:r w:rsidR="0004779A" w:rsidRPr="00993C46">
              <w:rPr>
                <w:rFonts w:ascii="Times New Roman" w:hAnsi="Times New Roman" w:cs="Times New Roman"/>
                <w:noProof/>
                <w:webHidden/>
                <w:sz w:val="24"/>
                <w:szCs w:val="24"/>
              </w:rPr>
              <w:instrText xml:space="preserve"> PAGEREF _Toc152251573 \h </w:instrText>
            </w:r>
            <w:r w:rsidR="0004779A" w:rsidRPr="00993C46">
              <w:rPr>
                <w:rFonts w:ascii="Times New Roman" w:hAnsi="Times New Roman" w:cs="Times New Roman"/>
                <w:noProof/>
                <w:webHidden/>
                <w:sz w:val="24"/>
                <w:szCs w:val="24"/>
              </w:rPr>
            </w:r>
            <w:r w:rsidR="0004779A" w:rsidRPr="00993C46">
              <w:rPr>
                <w:rFonts w:ascii="Times New Roman" w:hAnsi="Times New Roman" w:cs="Times New Roman"/>
                <w:noProof/>
                <w:webHidden/>
                <w:sz w:val="24"/>
                <w:szCs w:val="24"/>
              </w:rPr>
              <w:fldChar w:fldCharType="separate"/>
            </w:r>
            <w:r w:rsidR="0004779A" w:rsidRPr="00993C46">
              <w:rPr>
                <w:rFonts w:ascii="Times New Roman" w:hAnsi="Times New Roman" w:cs="Times New Roman"/>
                <w:noProof/>
                <w:webHidden/>
                <w:sz w:val="24"/>
                <w:szCs w:val="24"/>
              </w:rPr>
              <w:t>10</w:t>
            </w:r>
            <w:r w:rsidR="0004779A" w:rsidRPr="00993C46">
              <w:rPr>
                <w:rFonts w:ascii="Times New Roman" w:hAnsi="Times New Roman" w:cs="Times New Roman"/>
                <w:noProof/>
                <w:webHidden/>
                <w:sz w:val="24"/>
                <w:szCs w:val="24"/>
              </w:rPr>
              <w:fldChar w:fldCharType="end"/>
            </w:r>
          </w:hyperlink>
        </w:p>
        <w:p w14:paraId="4F9E014B" w14:textId="77777777" w:rsidR="0004779A" w:rsidRDefault="0004779A" w:rsidP="0004779A">
          <w:pPr>
            <w:spacing w:line="360" w:lineRule="auto"/>
          </w:pPr>
          <w:r w:rsidRPr="00993C46">
            <w:rPr>
              <w:rFonts w:ascii="Times New Roman" w:hAnsi="Times New Roman" w:cs="Times New Roman"/>
              <w:sz w:val="24"/>
              <w:szCs w:val="24"/>
            </w:rPr>
            <w:fldChar w:fldCharType="end"/>
          </w:r>
        </w:p>
      </w:sdtContent>
    </w:sdt>
    <w:p w14:paraId="7BA489BC" w14:textId="77777777" w:rsidR="0004779A" w:rsidRDefault="0004779A" w:rsidP="0004779A">
      <w:pPr>
        <w:pStyle w:val="Normal1"/>
        <w:spacing w:line="360" w:lineRule="auto"/>
        <w:jc w:val="right"/>
        <w:rPr>
          <w:rFonts w:ascii="Times New Roman" w:eastAsia="Times New Roman" w:hAnsi="Times New Roman" w:cs="Times New Roman"/>
          <w:b/>
          <w:sz w:val="28"/>
          <w:szCs w:val="28"/>
        </w:rPr>
      </w:pPr>
      <w:r>
        <w:br w:type="page"/>
      </w:r>
    </w:p>
    <w:p w14:paraId="7244FC49" w14:textId="77777777" w:rsidR="0004779A" w:rsidRDefault="0004779A" w:rsidP="0004779A">
      <w:pPr>
        <w:pStyle w:val="Heading1"/>
        <w:rPr>
          <w:highlight w:val="yellow"/>
        </w:rPr>
      </w:pPr>
      <w:bookmarkStart w:id="0" w:name="_Toc152251566"/>
      <w:r>
        <w:lastRenderedPageBreak/>
        <w:t>Introduction</w:t>
      </w:r>
      <w:bookmarkEnd w:id="0"/>
    </w:p>
    <w:p w14:paraId="5B8F7A9F"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emergence of Google's ambitious HQ project, the construction of its headquarters in London, stands as a vital moment in the realm of the UK's IT industry. This project, a substantial investment within infrastructure and innovation, aimed to redefine workspace architecture, integrating cutting-edge design along with futuristic technological innovations. Google's London headquarters promised not only an architectural marvel but also a sign of advanced innovation and technology with corporate innovation in the heart of the city (Raimi, 2020). This evaluation of this project's influence on the UK’s IT industry is paramount, delving into the core impacts it bears for this same sector’s future trajectory. This study seeks to assess this Google Headquarters project from a multifaceted perception, interpreting its key role as a catalyst for technological evolution, its capacity to impact workspace paradigms, as well as its wider impacts on the UK’s competitive advantage within this global tech environment (Raimi, 2020). By investigating crucial success and potential shortcomings of this project, the evaluation will direct through the nuances of its incorporation, portraying conclusions on whether it stands as a resounding success or points to challenges and issues that might also influence the future course of the UK's IT industry at the same pivotal point. </w:t>
      </w:r>
    </w:p>
    <w:p w14:paraId="2A601A94" w14:textId="77777777" w:rsidR="0004779A" w:rsidRDefault="0004779A" w:rsidP="0004779A">
      <w:pPr>
        <w:pStyle w:val="Heading1"/>
      </w:pPr>
      <w:bookmarkStart w:id="1" w:name="_Toc152251567"/>
      <w:r>
        <w:t>Detailed Narrative on Project Thinking</w:t>
      </w:r>
      <w:bookmarkEnd w:id="1"/>
    </w:p>
    <w:p w14:paraId="43E85A0F"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London has mainly embodied a bold vision aimed at redefining conventional workplaces by amalgamating architectural technology as well as </w:t>
      </w:r>
      <w:proofErr w:type="spellStart"/>
      <w:r>
        <w:rPr>
          <w:rFonts w:ascii="Times New Roman" w:eastAsia="Times New Roman" w:hAnsi="Times New Roman" w:cs="Times New Roman"/>
          <w:sz w:val="24"/>
          <w:szCs w:val="24"/>
        </w:rPr>
        <w:t>innovational</w:t>
      </w:r>
      <w:proofErr w:type="spellEnd"/>
      <w:r>
        <w:rPr>
          <w:rFonts w:ascii="Times New Roman" w:eastAsia="Times New Roman" w:hAnsi="Times New Roman" w:cs="Times New Roman"/>
          <w:sz w:val="24"/>
          <w:szCs w:val="24"/>
        </w:rPr>
        <w:t xml:space="preserve"> prowess. This campaign has also reflected Google's dedication to nurturing a landscape conducive to creativity, passion, engagement, productivity, and profitability. This organization’s forward-thinking business aspect is highly evident within these design ideas, intending to induce such a harmonious blend of nature, technological advancements, and staff health with their well-being (De Medici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The project envisioned an architectural marvel, featuring state-of-the-art amenities as well as sustainable infrastructure. It has also emphasized sustainable solutions, integrating, and applying renewable energy sources along with environment-friendly plans to minimize its carbon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footprint in the environment. Google's focus on business upon sustainability aligns properly with this emerging international emphasis on environmental consciousness, setting a precedent for future corporate and business projects at the same vital point (De Medici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t>
      </w:r>
    </w:p>
    <w:p w14:paraId="43D3D76D"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Moreover, it has also been seen that the implementation of cutting-edge innovations in the workplace of Google has also demonstrated the same company’s right intent to leverage technology for increasing employee experiences and journey. Advanced technological components have also been integrated and applied in such a hassle-free manner, which has also nurtured a business and market landscape which is also highly conducive to further engagement as well as productivity with business profitability altogether (Cartwright, 2020). It has also been explored that this same project design’s strong emphasis on open and inclusive workspaces, and recreational areas, as well as the implementation of smart technologies and innovations aimed to optimize workflows and improve creativity and enhanced passion among all employees and workers at the same time. In contrast, it has also been argued that despite its </w:t>
      </w:r>
      <w:proofErr w:type="spellStart"/>
      <w:r>
        <w:rPr>
          <w:rFonts w:ascii="Times New Roman" w:eastAsia="Times New Roman" w:hAnsi="Times New Roman" w:cs="Times New Roman"/>
          <w:sz w:val="24"/>
          <w:szCs w:val="24"/>
        </w:rPr>
        <w:t>groundbreaking</w:t>
      </w:r>
      <w:proofErr w:type="spellEnd"/>
      <w:r>
        <w:rPr>
          <w:rFonts w:ascii="Times New Roman" w:eastAsia="Times New Roman" w:hAnsi="Times New Roman" w:cs="Times New Roman"/>
          <w:sz w:val="24"/>
          <w:szCs w:val="24"/>
        </w:rPr>
        <w:t xml:space="preserve"> vision, the project has also experienced scrutiny and scepticism. Concerns and issues have also been raised related to the project's exorbitant expenditures as well as the potential impact on the local community (Cartwright, 2020). In addition to this, it has also been said that the expansion of this same project along with its transformational nature brought forth challenges and issues in urban planning, traffic management, as well as community integration. Some critics have also queried about this same project’s support in exacerbating housing affordability problems and gentrification in this same vicinity. </w:t>
      </w:r>
    </w:p>
    <w:p w14:paraId="30FC529B"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it has also been found that this same Google Headquarters project in London, UK has also been considered a right testament to technology, innovation, and vision. Additionally, it has also signalled a sudden paradigm shift in workspace design as well as innovation integration and application. Its strong emphasis on sustainability, technological advancement, and employee-centric design has mainly illuminated a progressive outlook and environment, which has also potentially developed such a standard benchmark for future corporate and project ventures in the same IT industry (Ma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This project’s success or failure might also induce an inevitable impact relying upon its right potential to resolve challenges and issues while leveraging its innovative components to induce a positive implication for both the IT industry and the local communities with a diverse range of positive outcomes and benefits or advantages at the same time. </w:t>
      </w:r>
    </w:p>
    <w:p w14:paraId="5AF9CE43" w14:textId="77777777" w:rsidR="0004779A" w:rsidRDefault="0004779A" w:rsidP="0004779A">
      <w:pPr>
        <w:pStyle w:val="Heading1"/>
      </w:pPr>
      <w:bookmarkStart w:id="2" w:name="_Toc152251568"/>
      <w:r>
        <w:lastRenderedPageBreak/>
        <w:t>Success or Failure in the Future IT Sector of UK with Reasons</w:t>
      </w:r>
      <w:bookmarkEnd w:id="2"/>
    </w:p>
    <w:p w14:paraId="3C6AC4E5"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London has demonstrated a vital venture that might highly impact the future trajectory of the IT industry in the UK. Evaluating its influence includes delving into multiple facets encompassing technological innovation, economic impact, employment dynamics, as well as wider industry implications. About technological innovation, this project has stood as a beacon of cutting-edge integration and application. Its strong emphasis on advanced infrastructure and systems, smart innovations, as well as sustainable designs has mainly exemplified a sudden paradigm shift in how innovation has been implemented in such workplaces (Ma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The adoption and use of innovative design components might also potentially serve as a blueprint for upcoming IT infrastructure projects in the UK, which has also nurtured a rich culture of technology with enhanced sustainability. </w:t>
      </w:r>
    </w:p>
    <w:p w14:paraId="671055E3"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from an economic standpoint, this same HQ project’s magnitude has also been poised to support substantially the UK's economy. The core influx of investments, employment creation, and the stimulation of ancillary sectors have been anticipated outcomes and findings (Russell, 2023). The direct and indirect economic advantages, ranging from enhanced property values to increased local business opportunities, might also accelerate a ripple impact, which has also amplified the growth and development prospects of the IT industry in the same nation. Moreover, the project's focus on employee-oriented design and nurturing a conducive workplace can set a precedent for talent retention and attraction in the UK's IT landscape. This implementation of collaborative workplaces, wellness amenities, as well as state-of-the-art technology might also potentially elevate the UK's appeal as a core hub for tech talent, consequently improving this nation’s design in the global tech sector (Russell, 2023). </w:t>
      </w:r>
    </w:p>
    <w:p w14:paraId="78BBD75A"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contrast, it has also been argued that challenges, issues, and potential downsides should also be addressed properly. Additionally, this same project’s massive scale and transformational nature have also raised several concerns and problems related to its long-term influence on the regional community. Issues and challenges regarding housing affordability, displacement of current residents, and high strain on regional infrastructure have been voiced. Considering these same social as well as infrastructural concerns will also become crucial for ensuring and delivering this project’s success and resolving its adverse impacts on this wider community base and network (Cristea and Leonardi, 2019). While assessing this same multifaceted impact, the Google Headquarters project in the field of London might also induce a potential impact on such a success </w:t>
      </w:r>
      <w:r>
        <w:rPr>
          <w:rFonts w:ascii="Times New Roman" w:eastAsia="Times New Roman" w:hAnsi="Times New Roman" w:cs="Times New Roman"/>
          <w:sz w:val="24"/>
          <w:szCs w:val="24"/>
        </w:rPr>
        <w:lastRenderedPageBreak/>
        <w:t xml:space="preserve">for the same IT sector of the UK. In addition to this, it has also been observed that its </w:t>
      </w:r>
      <w:proofErr w:type="spellStart"/>
      <w:r>
        <w:rPr>
          <w:rFonts w:ascii="Times New Roman" w:eastAsia="Times New Roman" w:hAnsi="Times New Roman" w:cs="Times New Roman"/>
          <w:sz w:val="24"/>
          <w:szCs w:val="24"/>
        </w:rPr>
        <w:t>groundbreaking</w:t>
      </w:r>
      <w:proofErr w:type="spellEnd"/>
      <w:r>
        <w:rPr>
          <w:rFonts w:ascii="Times New Roman" w:eastAsia="Times New Roman" w:hAnsi="Times New Roman" w:cs="Times New Roman"/>
          <w:sz w:val="24"/>
          <w:szCs w:val="24"/>
        </w:rPr>
        <w:t xml:space="preserve"> technological integration and applications, economic prospects, as well as right potential and capacity for shaping work culture align properly with these ever-changing demands and expectations of the same IT sector in the UK. However, it has also been reflected that this success might only be understood through such a concerted effort to consider those same socio-economic challenges and issues faced, emphasize sustainable practices and solutions, as well as nurture open and inclusive growth with development at the same place. Additionally, it has also delivered and ensured that this headquarters project’s key benefits and advantages have also been expanded beyond corporate boundaries to induce a positive influence on this wider society and the future of the UK's IT business environment with major possibilities and chances in the same project management context (Cristea and Leonardi, 2019). </w:t>
      </w:r>
    </w:p>
    <w:p w14:paraId="59419B7E" w14:textId="77777777" w:rsidR="0004779A" w:rsidRDefault="0004779A" w:rsidP="0004779A">
      <w:pPr>
        <w:pStyle w:val="Heading1"/>
      </w:pPr>
      <w:bookmarkStart w:id="3" w:name="_Toc152251569"/>
      <w:r>
        <w:t>Justification for Stance</w:t>
      </w:r>
      <w:bookmarkEnd w:id="3"/>
      <w:r>
        <w:t xml:space="preserve"> </w:t>
      </w:r>
    </w:p>
    <w:p w14:paraId="44F71E18"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justification for deeming the Google Headquarters project in London as a resounding success for the future of the IT sector of the UK is rooted in a detailed evaluation of its multifaceted contributions as well as strategic alignment with the dynamics of the industry.</w:t>
      </w:r>
    </w:p>
    <w:p w14:paraId="574A5915"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the substantial budget allocated to the project serves as a strategic investment in the growth as well as vibrancy of the IT industry. The infusion of one billion pounds along with stimulating economic activity through job creation, local business engagement, and supplier partnerships, also positions the UK as a key player in the global technology landscape (Silvius and Schipper, 2020). This financial commitment goes beyond the immediate project which lays the groundwork for sustained innovation and technological advancements.</w:t>
      </w:r>
    </w:p>
    <w:p w14:paraId="5A4856B7"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efficiency emerges as another critical factor which is justifying the success of the project. The IT sector is characterized by rapid advancements, where the ability to swiftly adapt to new technologies as well as market trends is significant. The adherence of the project to the planned schedule and proactive adjustments reflects an acute understanding of the dynamic nature of the industry (Lock, 2020). This efficiency ensures that the new headquarters can be operationalized swiftly, which can provide Google with a competitive edge in adopting and implementing emerging technologies.</w:t>
      </w:r>
    </w:p>
    <w:p w14:paraId="24338D63"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 standards are non-negotiable in an industry like technology which is driven by innovation and cutting-edge technologies. The commitment to high-quality construction not only ensures a </w:t>
      </w:r>
      <w:r>
        <w:rPr>
          <w:rFonts w:ascii="Times New Roman" w:eastAsia="Times New Roman" w:hAnsi="Times New Roman" w:cs="Times New Roman"/>
          <w:sz w:val="24"/>
          <w:szCs w:val="24"/>
        </w:rPr>
        <w:lastRenderedPageBreak/>
        <w:t>visually striking headquarters along with that it also sets a benchmark for excellence in the IT sector. This commitment resonates with global standards which help in attracting talent and investments to the UK's technology hub. The quality of infrastructure is foundational to the success of the IT sector, due to the reason it reflects a dedication to providing a conducive environment for technological advancements (</w:t>
      </w:r>
      <w:proofErr w:type="spellStart"/>
      <w:r>
        <w:rPr>
          <w:rFonts w:ascii="Times New Roman" w:eastAsia="Times New Roman" w:hAnsi="Times New Roman" w:cs="Times New Roman"/>
          <w:sz w:val="24"/>
          <w:szCs w:val="24"/>
        </w:rPr>
        <w:t>Ciric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Lalic</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68C3DFCF"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engagement further fortifies the argument for success regarding that, the positive relationships forged with government bodies, local communities, and internal stakeholders create a collaborative ecosystem which is critical for a company for faster growth. Government support, community goodwill, and internal cohesion contribute to the success of the project along with that it also lays the groundwork for a positive environment for future IT endeavours. Stakeholder engagement is essential for sustained growth, as positive relationships with diverse entities contribute to a supportive ecosystem for the innovation of technology.</w:t>
      </w:r>
    </w:p>
    <w:p w14:paraId="3D6E0807"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risk mitigation strategies essentially demonstrate a proactive approach to challenges regarding the identification and addressing of potential risks positioning the project as a model for the initiatives of future IT (Silvius and Schipper, 2020). In the dynamic landscape of construction and technology integration, this resilience against uncertainties becomes a pivotal element for success. The ability to foresee and navigate challenges reflects a mature understanding of the complexities that are inherent in large-scale IT projects.</w:t>
      </w:r>
    </w:p>
    <w:p w14:paraId="4136C9BD"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the success of the Google Headquarters project is justified by its holistic contributions to economic growth, technological advancement, as well as societal well-being. The project serves as a beacon for the future of the IT sector of the UK which embodies principles of innovation, efficiency, and collaboration (</w:t>
      </w:r>
      <w:proofErr w:type="spellStart"/>
      <w:r>
        <w:rPr>
          <w:rFonts w:ascii="Times New Roman" w:eastAsia="Times New Roman" w:hAnsi="Times New Roman" w:cs="Times New Roman"/>
          <w:sz w:val="24"/>
          <w:szCs w:val="24"/>
        </w:rPr>
        <w:t>Ciric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Lalic</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The strategic alignment of budget, time efficiency, quality standards, stakeholder engagement, and risk mitigation positions the project as a catalyst for continued growth in the ever-evolving, dynamic and competitive field of IT.</w:t>
      </w:r>
    </w:p>
    <w:p w14:paraId="6DE61F4A" w14:textId="77777777" w:rsidR="0004779A" w:rsidRDefault="0004779A" w:rsidP="0004779A">
      <w:pPr>
        <w:pStyle w:val="Heading1"/>
      </w:pPr>
      <w:bookmarkStart w:id="4" w:name="_Toc152251570"/>
      <w:r>
        <w:t>Lessons Learned from the Project</w:t>
      </w:r>
      <w:bookmarkEnd w:id="4"/>
      <w:r>
        <w:t xml:space="preserve"> </w:t>
      </w:r>
    </w:p>
    <w:p w14:paraId="304B4C99"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Google Headquarters project in London imparts valuable lessons for future large-scale projects of IT. Firstly, meticulous budget management is pivotal, in that regard, Allocation of resources in alignment with the scale and vision of the project ensures financial transparency and accountability (</w:t>
      </w:r>
      <w:r>
        <w:rPr>
          <w:rFonts w:ascii="Times New Roman" w:eastAsia="Times New Roman" w:hAnsi="Times New Roman" w:cs="Times New Roman"/>
          <w:color w:val="222222"/>
          <w:sz w:val="24"/>
          <w:szCs w:val="24"/>
          <w:highlight w:val="white"/>
        </w:rPr>
        <w:t>Klein and Müller, 2020)</w:t>
      </w:r>
      <w:r>
        <w:rPr>
          <w:rFonts w:ascii="Times New Roman" w:eastAsia="Times New Roman" w:hAnsi="Times New Roman" w:cs="Times New Roman"/>
          <w:sz w:val="24"/>
          <w:szCs w:val="24"/>
        </w:rPr>
        <w:t xml:space="preserve">. It underscores the cruciality of aligning financial </w:t>
      </w:r>
      <w:r>
        <w:rPr>
          <w:rFonts w:ascii="Times New Roman" w:eastAsia="Times New Roman" w:hAnsi="Times New Roman" w:cs="Times New Roman"/>
          <w:sz w:val="24"/>
          <w:szCs w:val="24"/>
        </w:rPr>
        <w:lastRenderedPageBreak/>
        <w:t>commitments with the expansive vision of a project which helps in stimulating economic activity and position the region as a global technology hub.</w:t>
      </w:r>
    </w:p>
    <w:p w14:paraId="53C66704"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time efficiency is significant in the ever evolving and dynamic landscape of information technology. The adherence of the project to the planned schedule and proactive adjustments essentially highlights the cruciality of realistic scheduling and adaptability. Swift operationalization of the new headquarters is pivotal in a sector where to maintain a competitive edge timing is a decisive factor (Silvius and Schipper, 2020).</w:t>
      </w:r>
    </w:p>
    <w:p w14:paraId="7D6AF1B2"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maintaining stringent quality standards is a non-negotiable aspect. The emphasis on high-quality construction sets a benchmark and standard for excellence in the IT industry. It underscores the cruciality of constructing technology infrastructure which not only meets as well as exceeds industry standards but helps in attracting talent and investments to support long-term growth.</w:t>
      </w:r>
    </w:p>
    <w:p w14:paraId="0AC7336D"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effective risk management is a key takeaway, in this regard identification as well as addressing potential risks proactively ensures resilience against uncertainties and unforeseen situations (Lock, 2020). This lesson underscores the essentialness of thorough risk assessments and robust contingency plans in the dynamic landscape of large-scale IT projects. The ability of the project to anticipate as well as address challenges positions it as a model for future endeavours which emphasizes the need for adaptability and proactive risk management in the ever-changing realm of IT.</w:t>
      </w:r>
    </w:p>
    <w:p w14:paraId="170C9685" w14:textId="77777777" w:rsidR="0004779A" w:rsidRDefault="0004779A" w:rsidP="0004779A">
      <w:pPr>
        <w:pStyle w:val="Heading1"/>
      </w:pPr>
      <w:bookmarkStart w:id="5" w:name="_Toc152251571"/>
      <w:r>
        <w:t>Recommendations</w:t>
      </w:r>
      <w:bookmarkEnd w:id="5"/>
      <w:r>
        <w:t xml:space="preserve"> </w:t>
      </w:r>
    </w:p>
    <w:p w14:paraId="58F72F73"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lessons learned from the Google Headquarters project, several key recommendations can guide future large-scale IT projects, fostering success and sustainability.</w:t>
      </w:r>
    </w:p>
    <w:p w14:paraId="1DE44564" w14:textId="77777777" w:rsidR="0004779A" w:rsidRDefault="0004779A" w:rsidP="0004779A">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and foremost, transparent communication with stakeholders needs to be prioritized. Building positive relationships with government bodies, local communities, and internal stakeholders is pivotal for the success of the project. Clear as well as consistent communication fosters an environment of collaboration and trust which essentially contributes to a positive project environment.</w:t>
      </w:r>
    </w:p>
    <w:p w14:paraId="5946D568" w14:textId="77777777" w:rsidR="0004779A" w:rsidRDefault="0004779A" w:rsidP="0004779A">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Prioritizing quality standards is imperative, future IT projects need to commit to excellence in construction and technology implementation which ensures that the infrastructure meets or exceeds industry standards. This commitment not only enhances the visual appeal of the project along with that it also contributes to its long-term functionality and resilience in </w:t>
      </w:r>
      <w:r>
        <w:rPr>
          <w:rFonts w:ascii="Times New Roman" w:eastAsia="Times New Roman" w:hAnsi="Times New Roman" w:cs="Times New Roman"/>
          <w:sz w:val="24"/>
          <w:szCs w:val="24"/>
        </w:rPr>
        <w:lastRenderedPageBreak/>
        <w:t>this regard investing in quality sets the groundwork for sustained success and continuous development in the competitive IT landscape (</w:t>
      </w:r>
      <w:proofErr w:type="spellStart"/>
      <w:r>
        <w:rPr>
          <w:rFonts w:ascii="Times New Roman" w:eastAsia="Times New Roman" w:hAnsi="Times New Roman" w:cs="Times New Roman"/>
          <w:sz w:val="24"/>
          <w:szCs w:val="24"/>
        </w:rPr>
        <w:t>Ciric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Lalic</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0D75ECF2" w14:textId="77777777" w:rsidR="0004779A" w:rsidRDefault="0004779A" w:rsidP="0004779A">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Proactive risk management needs to be integrated into project planning, thorough risk assessments, continuous monitoring, and robust contingency plans are pivotal for navigating the uncertainties inherent in large-scale IT projects. By identifying and addressing potential risks early, projects can enhance their resilience and adaptability, which essentially minimizes the impact of unforeseen challenges.</w:t>
      </w:r>
    </w:p>
    <w:p w14:paraId="000FC48D" w14:textId="77777777" w:rsidR="0004779A" w:rsidRDefault="0004779A" w:rsidP="0004779A">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from the Google Headquarters project, future endeavours need to prioritize adaptability, in this regard designing frameworks that can accommodate emerging technologies and market trends ensures that the project remains relevant and competitive in the dynamic IT landscape. Flexibility in design as well as implementation is essential for navigating the ever-evolving technology industry (</w:t>
      </w:r>
      <w:proofErr w:type="spellStart"/>
      <w:r>
        <w:rPr>
          <w:rFonts w:ascii="Times New Roman" w:eastAsia="Times New Roman" w:hAnsi="Times New Roman" w:cs="Times New Roman"/>
          <w:sz w:val="24"/>
          <w:szCs w:val="24"/>
        </w:rPr>
        <w:t>Jääskä</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77F41762" w14:textId="77777777" w:rsidR="0004779A" w:rsidRDefault="0004779A" w:rsidP="0004779A">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evaluation as well as adjustments to the project plan is pivotal in this aspect, regular assessments of budget allocations, timelines, and quality standards enable proactive interventions. A dynamic and iterative approach to project management allows for timely adjustments which ensure that the project remains aligned with its objectives and industry standards (Klein and Müller, 2020).</w:t>
      </w:r>
    </w:p>
    <w:p w14:paraId="6A31F35A" w14:textId="77777777" w:rsidR="0004779A" w:rsidRDefault="0004779A" w:rsidP="0004779A">
      <w:pPr>
        <w:pStyle w:val="Heading1"/>
      </w:pPr>
      <w:bookmarkStart w:id="6" w:name="_Toc152251572"/>
      <w:r>
        <w:t>Conclusions</w:t>
      </w:r>
      <w:bookmarkEnd w:id="6"/>
      <w:r>
        <w:t xml:space="preserve"> </w:t>
      </w:r>
    </w:p>
    <w:p w14:paraId="1951A8C7" w14:textId="77777777" w:rsidR="0004779A" w:rsidRDefault="0004779A" w:rsidP="0004779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can be concluded that the Google Headquarters project in London stands as a beacon for the future of the IT sector in the UK. Its meticulous budget management, time efficiency, commitment to quality, stakeholder engagement, as well as effective risk mitigation strategies collectively position it as a catalyst for innovation and growth, it also ensures them a greater competitive edge in the market. The lessons learned as well as recommendations provided serve as a roadmap for future IT projects which emphasize the cruciality of transparency, quality, adaptability, and proactive risk management. As the project nears completion, it leaves an indelible mark on the landscape of technology as well as sets a high standard for excellence in the IT industry of the UK.</w:t>
      </w:r>
    </w:p>
    <w:p w14:paraId="6CC48F0A" w14:textId="77777777" w:rsidR="0004779A" w:rsidRDefault="0004779A" w:rsidP="0004779A">
      <w:pPr>
        <w:pStyle w:val="Normal1"/>
        <w:spacing w:line="360" w:lineRule="auto"/>
        <w:jc w:val="both"/>
        <w:rPr>
          <w:rFonts w:ascii="Times New Roman" w:eastAsia="Times New Roman" w:hAnsi="Times New Roman" w:cs="Times New Roman"/>
          <w:b/>
          <w:sz w:val="24"/>
          <w:szCs w:val="24"/>
        </w:rPr>
      </w:pPr>
      <w:r>
        <w:br w:type="page"/>
      </w:r>
    </w:p>
    <w:p w14:paraId="4BB06E0A" w14:textId="77777777" w:rsidR="0004779A" w:rsidRDefault="0004779A" w:rsidP="0004779A">
      <w:pPr>
        <w:pStyle w:val="Heading1"/>
      </w:pPr>
      <w:bookmarkStart w:id="7" w:name="_Toc152251573"/>
      <w:r>
        <w:lastRenderedPageBreak/>
        <w:t>Reference List</w:t>
      </w:r>
      <w:bookmarkEnd w:id="7"/>
      <w:r>
        <w:t xml:space="preserve"> </w:t>
      </w:r>
    </w:p>
    <w:p w14:paraId="4A7A55C4" w14:textId="6AB64A69"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Cartwright, M., 2020. Internationalising state power through the internet: Google, Huawei, and geopolitical struggle. </w:t>
      </w:r>
      <w:r>
        <w:rPr>
          <w:rFonts w:ascii="Times New Roman" w:eastAsia="Times New Roman" w:hAnsi="Times New Roman" w:cs="Times New Roman"/>
          <w:i/>
          <w:sz w:val="24"/>
          <w:szCs w:val="24"/>
          <w:highlight w:val="white"/>
        </w:rPr>
        <w:t>Internet Policy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 xml:space="preserve">(3), pp.1-18. </w:t>
      </w:r>
    </w:p>
    <w:p w14:paraId="52391BC4"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Ciric</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Lalic</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Lalic</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Delić</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Gracanin</w:t>
      </w:r>
      <w:proofErr w:type="spellEnd"/>
      <w:r>
        <w:rPr>
          <w:rFonts w:ascii="Times New Roman" w:eastAsia="Times New Roman" w:hAnsi="Times New Roman" w:cs="Times New Roman"/>
          <w:color w:val="222222"/>
          <w:sz w:val="24"/>
          <w:szCs w:val="24"/>
          <w:highlight w:val="white"/>
        </w:rPr>
        <w:t xml:space="preserve">, D. and Stefanovic, D., 2022. How project management approach impact project success? From traditional to agile. </w:t>
      </w:r>
      <w:r>
        <w:rPr>
          <w:rFonts w:ascii="Times New Roman" w:eastAsia="Times New Roman" w:hAnsi="Times New Roman" w:cs="Times New Roman"/>
          <w:i/>
          <w:color w:val="222222"/>
          <w:sz w:val="24"/>
          <w:szCs w:val="24"/>
          <w:highlight w:val="white"/>
        </w:rPr>
        <w:t>International Journal of Managing Projects in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(3), pp.494-521.</w:t>
      </w:r>
    </w:p>
    <w:p w14:paraId="73EB06B1" w14:textId="77777777"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Cristea, I.C. and Leonardi, P.M., 2019. Get noticed and die trying: Signals, sacrifice, and the production of face time in distributed work. </w:t>
      </w:r>
      <w:r>
        <w:rPr>
          <w:rFonts w:ascii="Times New Roman" w:eastAsia="Times New Roman" w:hAnsi="Times New Roman" w:cs="Times New Roman"/>
          <w:i/>
          <w:sz w:val="24"/>
          <w:szCs w:val="24"/>
          <w:highlight w:val="white"/>
        </w:rPr>
        <w:t>Organization Science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 xml:space="preserve">(3), pp.552-572. </w:t>
      </w:r>
    </w:p>
    <w:p w14:paraId="1A6CA200" w14:textId="77777777"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 Medici, S., De Toro, P. and </w:t>
      </w:r>
      <w:proofErr w:type="spellStart"/>
      <w:r>
        <w:rPr>
          <w:rFonts w:ascii="Times New Roman" w:eastAsia="Times New Roman" w:hAnsi="Times New Roman" w:cs="Times New Roman"/>
          <w:sz w:val="24"/>
          <w:szCs w:val="24"/>
          <w:highlight w:val="white"/>
        </w:rPr>
        <w:t>Nocca</w:t>
      </w:r>
      <w:proofErr w:type="spellEnd"/>
      <w:r>
        <w:rPr>
          <w:rFonts w:ascii="Times New Roman" w:eastAsia="Times New Roman" w:hAnsi="Times New Roman" w:cs="Times New Roman"/>
          <w:sz w:val="24"/>
          <w:szCs w:val="24"/>
          <w:highlight w:val="white"/>
        </w:rPr>
        <w:t xml:space="preserve">, F., 2019. Cultural heritage and sustainable development: Impact assessment of two adaptive reuse projects in </w:t>
      </w:r>
      <w:proofErr w:type="spellStart"/>
      <w:r>
        <w:rPr>
          <w:rFonts w:ascii="Times New Roman" w:eastAsia="Times New Roman" w:hAnsi="Times New Roman" w:cs="Times New Roman"/>
          <w:sz w:val="24"/>
          <w:szCs w:val="24"/>
          <w:highlight w:val="white"/>
        </w:rPr>
        <w:t>Siracusa</w:t>
      </w:r>
      <w:proofErr w:type="spellEnd"/>
      <w:r>
        <w:rPr>
          <w:rFonts w:ascii="Times New Roman" w:eastAsia="Times New Roman" w:hAnsi="Times New Roman" w:cs="Times New Roman"/>
          <w:sz w:val="24"/>
          <w:szCs w:val="24"/>
          <w:highlight w:val="white"/>
        </w:rPr>
        <w:t xml:space="preserve">, Sicily.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(1), p.311. </w:t>
      </w:r>
    </w:p>
    <w:p w14:paraId="548F8A7A"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Jääskä</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Lehtinen</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Kujala</w:t>
      </w:r>
      <w:proofErr w:type="spellEnd"/>
      <w:r>
        <w:rPr>
          <w:rFonts w:ascii="Times New Roman" w:eastAsia="Times New Roman" w:hAnsi="Times New Roman" w:cs="Times New Roman"/>
          <w:color w:val="222222"/>
          <w:sz w:val="24"/>
          <w:szCs w:val="24"/>
          <w:highlight w:val="white"/>
        </w:rPr>
        <w:t xml:space="preserve">, J. and Kauppila, O., 2022. Game-based learning and students’ motivation in project management education. </w:t>
      </w:r>
      <w:r>
        <w:rPr>
          <w:rFonts w:ascii="Times New Roman" w:eastAsia="Times New Roman" w:hAnsi="Times New Roman" w:cs="Times New Roman"/>
          <w:i/>
          <w:color w:val="222222"/>
          <w:sz w:val="24"/>
          <w:szCs w:val="24"/>
          <w:highlight w:val="white"/>
        </w:rPr>
        <w:t>Project Leadership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p.100055.</w:t>
      </w:r>
    </w:p>
    <w:p w14:paraId="21C0582B"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Klein, G. and Müller, R., 2020. Literature Review Expectations of Project Management Journal®. </w:t>
      </w:r>
      <w:r>
        <w:rPr>
          <w:rFonts w:ascii="Times New Roman" w:eastAsia="Times New Roman" w:hAnsi="Times New Roman" w:cs="Times New Roman"/>
          <w:i/>
          <w:color w:val="222222"/>
          <w:sz w:val="24"/>
          <w:szCs w:val="24"/>
          <w:highlight w:val="white"/>
        </w:rPr>
        <w:t>Project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(3), pp.239-241.</w:t>
      </w:r>
    </w:p>
    <w:p w14:paraId="6B032809"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Lock, D., 2020. </w:t>
      </w:r>
      <w:r>
        <w:rPr>
          <w:rFonts w:ascii="Times New Roman" w:eastAsia="Times New Roman" w:hAnsi="Times New Roman" w:cs="Times New Roman"/>
          <w:i/>
          <w:color w:val="222222"/>
          <w:sz w:val="24"/>
          <w:szCs w:val="24"/>
          <w:highlight w:val="white"/>
        </w:rPr>
        <w:t>Project management</w:t>
      </w:r>
      <w:r>
        <w:rPr>
          <w:rFonts w:ascii="Times New Roman" w:eastAsia="Times New Roman" w:hAnsi="Times New Roman" w:cs="Times New Roman"/>
          <w:color w:val="222222"/>
          <w:sz w:val="24"/>
          <w:szCs w:val="24"/>
          <w:highlight w:val="white"/>
        </w:rPr>
        <w:t>. Routledge.</w:t>
      </w:r>
    </w:p>
    <w:p w14:paraId="7323C6DF" w14:textId="77777777"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 H., Zeng, S., Lin, H. and Zeng, R., 2020. Impact of the public sector on sustainability of public–private partnership projects. </w:t>
      </w:r>
      <w:r>
        <w:rPr>
          <w:rFonts w:ascii="Times New Roman" w:eastAsia="Times New Roman" w:hAnsi="Times New Roman" w:cs="Times New Roman"/>
          <w:i/>
          <w:sz w:val="24"/>
          <w:szCs w:val="24"/>
          <w:highlight w:val="white"/>
        </w:rPr>
        <w:t>Journal of Construction Engineering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146</w:t>
      </w:r>
      <w:r>
        <w:rPr>
          <w:rFonts w:ascii="Times New Roman" w:eastAsia="Times New Roman" w:hAnsi="Times New Roman" w:cs="Times New Roman"/>
          <w:sz w:val="24"/>
          <w:szCs w:val="24"/>
          <w:highlight w:val="white"/>
        </w:rPr>
        <w:t xml:space="preserve">(2), p.04019104. </w:t>
      </w:r>
    </w:p>
    <w:p w14:paraId="3E913E8A"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Papadakis, E. and </w:t>
      </w:r>
      <w:proofErr w:type="spellStart"/>
      <w:r>
        <w:rPr>
          <w:rFonts w:ascii="Times New Roman" w:eastAsia="Times New Roman" w:hAnsi="Times New Roman" w:cs="Times New Roman"/>
          <w:color w:val="222222"/>
          <w:sz w:val="24"/>
          <w:szCs w:val="24"/>
          <w:highlight w:val="white"/>
        </w:rPr>
        <w:t>Tsironis</w:t>
      </w:r>
      <w:proofErr w:type="spellEnd"/>
      <w:r>
        <w:rPr>
          <w:rFonts w:ascii="Times New Roman" w:eastAsia="Times New Roman" w:hAnsi="Times New Roman" w:cs="Times New Roman"/>
          <w:color w:val="222222"/>
          <w:sz w:val="24"/>
          <w:szCs w:val="24"/>
          <w:highlight w:val="white"/>
        </w:rPr>
        <w:t xml:space="preserve">, L., 2020. Towards a hybrid project management framework: A systematic literature review on traditional, agile and hybrid techniques. </w:t>
      </w:r>
      <w:r>
        <w:rPr>
          <w:rFonts w:ascii="Times New Roman" w:eastAsia="Times New Roman" w:hAnsi="Times New Roman" w:cs="Times New Roman"/>
          <w:i/>
          <w:color w:val="222222"/>
          <w:sz w:val="24"/>
          <w:szCs w:val="24"/>
          <w:highlight w:val="white"/>
        </w:rPr>
        <w:t>The Journal of Modern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w:t>
      </w:r>
    </w:p>
    <w:p w14:paraId="651912C4" w14:textId="77777777"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Raimi, M.O., 2020. A review of environmental, social and health impact assessment (</w:t>
      </w:r>
      <w:proofErr w:type="spellStart"/>
      <w:r>
        <w:rPr>
          <w:rFonts w:ascii="Times New Roman" w:eastAsia="Times New Roman" w:hAnsi="Times New Roman" w:cs="Times New Roman"/>
          <w:sz w:val="24"/>
          <w:szCs w:val="24"/>
          <w:highlight w:val="white"/>
        </w:rPr>
        <w:t>Eshia</w:t>
      </w:r>
      <w:proofErr w:type="spellEnd"/>
      <w:r>
        <w:rPr>
          <w:rFonts w:ascii="Times New Roman" w:eastAsia="Times New Roman" w:hAnsi="Times New Roman" w:cs="Times New Roman"/>
          <w:sz w:val="24"/>
          <w:szCs w:val="24"/>
          <w:highlight w:val="white"/>
        </w:rPr>
        <w:t xml:space="preserve">) practice in Nigeria: a panacea for sustainable development and decision making. </w:t>
      </w:r>
      <w:r>
        <w:rPr>
          <w:rFonts w:ascii="Times New Roman" w:eastAsia="Times New Roman" w:hAnsi="Times New Roman" w:cs="Times New Roman"/>
          <w:i/>
          <w:sz w:val="24"/>
          <w:szCs w:val="24"/>
          <w:highlight w:val="white"/>
        </w:rPr>
        <w:t>MOJ Public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 xml:space="preserve">(3-2020). </w:t>
      </w:r>
    </w:p>
    <w:p w14:paraId="0DF1D2DB" w14:textId="77777777" w:rsidR="0004779A" w:rsidRDefault="0004779A" w:rsidP="0004779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Russell, D.M., 2023. </w:t>
      </w:r>
      <w:r>
        <w:rPr>
          <w:rFonts w:ascii="Times New Roman" w:eastAsia="Times New Roman" w:hAnsi="Times New Roman" w:cs="Times New Roman"/>
          <w:i/>
          <w:sz w:val="24"/>
          <w:szCs w:val="24"/>
          <w:highlight w:val="white"/>
        </w:rPr>
        <w:t>The joy of search: A Google insider's guide to going beyond the basics</w:t>
      </w:r>
      <w:r>
        <w:rPr>
          <w:rFonts w:ascii="Times New Roman" w:eastAsia="Times New Roman" w:hAnsi="Times New Roman" w:cs="Times New Roman"/>
          <w:sz w:val="24"/>
          <w:szCs w:val="24"/>
          <w:highlight w:val="white"/>
        </w:rPr>
        <w:t xml:space="preserve">. MIT Press. </w:t>
      </w:r>
    </w:p>
    <w:p w14:paraId="1132D362" w14:textId="77777777" w:rsidR="0004779A" w:rsidRDefault="0004779A" w:rsidP="0004779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Silvius, G. and Schipper, R., 2020. Exploring a variety in factors that stimulate project managers to address sustainability issues.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(6), pp.353-367.</w:t>
      </w:r>
    </w:p>
    <w:p w14:paraId="65E41670" w14:textId="77777777" w:rsidR="0004779A" w:rsidRDefault="0004779A" w:rsidP="0004779A">
      <w:pPr>
        <w:pStyle w:val="Normal1"/>
        <w:spacing w:line="360" w:lineRule="auto"/>
        <w:jc w:val="both"/>
        <w:rPr>
          <w:rFonts w:ascii="Times New Roman" w:eastAsia="Times New Roman" w:hAnsi="Times New Roman" w:cs="Times New Roman"/>
          <w:sz w:val="24"/>
          <w:szCs w:val="24"/>
        </w:rPr>
      </w:pPr>
    </w:p>
    <w:p w14:paraId="7A3DBD98" w14:textId="77777777" w:rsidR="0004779A" w:rsidRDefault="0004779A" w:rsidP="0004779A">
      <w:pPr>
        <w:pStyle w:val="Normal1"/>
        <w:spacing w:line="360" w:lineRule="auto"/>
        <w:jc w:val="center"/>
        <w:rPr>
          <w:rFonts w:ascii="Times New Roman" w:eastAsia="Times New Roman" w:hAnsi="Times New Roman" w:cs="Times New Roman"/>
          <w:b/>
          <w:sz w:val="32"/>
          <w:szCs w:val="32"/>
        </w:rPr>
      </w:pPr>
    </w:p>
    <w:p w14:paraId="55B82375" w14:textId="77777777" w:rsidR="0004779A" w:rsidRDefault="0004779A"/>
    <w:sectPr w:rsidR="0004779A" w:rsidSect="00993C4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73201" w14:textId="77777777" w:rsidR="000C56B4" w:rsidRDefault="000C56B4">
      <w:pPr>
        <w:spacing w:line="240" w:lineRule="auto"/>
      </w:pPr>
      <w:r>
        <w:separator/>
      </w:r>
    </w:p>
  </w:endnote>
  <w:endnote w:type="continuationSeparator" w:id="0">
    <w:p w14:paraId="19D8D744" w14:textId="77777777" w:rsidR="000C56B4" w:rsidRDefault="000C56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7688"/>
      <w:docPartObj>
        <w:docPartGallery w:val="Page Numbers (Bottom of Page)"/>
        <w:docPartUnique/>
      </w:docPartObj>
    </w:sdtPr>
    <w:sdtContent>
      <w:p w14:paraId="01BF24A8" w14:textId="77777777" w:rsidR="00993C4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EDECDE" w14:textId="77777777" w:rsidR="00993C4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C441B" w14:textId="77777777" w:rsidR="000C56B4" w:rsidRDefault="000C56B4">
      <w:pPr>
        <w:spacing w:line="240" w:lineRule="auto"/>
      </w:pPr>
      <w:r>
        <w:separator/>
      </w:r>
    </w:p>
  </w:footnote>
  <w:footnote w:type="continuationSeparator" w:id="0">
    <w:p w14:paraId="0A2493F9" w14:textId="77777777" w:rsidR="000C56B4" w:rsidRDefault="000C56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F1CCC"/>
    <w:multiLevelType w:val="multilevel"/>
    <w:tmpl w:val="0A829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236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9A"/>
    <w:rsid w:val="0004779A"/>
    <w:rsid w:val="000C56B4"/>
    <w:rsid w:val="0021401C"/>
    <w:rsid w:val="00303818"/>
    <w:rsid w:val="006047D9"/>
    <w:rsid w:val="006100C9"/>
    <w:rsid w:val="00A03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088065"/>
  <w15:chartTrackingRefBased/>
  <w15:docId w15:val="{48E25FCF-A083-E44B-8D11-2C4CF8BF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79A"/>
    <w:pPr>
      <w:spacing w:line="276" w:lineRule="auto"/>
    </w:pPr>
    <w:rPr>
      <w:rFonts w:ascii="Arial" w:eastAsia="Arial" w:hAnsi="Arial" w:cs="Arial"/>
      <w:kern w:val="0"/>
      <w:sz w:val="22"/>
      <w:szCs w:val="22"/>
      <w:lang w:bidi="bn-IN"/>
      <w14:ligatures w14:val="none"/>
    </w:rPr>
  </w:style>
  <w:style w:type="paragraph" w:styleId="Heading1">
    <w:name w:val="heading 1"/>
    <w:basedOn w:val="Normal1"/>
    <w:next w:val="Normal1"/>
    <w:link w:val="Heading1Char"/>
    <w:rsid w:val="0004779A"/>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779A"/>
    <w:rPr>
      <w:rFonts w:ascii="Times New Roman" w:eastAsia="Arial" w:hAnsi="Times New Roman" w:cs="Arial"/>
      <w:b/>
      <w:kern w:val="0"/>
      <w:szCs w:val="40"/>
      <w:lang w:bidi="bn-IN"/>
      <w14:ligatures w14:val="none"/>
    </w:rPr>
  </w:style>
  <w:style w:type="paragraph" w:customStyle="1" w:styleId="Normal1">
    <w:name w:val="Normal1"/>
    <w:rsid w:val="0004779A"/>
    <w:pPr>
      <w:spacing w:line="276" w:lineRule="auto"/>
    </w:pPr>
    <w:rPr>
      <w:rFonts w:ascii="Arial" w:eastAsia="Arial" w:hAnsi="Arial" w:cs="Arial"/>
      <w:kern w:val="0"/>
      <w:sz w:val="22"/>
      <w:szCs w:val="22"/>
      <w:lang w:bidi="bn-IN"/>
      <w14:ligatures w14:val="none"/>
    </w:rPr>
  </w:style>
  <w:style w:type="paragraph" w:styleId="Footer">
    <w:name w:val="footer"/>
    <w:basedOn w:val="Normal"/>
    <w:link w:val="FooterChar"/>
    <w:uiPriority w:val="99"/>
    <w:unhideWhenUsed/>
    <w:rsid w:val="0004779A"/>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04779A"/>
    <w:rPr>
      <w:rFonts w:ascii="Arial" w:eastAsia="Arial" w:hAnsi="Arial" w:cs="Arial"/>
      <w:kern w:val="0"/>
      <w:sz w:val="22"/>
      <w:szCs w:val="28"/>
      <w:lang w:bidi="bn-IN"/>
      <w14:ligatures w14:val="none"/>
    </w:rPr>
  </w:style>
  <w:style w:type="paragraph" w:styleId="TOCHeading">
    <w:name w:val="TOC Heading"/>
    <w:basedOn w:val="Heading1"/>
    <w:next w:val="Normal"/>
    <w:uiPriority w:val="39"/>
    <w:semiHidden/>
    <w:unhideWhenUsed/>
    <w:qFormat/>
    <w:rsid w:val="0004779A"/>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bidi="ar-SA"/>
    </w:rPr>
  </w:style>
  <w:style w:type="paragraph" w:styleId="TOC1">
    <w:name w:val="toc 1"/>
    <w:basedOn w:val="Normal"/>
    <w:next w:val="Normal"/>
    <w:autoRedefine/>
    <w:uiPriority w:val="39"/>
    <w:unhideWhenUsed/>
    <w:rsid w:val="0004779A"/>
    <w:pPr>
      <w:spacing w:after="100"/>
    </w:pPr>
    <w:rPr>
      <w:szCs w:val="28"/>
    </w:rPr>
  </w:style>
  <w:style w:type="character" w:styleId="Hyperlink">
    <w:name w:val="Hyperlink"/>
    <w:basedOn w:val="DefaultParagraphFont"/>
    <w:uiPriority w:val="99"/>
    <w:unhideWhenUsed/>
    <w:rsid w:val="000477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AAD4B-567B-1147-872E-546713C6D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3133</Words>
  <Characters>17863</Characters>
  <Application>Microsoft Office Word</Application>
  <DocSecurity>0</DocSecurity>
  <Lines>148</Lines>
  <Paragraphs>41</Paragraphs>
  <ScaleCrop>false</ScaleCrop>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Andreea Doru (2125338)</dc:creator>
  <cp:keywords/>
  <dc:description/>
  <cp:lastModifiedBy>Laura Andreea Doru (2125338)</cp:lastModifiedBy>
  <cp:revision>2</cp:revision>
  <dcterms:created xsi:type="dcterms:W3CDTF">2023-12-01T10:13:00Z</dcterms:created>
  <dcterms:modified xsi:type="dcterms:W3CDTF">2023-12-01T10:13:00Z</dcterms:modified>
</cp:coreProperties>
</file>