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360"/>
        <w:jc w:val="center"/>
        <w:rPr>
          <w:b/>
          <w:sz w:val="32"/>
          <w:szCs w:val="32"/>
          <w:u w:val="single"/>
          <w:lang w:val="en-GB"/>
        </w:rPr>
      </w:pPr>
      <w:r>
        <w:rPr>
          <w:b/>
          <w:sz w:val="32"/>
          <w:szCs w:val="32"/>
          <w:u w:val="single"/>
          <w:lang w:val="en-GB"/>
        </w:rPr>
        <w:t>Law and Legal Practice</w:t>
      </w:r>
      <w:r>
        <w:br w:type="page"/>
      </w:r>
    </w:p>
    <w:p>
      <w:pPr>
        <w:pStyle w:val="Normal1"/>
        <w:spacing w:lineRule="auto" w:line="360"/>
        <w:jc w:val="center"/>
        <w:rPr>
          <w:b/>
          <w:lang w:val="en-GB"/>
        </w:rPr>
      </w:pPr>
      <w:r>
        <w:rPr>
          <w:b/>
          <w:lang w:val="en-GB"/>
        </w:rPr>
        <w:t xml:space="preserve">Table of Content </w:t>
      </w:r>
    </w:p>
    <w:sdt>
      <w:sdtPr>
        <w:docPartObj>
          <w:docPartGallery w:val="Table of Contents"/>
          <w:docPartUnique w:val="true"/>
        </w:docPartObj>
      </w:sdtPr>
      <w:sdtContent>
        <w:p>
          <w:pPr>
            <w:pStyle w:val="Contents1"/>
            <w:tabs>
              <w:tab w:val="clear" w:pos="720"/>
              <w:tab w:val="right" w:pos="9019" w:leader="none"/>
            </w:tabs>
            <w:rPr/>
          </w:pPr>
          <w:r>
            <w:fldChar w:fldCharType="begin"/>
          </w:r>
          <w:r>
            <w:rPr>
              <w:webHidden/>
              <w:rStyle w:val="IndexLink"/>
              <w:lang w:val="en-GB"/>
            </w:rPr>
            <w:instrText xml:space="preserve"> TOC \z \o "1-9" \u \h</w:instrText>
          </w:r>
          <w:r>
            <w:rPr>
              <w:webHidden/>
              <w:rStyle w:val="IndexLink"/>
              <w:lang w:val="en-GB"/>
            </w:rPr>
            <w:fldChar w:fldCharType="separate"/>
          </w:r>
          <w:hyperlink w:anchor="_Toc129343485">
            <w:r>
              <w:rPr>
                <w:webHidden/>
                <w:rStyle w:val="IndexLink"/>
                <w:lang w:val="en-GB"/>
              </w:rPr>
              <w:t>Introduction</w:t>
            </w:r>
            <w:r>
              <w:rPr>
                <w:webHidden/>
              </w:rPr>
              <w:fldChar w:fldCharType="begin"/>
            </w:r>
            <w:r>
              <w:rPr>
                <w:webHidden/>
              </w:rPr>
              <w:instrText xml:space="preserve">PAGEREF _Toc129343485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019" w:leader="none"/>
            </w:tabs>
            <w:rPr/>
          </w:pPr>
          <w:hyperlink w:anchor="_Toc129343486">
            <w:r>
              <w:rPr>
                <w:webHidden/>
                <w:rStyle w:val="IndexLink"/>
                <w:lang w:val="en-GB"/>
              </w:rPr>
              <w:t>Element 1</w:t>
            </w:r>
            <w:r>
              <w:rPr>
                <w:webHidden/>
              </w:rPr>
              <w:fldChar w:fldCharType="begin"/>
            </w:r>
            <w:r>
              <w:rPr>
                <w:webHidden/>
              </w:rPr>
              <w:instrText xml:space="preserve">PAGEREF _Toc129343486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019" w:leader="none"/>
            </w:tabs>
            <w:rPr/>
          </w:pPr>
          <w:hyperlink w:anchor="_Toc129343487">
            <w:r>
              <w:rPr>
                <w:webHidden/>
                <w:rStyle w:val="IndexLink"/>
                <w:lang w:val="en-GB"/>
              </w:rPr>
              <w:t>Element 3</w:t>
            </w:r>
            <w:r>
              <w:rPr>
                <w:webHidden/>
              </w:rPr>
              <w:fldChar w:fldCharType="begin"/>
            </w:r>
            <w:r>
              <w:rPr>
                <w:webHidden/>
              </w:rPr>
              <w:instrText xml:space="preserve">PAGEREF _Toc129343487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019" w:leader="none"/>
            </w:tabs>
            <w:rPr/>
          </w:pPr>
          <w:hyperlink w:anchor="_Toc129343488">
            <w:r>
              <w:rPr>
                <w:webHidden/>
                <w:rStyle w:val="IndexLink"/>
                <w:lang w:val="en-GB"/>
              </w:rPr>
              <w:t>Type of funding</w:t>
            </w:r>
            <w:r>
              <w:rPr>
                <w:webHidden/>
              </w:rPr>
              <w:fldChar w:fldCharType="begin"/>
            </w:r>
            <w:r>
              <w:rPr>
                <w:webHidden/>
              </w:rPr>
              <w:instrText xml:space="preserve">PAGEREF _Toc129343488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019" w:leader="none"/>
            </w:tabs>
            <w:rPr/>
          </w:pPr>
          <w:hyperlink w:anchor="_Toc129343489">
            <w:r>
              <w:rPr>
                <w:webHidden/>
                <w:rStyle w:val="IndexLink"/>
                <w:lang w:val="en-GB"/>
              </w:rPr>
              <w:t>Advantages and disadvantages of funding</w:t>
            </w:r>
            <w:r>
              <w:rPr>
                <w:webHidden/>
              </w:rPr>
              <w:fldChar w:fldCharType="begin"/>
            </w:r>
            <w:r>
              <w:rPr>
                <w:webHidden/>
              </w:rPr>
              <w:instrText xml:space="preserve">PAGEREF _Toc129343489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019" w:leader="none"/>
            </w:tabs>
            <w:rPr/>
          </w:pPr>
          <w:hyperlink w:anchor="_Toc129343490">
            <w:r>
              <w:rPr>
                <w:webHidden/>
                <w:rStyle w:val="IndexLink"/>
                <w:lang w:val="en-GB"/>
              </w:rPr>
              <w:t>“</w:t>
            </w:r>
            <w:r>
              <w:rPr>
                <w:rStyle w:val="IndexLink"/>
                <w:lang w:val="en-GB"/>
              </w:rPr>
              <w:t>Examples of the type of funding suitable for business are of law”</w:t>
            </w:r>
            <w:r>
              <w:rPr>
                <w:webHidden/>
              </w:rPr>
              <w:fldChar w:fldCharType="begin"/>
            </w:r>
            <w:r>
              <w:rPr>
                <w:webHidden/>
              </w:rPr>
              <w:instrText xml:space="preserve">PAGEREF _Toc129343490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019" w:leader="none"/>
            </w:tabs>
            <w:rPr/>
          </w:pPr>
          <w:hyperlink w:anchor="_Toc129343491">
            <w:r>
              <w:rPr>
                <w:webHidden/>
                <w:rStyle w:val="IndexLink"/>
                <w:lang w:val="en-GB"/>
              </w:rPr>
              <w:t>Conclusion</w:t>
            </w:r>
            <w:r>
              <w:rPr>
                <w:webHidden/>
              </w:rPr>
              <w:fldChar w:fldCharType="begin"/>
            </w:r>
            <w:r>
              <w:rPr>
                <w:webHidden/>
              </w:rPr>
              <w:instrText xml:space="preserve">PAGEREF _Toc129343491 \h</w:instrText>
            </w:r>
            <w:r>
              <w:rPr>
                <w:webHidden/>
              </w:rPr>
              <w:fldChar w:fldCharType="separate"/>
            </w:r>
            <w:r>
              <w:rPr>
                <w:rStyle w:val="IndexLink"/>
                <w:vanish w:val="false"/>
              </w:rPr>
              <w:tab/>
              <w:t>10</w:t>
            </w:r>
            <w:r>
              <w:rPr>
                <w:webHidden/>
              </w:rPr>
              <w:fldChar w:fldCharType="end"/>
            </w:r>
          </w:hyperlink>
        </w:p>
        <w:p>
          <w:pPr>
            <w:pStyle w:val="Contents1"/>
            <w:tabs>
              <w:tab w:val="clear" w:pos="720"/>
              <w:tab w:val="right" w:pos="9019" w:leader="none"/>
            </w:tabs>
            <w:rPr/>
          </w:pPr>
          <w:hyperlink w:anchor="_Toc129343492">
            <w:r>
              <w:rPr>
                <w:webHidden/>
                <w:rStyle w:val="IndexLink"/>
                <w:lang w:val="en-GB"/>
              </w:rPr>
              <w:t>Reference</w:t>
            </w:r>
            <w:r>
              <w:rPr>
                <w:webHidden/>
              </w:rPr>
              <w:fldChar w:fldCharType="begin"/>
            </w:r>
            <w:r>
              <w:rPr>
                <w:webHidden/>
              </w:rPr>
              <w:instrText xml:space="preserve">PAGEREF _Toc129343492 \h</w:instrText>
            </w:r>
            <w:r>
              <w:rPr>
                <w:webHidden/>
              </w:rPr>
              <w:fldChar w:fldCharType="separate"/>
            </w:r>
            <w:r>
              <w:rPr>
                <w:rStyle w:val="IndexLink"/>
                <w:vanish w:val="false"/>
              </w:rPr>
              <w:tab/>
              <w:t>11</w:t>
            </w:r>
            <w:r>
              <w:rPr>
                <w:webHidden/>
              </w:rPr>
              <w:fldChar w:fldCharType="end"/>
            </w:r>
          </w:hyperlink>
          <w:r>
            <w:rPr>
              <w:rStyle w:val="IndexLink"/>
              <w:vanish w:val="false"/>
            </w:rPr>
            <w:fldChar w:fldCharType="end"/>
          </w:r>
        </w:p>
      </w:sdtContent>
    </w:sdt>
    <w:p>
      <w:pPr>
        <w:pStyle w:val="Normal1"/>
        <w:widowControl w:val="false"/>
        <w:tabs>
          <w:tab w:val="clear" w:pos="720"/>
          <w:tab w:val="right" w:pos="12000" w:leader="none"/>
        </w:tabs>
        <w:spacing w:lineRule="auto" w:line="240" w:before="60" w:after="0"/>
        <w:jc w:val="left"/>
        <w:rPr>
          <w:color w:val="000000"/>
          <w:lang w:val="en-GB"/>
        </w:rPr>
      </w:pPr>
      <w:r>
        <w:rPr>
          <w:color w:val="000000"/>
          <w:lang w:val="en-GB"/>
        </w:rPr>
      </w:r>
    </w:p>
    <w:p>
      <w:pPr>
        <w:pStyle w:val="Heading1"/>
        <w:spacing w:lineRule="auto" w:line="360"/>
        <w:rPr>
          <w:lang w:val="en-GB"/>
        </w:rPr>
      </w:pPr>
      <w:r>
        <w:rPr>
          <w:lang w:val="en-GB"/>
        </w:rPr>
      </w:r>
      <w:bookmarkStart w:id="0" w:name="_2tyqy4cy7isi"/>
      <w:bookmarkStart w:id="1" w:name="_2tyqy4cy7isi"/>
      <w:bookmarkEnd w:id="1"/>
      <w:r>
        <w:br w:type="page"/>
      </w:r>
    </w:p>
    <w:p>
      <w:pPr>
        <w:pStyle w:val="Heading1"/>
        <w:spacing w:lineRule="auto" w:line="360"/>
        <w:rPr>
          <w:lang w:val="en-GB"/>
        </w:rPr>
      </w:pPr>
      <w:bookmarkStart w:id="2" w:name="_Toc129343485"/>
      <w:r>
        <w:rPr>
          <w:lang w:val="en-GB"/>
        </w:rPr>
        <w:t>Introduction</w:t>
      </w:r>
      <w:bookmarkEnd w:id="2"/>
    </w:p>
    <w:p>
      <w:pPr>
        <w:pStyle w:val="Normal1"/>
        <w:spacing w:lineRule="auto" w:line="360"/>
        <w:rPr>
          <w:lang w:val="en-GB"/>
        </w:rPr>
      </w:pPr>
      <w:r>
        <w:rPr>
          <w:lang w:val="en-GB"/>
        </w:rPr>
        <w:t xml:space="preserve">The following report is based on the module title “Principles of professional Legal Practics”.  The report is divided into three different elements. In Element 1, an email is written to the client to explain the Professional and ethical problems. In Element 2, letter writing is done to the “Newly Qualified” (NQ) explaining the core importance and principle of the SRA “Code of Conduct”. Element 3 it has provided information regarding different funding methods for firm cases. </w:t>
      </w:r>
    </w:p>
    <w:p>
      <w:pPr>
        <w:pStyle w:val="Normal1"/>
        <w:spacing w:lineRule="auto" w:line="360"/>
        <w:rPr>
          <w:lang w:val="en-GB"/>
        </w:rPr>
      </w:pPr>
      <w:r>
        <w:rPr>
          <w:lang w:val="en-GB"/>
        </w:rPr>
      </w:r>
    </w:p>
    <w:p>
      <w:pPr>
        <w:pStyle w:val="Heading1"/>
        <w:spacing w:lineRule="auto" w:line="360"/>
        <w:rPr>
          <w:lang w:val="en-GB"/>
        </w:rPr>
      </w:pPr>
      <w:r>
        <w:rPr>
          <w:lang w:val="en-GB"/>
        </w:rPr>
      </w:r>
      <w:bookmarkStart w:id="3" w:name="_rg7kwzefdwz2"/>
      <w:bookmarkStart w:id="4" w:name="_rg7kwzefdwz2"/>
      <w:bookmarkEnd w:id="4"/>
      <w:r>
        <w:br w:type="page"/>
      </w:r>
    </w:p>
    <w:p>
      <w:pPr>
        <w:pStyle w:val="Heading1"/>
        <w:spacing w:lineRule="auto" w:line="360"/>
        <w:rPr>
          <w:lang w:val="en-GB"/>
        </w:rPr>
      </w:pPr>
      <w:bookmarkStart w:id="5" w:name="_Toc129343486"/>
      <w:r>
        <w:rPr>
          <w:lang w:val="en-GB"/>
        </w:rPr>
        <w:t>Element 1</w:t>
      </w:r>
      <w:bookmarkEnd w:id="5"/>
    </w:p>
    <w:p>
      <w:pPr>
        <w:pStyle w:val="Normal1"/>
        <w:spacing w:lineRule="auto" w:line="360"/>
        <w:rPr>
          <w:b/>
          <w:i/>
          <w:i/>
          <w:lang w:val="en-GB"/>
        </w:rPr>
      </w:pPr>
      <w:r>
        <w:rPr>
          <w:b/>
          <w:i/>
          <w:lang w:val="en-GB"/>
        </w:rPr>
        <w:t>Email Writing/Advice Task</w:t>
      </w:r>
    </w:p>
    <w:p>
      <w:pPr>
        <w:pStyle w:val="Normal1"/>
        <w:spacing w:lineRule="auto" w:line="360"/>
        <w:rPr>
          <w:lang w:val="en-GB"/>
        </w:rPr>
      </w:pPr>
      <w:r>
        <w:rPr>
          <w:lang w:val="en-GB"/>
        </w:rPr>
        <w:t xml:space="preserve">From </w:t>
      </w:r>
      <w:r>
        <w:rPr>
          <w:lang w:val="en-GB"/>
        </w:rPr>
        <w:t>Gabriel</w:t>
      </w:r>
      <w:r>
        <w:rPr>
          <w:lang w:val="en-GB"/>
        </w:rPr>
        <w:t xml:space="preserve"> Pop,</w:t>
      </w:r>
    </w:p>
    <w:p>
      <w:pPr>
        <w:pStyle w:val="Normal1"/>
        <w:spacing w:lineRule="auto" w:line="360"/>
        <w:rPr>
          <w:lang w:val="en-GB"/>
        </w:rPr>
      </w:pPr>
      <w:r>
        <w:rPr>
          <w:lang w:val="en-GB"/>
        </w:rPr>
        <w:t xml:space="preserve">To Mr Moneymaker, </w:t>
      </w:r>
    </w:p>
    <w:p>
      <w:pPr>
        <w:pStyle w:val="Normal1"/>
        <w:spacing w:lineRule="auto" w:line="360"/>
        <w:rPr>
          <w:lang w:val="en-GB"/>
        </w:rPr>
      </w:pPr>
      <w:r>
        <w:rPr>
          <w:lang w:val="en-GB"/>
        </w:rPr>
        <w:t xml:space="preserve">Subject: Legal advice related to investment for the new startup company. </w:t>
      </w:r>
    </w:p>
    <w:p>
      <w:pPr>
        <w:pStyle w:val="Normal1"/>
        <w:spacing w:lineRule="auto" w:line="360"/>
        <w:rPr>
          <w:lang w:val="en-GB"/>
        </w:rPr>
      </w:pPr>
      <w:r>
        <w:rPr>
          <w:lang w:val="en-GB"/>
        </w:rPr>
        <w:t xml:space="preserve">Respected Sir, </w:t>
      </w:r>
    </w:p>
    <w:p>
      <w:pPr>
        <w:pStyle w:val="Normal1"/>
        <w:spacing w:lineRule="auto" w:line="360"/>
        <w:rPr>
          <w:lang w:val="en-GB"/>
        </w:rPr>
      </w:pPr>
      <w:r>
        <w:rPr>
          <w:lang w:val="en-GB"/>
        </w:rPr>
        <w:t xml:space="preserve">The information which you have shared regarding your new startup business is very unique and has a great vision and all your requirements are valid as well as logical too. As you have asked our firm for legal advice our firm would be glad to help you out with your problems. First and foremost, there will be some ethical as well as professional issues. This is so because the different financial laws and regulations have changed over time due to Brexit. One of the major issues you can face is related to the financial services and market act 2000 which simply prohibits those individuals who are not authorised from doing any sort of regulated activities within the UK. So, therefore at first, you should be authorised in being able to carry out any kind of regulated activity so that you can start your new startup within the UK without any issues. I think you might be aware of it as you have a law degree and are a businessman as well. Despite that, you should compulsorily get authorised which will help you in carrying out your business related to your business as you want it to. It is mandatory for you to follow the different rules and regulations within the FSMA as it is very much important for the business to follow these regulations. Instance, there are 7 main principles that need to be carried out by you in order to be authorised by the FSMA which are to produce safety, get a foreign supplier programme with verification, follow the rules of sanitary transport, international adulteration and its protection, shirts part certification accredited, Human and animal good prevention and control rules and lastly comes the quality imported programme. It is very much important for you or any individual business person trying to start a new business within the UK. Apart from these different rules, you should also comply with the SRA code of conduct which is standard for professionals that will investigate business plans and identify any sort of misconduct, and the employee management and ask for producing documents. This will help you in ensuring that your business is now ready or capable of providing legal services. </w:t>
      </w:r>
    </w:p>
    <w:p>
      <w:pPr>
        <w:pStyle w:val="Normal1"/>
        <w:spacing w:lineRule="auto" w:line="360"/>
        <w:rPr>
          <w:lang w:val="en-GB"/>
        </w:rPr>
      </w:pPr>
      <w:r>
        <w:rPr>
          <w:lang w:val="en-GB"/>
        </w:rPr>
        <w:t xml:space="preserve">On the other hand, you have been planning to invest in a new business or a startup and you wanted to know about the amount of money which can be invested as per the rules then the right amount is more than 10,000 euros or even more. In case you are planning to invest much more then you should make sure that you have been registered diwth the HMRC and have to provide that the high investment is being done because the business operates in a high-value deal. You should also comply with the UK money laundering regulation 2007 in order to make sure that your investment is done within the supervision of legal procedures and that your business has the right controls and systems and is being monitored for risk management and terrorist finance. In short, the major issues or challenges which can be faced by you while investing are simply related to the different regulations and authorisation that you need to get so that your activities will be claimed to be legal and no further legal procedures and issues will not impact your business. I suggest you align and allow the different laws and authorisation I have mentioned above and identify the amount you want to invest and get the authorisation from the government as per the money laundry regulation 2007 and invest as per your wish and budget. </w:t>
      </w:r>
    </w:p>
    <w:p>
      <w:pPr>
        <w:pStyle w:val="Normal1"/>
        <w:spacing w:lineRule="auto" w:line="360"/>
        <w:rPr>
          <w:lang w:val="en-GB"/>
        </w:rPr>
      </w:pPr>
      <w:r>
        <w:rPr>
          <w:lang w:val="en-GB"/>
        </w:rPr>
        <w:t xml:space="preserve">Thank you, </w:t>
      </w:r>
    </w:p>
    <w:p>
      <w:pPr>
        <w:pStyle w:val="Normal1"/>
        <w:spacing w:lineRule="auto" w:line="360"/>
        <w:rPr>
          <w:lang w:val="en-GB"/>
        </w:rPr>
      </w:pPr>
      <w:r>
        <w:rPr>
          <w:lang w:val="en-GB"/>
        </w:rPr>
        <w:t>Gabriel</w:t>
      </w:r>
      <w:r>
        <w:rPr>
          <w:lang w:val="en-GB"/>
        </w:rPr>
        <w:t xml:space="preserve"> Pop</w:t>
      </w:r>
    </w:p>
    <w:p>
      <w:pPr>
        <w:pStyle w:val="Normal1"/>
        <w:spacing w:lineRule="auto" w:line="360"/>
        <w:rPr>
          <w:lang w:val="en-GB"/>
        </w:rPr>
      </w:pPr>
      <w:r>
        <w:rPr>
          <w:lang w:val="en-GB"/>
        </w:rPr>
      </w:r>
      <w:r>
        <w:br w:type="page"/>
      </w:r>
    </w:p>
    <w:p>
      <w:pPr>
        <w:pStyle w:val="Normal1"/>
        <w:spacing w:lineRule="auto" w:line="360"/>
        <w:rPr>
          <w:b/>
          <w:lang w:val="en-GB"/>
        </w:rPr>
      </w:pPr>
      <w:r>
        <w:rPr>
          <w:b/>
          <w:lang w:val="en-GB"/>
        </w:rPr>
        <w:t xml:space="preserve">Element 2 </w:t>
      </w:r>
    </w:p>
    <w:p>
      <w:pPr>
        <w:pStyle w:val="Normal1"/>
        <w:spacing w:lineRule="auto" w:line="360"/>
        <w:rPr>
          <w:i/>
          <w:i/>
          <w:lang w:val="en-GB"/>
        </w:rPr>
      </w:pPr>
      <w:r>
        <w:rPr>
          <w:b/>
          <w:i/>
          <w:lang w:val="en-GB"/>
        </w:rPr>
        <w:t>Letter writing Task</w:t>
      </w:r>
    </w:p>
    <w:p>
      <w:pPr>
        <w:pStyle w:val="Normal1"/>
        <w:spacing w:lineRule="auto" w:line="360"/>
        <w:rPr>
          <w:lang w:val="en-GB"/>
        </w:rPr>
      </w:pPr>
      <w:r>
        <w:rPr>
          <w:lang w:val="en-GB"/>
        </w:rPr>
        <w:t>To,</w:t>
      </w:r>
    </w:p>
    <w:p>
      <w:pPr>
        <w:pStyle w:val="Normal1"/>
        <w:spacing w:lineRule="auto" w:line="360"/>
        <w:rPr>
          <w:lang w:val="en-GB"/>
        </w:rPr>
      </w:pPr>
      <w:r>
        <w:rPr>
          <w:lang w:val="en-GB"/>
        </w:rPr>
        <w:t xml:space="preserve">The Solicitors, </w:t>
      </w:r>
    </w:p>
    <w:p>
      <w:pPr>
        <w:pStyle w:val="Normal1"/>
        <w:spacing w:lineRule="auto" w:line="360"/>
        <w:rPr>
          <w:lang w:val="en-GB"/>
        </w:rPr>
      </w:pPr>
      <w:r>
        <w:rPr>
          <w:lang w:val="en-GB"/>
        </w:rPr>
        <w:t xml:space="preserve">High street firm, </w:t>
      </w:r>
    </w:p>
    <w:p>
      <w:pPr>
        <w:pStyle w:val="Normal1"/>
        <w:spacing w:lineRule="auto" w:line="360"/>
        <w:rPr>
          <w:lang w:val="en-GB"/>
        </w:rPr>
      </w:pPr>
      <w:r>
        <w:rPr>
          <w:lang w:val="en-GB"/>
        </w:rPr>
        <w:t xml:space="preserve">Subject: Explanation of the principles of the SRA Code of conduct </w:t>
      </w:r>
    </w:p>
    <w:p>
      <w:pPr>
        <w:pStyle w:val="Normal1"/>
        <w:spacing w:lineRule="auto" w:line="360"/>
        <w:rPr>
          <w:lang w:val="en-GB"/>
        </w:rPr>
      </w:pPr>
      <w:r>
        <w:rPr>
          <w:lang w:val="en-GB"/>
        </w:rPr>
        <w:t xml:space="preserve">Respected Sir/Madam, </w:t>
      </w:r>
    </w:p>
    <w:p>
      <w:pPr>
        <w:pStyle w:val="Normal1"/>
        <w:spacing w:lineRule="auto" w:line="360"/>
        <w:rPr>
          <w:lang w:val="en-GB"/>
        </w:rPr>
      </w:pPr>
      <w:r>
        <w:rPr>
          <w:lang w:val="en-GB"/>
        </w:rPr>
        <w:t xml:space="preserve">A heartfelt congratulation for being selected as a solicitor within our firm and early waiting to work together and ensure better growth for everyone around. As you have been selected as a new solicitor within the firm you should know as well as comply with some main rules and regulations which are very much necessary while working within the firm. This letter will help you understand those basic rules and regulations which will help you in your future activities in the future. One of the major rules and regulations you should comply with as well as know while working within the firm is the SAR Code of conduct. SAR code of conduct can be simply understood as that standard of professionals expected from individuals to provide legal services to the people. There are many different principles that need to be understood and known by you regarding the SAR code of conduct. There are seven different principles within the code of conduct but you need to know and comply with 6 only. The following explanation will be explaining about the different rules you need to follow when working within the firm. </w:t>
      </w:r>
    </w:p>
    <w:p>
      <w:pPr>
        <w:pStyle w:val="Normal1"/>
        <w:widowControl w:val="false"/>
        <w:numPr>
          <w:ilvl w:val="0"/>
          <w:numId w:val="1"/>
        </w:numPr>
        <w:pBdr/>
        <w:spacing w:lineRule="auto" w:line="360" w:before="0" w:after="0"/>
        <w:rPr>
          <w:lang w:val="en-GB"/>
        </w:rPr>
      </w:pPr>
      <w:r>
        <w:rPr>
          <w:lang w:val="en-GB"/>
        </w:rPr>
        <w:t xml:space="preserve">1. Maintaining trust as well as acting fairly within the organisation. </w:t>
      </w:r>
    </w:p>
    <w:p>
      <w:pPr>
        <w:pStyle w:val="Normal1"/>
        <w:widowControl w:val="false"/>
        <w:numPr>
          <w:ilvl w:val="0"/>
          <w:numId w:val="1"/>
        </w:numPr>
        <w:pBdr/>
        <w:spacing w:lineRule="auto" w:line="360" w:before="0" w:after="0"/>
        <w:rPr>
          <w:lang w:val="en-GB"/>
        </w:rPr>
      </w:pPr>
      <w:r>
        <w:rPr>
          <w:lang w:val="en-GB"/>
        </w:rPr>
        <w:t xml:space="preserve">2. Resolution of the disputes as well as the proceedings before the different activities like inquiries, courts and tribunals, </w:t>
      </w:r>
    </w:p>
    <w:p>
      <w:pPr>
        <w:pStyle w:val="Normal1"/>
        <w:widowControl w:val="false"/>
        <w:numPr>
          <w:ilvl w:val="0"/>
          <w:numId w:val="1"/>
        </w:numPr>
        <w:pBdr/>
        <w:spacing w:lineRule="auto" w:line="360" w:before="0" w:after="0"/>
        <w:rPr>
          <w:lang w:val="en-GB"/>
        </w:rPr>
      </w:pPr>
      <w:r>
        <w:rPr>
          <w:lang w:val="en-GB"/>
        </w:rPr>
        <w:t xml:space="preserve">3. Competence and service by providing instructions and giving proper authorisation. </w:t>
      </w:r>
    </w:p>
    <w:p>
      <w:pPr>
        <w:pStyle w:val="Normal1"/>
        <w:widowControl w:val="false"/>
        <w:numPr>
          <w:ilvl w:val="0"/>
          <w:numId w:val="1"/>
        </w:numPr>
        <w:pBdr/>
        <w:spacing w:lineRule="auto" w:line="360" w:before="0" w:after="0"/>
        <w:rPr>
          <w:lang w:val="en-GB"/>
        </w:rPr>
      </w:pPr>
      <w:r>
        <w:rPr>
          <w:lang w:val="en-GB"/>
        </w:rPr>
        <w:t xml:space="preserve">4. Client money and assets which helps in ensuring the clients regarding their financial benefits and safety. </w:t>
      </w:r>
    </w:p>
    <w:p>
      <w:pPr>
        <w:pStyle w:val="Normal1"/>
        <w:widowControl w:val="false"/>
        <w:numPr>
          <w:ilvl w:val="0"/>
          <w:numId w:val="1"/>
        </w:numPr>
        <w:pBdr/>
        <w:spacing w:lineRule="auto" w:line="360" w:before="0" w:after="0"/>
        <w:rPr>
          <w:lang w:val="en-GB"/>
        </w:rPr>
      </w:pPr>
      <w:r>
        <w:rPr>
          <w:lang w:val="en-GB"/>
        </w:rPr>
        <w:t xml:space="preserve">6.1 this rule is related to the conflict or interests where you are expected not to act or react whenever there is a significant risk of conflicts. </w:t>
      </w:r>
    </w:p>
    <w:p>
      <w:pPr>
        <w:pStyle w:val="Normal1"/>
        <w:widowControl w:val="false"/>
        <w:numPr>
          <w:ilvl w:val="0"/>
          <w:numId w:val="1"/>
        </w:numPr>
        <w:pBdr/>
        <w:spacing w:lineRule="auto" w:line="360" w:before="0" w:after="0"/>
        <w:rPr>
          <w:lang w:val="en-GB"/>
        </w:rPr>
      </w:pPr>
      <w:r>
        <w:rPr>
          <w:lang w:val="en-GB"/>
        </w:rPr>
        <w:t xml:space="preserve">6.2 discuss about you should not act even if the conflict is of your interest. </w:t>
      </w:r>
    </w:p>
    <w:p>
      <w:pPr>
        <w:pStyle w:val="Normal1"/>
        <w:widowControl w:val="false"/>
        <w:numPr>
          <w:ilvl w:val="0"/>
          <w:numId w:val="1"/>
        </w:numPr>
        <w:pBdr/>
        <w:spacing w:lineRule="auto" w:line="360" w:before="0" w:after="0"/>
        <w:rPr>
          <w:lang w:val="en-GB"/>
        </w:rPr>
      </w:pPr>
      <w:r>
        <w:rPr>
          <w:lang w:val="en-GB"/>
        </w:rPr>
        <w:t xml:space="preserve">Rule no 6.3 to 6.45 simply explains the confidentially and the disclosure activities about the information of the clients where you need to make sure that no information is carried out without the consent of the clients. This rule can be applicable to you whenever you share information regarding the client without their consent then eth rules from 6.1 to 6.5 will be applied and can lead you to handle some serious legal procedures and activities as well. </w:t>
      </w:r>
    </w:p>
    <w:p>
      <w:pPr>
        <w:pStyle w:val="Normal1"/>
        <w:spacing w:lineRule="auto" w:line="360"/>
        <w:rPr>
          <w:lang w:val="en-GB"/>
        </w:rPr>
      </w:pPr>
      <w:r>
        <w:rPr>
          <w:lang w:val="en-GB"/>
        </w:rPr>
        <w:t xml:space="preserve">Therefore, you should understand and learn these different rules so that no issues can be faced in the future and effective workflow can be seen within your work as this is very much necessary for you in order to work within the organisation. Once again congratulation and all the best for your future within the firm. </w:t>
      </w:r>
    </w:p>
    <w:p>
      <w:pPr>
        <w:pStyle w:val="Normal1"/>
        <w:spacing w:lineRule="auto" w:line="360"/>
        <w:rPr>
          <w:lang w:val="en-GB"/>
        </w:rPr>
      </w:pPr>
      <w:r>
        <w:rPr>
          <w:lang w:val="en-GB"/>
        </w:rPr>
        <w:t xml:space="preserve">Kind regards, </w:t>
      </w:r>
    </w:p>
    <w:p>
      <w:pPr>
        <w:pStyle w:val="Normal1"/>
        <w:spacing w:lineRule="auto" w:line="360"/>
        <w:rPr>
          <w:lang w:val="en-GB"/>
        </w:rPr>
      </w:pPr>
      <w:r>
        <w:rPr>
          <w:lang w:val="en-GB"/>
        </w:rPr>
        <w:t>Ioana Pop</w:t>
      </w:r>
      <w:r>
        <w:br w:type="page"/>
      </w:r>
    </w:p>
    <w:p>
      <w:pPr>
        <w:pStyle w:val="Heading1"/>
        <w:spacing w:lineRule="auto" w:line="360"/>
        <w:rPr>
          <w:lang w:val="en-GB"/>
        </w:rPr>
      </w:pPr>
      <w:bookmarkStart w:id="6" w:name="_Toc129343487"/>
      <w:r>
        <w:rPr>
          <w:lang w:val="en-GB"/>
        </w:rPr>
        <w:t>Element 3</w:t>
      </w:r>
      <w:bookmarkEnd w:id="6"/>
    </w:p>
    <w:p>
      <w:pPr>
        <w:pStyle w:val="Normal1"/>
        <w:spacing w:lineRule="auto" w:line="360"/>
        <w:rPr>
          <w:lang w:val="en-GB"/>
        </w:rPr>
      </w:pPr>
      <w:r>
        <w:rPr>
          <w:b/>
          <w:lang w:val="en-GB"/>
        </w:rPr>
        <w:t>A poster task regarding funding</w:t>
      </w:r>
    </w:p>
    <w:p>
      <w:pPr>
        <w:pStyle w:val="Heading2"/>
        <w:spacing w:lineRule="auto" w:line="360"/>
        <w:rPr>
          <w:lang w:val="en-GB"/>
        </w:rPr>
      </w:pPr>
      <w:bookmarkStart w:id="7" w:name="_Toc129343488"/>
      <w:r>
        <w:rPr>
          <w:lang w:val="en-GB"/>
        </w:rPr>
        <w:t>Type of funding</w:t>
      </w:r>
      <w:bookmarkEnd w:id="7"/>
    </w:p>
    <w:p>
      <w:pPr>
        <w:pStyle w:val="Normal1"/>
        <w:spacing w:lineRule="auto" w:line="360"/>
        <w:rPr>
          <w:lang w:val="en-GB"/>
        </w:rPr>
      </w:pPr>
      <w:r>
        <w:rPr>
          <w:lang w:val="en-GB"/>
        </w:rPr>
        <w:t xml:space="preserve">There are different types of funding a business can use while funding the case of a firm. “Friends and family” type of funds are those funds that which is collected from people close to the business owner (Brown </w:t>
      </w:r>
      <w:r>
        <w:rPr>
          <w:i/>
          <w:lang w:val="en-GB"/>
        </w:rPr>
        <w:t>et al</w:t>
      </w:r>
      <w:r>
        <w:rPr>
          <w:lang w:val="en-GB"/>
        </w:rPr>
        <w:t xml:space="preserve">., 2020). A Bank loan is another important funding method for a firm to fund the cases. Here the bank provides a loan to the business on a certain specific amount of refund with some interest on the total amount. There are some criteria that a business approved a loan from private banks. </w:t>
      </w:r>
    </w:p>
    <w:p>
      <w:pPr>
        <w:pStyle w:val="Heading2"/>
        <w:spacing w:lineRule="auto" w:line="360"/>
        <w:rPr>
          <w:lang w:val="en-GB"/>
        </w:rPr>
      </w:pPr>
      <w:bookmarkStart w:id="8" w:name="_Toc129343489"/>
      <w:r>
        <w:rPr>
          <w:lang w:val="en-GB"/>
        </w:rPr>
        <w:t>Advantages and disadvantages of funding</w:t>
      </w:r>
      <w:bookmarkEnd w:id="8"/>
    </w:p>
    <w:p>
      <w:pPr>
        <w:pStyle w:val="Normal1"/>
        <w:spacing w:lineRule="auto" w:line="360"/>
        <w:rPr>
          <w:lang w:val="en-GB"/>
        </w:rPr>
      </w:pPr>
      <w:r>
        <w:rPr>
          <w:b/>
          <w:i/>
          <w:lang w:val="en-GB"/>
        </w:rPr>
        <w:t xml:space="preserve">Advantage, </w:t>
      </w:r>
      <w:r>
        <w:rPr>
          <w:lang w:val="en-GB"/>
        </w:rPr>
        <w:t xml:space="preserve">“Friends and family” is one of the effective methods of funding because, in this method of funding, there is no tension or pressure of returning of money by a given time. Business owners or business firms such as they might get loans at a minute rate or interest-free loans (Bhugra </w:t>
      </w:r>
      <w:r>
        <w:rPr>
          <w:i/>
          <w:lang w:val="en-GB"/>
        </w:rPr>
        <w:t>et al</w:t>
      </w:r>
      <w:r>
        <w:rPr>
          <w:lang w:val="en-GB"/>
        </w:rPr>
        <w:t xml:space="preserve">., 2019). Though this method of funding is productive and there are some </w:t>
      </w:r>
      <w:r>
        <w:rPr>
          <w:b/>
          <w:i/>
          <w:lang w:val="en-GB"/>
        </w:rPr>
        <w:t xml:space="preserve">disadvantages </w:t>
      </w:r>
      <w:r>
        <w:rPr>
          <w:lang w:val="en-GB"/>
        </w:rPr>
        <w:t xml:space="preserve">of funding. The amount of money is not big, because people will be providing funds from their savings. It might also impact the relationship of the business owner with their closest people. </w:t>
      </w:r>
    </w:p>
    <w:p>
      <w:pPr>
        <w:pStyle w:val="Normal1"/>
        <w:spacing w:lineRule="auto" w:line="360"/>
        <w:rPr>
          <w:lang w:val="en-GB"/>
        </w:rPr>
      </w:pPr>
      <w:r>
        <w:rPr>
          <w:lang w:val="en-GB"/>
        </w:rPr>
        <w:t xml:space="preserve">The </w:t>
      </w:r>
      <w:r>
        <w:rPr>
          <w:b/>
          <w:i/>
          <w:lang w:val="en-GB"/>
        </w:rPr>
        <w:t xml:space="preserve">advantage </w:t>
      </w:r>
      <w:r>
        <w:rPr>
          <w:lang w:val="en-GB"/>
        </w:rPr>
        <w:t xml:space="preserve">of a bank loan is the business will get enough funds that will help the firm to fund its case. The firm will be having their control over the company and the bank they do not get into or intervene in business operations or firm cases (Cowling </w:t>
      </w:r>
      <w:r>
        <w:rPr>
          <w:i/>
          <w:lang w:val="en-GB"/>
        </w:rPr>
        <w:t>et al</w:t>
      </w:r>
      <w:r>
        <w:rPr>
          <w:lang w:val="en-GB"/>
        </w:rPr>
        <w:t xml:space="preserve">., 2020.). The </w:t>
      </w:r>
      <w:r>
        <w:rPr>
          <w:b/>
          <w:i/>
          <w:lang w:val="en-GB"/>
        </w:rPr>
        <w:t xml:space="preserve">disadvantage </w:t>
      </w:r>
      <w:r>
        <w:rPr>
          <w:lang w:val="en-GB"/>
        </w:rPr>
        <w:t>of bank loans is there will be an interest rate that a business will have to pay, which will increase the expense of a business</w:t>
      </w:r>
    </w:p>
    <w:p>
      <w:pPr>
        <w:pStyle w:val="Heading2"/>
        <w:spacing w:lineRule="auto" w:line="360"/>
        <w:rPr>
          <w:lang w:val="en-GB"/>
        </w:rPr>
      </w:pPr>
      <w:bookmarkStart w:id="9" w:name="_Toc129343490"/>
      <w:r>
        <w:rPr>
          <w:lang w:val="en-GB"/>
        </w:rPr>
        <w:t>“</w:t>
      </w:r>
      <w:r>
        <w:rPr>
          <w:lang w:val="en-GB"/>
        </w:rPr>
        <w:t>Examples of the type of funding suitable for business are of law”</w:t>
      </w:r>
      <w:bookmarkEnd w:id="9"/>
    </w:p>
    <w:p>
      <w:pPr>
        <w:pStyle w:val="Normal1"/>
        <w:spacing w:lineRule="auto" w:line="360"/>
        <w:rPr>
          <w:lang w:val="en-GB"/>
        </w:rPr>
      </w:pPr>
      <w:r>
        <w:rPr>
          <w:lang w:val="en-GB"/>
        </w:rPr>
        <w:t xml:space="preserve">These funds can be used by businesses to fund their different cases. A Bank loan will be suitable for funding the “business law and residential conveyancing”. The bank loan is a temporary because once the business paid off the borrowed loan then there is no obligation or intervention by the bank. This will help the business to deal with different people in a commercial matter. The business can apply for the </w:t>
      </w:r>
      <w:r>
        <w:rPr>
          <w:b/>
          <w:i/>
          <w:lang w:val="en-GB"/>
        </w:rPr>
        <w:t>“working capital Loan”</w:t>
      </w:r>
      <w:r>
        <w:rPr>
          <w:lang w:val="en-GB"/>
        </w:rPr>
        <w:t>, this loan is provided by the banks for an emergency situation or on short notice (Kim and Kim, 2021). A business firm can also use “fixed asset loans”, to buy the asset for the organisation. The fixed asset loan is approved easily and also funding is done quickly. There are some benefits of funding in the “business law and residential conveyancing”</w:t>
      </w:r>
      <w:r>
        <w:br w:type="page"/>
      </w:r>
    </w:p>
    <w:p>
      <w:pPr>
        <w:pStyle w:val="Heading1"/>
        <w:spacing w:lineRule="auto" w:line="360"/>
        <w:rPr>
          <w:lang w:val="en-GB"/>
        </w:rPr>
      </w:pPr>
      <w:bookmarkStart w:id="10" w:name="_Toc129343491"/>
      <w:r>
        <w:rPr>
          <w:lang w:val="en-GB"/>
        </w:rPr>
        <w:t>Conclusion</w:t>
      </w:r>
      <w:bookmarkEnd w:id="10"/>
      <w:r>
        <w:rPr>
          <w:lang w:val="en-GB"/>
        </w:rPr>
        <w:t xml:space="preserve"> </w:t>
      </w:r>
    </w:p>
    <w:p>
      <w:pPr>
        <w:pStyle w:val="Normal1"/>
        <w:spacing w:lineRule="auto" w:line="360"/>
        <w:rPr>
          <w:lang w:val="en-GB"/>
        </w:rPr>
      </w:pPr>
      <w:r>
        <w:rPr>
          <w:lang w:val="en-GB"/>
        </w:rPr>
        <w:t xml:space="preserve">The above report has provided information regarding the ethical and professional problem via email writing. After this element 2, it had provided information regarding the principle of the “Code of Conduct” of SRA. Lastly; it has provided information regarding different funding methods for a business. </w:t>
      </w:r>
      <w:r>
        <w:br w:type="page"/>
      </w:r>
    </w:p>
    <w:p>
      <w:pPr>
        <w:pStyle w:val="Heading1"/>
        <w:spacing w:lineRule="auto" w:line="360"/>
        <w:rPr>
          <w:lang w:val="en-GB"/>
        </w:rPr>
      </w:pPr>
      <w:bookmarkStart w:id="11" w:name="_Toc129343492"/>
      <w:r>
        <w:rPr>
          <w:lang w:val="en-GB"/>
        </w:rPr>
        <w:t>Reference</w:t>
      </w:r>
      <w:bookmarkStart w:id="12" w:name="_GoBack"/>
      <w:bookmarkEnd w:id="11"/>
      <w:bookmarkEnd w:id="12"/>
    </w:p>
    <w:p>
      <w:pPr>
        <w:pStyle w:val="Normal1"/>
        <w:spacing w:lineRule="auto" w:line="360"/>
        <w:rPr>
          <w:lang w:val="en-GB"/>
        </w:rPr>
      </w:pPr>
      <w:r>
        <w:rPr>
          <w:lang w:val="en-GB"/>
        </w:rPr>
        <w:t>Bhugra, D., Sauerteig, S.O., Bland, D., Lloyd-Kendall, A., Wijesuriya, J., Singh, G., Kochhar, A., Molodynski, A. and Ventriglio, A., 2019. A descriptive study of mental health and wellbeing of doctors and medical students in the UK. International Review of Psychiatry, 31(7-8), pp.563-568.</w:t>
      </w:r>
    </w:p>
    <w:p>
      <w:pPr>
        <w:pStyle w:val="Normal1"/>
        <w:spacing w:lineRule="auto" w:line="360"/>
        <w:rPr>
          <w:lang w:val="en-GB"/>
        </w:rPr>
      </w:pPr>
      <w:r>
        <w:rPr>
          <w:lang w:val="en-GB"/>
        </w:rPr>
        <w:t>Brown, R., Rocha, A. and Cowling, M., 2020. &lt;? covid19?&gt; Financing entrepreneurship in times of crisis: exploring the impact of COVID-19 on the market for entrepreneurial finance in the United Kingdom. International Small Business Journal, 38(5), pp.380-390.</w:t>
      </w:r>
    </w:p>
    <w:p>
      <w:pPr>
        <w:pStyle w:val="Normal1"/>
        <w:spacing w:lineRule="auto" w:line="360"/>
        <w:rPr>
          <w:lang w:val="en-GB"/>
        </w:rPr>
      </w:pPr>
      <w:r>
        <w:rPr>
          <w:lang w:val="en-GB"/>
        </w:rPr>
        <w:t>Cowling, M., Marlow, S. and Liu, W., 2020. Gender and bank lending after the global financial crisis: are women entrepreneurs safer bets?. Small Business Economics, 55, pp.853-880.</w:t>
      </w:r>
    </w:p>
    <w:p>
      <w:pPr>
        <w:pStyle w:val="Normal1"/>
        <w:spacing w:lineRule="auto" w:line="360"/>
        <w:rPr>
          <w:lang w:val="en-GB"/>
        </w:rPr>
      </w:pPr>
      <w:r>
        <w:rPr>
          <w:lang w:val="en-GB"/>
        </w:rPr>
        <w:t>Kim, S.M. and Kim, S.M., 2021. Trade Finance for International Sale of Goods. Payment Methods and Finance for International Trade, pp.163-181.</w:t>
      </w:r>
    </w:p>
    <w:p>
      <w:pPr>
        <w:pStyle w:val="Normal1"/>
        <w:spacing w:lineRule="auto" w:line="360"/>
        <w:rPr>
          <w:lang w:val="en-GB"/>
        </w:rPr>
      </w:pPr>
      <w:r>
        <w:rPr>
          <w:lang w:val="en-GB"/>
        </w:rPr>
      </w:r>
    </w:p>
    <w:p>
      <w:pPr>
        <w:pStyle w:val="Normal1"/>
        <w:spacing w:lineRule="auto" w:line="360"/>
        <w:rPr>
          <w:lang w:val="en-GB"/>
        </w:rPr>
      </w:pPr>
      <w:r>
        <w:rPr>
          <w:lang w:val="en-GB"/>
        </w:rPr>
      </w:r>
    </w:p>
    <w:p>
      <w:pPr>
        <w:pStyle w:val="Normal1"/>
        <w:spacing w:lineRule="auto" w:line="360" w:before="0" w:after="200"/>
        <w:rPr>
          <w:lang w:val="en-GB"/>
        </w:rPr>
      </w:pPr>
      <w:r>
        <w:rPr/>
      </w:r>
    </w:p>
    <w:sectPr>
      <w:footerReference w:type="default" r:id="rId2"/>
      <w:type w:val="nextPage"/>
      <w:pgSz w:w="11906" w:h="16838"/>
      <w:pgMar w:left="1440" w:right="1440" w:gutter="0" w:header="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Tahoma">
    <w:charset w:val="00"/>
    <w:family w:val="roman"/>
    <w:pitch w:val="variable"/>
  </w:font>
  <w:font w:name="Liberation Sans">
    <w:altName w:val="Arial"/>
    <w:charset w:val="00"/>
    <w:family w:val="swiss"/>
    <w:pitch w:val="variable"/>
  </w:font>
  <w:font w:name="Georgia">
    <w:charset w:val="00"/>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before="0" w:after="200"/>
      <w:jc w:val="right"/>
      <w:rPr/>
    </w:pPr>
    <w:r>
      <w:rPr/>
      <w:fldChar w:fldCharType="begin"/>
    </w:r>
    <w:r>
      <w:rPr/>
      <w:instrText xml:space="preserve"> PAGE </w:instrText>
    </w:r>
    <w:r>
      <w:rPr/>
      <w:fldChar w:fldCharType="separate"/>
    </w:r>
    <w:r>
      <w:rPr/>
      <w:t>11</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both"/>
    </w:pPr>
    <w:rPr>
      <w:rFonts w:ascii="Times New Roman" w:hAnsi="Times New Roman" w:eastAsia="Times New Roman" w:cs="Times New Roman"/>
      <w:color w:val="auto"/>
      <w:kern w:val="0"/>
      <w:sz w:val="24"/>
      <w:szCs w:val="24"/>
      <w:lang w:val="en-US" w:eastAsia="en-US" w:bidi="ar-SA"/>
    </w:rPr>
  </w:style>
  <w:style w:type="paragraph" w:styleId="Heading1">
    <w:name w:val="Heading 1"/>
    <w:basedOn w:val="Normal1"/>
    <w:next w:val="Normal1"/>
    <w:qFormat/>
    <w:rsid w:val="00267273"/>
    <w:pPr>
      <w:keepNext w:val="true"/>
      <w:keepLines/>
      <w:outlineLvl w:val="0"/>
    </w:pPr>
    <w:rPr>
      <w:b/>
    </w:rPr>
  </w:style>
  <w:style w:type="paragraph" w:styleId="Heading2">
    <w:name w:val="Heading 2"/>
    <w:basedOn w:val="Normal1"/>
    <w:next w:val="Normal1"/>
    <w:qFormat/>
    <w:rsid w:val="00267273"/>
    <w:pPr>
      <w:keepNext w:val="true"/>
      <w:keepLines/>
      <w:outlineLvl w:val="1"/>
    </w:pPr>
    <w:rPr>
      <w:b/>
    </w:rPr>
  </w:style>
  <w:style w:type="paragraph" w:styleId="Heading3">
    <w:name w:val="Heading 3"/>
    <w:basedOn w:val="Normal1"/>
    <w:next w:val="Normal1"/>
    <w:qFormat/>
    <w:rsid w:val="00267273"/>
    <w:pPr>
      <w:keepNext w:val="true"/>
      <w:keepLines/>
      <w:pBdr/>
      <w:spacing w:before="280" w:after="80"/>
      <w:jc w:val="left"/>
      <w:outlineLvl w:val="2"/>
    </w:pPr>
    <w:rPr>
      <w:rFonts w:ascii="Calibri" w:hAnsi="Calibri" w:eastAsia="Calibri" w:cs="Calibri"/>
      <w:b/>
      <w:color w:val="000000"/>
      <w:sz w:val="28"/>
      <w:szCs w:val="28"/>
    </w:rPr>
  </w:style>
  <w:style w:type="paragraph" w:styleId="Heading4">
    <w:name w:val="Heading 4"/>
    <w:basedOn w:val="Normal1"/>
    <w:next w:val="Normal1"/>
    <w:qFormat/>
    <w:rsid w:val="00267273"/>
    <w:pPr>
      <w:keepNext w:val="true"/>
      <w:keepLines/>
      <w:pBdr/>
      <w:spacing w:before="240" w:after="40"/>
      <w:jc w:val="left"/>
      <w:outlineLvl w:val="3"/>
    </w:pPr>
    <w:rPr>
      <w:rFonts w:ascii="Calibri" w:hAnsi="Calibri" w:eastAsia="Calibri" w:cs="Calibri"/>
      <w:b/>
      <w:color w:val="000000"/>
    </w:rPr>
  </w:style>
  <w:style w:type="paragraph" w:styleId="Heading5">
    <w:name w:val="Heading 5"/>
    <w:basedOn w:val="Normal1"/>
    <w:next w:val="Normal1"/>
    <w:qFormat/>
    <w:rsid w:val="00267273"/>
    <w:pPr>
      <w:keepNext w:val="true"/>
      <w:keepLines/>
      <w:pBdr/>
      <w:spacing w:before="220" w:after="40"/>
      <w:jc w:val="left"/>
      <w:outlineLvl w:val="4"/>
    </w:pPr>
    <w:rPr>
      <w:rFonts w:ascii="Calibri" w:hAnsi="Calibri" w:eastAsia="Calibri" w:cs="Calibri"/>
      <w:b/>
      <w:color w:val="000000"/>
      <w:sz w:val="22"/>
      <w:szCs w:val="22"/>
    </w:rPr>
  </w:style>
  <w:style w:type="paragraph" w:styleId="Heading6">
    <w:name w:val="Heading 6"/>
    <w:basedOn w:val="Normal1"/>
    <w:next w:val="Normal1"/>
    <w:qFormat/>
    <w:rsid w:val="00267273"/>
    <w:pPr>
      <w:keepNext w:val="true"/>
      <w:keepLines/>
      <w:pBdr/>
      <w:spacing w:before="200" w:after="40"/>
      <w:jc w:val="left"/>
      <w:outlineLvl w:val="5"/>
    </w:pPr>
    <w:rPr>
      <w:rFonts w:ascii="Calibri" w:hAnsi="Calibri" w:eastAsia="Calibri" w:cs="Calibri"/>
      <w:b/>
      <w:color w:val="000000"/>
      <w:sz w:val="20"/>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ab4e4c"/>
    <w:rPr>
      <w:rFonts w:ascii="Tahoma" w:hAnsi="Tahoma" w:cs="Tahoma"/>
      <w:sz w:val="16"/>
      <w:szCs w:val="16"/>
    </w:rPr>
  </w:style>
  <w:style w:type="character" w:styleId="InternetLink">
    <w:name w:val="Hyperlink"/>
    <w:basedOn w:val="DefaultParagraphFont"/>
    <w:uiPriority w:val="99"/>
    <w:unhideWhenUsed/>
    <w:rsid w:val="00f6226a"/>
    <w:rPr>
      <w:color w:val="0000FF"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customStyle="1">
    <w:name w:val="Normal1"/>
    <w:qFormat/>
    <w:rsid w:val="00267273"/>
    <w:pPr>
      <w:widowControl/>
      <w:bidi w:val="0"/>
      <w:spacing w:lineRule="auto" w:line="276" w:before="0" w:after="200"/>
      <w:jc w:val="both"/>
    </w:pPr>
    <w:rPr>
      <w:rFonts w:ascii="Times New Roman" w:hAnsi="Times New Roman" w:eastAsia="Times New Roman" w:cs="Times New Roman"/>
      <w:color w:val="auto"/>
      <w:kern w:val="0"/>
      <w:sz w:val="24"/>
      <w:szCs w:val="24"/>
      <w:lang w:val="en-US" w:eastAsia="en-US" w:bidi="ar-SA"/>
    </w:rPr>
  </w:style>
  <w:style w:type="paragraph" w:styleId="Title">
    <w:name w:val="Title"/>
    <w:basedOn w:val="Normal1"/>
    <w:next w:val="Normal1"/>
    <w:qFormat/>
    <w:rsid w:val="00267273"/>
    <w:pPr>
      <w:spacing w:lineRule="auto" w:line="240" w:before="0" w:after="0"/>
      <w:jc w:val="center"/>
    </w:pPr>
    <w:rPr>
      <w:b/>
      <w:sz w:val="56"/>
      <w:szCs w:val="56"/>
    </w:rPr>
  </w:style>
  <w:style w:type="paragraph" w:styleId="Subtitle">
    <w:name w:val="Subtitle"/>
    <w:basedOn w:val="Normal1"/>
    <w:next w:val="Normal1"/>
    <w:qFormat/>
    <w:rsid w:val="00267273"/>
    <w:pPr>
      <w:keepNext w:val="true"/>
      <w:keepLines/>
      <w:spacing w:before="360" w:after="80"/>
    </w:pPr>
    <w:rPr>
      <w:rFonts w:ascii="Georgia" w:hAnsi="Georgia" w:eastAsia="Georgia" w:cs="Georgia"/>
      <w:i/>
      <w:color w:val="666666"/>
      <w:sz w:val="48"/>
      <w:szCs w:val="48"/>
    </w:rPr>
  </w:style>
  <w:style w:type="paragraph" w:styleId="BalloonText">
    <w:name w:val="Balloon Text"/>
    <w:basedOn w:val="Normal"/>
    <w:link w:val="BalloonTextChar"/>
    <w:uiPriority w:val="99"/>
    <w:semiHidden/>
    <w:unhideWhenUsed/>
    <w:qFormat/>
    <w:rsid w:val="00ab4e4c"/>
    <w:pPr>
      <w:spacing w:lineRule="auto" w:line="240" w:before="0" w:after="0"/>
    </w:pPr>
    <w:rPr>
      <w:rFonts w:ascii="Tahoma" w:hAnsi="Tahoma" w:cs="Tahoma"/>
      <w:sz w:val="16"/>
      <w:szCs w:val="16"/>
    </w:rPr>
  </w:style>
  <w:style w:type="paragraph" w:styleId="Contents1">
    <w:name w:val="TOC 1"/>
    <w:basedOn w:val="Normal"/>
    <w:next w:val="Normal"/>
    <w:autoRedefine/>
    <w:uiPriority w:val="39"/>
    <w:unhideWhenUsed/>
    <w:rsid w:val="00f6226a"/>
    <w:pPr>
      <w:spacing w:before="0" w:after="100"/>
    </w:pPr>
    <w:rPr/>
  </w:style>
  <w:style w:type="paragraph" w:styleId="Contents2">
    <w:name w:val="TOC 2"/>
    <w:basedOn w:val="Normal"/>
    <w:next w:val="Normal"/>
    <w:autoRedefine/>
    <w:uiPriority w:val="39"/>
    <w:unhideWhenUsed/>
    <w:rsid w:val="00f6226a"/>
    <w:pPr>
      <w:spacing w:before="0" w:after="100"/>
      <w:ind w:left="240" w:hanging="0"/>
    </w:pPr>
    <w:rPr/>
  </w:style>
  <w:style w:type="paragraph" w:styleId="HeaderandFooter">
    <w:name w:val="Header and Footer"/>
    <w:basedOn w:val="Normal"/>
    <w:qFormat/>
    <w:pPr/>
    <w:rPr/>
  </w:style>
  <w:style w:type="paragraph" w:styleId="Footer">
    <w:name w:val="Foot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Application>EasyOffice/7.5.0.3.0$Windows_X86_64 LibreOffice_project/05980a1173aba1d90dea3e57af5a30614ff95426</Application>
  <AppVersion>15.0000</AppVersion>
  <Pages>11</Pages>
  <Words>1810</Words>
  <Characters>8891</Characters>
  <CharactersWithSpaces>10665</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2023-03-10T06:48:00Z</dcterms:created>
  <dc:creator>RT306</dc:creator>
  <dc:description/>
  <dc:language>en-GB</dc:language>
  <cp:lastModifiedBy/>
  <dcterms:modified xsi:type="dcterms:W3CDTF">2023-03-20T08:59:23Z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