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96E3A" w14:textId="11678DAB" w:rsidR="00B74657" w:rsidRPr="00A906D0" w:rsidRDefault="1AABE7A9" w:rsidP="48F8251C">
      <w:pPr>
        <w:pStyle w:val="Heading1"/>
        <w:rPr>
          <w:rFonts w:ascii="Aptos" w:eastAsia="Aptos" w:hAnsi="Aptos" w:cs="Aptos"/>
          <w:color w:val="000000" w:themeColor="text1"/>
          <w:sz w:val="24"/>
          <w:szCs w:val="24"/>
          <w:lang w:val="nl-NL"/>
        </w:rPr>
      </w:pPr>
      <w:r w:rsidRPr="00A906D0">
        <w:rPr>
          <w:rFonts w:ascii="Aptos" w:eastAsia="Aptos" w:hAnsi="Aptos" w:cs="Aptos"/>
          <w:b/>
          <w:bCs/>
          <w:color w:val="000000" w:themeColor="text1"/>
          <w:sz w:val="24"/>
          <w:szCs w:val="24"/>
          <w:lang w:val="nl-NL"/>
        </w:rPr>
        <w:t>Student Name: Saba Ansar</w:t>
      </w:r>
    </w:p>
    <w:p w14:paraId="66BA0AF3" w14:textId="578E83A0" w:rsidR="00B74657" w:rsidRPr="00A906D0" w:rsidRDefault="1AABE7A9" w:rsidP="48F8251C">
      <w:pPr>
        <w:keepNext/>
        <w:keepLines/>
        <w:rPr>
          <w:rFonts w:ascii="Aptos" w:eastAsia="Aptos" w:hAnsi="Aptos" w:cs="Aptos"/>
          <w:color w:val="000000" w:themeColor="text1"/>
          <w:lang w:val="nl-NL"/>
        </w:rPr>
      </w:pPr>
      <w:r w:rsidRPr="00A906D0">
        <w:rPr>
          <w:rFonts w:ascii="Aptos" w:eastAsia="Aptos" w:hAnsi="Aptos" w:cs="Aptos"/>
          <w:b/>
          <w:bCs/>
          <w:color w:val="000000" w:themeColor="text1"/>
          <w:lang w:val="nl-NL"/>
        </w:rPr>
        <w:t>Student ID: 2426467</w:t>
      </w:r>
    </w:p>
    <w:p w14:paraId="5E075166" w14:textId="57306FB4" w:rsidR="00B74657" w:rsidRDefault="1AABE7A9" w:rsidP="48F8251C">
      <w:pPr>
        <w:keepNext/>
        <w:keepLines/>
        <w:rPr>
          <w:rFonts w:ascii="Aptos" w:eastAsia="Aptos" w:hAnsi="Aptos" w:cs="Aptos"/>
          <w:color w:val="000000" w:themeColor="text1"/>
        </w:rPr>
      </w:pPr>
      <w:r w:rsidRPr="48F8251C">
        <w:rPr>
          <w:rFonts w:ascii="Aptos" w:eastAsia="Aptos" w:hAnsi="Aptos" w:cs="Aptos"/>
          <w:b/>
          <w:bCs/>
          <w:color w:val="000000" w:themeColor="text1"/>
        </w:rPr>
        <w:t>Module: Protecting and Supporting Families in Health and Care</w:t>
      </w:r>
    </w:p>
    <w:p w14:paraId="799F9F6A" w14:textId="15872791" w:rsidR="00B74657" w:rsidRDefault="1AABE7A9" w:rsidP="48F8251C">
      <w:pPr>
        <w:keepNext/>
        <w:keepLines/>
        <w:rPr>
          <w:rFonts w:ascii="Arial" w:eastAsia="Arial" w:hAnsi="Arial" w:cs="Arial"/>
          <w:color w:val="000000" w:themeColor="text1"/>
          <w:sz w:val="22"/>
          <w:szCs w:val="22"/>
        </w:rPr>
      </w:pPr>
      <w:r w:rsidRPr="48F8251C">
        <w:rPr>
          <w:rFonts w:ascii="Aptos" w:eastAsia="Aptos" w:hAnsi="Aptos" w:cs="Aptos"/>
          <w:b/>
          <w:bCs/>
          <w:color w:val="000000" w:themeColor="text1"/>
        </w:rPr>
        <w:t xml:space="preserve">Module Code: </w:t>
      </w:r>
      <w:r w:rsidRPr="48F8251C">
        <w:rPr>
          <w:rFonts w:ascii="Arial" w:eastAsia="Arial" w:hAnsi="Arial" w:cs="Arial"/>
          <w:b/>
          <w:bCs/>
          <w:color w:val="000000" w:themeColor="text1"/>
          <w:sz w:val="22"/>
          <w:szCs w:val="22"/>
        </w:rPr>
        <w:t>BMHP5021</w:t>
      </w:r>
    </w:p>
    <w:p w14:paraId="0B8EA2D7" w14:textId="218B68CF" w:rsidR="00B74657" w:rsidRDefault="1AABE7A9" w:rsidP="48F8251C">
      <w:pPr>
        <w:keepNext/>
        <w:keepLines/>
        <w:rPr>
          <w:rFonts w:ascii="Arial" w:eastAsia="Arial" w:hAnsi="Arial" w:cs="Arial"/>
          <w:sz w:val="22"/>
          <w:szCs w:val="22"/>
        </w:rPr>
      </w:pPr>
      <w:r w:rsidRPr="48F8251C">
        <w:rPr>
          <w:rFonts w:ascii="Arial" w:eastAsia="Arial" w:hAnsi="Arial" w:cs="Arial"/>
          <w:b/>
          <w:bCs/>
          <w:color w:val="000000" w:themeColor="text1"/>
          <w:sz w:val="22"/>
          <w:szCs w:val="22"/>
        </w:rPr>
        <w:t xml:space="preserve">Assignment Title: </w:t>
      </w:r>
      <w:r w:rsidRPr="48F8251C">
        <w:rPr>
          <w:rFonts w:ascii="Arial" w:eastAsia="Arial" w:hAnsi="Arial" w:cs="Arial"/>
          <w:b/>
          <w:bCs/>
          <w:sz w:val="22"/>
          <w:szCs w:val="22"/>
        </w:rPr>
        <w:t>Component 2: Written Report</w:t>
      </w:r>
    </w:p>
    <w:p w14:paraId="40DB60A8" w14:textId="5B95550A" w:rsidR="00B74657" w:rsidRDefault="1AABE7A9" w:rsidP="48F8251C">
      <w:pPr>
        <w:keepNext/>
        <w:keepLines/>
        <w:rPr>
          <w:rFonts w:ascii="Arial" w:eastAsia="Arial" w:hAnsi="Arial" w:cs="Arial"/>
          <w:color w:val="000000" w:themeColor="text1"/>
          <w:sz w:val="22"/>
          <w:szCs w:val="22"/>
        </w:rPr>
      </w:pPr>
      <w:r w:rsidRPr="48F8251C">
        <w:rPr>
          <w:rFonts w:ascii="Arial" w:eastAsia="Arial" w:hAnsi="Arial" w:cs="Arial"/>
          <w:b/>
          <w:bCs/>
          <w:color w:val="000000" w:themeColor="text1"/>
          <w:sz w:val="22"/>
          <w:szCs w:val="22"/>
        </w:rPr>
        <w:t xml:space="preserve">Lecturer: Gillian Weaver </w:t>
      </w:r>
    </w:p>
    <w:p w14:paraId="080A7BE9" w14:textId="35DBDEA5" w:rsidR="00B74657" w:rsidRDefault="00B74657" w:rsidP="48F8251C">
      <w:pPr>
        <w:keepNext/>
        <w:keepLines/>
        <w:rPr>
          <w:rFonts w:ascii="Arial" w:eastAsia="Arial" w:hAnsi="Arial" w:cs="Arial"/>
          <w:color w:val="000000" w:themeColor="text1"/>
          <w:sz w:val="22"/>
          <w:szCs w:val="22"/>
        </w:rPr>
      </w:pPr>
    </w:p>
    <w:p w14:paraId="4B9B4D4E" w14:textId="7CA914E9" w:rsidR="00B74657" w:rsidRDefault="00B74657" w:rsidP="48F8251C">
      <w:pPr>
        <w:keepNext/>
        <w:keepLines/>
        <w:rPr>
          <w:rFonts w:ascii="Aptos" w:eastAsia="Aptos" w:hAnsi="Aptos" w:cs="Aptos"/>
          <w:color w:val="000000" w:themeColor="text1"/>
        </w:rPr>
      </w:pPr>
    </w:p>
    <w:p w14:paraId="6E6423F1" w14:textId="3E1BA0F8" w:rsidR="00B74657" w:rsidRDefault="00B74657" w:rsidP="48F8251C">
      <w:pPr>
        <w:pBdr>
          <w:bottom w:val="single" w:sz="8" w:space="0" w:color="4F81BD"/>
        </w:pBdr>
        <w:spacing w:after="300" w:line="360" w:lineRule="auto"/>
        <w:jc w:val="center"/>
        <w:rPr>
          <w:b/>
          <w:bCs/>
          <w:color w:val="17365D"/>
          <w:sz w:val="22"/>
          <w:szCs w:val="22"/>
        </w:rPr>
      </w:pPr>
    </w:p>
    <w:p w14:paraId="2E21E1C5" w14:textId="4B3A31DB" w:rsidR="00B74657" w:rsidRDefault="00B74657" w:rsidP="48F8251C">
      <w:pPr>
        <w:pBdr>
          <w:bottom w:val="single" w:sz="8" w:space="0" w:color="4F81BD"/>
        </w:pBdr>
        <w:spacing w:after="300" w:line="360" w:lineRule="auto"/>
        <w:jc w:val="center"/>
        <w:rPr>
          <w:b/>
          <w:bCs/>
          <w:color w:val="17365D"/>
          <w:sz w:val="22"/>
          <w:szCs w:val="22"/>
        </w:rPr>
      </w:pPr>
    </w:p>
    <w:p w14:paraId="0CC3D399" w14:textId="166CFA1A" w:rsidR="00B74657" w:rsidRDefault="00B74657" w:rsidP="48F8251C">
      <w:pPr>
        <w:pBdr>
          <w:bottom w:val="single" w:sz="8" w:space="0" w:color="4F81BD"/>
        </w:pBdr>
        <w:spacing w:after="300" w:line="360" w:lineRule="auto"/>
        <w:jc w:val="center"/>
        <w:rPr>
          <w:b/>
          <w:bCs/>
          <w:color w:val="17365D"/>
          <w:sz w:val="22"/>
          <w:szCs w:val="22"/>
        </w:rPr>
      </w:pPr>
    </w:p>
    <w:p w14:paraId="478E44A2" w14:textId="3590BBEB" w:rsidR="00B74657" w:rsidRDefault="00B74657" w:rsidP="48F8251C">
      <w:pPr>
        <w:pBdr>
          <w:bottom w:val="single" w:sz="8" w:space="0" w:color="4F81BD"/>
        </w:pBdr>
        <w:spacing w:after="300" w:line="360" w:lineRule="auto"/>
        <w:jc w:val="center"/>
        <w:rPr>
          <w:b/>
          <w:bCs/>
          <w:color w:val="17365D"/>
          <w:sz w:val="22"/>
          <w:szCs w:val="22"/>
        </w:rPr>
      </w:pPr>
    </w:p>
    <w:p w14:paraId="3A3723F6" w14:textId="6E331B0E" w:rsidR="00B74657" w:rsidRDefault="00B74657" w:rsidP="48F8251C">
      <w:pPr>
        <w:pBdr>
          <w:bottom w:val="single" w:sz="8" w:space="0" w:color="4F81BD"/>
        </w:pBdr>
        <w:spacing w:after="300" w:line="360" w:lineRule="auto"/>
        <w:jc w:val="center"/>
        <w:rPr>
          <w:b/>
          <w:bCs/>
          <w:color w:val="17365D"/>
          <w:sz w:val="22"/>
          <w:szCs w:val="22"/>
        </w:rPr>
      </w:pPr>
    </w:p>
    <w:p w14:paraId="1E67D99F" w14:textId="041FE7BE" w:rsidR="00B74657" w:rsidRDefault="00B74657" w:rsidP="48F8251C">
      <w:pPr>
        <w:pBdr>
          <w:bottom w:val="single" w:sz="8" w:space="0" w:color="4F81BD"/>
        </w:pBdr>
        <w:spacing w:after="300" w:line="360" w:lineRule="auto"/>
        <w:jc w:val="center"/>
        <w:rPr>
          <w:b/>
          <w:bCs/>
          <w:color w:val="17365D"/>
          <w:sz w:val="22"/>
          <w:szCs w:val="22"/>
        </w:rPr>
      </w:pPr>
    </w:p>
    <w:p w14:paraId="0C48EF73" w14:textId="3DC194B4" w:rsidR="00B74657" w:rsidRDefault="00B74657" w:rsidP="48F8251C">
      <w:pPr>
        <w:pBdr>
          <w:bottom w:val="single" w:sz="8" w:space="0" w:color="4F81BD"/>
        </w:pBdr>
        <w:spacing w:after="300" w:line="360" w:lineRule="auto"/>
        <w:jc w:val="center"/>
        <w:rPr>
          <w:b/>
          <w:bCs/>
          <w:color w:val="17365D"/>
          <w:sz w:val="22"/>
          <w:szCs w:val="22"/>
        </w:rPr>
      </w:pPr>
    </w:p>
    <w:p w14:paraId="47970A22" w14:textId="6488F7C2" w:rsidR="00B74657" w:rsidRDefault="00B74657" w:rsidP="48F8251C">
      <w:pPr>
        <w:pBdr>
          <w:bottom w:val="single" w:sz="8" w:space="0" w:color="4F81BD"/>
        </w:pBdr>
        <w:spacing w:after="300" w:line="360" w:lineRule="auto"/>
        <w:jc w:val="center"/>
        <w:rPr>
          <w:b/>
          <w:bCs/>
          <w:color w:val="17365D"/>
          <w:sz w:val="22"/>
          <w:szCs w:val="22"/>
        </w:rPr>
      </w:pPr>
    </w:p>
    <w:p w14:paraId="16FDEE64" w14:textId="2AFEDEBF" w:rsidR="00B74657" w:rsidRDefault="00B74657" w:rsidP="48F8251C">
      <w:pPr>
        <w:pBdr>
          <w:bottom w:val="single" w:sz="8" w:space="0" w:color="4F81BD"/>
        </w:pBdr>
        <w:spacing w:after="300" w:line="360" w:lineRule="auto"/>
        <w:jc w:val="center"/>
        <w:rPr>
          <w:b/>
          <w:bCs/>
          <w:color w:val="17365D"/>
          <w:sz w:val="22"/>
          <w:szCs w:val="22"/>
        </w:rPr>
      </w:pPr>
    </w:p>
    <w:p w14:paraId="34A199B5" w14:textId="723034D1" w:rsidR="00B74657" w:rsidRDefault="00B74657" w:rsidP="48F8251C">
      <w:pPr>
        <w:pBdr>
          <w:bottom w:val="single" w:sz="8" w:space="0" w:color="4F81BD"/>
        </w:pBdr>
        <w:spacing w:after="300" w:line="360" w:lineRule="auto"/>
        <w:jc w:val="center"/>
        <w:rPr>
          <w:b/>
          <w:bCs/>
          <w:color w:val="17365D"/>
          <w:sz w:val="22"/>
          <w:szCs w:val="22"/>
        </w:rPr>
      </w:pPr>
    </w:p>
    <w:p w14:paraId="09C9DF88" w14:textId="54ED4B6D" w:rsidR="00B74657" w:rsidRDefault="00B74657" w:rsidP="48F8251C">
      <w:pPr>
        <w:pBdr>
          <w:bottom w:val="single" w:sz="8" w:space="0" w:color="4F81BD"/>
        </w:pBdr>
        <w:spacing w:after="300" w:line="360" w:lineRule="auto"/>
        <w:jc w:val="center"/>
        <w:rPr>
          <w:b/>
          <w:bCs/>
          <w:color w:val="17365D"/>
          <w:sz w:val="22"/>
          <w:szCs w:val="22"/>
        </w:rPr>
      </w:pPr>
    </w:p>
    <w:p w14:paraId="01701F37" w14:textId="612E3AA5" w:rsidR="00B74657" w:rsidRDefault="00B74657" w:rsidP="48F8251C">
      <w:pPr>
        <w:pBdr>
          <w:bottom w:val="single" w:sz="8" w:space="0" w:color="4F81BD"/>
        </w:pBdr>
        <w:spacing w:after="300" w:line="360" w:lineRule="auto"/>
        <w:jc w:val="center"/>
        <w:rPr>
          <w:b/>
          <w:bCs/>
          <w:color w:val="17365D"/>
          <w:sz w:val="22"/>
          <w:szCs w:val="22"/>
        </w:rPr>
      </w:pPr>
    </w:p>
    <w:p w14:paraId="1C41496D" w14:textId="56343991" w:rsidR="00B74657" w:rsidRDefault="00B74657" w:rsidP="48F8251C">
      <w:pPr>
        <w:pBdr>
          <w:bottom w:val="single" w:sz="8" w:space="0" w:color="4F81BD"/>
        </w:pBdr>
        <w:spacing w:after="300" w:line="360" w:lineRule="auto"/>
        <w:jc w:val="center"/>
        <w:rPr>
          <w:b/>
          <w:bCs/>
          <w:color w:val="17365D"/>
          <w:sz w:val="22"/>
          <w:szCs w:val="22"/>
        </w:rPr>
      </w:pPr>
    </w:p>
    <w:p w14:paraId="49558366" w14:textId="0F2AA96D" w:rsidR="00B74657" w:rsidRDefault="00B74657" w:rsidP="48F8251C">
      <w:pPr>
        <w:pBdr>
          <w:bottom w:val="single" w:sz="8" w:space="0" w:color="4F81BD"/>
        </w:pBdr>
        <w:spacing w:after="300" w:line="360" w:lineRule="auto"/>
        <w:jc w:val="center"/>
        <w:rPr>
          <w:b/>
          <w:bCs/>
          <w:color w:val="17365D"/>
          <w:sz w:val="22"/>
          <w:szCs w:val="22"/>
        </w:rPr>
      </w:pPr>
    </w:p>
    <w:p w14:paraId="76C37F73" w14:textId="4F9F4150" w:rsidR="00B74657" w:rsidRDefault="00B74657" w:rsidP="48F8251C">
      <w:pPr>
        <w:pBdr>
          <w:bottom w:val="single" w:sz="8" w:space="0" w:color="4F81BD"/>
        </w:pBdr>
        <w:spacing w:after="300" w:line="360" w:lineRule="auto"/>
        <w:jc w:val="center"/>
        <w:rPr>
          <w:b/>
          <w:bCs/>
          <w:color w:val="17365D"/>
          <w:sz w:val="22"/>
          <w:szCs w:val="22"/>
        </w:rPr>
      </w:pPr>
    </w:p>
    <w:p w14:paraId="7A38808C" w14:textId="72D8710D" w:rsidR="00B74657" w:rsidRDefault="00B74657" w:rsidP="48F8251C">
      <w:pPr>
        <w:pBdr>
          <w:bottom w:val="single" w:sz="8" w:space="0" w:color="4F81BD"/>
        </w:pBdr>
        <w:spacing w:after="300" w:line="360" w:lineRule="auto"/>
        <w:jc w:val="center"/>
        <w:rPr>
          <w:b/>
          <w:bCs/>
          <w:color w:val="17365D"/>
          <w:sz w:val="22"/>
          <w:szCs w:val="22"/>
        </w:rPr>
      </w:pPr>
    </w:p>
    <w:p w14:paraId="3B5C1449" w14:textId="693B70C1" w:rsidR="00B74657" w:rsidRDefault="00B74657" w:rsidP="48F8251C">
      <w:pPr>
        <w:pBdr>
          <w:bottom w:val="single" w:sz="8" w:space="0" w:color="4F81BD"/>
        </w:pBdr>
        <w:spacing w:after="300" w:line="360" w:lineRule="auto"/>
        <w:jc w:val="center"/>
        <w:rPr>
          <w:b/>
          <w:bCs/>
          <w:color w:val="17365D"/>
          <w:sz w:val="22"/>
          <w:szCs w:val="22"/>
        </w:rPr>
      </w:pPr>
    </w:p>
    <w:p w14:paraId="4EDD9DAD" w14:textId="361EC3B8" w:rsidR="00B74657" w:rsidRDefault="00B74657" w:rsidP="48F8251C">
      <w:pPr>
        <w:pBdr>
          <w:bottom w:val="single" w:sz="8" w:space="0" w:color="4F81BD"/>
        </w:pBdr>
        <w:spacing w:after="300" w:line="360" w:lineRule="auto"/>
        <w:jc w:val="center"/>
        <w:rPr>
          <w:b/>
          <w:bCs/>
          <w:color w:val="17365D"/>
          <w:sz w:val="22"/>
          <w:szCs w:val="22"/>
        </w:rPr>
      </w:pPr>
    </w:p>
    <w:p w14:paraId="563D46C0" w14:textId="480C2881" w:rsidR="00B74657" w:rsidRDefault="00B74657" w:rsidP="48F8251C">
      <w:pPr>
        <w:pBdr>
          <w:bottom w:val="single" w:sz="8" w:space="0" w:color="4F81BD"/>
        </w:pBdr>
        <w:spacing w:after="300" w:line="360" w:lineRule="auto"/>
        <w:jc w:val="center"/>
        <w:rPr>
          <w:b/>
          <w:bCs/>
          <w:color w:val="17365D"/>
          <w:sz w:val="22"/>
          <w:szCs w:val="22"/>
        </w:rPr>
      </w:pPr>
    </w:p>
    <w:p w14:paraId="086431F8" w14:textId="0E471C31" w:rsidR="00B74657" w:rsidRDefault="00B74657" w:rsidP="48F8251C">
      <w:pPr>
        <w:pBdr>
          <w:bottom w:val="single" w:sz="8" w:space="0" w:color="4F81BD"/>
        </w:pBdr>
        <w:spacing w:after="300" w:line="360" w:lineRule="auto"/>
        <w:jc w:val="center"/>
        <w:rPr>
          <w:b/>
          <w:bCs/>
          <w:color w:val="17365D"/>
          <w:sz w:val="22"/>
          <w:szCs w:val="22"/>
        </w:rPr>
      </w:pPr>
    </w:p>
    <w:p w14:paraId="4126C6B6" w14:textId="31C87077" w:rsidR="00B74657" w:rsidRDefault="00B74657" w:rsidP="48F8251C">
      <w:pPr>
        <w:pBdr>
          <w:bottom w:val="single" w:sz="8" w:space="0" w:color="4F81BD"/>
        </w:pBdr>
        <w:spacing w:after="300" w:line="360" w:lineRule="auto"/>
        <w:jc w:val="center"/>
        <w:rPr>
          <w:b/>
          <w:bCs/>
          <w:color w:val="17365D"/>
          <w:sz w:val="22"/>
          <w:szCs w:val="22"/>
        </w:rPr>
      </w:pPr>
    </w:p>
    <w:p w14:paraId="7633FB67" w14:textId="3EA02678" w:rsidR="00B74657" w:rsidRDefault="16427500" w:rsidP="48F8251C">
      <w:pPr>
        <w:pBdr>
          <w:bottom w:val="single" w:sz="8" w:space="0" w:color="4F81BD"/>
        </w:pBdr>
        <w:spacing w:after="300" w:line="360" w:lineRule="auto"/>
        <w:jc w:val="center"/>
      </w:pPr>
      <w:r w:rsidRPr="48F8251C">
        <w:rPr>
          <w:b/>
          <w:bCs/>
          <w:color w:val="000000" w:themeColor="text1"/>
          <w:sz w:val="22"/>
          <w:szCs w:val="22"/>
        </w:rPr>
        <w:t>An Examination and Analysis of How the Early Help System Is Signposted to UK Families Through Local Authority Websites: Leicestershire, Norfolk and Staffordshire County Councils</w:t>
      </w:r>
    </w:p>
    <w:p w14:paraId="5C159C59" w14:textId="41B0FEA2" w:rsidR="00B74657" w:rsidRDefault="00B74657" w:rsidP="48F8251C">
      <w:pPr>
        <w:pBdr>
          <w:bottom w:val="single" w:sz="8" w:space="0" w:color="4F81BD"/>
        </w:pBdr>
        <w:spacing w:after="300" w:line="360" w:lineRule="auto"/>
        <w:jc w:val="center"/>
        <w:rPr>
          <w:b/>
          <w:bCs/>
          <w:color w:val="000000" w:themeColor="text1"/>
          <w:sz w:val="22"/>
          <w:szCs w:val="22"/>
        </w:rPr>
      </w:pPr>
    </w:p>
    <w:p w14:paraId="14220B62" w14:textId="4497D194" w:rsidR="00B74657" w:rsidRDefault="00B74657" w:rsidP="48F8251C">
      <w:pPr>
        <w:spacing w:after="120" w:line="360" w:lineRule="auto"/>
        <w:jc w:val="center"/>
        <w:rPr>
          <w:i/>
          <w:iCs/>
          <w:color w:val="000000" w:themeColor="text1"/>
          <w:sz w:val="22"/>
          <w:szCs w:val="22"/>
        </w:rPr>
      </w:pPr>
    </w:p>
    <w:p w14:paraId="58E996F8" w14:textId="56EF9EE8"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Introduction</w:t>
      </w:r>
    </w:p>
    <w:p w14:paraId="45836D02" w14:textId="3E67C0C3" w:rsidR="00B74657" w:rsidRDefault="16427500" w:rsidP="48F8251C">
      <w:pPr>
        <w:spacing w:after="120" w:line="360" w:lineRule="auto"/>
        <w:jc w:val="both"/>
        <w:rPr>
          <w:color w:val="000000" w:themeColor="text1"/>
          <w:sz w:val="22"/>
          <w:szCs w:val="22"/>
        </w:rPr>
      </w:pPr>
      <w:r w:rsidRPr="48F8251C">
        <w:rPr>
          <w:color w:val="000000" w:themeColor="text1"/>
          <w:sz w:val="22"/>
          <w:szCs w:val="22"/>
        </w:rPr>
        <w:t>Early Help is intended to identify and respond to difficulties before they develop into serious safeguarding concerns. It can include parenting support, assistance with housing or finances, mental-health advice, help with school attendance and coordinated work where several agencies are involved. The principle is preventative: support should be available when problems first emerge rather than only after a child has experienced significant harm. Working Together to Safeguard Children describes safeguarding as a shared responsibility and requires local agencies to organise help, support and protection around the needs of children and families (Department for Education, 2026).</w:t>
      </w:r>
    </w:p>
    <w:p w14:paraId="0469FEA8" w14:textId="78433804" w:rsidR="00B74657" w:rsidRDefault="16427500" w:rsidP="48F8251C">
      <w:pPr>
        <w:spacing w:after="120" w:line="360" w:lineRule="auto"/>
        <w:jc w:val="both"/>
        <w:rPr>
          <w:color w:val="000000" w:themeColor="text1"/>
          <w:sz w:val="22"/>
          <w:szCs w:val="22"/>
        </w:rPr>
      </w:pPr>
      <w:r w:rsidRPr="48F8251C">
        <w:rPr>
          <w:color w:val="000000" w:themeColor="text1"/>
          <w:sz w:val="22"/>
          <w:szCs w:val="22"/>
        </w:rPr>
        <w:t>Local authority websites are important because they may be the first place a parent, carer or young person looks for assistance. Clear information can reduce uncertainty, explain eligibility and direct families towards self-referral, community services or urgent safeguarding routes. Nevertheless, accessible signposting does not automatically mean that sufficient support is available. Early Help is frequently delivered within limited resources, through targeted and time-bounded interventions. Families experiencing chronic poverty, domestic abuse, insecure housing, disability, parental mental ill-health or intergenerational difficulties may require consistent support for longer than an Early Help service can provide.</w:t>
      </w:r>
    </w:p>
    <w:p w14:paraId="30D2C475" w14:textId="65A4AC9D" w:rsidR="00B74657" w:rsidRDefault="16427500" w:rsidP="48F8251C">
      <w:pPr>
        <w:spacing w:after="120" w:line="360" w:lineRule="auto"/>
        <w:jc w:val="both"/>
        <w:rPr>
          <w:color w:val="000000" w:themeColor="text1"/>
          <w:sz w:val="22"/>
          <w:szCs w:val="22"/>
        </w:rPr>
      </w:pPr>
      <w:r w:rsidRPr="48F8251C">
        <w:rPr>
          <w:color w:val="000000" w:themeColor="text1"/>
          <w:sz w:val="22"/>
          <w:szCs w:val="22"/>
        </w:rPr>
        <w:lastRenderedPageBreak/>
        <w:t>This report compares the websites of Leicestershire County Council, Norfolk County Council and Staffordshire County Council. It evaluates clarity, accessibility, referral routes, breadth of support and the extent to which each website communicates a family-centred offer. It argues that Early Help can prevent problems escalating and can reduce damage to children’s wellbeing; however, its quality may be restricted where support is short-term, fragmented or dependent on thresholds and local capacity.</w:t>
      </w:r>
    </w:p>
    <w:p w14:paraId="21037BFB" w14:textId="6DDA213F"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Early Help: value and limitations</w:t>
      </w:r>
    </w:p>
    <w:p w14:paraId="17E25E5E" w14:textId="30667D4D" w:rsidR="00B74657" w:rsidRDefault="16427500" w:rsidP="48F8251C">
      <w:pPr>
        <w:spacing w:after="120" w:line="360" w:lineRule="auto"/>
        <w:jc w:val="both"/>
        <w:rPr>
          <w:color w:val="000000" w:themeColor="text1"/>
          <w:sz w:val="22"/>
          <w:szCs w:val="22"/>
        </w:rPr>
      </w:pPr>
      <w:r w:rsidRPr="48F8251C">
        <w:rPr>
          <w:color w:val="000000" w:themeColor="text1"/>
          <w:sz w:val="22"/>
          <w:szCs w:val="22"/>
        </w:rPr>
        <w:t>The main strength of Early Help is that it aims to prevent escalation. Timely assistance can address difficulties while family relationships and protective factors remain relatively strong. A family may, for example, benefit from parenting guidance, financial advice and school support before stress develops into neglect, family breakdown or statutory intervention. Ofsted’s review of multi-agency responses found that rapid access to low-level preventative support can make a substantial difference to children and families, particularly when services understand local communities and tailor provision to need (Ofsted, 2023).</w:t>
      </w:r>
    </w:p>
    <w:p w14:paraId="0F6BAD37" w14:textId="2CE3AC9E" w:rsidR="00B74657" w:rsidRDefault="16427500" w:rsidP="48F8251C">
      <w:pPr>
        <w:spacing w:after="120" w:line="360" w:lineRule="auto"/>
        <w:jc w:val="both"/>
        <w:rPr>
          <w:color w:val="000000" w:themeColor="text1"/>
          <w:sz w:val="22"/>
          <w:szCs w:val="22"/>
        </w:rPr>
      </w:pPr>
      <w:r w:rsidRPr="48F8251C">
        <w:rPr>
          <w:color w:val="000000" w:themeColor="text1"/>
          <w:sz w:val="22"/>
          <w:szCs w:val="22"/>
        </w:rPr>
        <w:t>However, Early Help occupies an uncertain position between universal services and statutory children’s social care. Ofsted (2023) found considerable variation in how local areas understood and delivered it, partly because there was no single statutory framework governing Early Help practice. This creates potential differences in thresholds, assessments, service duration and professional responsibility. The same family might therefore receive different support depending on where they live.</w:t>
      </w:r>
    </w:p>
    <w:p w14:paraId="38BF6C1F" w14:textId="4D5EAA41" w:rsidR="00B74657" w:rsidRDefault="16427500" w:rsidP="48F8251C">
      <w:pPr>
        <w:spacing w:after="120" w:line="360" w:lineRule="auto"/>
        <w:jc w:val="both"/>
        <w:rPr>
          <w:color w:val="000000" w:themeColor="text1"/>
          <w:sz w:val="22"/>
          <w:szCs w:val="22"/>
        </w:rPr>
      </w:pPr>
      <w:r w:rsidRPr="48F8251C">
        <w:rPr>
          <w:color w:val="000000" w:themeColor="text1"/>
          <w:sz w:val="22"/>
          <w:szCs w:val="22"/>
        </w:rPr>
        <w:t>Resource pressure is another significant limitation. The National Audit Office (2019) reported that local authorities increasingly prioritised statutory child-protection activity while the proportion of spending directed towards preventative services reduced. Although the figures are historical, they demonstrate a continuing structural tension: councils must fund immediate statutory duties, even when investment in prevention could reduce future demand. More recent inspection evidence also identifies pressures across universal and targeted services, rising family need and difficulties prioritising Early Help (Ofsted, 2023).</w:t>
      </w:r>
    </w:p>
    <w:p w14:paraId="120079CF" w14:textId="131320FF" w:rsidR="00B74657" w:rsidRDefault="16427500" w:rsidP="48F8251C">
      <w:pPr>
        <w:spacing w:after="120" w:line="360" w:lineRule="auto"/>
        <w:jc w:val="both"/>
        <w:rPr>
          <w:color w:val="000000" w:themeColor="text1"/>
          <w:sz w:val="22"/>
          <w:szCs w:val="22"/>
        </w:rPr>
      </w:pPr>
      <w:r w:rsidRPr="48F8251C">
        <w:rPr>
          <w:color w:val="000000" w:themeColor="text1"/>
          <w:sz w:val="22"/>
          <w:szCs w:val="22"/>
        </w:rPr>
        <w:t xml:space="preserve">Early Help is often designed to build resilience and enable families to manage independently. This is positive when difficulties are temporary, but the approach can individualise problems that are structural. Parenting programmes cannot remove poverty, improve an unaffordable housing market or guarantee timely mental-health treatment. Closing support after goals are partly achieved may create an appearance of successful intervention while underlying risks remain. Re-referral does not necessarily indicate family failure; it may show that the original intervention was too brief or insufficiently connected to long-term provision. A strong website </w:t>
      </w:r>
      <w:r w:rsidRPr="48F8251C">
        <w:rPr>
          <w:color w:val="000000" w:themeColor="text1"/>
          <w:sz w:val="22"/>
          <w:szCs w:val="22"/>
        </w:rPr>
        <w:lastRenderedPageBreak/>
        <w:t>should therefore make support easy to access while avoiding the implication that a short intervention can resolve every form of disadvantage.</w:t>
      </w:r>
    </w:p>
    <w:p w14:paraId="6B264D0F" w14:textId="5D510CE5"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Leicestershire County Council</w:t>
      </w:r>
    </w:p>
    <w:p w14:paraId="09BF6A69" w14:textId="1B8B59D4" w:rsidR="00B74657" w:rsidRDefault="16427500" w:rsidP="48F8251C">
      <w:pPr>
        <w:spacing w:after="120" w:line="360" w:lineRule="auto"/>
        <w:jc w:val="both"/>
        <w:rPr>
          <w:color w:val="000000" w:themeColor="text1"/>
          <w:sz w:val="22"/>
          <w:szCs w:val="22"/>
        </w:rPr>
      </w:pPr>
      <w:r w:rsidRPr="48F8251C">
        <w:rPr>
          <w:color w:val="000000" w:themeColor="text1"/>
          <w:sz w:val="22"/>
          <w:szCs w:val="22"/>
        </w:rPr>
        <w:t>Leicestershire’s main page uses the term “Family Help” and explains that this is the new name for the Children and Family Wellbeing Service. It states that Family Help provides targeted Early Help and, where necessary, Child in Need services for difficulties that cannot be managed by universal services such as schools or GPs alone (Leicestershire County Council, 2026a). This is a significant strength because it locates Early Help within a continuum rather than presenting it as an isolated programme. Families can understand that needs may move between targeted and statutory levels.</w:t>
      </w:r>
    </w:p>
    <w:p w14:paraId="7CFD0100" w14:textId="5862C993" w:rsidR="00B74657" w:rsidRDefault="16427500" w:rsidP="48F8251C">
      <w:pPr>
        <w:spacing w:after="120" w:line="360" w:lineRule="auto"/>
        <w:jc w:val="both"/>
        <w:rPr>
          <w:color w:val="000000" w:themeColor="text1"/>
          <w:sz w:val="22"/>
          <w:szCs w:val="22"/>
        </w:rPr>
      </w:pPr>
      <w:r w:rsidRPr="48F8251C">
        <w:rPr>
          <w:color w:val="000000" w:themeColor="text1"/>
          <w:sz w:val="22"/>
          <w:szCs w:val="22"/>
        </w:rPr>
        <w:t>The language is concise and the page links to specific areas such as parenting support and SEND. The parenting page describes group work, one-to-one support and work with the whole family, while the SEND page extends support to young people up to the age of 25 (Leicestershire County Council, 2026b; 2026c). Separate contact information is also provided for family information, safeguarding concerns and SEND advice. This distinguishes urgent child-protection reporting from requests for lower-level assistance and can reduce the risk of families choosing an inappropriate route.</w:t>
      </w:r>
    </w:p>
    <w:p w14:paraId="26110B85" w14:textId="776E1125" w:rsidR="00B74657" w:rsidRDefault="16427500" w:rsidP="48F8251C">
      <w:pPr>
        <w:spacing w:after="120" w:line="360" w:lineRule="auto"/>
        <w:jc w:val="both"/>
        <w:rPr>
          <w:color w:val="000000" w:themeColor="text1"/>
          <w:sz w:val="22"/>
          <w:szCs w:val="22"/>
        </w:rPr>
      </w:pPr>
      <w:r w:rsidRPr="48F8251C">
        <w:rPr>
          <w:color w:val="000000" w:themeColor="text1"/>
          <w:sz w:val="22"/>
          <w:szCs w:val="22"/>
        </w:rPr>
        <w:t xml:space="preserve">Nevertheless, Leicestershire’s information is spread across several pages and professional pathways. The presence of separate public request routes and a Multi-Agency Referral Form may be logical administratively, but it can feel complex to a parent who does not know whether their concern meets an Early Help or social-care threshold. The phrase “targeted early help” may also imply eligibility testing without immediately explaining the criteria, waiting period or likely duration of support. The website explains what the service broadly </w:t>
      </w:r>
      <w:proofErr w:type="gramStart"/>
      <w:r w:rsidRPr="48F8251C">
        <w:rPr>
          <w:color w:val="000000" w:themeColor="text1"/>
          <w:sz w:val="22"/>
          <w:szCs w:val="22"/>
        </w:rPr>
        <w:t>offers, but</w:t>
      </w:r>
      <w:proofErr w:type="gramEnd"/>
      <w:r w:rsidRPr="48F8251C">
        <w:rPr>
          <w:color w:val="000000" w:themeColor="text1"/>
          <w:sz w:val="22"/>
          <w:szCs w:val="22"/>
        </w:rPr>
        <w:t xml:space="preserve"> provides limited public detail about how long intervention may last, what happens if needs remain after closure, or how families can challenge a decision.</w:t>
      </w:r>
    </w:p>
    <w:p w14:paraId="723119A2" w14:textId="7DB3677C" w:rsidR="00B74657" w:rsidRDefault="16427500" w:rsidP="48F8251C">
      <w:pPr>
        <w:spacing w:after="120" w:line="360" w:lineRule="auto"/>
        <w:jc w:val="both"/>
        <w:rPr>
          <w:color w:val="000000" w:themeColor="text1"/>
          <w:sz w:val="22"/>
          <w:szCs w:val="22"/>
        </w:rPr>
      </w:pPr>
      <w:r w:rsidRPr="48F8251C">
        <w:rPr>
          <w:color w:val="000000" w:themeColor="text1"/>
          <w:sz w:val="22"/>
          <w:szCs w:val="22"/>
        </w:rPr>
        <w:t>Overall, Leicestershire communicates the organisational structure of support well. Its integration of targeted Early Help and Child in Need services may help continuity and reduce abrupt transitions. However, the service-centred terminology is less immediately welcoming than a needs-based question such as “What help does my family need?” The website is informative, but families with low literacy, limited English or high levels of distress may still require telephone or face-to-face help to navigate it.</w:t>
      </w:r>
    </w:p>
    <w:p w14:paraId="7AFC9913" w14:textId="087A6196"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Norfolk County Council</w:t>
      </w:r>
    </w:p>
    <w:p w14:paraId="19CC4130" w14:textId="1257FC70" w:rsidR="00B74657" w:rsidRDefault="16427500" w:rsidP="48F8251C">
      <w:pPr>
        <w:spacing w:after="120" w:line="360" w:lineRule="auto"/>
        <w:jc w:val="both"/>
        <w:rPr>
          <w:color w:val="000000" w:themeColor="text1"/>
          <w:sz w:val="22"/>
          <w:szCs w:val="22"/>
        </w:rPr>
      </w:pPr>
      <w:r w:rsidRPr="48F8251C">
        <w:rPr>
          <w:color w:val="000000" w:themeColor="text1"/>
          <w:sz w:val="22"/>
          <w:szCs w:val="22"/>
        </w:rPr>
        <w:lastRenderedPageBreak/>
        <w:t>Norfolk presents one of the clearest family-facing explanations. Its Early Help page states that support is available to families with children up to 18, or 25 where a young person has SEND. Importantly, it recognises that adult concerns such as finances or mental health can affect children (Norfolk County Council, 2026a). This reflects whole-family practice and avoids narrowly defining the child as the sole location of the problem.</w:t>
      </w:r>
    </w:p>
    <w:p w14:paraId="770B73BC" w14:textId="5189B87E" w:rsidR="00B74657" w:rsidRDefault="16427500" w:rsidP="48F8251C">
      <w:pPr>
        <w:spacing w:after="120" w:line="360" w:lineRule="auto"/>
        <w:jc w:val="both"/>
        <w:rPr>
          <w:color w:val="000000" w:themeColor="text1"/>
          <w:sz w:val="22"/>
          <w:szCs w:val="22"/>
        </w:rPr>
      </w:pPr>
      <w:r w:rsidRPr="48F8251C">
        <w:rPr>
          <w:color w:val="000000" w:themeColor="text1"/>
          <w:sz w:val="22"/>
          <w:szCs w:val="22"/>
        </w:rPr>
        <w:t>The page separates general community support from more dedicated Early Help. Families are directed to Best Start Family Hubs and are also given a visible route to request Early Help. The hubs page explains that support is available online, in community locations and through physical hubs, including without relying entirely on a formal referral (Norfolk County Council, 2026b). Information is organised around recognisable needs: money, work, childcare, housing, health, wellbeing and activities. This is more accessible than organising the website mainly around professional service names.</w:t>
      </w:r>
    </w:p>
    <w:p w14:paraId="1F1090D3" w14:textId="4A02C3B7" w:rsidR="00B74657" w:rsidRDefault="16427500" w:rsidP="48F8251C">
      <w:pPr>
        <w:spacing w:after="120" w:line="360" w:lineRule="auto"/>
        <w:jc w:val="both"/>
        <w:rPr>
          <w:color w:val="000000" w:themeColor="text1"/>
          <w:sz w:val="22"/>
          <w:szCs w:val="22"/>
        </w:rPr>
      </w:pPr>
      <w:r w:rsidRPr="48F8251C">
        <w:rPr>
          <w:color w:val="000000" w:themeColor="text1"/>
          <w:sz w:val="22"/>
          <w:szCs w:val="22"/>
        </w:rPr>
        <w:t>Norfolk also demonstrates participation by linking to a parent and carer panel that contributes to service development. This suggests that families are not only recipients but can influence the local offer. The inclusion of online, community and face-to-face routes improves accessibility for families who may experience digital exclusion or feel uncomfortable completing a lengthy referral form.</w:t>
      </w:r>
    </w:p>
    <w:p w14:paraId="6A7FD574" w14:textId="62AEF130" w:rsidR="00B74657" w:rsidRDefault="16427500" w:rsidP="48F8251C">
      <w:pPr>
        <w:spacing w:after="120" w:line="360" w:lineRule="auto"/>
        <w:jc w:val="both"/>
        <w:rPr>
          <w:color w:val="000000" w:themeColor="text1"/>
          <w:sz w:val="22"/>
          <w:szCs w:val="22"/>
        </w:rPr>
      </w:pPr>
      <w:r w:rsidRPr="48F8251C">
        <w:rPr>
          <w:color w:val="000000" w:themeColor="text1"/>
          <w:sz w:val="22"/>
          <w:szCs w:val="22"/>
        </w:rPr>
        <w:t>A limitation is that the broad Family Hub offer may blur the difference between universal advice and targeted intervention. A parent can see where to ask for help, but may remain uncertain about assessment, thresholds, allocation times and the level of direct work available. The welcoming presentation may create expectations that cannot always be met when specialist services have waiting lists. Furthermore, community signposting is only effective if the linked provision has sufficient capacity and geographical coverage, particularly in a large rural county where travel can be a barrier.</w:t>
      </w:r>
    </w:p>
    <w:p w14:paraId="495B3F99" w14:textId="59FC100C" w:rsidR="00B74657" w:rsidRDefault="16427500" w:rsidP="48F8251C">
      <w:pPr>
        <w:spacing w:after="120" w:line="360" w:lineRule="auto"/>
        <w:jc w:val="both"/>
        <w:rPr>
          <w:color w:val="000000" w:themeColor="text1"/>
          <w:sz w:val="22"/>
          <w:szCs w:val="22"/>
        </w:rPr>
      </w:pPr>
      <w:r w:rsidRPr="48F8251C">
        <w:rPr>
          <w:color w:val="000000" w:themeColor="text1"/>
          <w:sz w:val="22"/>
          <w:szCs w:val="22"/>
        </w:rPr>
        <w:t>Despite these concerns, Norfolk communicates Early Help in the most approachable manner. It begins with family circumstances rather than organisational processes, recognises adult pressures and provides several modes of contact. Its website therefore lowers the psychological and practical threshold for asking for support, although transparent information about service duration and waiting times would strengthen it further.</w:t>
      </w:r>
    </w:p>
    <w:p w14:paraId="498A6533" w14:textId="22CF7854"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Staffordshire County Council</w:t>
      </w:r>
    </w:p>
    <w:p w14:paraId="296F29A6" w14:textId="4AF4D112" w:rsidR="00B74657" w:rsidRDefault="16427500" w:rsidP="48F8251C">
      <w:pPr>
        <w:spacing w:after="120" w:line="360" w:lineRule="auto"/>
        <w:jc w:val="both"/>
        <w:rPr>
          <w:color w:val="000000" w:themeColor="text1"/>
          <w:sz w:val="22"/>
          <w:szCs w:val="22"/>
        </w:rPr>
      </w:pPr>
      <w:r w:rsidRPr="48F8251C">
        <w:rPr>
          <w:color w:val="000000" w:themeColor="text1"/>
          <w:sz w:val="22"/>
          <w:szCs w:val="22"/>
        </w:rPr>
        <w:t xml:space="preserve">Staffordshire describes Early Help in plain language: everyone needs help sometimes, and local services and professionals can offer information, advice, guidance and support before needs worsen (Staffordshire County Council, 2026a). This normalising tone may reduce </w:t>
      </w:r>
      <w:r w:rsidRPr="48F8251C">
        <w:rPr>
          <w:color w:val="000000" w:themeColor="text1"/>
          <w:sz w:val="22"/>
          <w:szCs w:val="22"/>
        </w:rPr>
        <w:lastRenderedPageBreak/>
        <w:t>stigma by presenting help-seeking as ordinary rather than as evidence of parental failure. The site links Early Help to Family Hubs, local support and professional teams.</w:t>
      </w:r>
    </w:p>
    <w:p w14:paraId="4CB1DE14" w14:textId="5452B6F0" w:rsidR="00B74657" w:rsidRDefault="16427500" w:rsidP="48F8251C">
      <w:pPr>
        <w:spacing w:after="120" w:line="360" w:lineRule="auto"/>
        <w:jc w:val="both"/>
        <w:rPr>
          <w:color w:val="000000" w:themeColor="text1"/>
          <w:sz w:val="22"/>
          <w:szCs w:val="22"/>
        </w:rPr>
      </w:pPr>
      <w:r w:rsidRPr="48F8251C">
        <w:rPr>
          <w:color w:val="000000" w:themeColor="text1"/>
          <w:sz w:val="22"/>
          <w:szCs w:val="22"/>
        </w:rPr>
        <w:t>The Family Support Services section identifies hubs as welcoming spaces where families can speak to trained staff and access free activities and practical assistance. Additional pages describe parenting programmes, group work, one-to-one support, school support and help with areas such as health, money and SEND (Staffordshire County Council, 2026b). There is also a referral route for emerging needs and a separate safeguarding contact where a child may be at risk. This supports appropriate escalation and demonstrates that Early Help is not a substitute for child protection.</w:t>
      </w:r>
    </w:p>
    <w:p w14:paraId="0E70B1D0" w14:textId="0F3A7970" w:rsidR="00B74657" w:rsidRDefault="16427500" w:rsidP="48F8251C">
      <w:pPr>
        <w:spacing w:after="120" w:line="360" w:lineRule="auto"/>
        <w:jc w:val="both"/>
        <w:rPr>
          <w:color w:val="000000" w:themeColor="text1"/>
          <w:sz w:val="22"/>
          <w:szCs w:val="22"/>
        </w:rPr>
      </w:pPr>
      <w:r w:rsidRPr="48F8251C">
        <w:rPr>
          <w:color w:val="000000" w:themeColor="text1"/>
          <w:sz w:val="22"/>
          <w:szCs w:val="22"/>
        </w:rPr>
        <w:t>However, Staffordshire’s offer is comparatively fragmented. Relevant information is distributed between the County Council website, Family Hubs pages, Families First material and the Staffordshire Connects directory. Families may need to follow several links before identifying the correct service. This can be particularly difficult on a mobile phone or for users experiencing stress, language barriers or cognitive difficulties. A directory provides breadth but may transfer the work of coordination back to the family. Signposting is not the same as active support: giving a parent a list of organisations does not guarantee access, follow-up or communication between agencies.</w:t>
      </w:r>
    </w:p>
    <w:p w14:paraId="0B5F0351" w14:textId="7FBD3664" w:rsidR="00B74657" w:rsidRDefault="16427500" w:rsidP="48F8251C">
      <w:pPr>
        <w:spacing w:after="120" w:line="360" w:lineRule="auto"/>
        <w:jc w:val="both"/>
        <w:rPr>
          <w:color w:val="000000" w:themeColor="text1"/>
          <w:sz w:val="22"/>
          <w:szCs w:val="22"/>
        </w:rPr>
      </w:pPr>
      <w:r w:rsidRPr="48F8251C">
        <w:rPr>
          <w:color w:val="000000" w:themeColor="text1"/>
          <w:sz w:val="22"/>
          <w:szCs w:val="22"/>
        </w:rPr>
        <w:t>Staffordshire is strong in describing practical activities and local provision, but less effective in presenting one clear journey from first concern to assessment, allocated worker, review and closure. The website would be improved by a single visual pathway explaining what happens after contact, expected response times and what families should do if support is unavailable or insufficient.</w:t>
      </w:r>
    </w:p>
    <w:p w14:paraId="42539958" w14:textId="20D3A6C2"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Comparative analysis and recommendations</w:t>
      </w:r>
    </w:p>
    <w:p w14:paraId="26A80AE4" w14:textId="21B9D051" w:rsidR="00B74657" w:rsidRDefault="16427500" w:rsidP="48F8251C">
      <w:pPr>
        <w:spacing w:after="120" w:line="360" w:lineRule="auto"/>
        <w:jc w:val="both"/>
        <w:rPr>
          <w:color w:val="000000" w:themeColor="text1"/>
          <w:sz w:val="22"/>
          <w:szCs w:val="22"/>
        </w:rPr>
      </w:pPr>
      <w:r w:rsidRPr="48F8251C">
        <w:rPr>
          <w:color w:val="000000" w:themeColor="text1"/>
          <w:sz w:val="22"/>
          <w:szCs w:val="22"/>
        </w:rPr>
        <w:t>All three councils present Early Help positively and provide routes to wider family support. Leicestershire is strongest in explaining the relationship between targeted Early Help and Child in Need services. Norfolk is strongest in family-friendly organisation and multiple access routes. Staffordshire offers broad local information and welcoming hubs but requires users to navigate a more fragmented system.</w:t>
      </w:r>
    </w:p>
    <w:p w14:paraId="0ABBDD61" w14:textId="12C7C365" w:rsidR="00B74657" w:rsidRDefault="16427500" w:rsidP="48F8251C">
      <w:pPr>
        <w:spacing w:after="120" w:line="360" w:lineRule="auto"/>
        <w:jc w:val="both"/>
        <w:rPr>
          <w:color w:val="000000" w:themeColor="text1"/>
          <w:sz w:val="22"/>
          <w:szCs w:val="22"/>
        </w:rPr>
      </w:pPr>
      <w:r w:rsidRPr="48F8251C">
        <w:rPr>
          <w:color w:val="000000" w:themeColor="text1"/>
          <w:sz w:val="22"/>
          <w:szCs w:val="22"/>
        </w:rPr>
        <w:t xml:space="preserve">The comparison shows that good digital signposting has three dimensions. First, information must be understandable, using everyday descriptions of need rather than professional terminology. Second, access must be actionable: families need a clear contact or referral route rather than general encouragement to seek help. Third, websites should explain the service journey, including assessment, consent, information sharing, timescales, review and closure. </w:t>
      </w:r>
      <w:r w:rsidRPr="48F8251C">
        <w:rPr>
          <w:color w:val="000000" w:themeColor="text1"/>
          <w:sz w:val="22"/>
          <w:szCs w:val="22"/>
        </w:rPr>
        <w:lastRenderedPageBreak/>
        <w:t>None of the three fully explains the likely duration of intervention or what happens when difficulties are long-term.</w:t>
      </w:r>
    </w:p>
    <w:p w14:paraId="1AE47530" w14:textId="7D3BB2AA" w:rsidR="00B74657" w:rsidRDefault="16427500" w:rsidP="48F8251C">
      <w:pPr>
        <w:spacing w:after="120" w:line="360" w:lineRule="auto"/>
        <w:jc w:val="both"/>
        <w:rPr>
          <w:color w:val="000000" w:themeColor="text1"/>
          <w:sz w:val="22"/>
          <w:szCs w:val="22"/>
        </w:rPr>
      </w:pPr>
      <w:r w:rsidRPr="48F8251C">
        <w:rPr>
          <w:color w:val="000000" w:themeColor="text1"/>
          <w:sz w:val="22"/>
          <w:szCs w:val="22"/>
        </w:rPr>
        <w:t>This omission matters because a website can make a service appear more comprehensive than its capacity allows. Early Help should not become a brief intervention followed by withdrawal once immediate risk reduces. Where needs are chronic, councils should provide planned step-down arrangements, named community support and a simple route back without requiring families to repeat their history. Services should publish realistic response times, eligibility guidance and outcome information. They should also offer translated content, easy-read versions and alternatives to digital forms.</w:t>
      </w:r>
    </w:p>
    <w:p w14:paraId="2E30098C" w14:textId="4B26322F" w:rsidR="00B74657" w:rsidRDefault="16427500" w:rsidP="48F8251C">
      <w:pPr>
        <w:spacing w:after="120" w:line="360" w:lineRule="auto"/>
        <w:jc w:val="both"/>
        <w:rPr>
          <w:color w:val="000000" w:themeColor="text1"/>
          <w:sz w:val="22"/>
          <w:szCs w:val="22"/>
        </w:rPr>
      </w:pPr>
      <w:r w:rsidRPr="48F8251C">
        <w:rPr>
          <w:color w:val="000000" w:themeColor="text1"/>
          <w:sz w:val="22"/>
          <w:szCs w:val="22"/>
        </w:rPr>
        <w:t>Multi-agency coordination is essential. A family facing debt, poor housing, school absence and parental depression should not be sent independently to several disconnected services. A lead practitioner and shared plan can reduce duplication and ensure that practical and emotional needs are considered together. Evaluation should examine sustained outcomes after closure, not only the number of completed interventions. This would help distinguish genuine prevention from temporary case reduction.</w:t>
      </w:r>
    </w:p>
    <w:p w14:paraId="4CAF6F64" w14:textId="1A603D92"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Conclusion</w:t>
      </w:r>
    </w:p>
    <w:p w14:paraId="73E91E23" w14:textId="58C4CEF4" w:rsidR="00B74657" w:rsidRDefault="16427500" w:rsidP="48F8251C">
      <w:pPr>
        <w:spacing w:after="120" w:line="360" w:lineRule="auto"/>
        <w:jc w:val="both"/>
        <w:rPr>
          <w:color w:val="000000" w:themeColor="text1"/>
          <w:sz w:val="22"/>
          <w:szCs w:val="22"/>
        </w:rPr>
      </w:pPr>
      <w:r w:rsidRPr="48F8251C">
        <w:rPr>
          <w:color w:val="000000" w:themeColor="text1"/>
          <w:sz w:val="22"/>
          <w:szCs w:val="22"/>
        </w:rPr>
        <w:t xml:space="preserve">Norfolk County Council appears to provide the most effective and accessible online information. Its website uses clear, needs-based categories, recognises that adult difficulties affect children and offers online, community and face-to-face access through Best Start Family Hubs. Leicestershire is a close second because it explains the continuum between targeted Early Help and Child in Need support particularly well. Staffordshire provides valuable </w:t>
      </w:r>
      <w:proofErr w:type="gramStart"/>
      <w:r w:rsidRPr="48F8251C">
        <w:rPr>
          <w:color w:val="000000" w:themeColor="text1"/>
          <w:sz w:val="22"/>
          <w:szCs w:val="22"/>
        </w:rPr>
        <w:t>services</w:t>
      </w:r>
      <w:proofErr w:type="gramEnd"/>
      <w:r w:rsidRPr="48F8251C">
        <w:rPr>
          <w:color w:val="000000" w:themeColor="text1"/>
          <w:sz w:val="22"/>
          <w:szCs w:val="22"/>
        </w:rPr>
        <w:t xml:space="preserve"> but its information is more dispersed.</w:t>
      </w:r>
    </w:p>
    <w:p w14:paraId="4CC5F32E" w14:textId="4E735388" w:rsidR="00B74657" w:rsidRDefault="16427500" w:rsidP="48F8251C">
      <w:pPr>
        <w:spacing w:after="120" w:line="360" w:lineRule="auto"/>
        <w:jc w:val="both"/>
        <w:rPr>
          <w:color w:val="000000" w:themeColor="text1"/>
          <w:sz w:val="22"/>
          <w:szCs w:val="22"/>
        </w:rPr>
      </w:pPr>
      <w:r w:rsidRPr="48F8251C">
        <w:rPr>
          <w:color w:val="000000" w:themeColor="text1"/>
          <w:sz w:val="22"/>
          <w:szCs w:val="22"/>
        </w:rPr>
        <w:t>Early Help remains an important preventative approach. When support is provided early, it can strengthen relationships, reduce stress and prevent concerns developing into serious harm. Yet its effectiveness is limited if intervention is short-term, thresholds are unclear or linked services lack capacity. Accessible websites can encourage earlier requests for assistance, but digital signposting cannot compensate for under-resourced or fragmented provision. The strongest Early Help system is therefore not simply the website that lists the most services; it is one that offers a clear route into coordinated, sufficiently sustained and responsive support.</w:t>
      </w:r>
    </w:p>
    <w:p w14:paraId="4B956ABF" w14:textId="4D08DCCD" w:rsidR="00B74657" w:rsidRDefault="00B74657" w:rsidP="48F8251C">
      <w:pPr>
        <w:spacing w:before="480" w:after="0" w:line="360" w:lineRule="auto"/>
        <w:jc w:val="both"/>
        <w:rPr>
          <w:b/>
          <w:bCs/>
          <w:color w:val="365F91"/>
          <w:sz w:val="22"/>
          <w:szCs w:val="22"/>
        </w:rPr>
      </w:pPr>
    </w:p>
    <w:p w14:paraId="78AA3AB3" w14:textId="720094FD" w:rsidR="00B74657" w:rsidRDefault="00B74657" w:rsidP="48F8251C">
      <w:pPr>
        <w:spacing w:before="480" w:after="0" w:line="360" w:lineRule="auto"/>
        <w:jc w:val="both"/>
        <w:rPr>
          <w:b/>
          <w:bCs/>
          <w:color w:val="365F91"/>
          <w:sz w:val="22"/>
          <w:szCs w:val="22"/>
        </w:rPr>
      </w:pPr>
    </w:p>
    <w:p w14:paraId="2472C32D" w14:textId="5137ABFA" w:rsidR="00B74657" w:rsidRDefault="00B74657" w:rsidP="48F8251C">
      <w:pPr>
        <w:spacing w:before="480" w:after="0" w:line="360" w:lineRule="auto"/>
        <w:jc w:val="both"/>
        <w:rPr>
          <w:b/>
          <w:bCs/>
          <w:color w:val="365F91"/>
          <w:sz w:val="22"/>
          <w:szCs w:val="22"/>
        </w:rPr>
      </w:pPr>
    </w:p>
    <w:p w14:paraId="114CCC9A" w14:textId="7BC78600" w:rsidR="00B74657" w:rsidRDefault="00B74657" w:rsidP="48F8251C">
      <w:pPr>
        <w:spacing w:before="480" w:after="0" w:line="360" w:lineRule="auto"/>
        <w:jc w:val="both"/>
        <w:rPr>
          <w:b/>
          <w:bCs/>
          <w:color w:val="365F91"/>
          <w:sz w:val="22"/>
          <w:szCs w:val="22"/>
        </w:rPr>
      </w:pPr>
    </w:p>
    <w:p w14:paraId="681B8C71" w14:textId="7D5ECFFF" w:rsidR="00B74657" w:rsidRDefault="00B74657" w:rsidP="48F8251C">
      <w:pPr>
        <w:spacing w:before="480" w:after="0" w:line="360" w:lineRule="auto"/>
        <w:jc w:val="both"/>
        <w:rPr>
          <w:b/>
          <w:bCs/>
          <w:color w:val="365F91"/>
          <w:sz w:val="22"/>
          <w:szCs w:val="22"/>
        </w:rPr>
      </w:pPr>
    </w:p>
    <w:p w14:paraId="06CF0144" w14:textId="2682C0A4" w:rsidR="00B74657" w:rsidRDefault="00B74657" w:rsidP="48F8251C">
      <w:pPr>
        <w:spacing w:before="480" w:after="0" w:line="360" w:lineRule="auto"/>
        <w:jc w:val="both"/>
        <w:rPr>
          <w:b/>
          <w:bCs/>
          <w:color w:val="365F91"/>
          <w:sz w:val="22"/>
          <w:szCs w:val="22"/>
        </w:rPr>
      </w:pPr>
    </w:p>
    <w:p w14:paraId="4A4A0575" w14:textId="7EDF9BEA" w:rsidR="00B74657" w:rsidRDefault="00B74657" w:rsidP="48F8251C">
      <w:pPr>
        <w:spacing w:before="480" w:after="0" w:line="360" w:lineRule="auto"/>
        <w:jc w:val="both"/>
        <w:rPr>
          <w:b/>
          <w:bCs/>
          <w:color w:val="365F91"/>
          <w:sz w:val="22"/>
          <w:szCs w:val="22"/>
        </w:rPr>
      </w:pPr>
    </w:p>
    <w:p w14:paraId="5B97CC0D" w14:textId="0D9587BB" w:rsidR="00B74657" w:rsidRDefault="00B74657" w:rsidP="48F8251C">
      <w:pPr>
        <w:spacing w:before="480" w:after="0" w:line="360" w:lineRule="auto"/>
        <w:jc w:val="both"/>
        <w:rPr>
          <w:b/>
          <w:bCs/>
          <w:color w:val="365F91"/>
          <w:sz w:val="22"/>
          <w:szCs w:val="22"/>
        </w:rPr>
      </w:pPr>
    </w:p>
    <w:p w14:paraId="26C341DF" w14:textId="40CAC3B2" w:rsidR="00B74657" w:rsidRDefault="16427500" w:rsidP="48F8251C">
      <w:pPr>
        <w:spacing w:before="480" w:after="0" w:line="360" w:lineRule="auto"/>
        <w:rPr>
          <w:b/>
          <w:bCs/>
          <w:color w:val="000000" w:themeColor="text1"/>
          <w:sz w:val="22"/>
          <w:szCs w:val="22"/>
        </w:rPr>
      </w:pPr>
      <w:r w:rsidRPr="48F8251C">
        <w:rPr>
          <w:b/>
          <w:bCs/>
          <w:color w:val="000000" w:themeColor="text1"/>
          <w:sz w:val="22"/>
          <w:szCs w:val="22"/>
        </w:rPr>
        <w:t>Reference List</w:t>
      </w:r>
    </w:p>
    <w:p w14:paraId="2325A87E" w14:textId="7237EEA2"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Department for Education (2026) Working Together to Safeguard Children: Statutory Guidance on Multi-agency Working to Help, Support and Protect Children. London: Department for Education. Available at: GOV.UK (Accessed: 27 July 2026).</w:t>
      </w:r>
    </w:p>
    <w:p w14:paraId="071CCAC5" w14:textId="6F85CBDD"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Leicestershire County Council (2026a) Help for children and families. Available at: Leicestershire County Council website (Accessed: 27 July 2026).</w:t>
      </w:r>
    </w:p>
    <w:p w14:paraId="6F746BAE" w14:textId="2C5126D2"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Leicestershire County Council (2026b) Parenting support from Family Help. Available at: Leicestershire County Council website (Accessed: 27 July 2026).</w:t>
      </w:r>
    </w:p>
    <w:p w14:paraId="5672B12F" w14:textId="75703295"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Leicestershire County Council (2026c) SEND support from Family Help. Available at: Leicestershire County Council website (Accessed: 27 July 2026).</w:t>
      </w:r>
    </w:p>
    <w:p w14:paraId="165C8D34" w14:textId="503B43F8"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National Audit Office (2019) Pressures on Children’s Social Care. London: National Audit Office.</w:t>
      </w:r>
    </w:p>
    <w:p w14:paraId="380C9533" w14:textId="44E199E4"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Norfolk County Council (2026a) Early help for children and families. Available at: Norfolk County Council website (Accessed: 27 July 2026).</w:t>
      </w:r>
    </w:p>
    <w:p w14:paraId="4289E7FE" w14:textId="1273DFEC"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Norfolk County Council (2026b) Best Start Family Hubs. Available at: Norfolk County Council website (Accessed: 27 July 2026).</w:t>
      </w:r>
    </w:p>
    <w:p w14:paraId="76FE1459" w14:textId="7D46C7B3"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Ofsted (2023) The Multi-agency Response to Children and Families Who Need Help. Manchester: Ofsted.</w:t>
      </w:r>
    </w:p>
    <w:p w14:paraId="35750069" w14:textId="0DF10D75"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t>Staffordshire County Council (2026a) Early Help: Helping Children and Families Early. Available at: Staffordshire County Council website (Accessed: 27 July 2026).</w:t>
      </w:r>
    </w:p>
    <w:p w14:paraId="0A4FA431" w14:textId="4B4BDECD" w:rsidR="00B74657" w:rsidRDefault="16427500" w:rsidP="48F8251C">
      <w:pPr>
        <w:spacing w:after="120" w:line="360" w:lineRule="auto"/>
        <w:ind w:left="432" w:hanging="432"/>
        <w:rPr>
          <w:color w:val="000000" w:themeColor="text1"/>
          <w:sz w:val="22"/>
          <w:szCs w:val="22"/>
        </w:rPr>
      </w:pPr>
      <w:r w:rsidRPr="48F8251C">
        <w:rPr>
          <w:color w:val="000000" w:themeColor="text1"/>
          <w:sz w:val="22"/>
          <w:szCs w:val="22"/>
        </w:rPr>
        <w:lastRenderedPageBreak/>
        <w:t>Staffordshire County Council (2026b) Family Support Services. Available at: Staffordshire County Council website (Accessed: 27 July 2026).</w:t>
      </w:r>
    </w:p>
    <w:p w14:paraId="5731981E" w14:textId="71C32B46" w:rsidR="00B74657" w:rsidRDefault="00B74657" w:rsidP="48F8251C">
      <w:pPr>
        <w:spacing w:line="360" w:lineRule="auto"/>
        <w:rPr>
          <w:color w:val="000000" w:themeColor="text1"/>
          <w:sz w:val="22"/>
          <w:szCs w:val="22"/>
        </w:rPr>
      </w:pPr>
    </w:p>
    <w:p w14:paraId="5E5787A5" w14:textId="234D71F6" w:rsidR="00B74657" w:rsidRDefault="00B74657"/>
    <w:sectPr w:rsidR="00B74657">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7A05F" w14:textId="77777777" w:rsidR="0052509B" w:rsidRDefault="0052509B">
      <w:pPr>
        <w:spacing w:after="0" w:line="240" w:lineRule="auto"/>
      </w:pPr>
      <w:r>
        <w:separator/>
      </w:r>
    </w:p>
  </w:endnote>
  <w:endnote w:type="continuationSeparator" w:id="0">
    <w:p w14:paraId="217B33DF" w14:textId="77777777" w:rsidR="0052509B" w:rsidRDefault="00525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8F8251C" w14:paraId="3C7C0BFB" w14:textId="77777777" w:rsidTr="48F8251C">
      <w:trPr>
        <w:trHeight w:val="300"/>
      </w:trPr>
      <w:tc>
        <w:tcPr>
          <w:tcW w:w="3005" w:type="dxa"/>
        </w:tcPr>
        <w:p w14:paraId="34AC233D" w14:textId="7A5DFCC9" w:rsidR="48F8251C" w:rsidRDefault="48F8251C" w:rsidP="48F8251C">
          <w:pPr>
            <w:pStyle w:val="Header"/>
            <w:ind w:left="-115"/>
          </w:pPr>
        </w:p>
      </w:tc>
      <w:tc>
        <w:tcPr>
          <w:tcW w:w="3005" w:type="dxa"/>
        </w:tcPr>
        <w:p w14:paraId="0CD363AE" w14:textId="1CDDA20D" w:rsidR="48F8251C" w:rsidRDefault="48F8251C" w:rsidP="48F8251C">
          <w:pPr>
            <w:pStyle w:val="Header"/>
            <w:jc w:val="center"/>
          </w:pPr>
          <w:r>
            <w:fldChar w:fldCharType="begin"/>
          </w:r>
          <w:r>
            <w:instrText>PAGE</w:instrText>
          </w:r>
          <w:r>
            <w:fldChar w:fldCharType="separate"/>
          </w:r>
          <w:r w:rsidR="00A906D0">
            <w:rPr>
              <w:noProof/>
            </w:rPr>
            <w:t>1</w:t>
          </w:r>
          <w:r>
            <w:fldChar w:fldCharType="end"/>
          </w:r>
        </w:p>
      </w:tc>
      <w:tc>
        <w:tcPr>
          <w:tcW w:w="3005" w:type="dxa"/>
        </w:tcPr>
        <w:p w14:paraId="435C485D" w14:textId="32036268" w:rsidR="48F8251C" w:rsidRDefault="48F8251C" w:rsidP="48F8251C">
          <w:pPr>
            <w:pStyle w:val="Header"/>
            <w:ind w:right="-115"/>
            <w:jc w:val="right"/>
          </w:pPr>
        </w:p>
      </w:tc>
    </w:tr>
  </w:tbl>
  <w:p w14:paraId="3DF2008D" w14:textId="3463A950" w:rsidR="48F8251C" w:rsidRDefault="48F8251C" w:rsidP="48F82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2E361" w14:textId="77777777" w:rsidR="0052509B" w:rsidRDefault="0052509B">
      <w:pPr>
        <w:spacing w:after="0" w:line="240" w:lineRule="auto"/>
      </w:pPr>
      <w:r>
        <w:separator/>
      </w:r>
    </w:p>
  </w:footnote>
  <w:footnote w:type="continuationSeparator" w:id="0">
    <w:p w14:paraId="0329400A" w14:textId="77777777" w:rsidR="0052509B" w:rsidRDefault="00525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8F8251C" w14:paraId="4370C51C" w14:textId="77777777" w:rsidTr="48F8251C">
      <w:trPr>
        <w:trHeight w:val="300"/>
      </w:trPr>
      <w:tc>
        <w:tcPr>
          <w:tcW w:w="3005" w:type="dxa"/>
        </w:tcPr>
        <w:p w14:paraId="671D42B5" w14:textId="51B28148" w:rsidR="48F8251C" w:rsidRDefault="48F8251C" w:rsidP="48F8251C">
          <w:pPr>
            <w:pStyle w:val="Header"/>
            <w:ind w:left="-115"/>
          </w:pPr>
        </w:p>
      </w:tc>
      <w:tc>
        <w:tcPr>
          <w:tcW w:w="3005" w:type="dxa"/>
        </w:tcPr>
        <w:p w14:paraId="39424301" w14:textId="25DBABF0" w:rsidR="48F8251C" w:rsidRDefault="48F8251C" w:rsidP="48F8251C">
          <w:pPr>
            <w:pStyle w:val="Header"/>
            <w:jc w:val="center"/>
          </w:pPr>
        </w:p>
      </w:tc>
      <w:tc>
        <w:tcPr>
          <w:tcW w:w="3005" w:type="dxa"/>
        </w:tcPr>
        <w:p w14:paraId="514EDD25" w14:textId="60D552A0" w:rsidR="48F8251C" w:rsidRDefault="48F8251C" w:rsidP="48F8251C">
          <w:pPr>
            <w:pStyle w:val="Header"/>
            <w:ind w:right="-115"/>
            <w:jc w:val="right"/>
          </w:pPr>
        </w:p>
      </w:tc>
    </w:tr>
  </w:tbl>
  <w:p w14:paraId="4FDA4B39" w14:textId="240CE65D" w:rsidR="48F8251C" w:rsidRDefault="48F8251C" w:rsidP="48F825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027CDC"/>
    <w:rsid w:val="00224D51"/>
    <w:rsid w:val="0052509B"/>
    <w:rsid w:val="00A906D0"/>
    <w:rsid w:val="00B74657"/>
    <w:rsid w:val="02BAED90"/>
    <w:rsid w:val="0EF9AB7E"/>
    <w:rsid w:val="12027CDC"/>
    <w:rsid w:val="16427500"/>
    <w:rsid w:val="1816753E"/>
    <w:rsid w:val="1AABE7A9"/>
    <w:rsid w:val="3BB83092"/>
    <w:rsid w:val="48F8251C"/>
    <w:rsid w:val="4BCC51AE"/>
    <w:rsid w:val="4FB07956"/>
    <w:rsid w:val="60D86750"/>
    <w:rsid w:val="69A0F64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46BB5"/>
  <w15:chartTrackingRefBased/>
  <w15:docId w15:val="{FFF28B11-97A6-4E78-963F-B442CF4BD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8F825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8F8251C"/>
    <w:pPr>
      <w:tabs>
        <w:tab w:val="center" w:pos="4680"/>
        <w:tab w:val="right" w:pos="9360"/>
      </w:tabs>
      <w:spacing w:after="0" w:line="240" w:lineRule="auto"/>
    </w:pPr>
  </w:style>
  <w:style w:type="paragraph" w:styleId="Footer">
    <w:name w:val="footer"/>
    <w:basedOn w:val="Normal"/>
    <w:uiPriority w:val="99"/>
    <w:unhideWhenUsed/>
    <w:rsid w:val="48F8251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2487</Words>
  <Characters>14180</Characters>
  <Application>Microsoft Office Word</Application>
  <DocSecurity>0</DocSecurity>
  <Lines>118</Lines>
  <Paragraphs>33</Paragraphs>
  <ScaleCrop>false</ScaleCrop>
  <Company/>
  <LinksUpToDate>false</LinksUpToDate>
  <CharactersWithSpaces>16634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Ansar (2426467)</dc:creator>
  <cp:keywords/>
  <dc:description/>
  <cp:lastModifiedBy>alim ansar</cp:lastModifiedBy>
  <cp:revision>2</cp:revision>
  <dcterms:created xsi:type="dcterms:W3CDTF">2026-07-27T10:10:00Z</dcterms:created>
  <dcterms:modified xsi:type="dcterms:W3CDTF">2026-07-27T10:10:00Z</dcterms:modified>
</cp:coreProperties>
</file>