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6CD83" w14:textId="77777777" w:rsidR="00BB280E" w:rsidRDefault="003A6EE9">
      <w:pPr>
        <w:spacing w:before="240" w:after="240"/>
        <w:jc w:val="center"/>
        <w:rPr>
          <w:b/>
        </w:rPr>
      </w:pPr>
      <w:r>
        <w:rPr>
          <w:noProof/>
        </w:rPr>
        <w:drawing>
          <wp:anchor distT="114300" distB="114300" distL="114300" distR="114300" simplePos="0" relativeHeight="251658240" behindDoc="0" locked="0" layoutInCell="1" hidden="0" allowOverlap="1" wp14:anchorId="173B4B69" wp14:editId="58C8AA6C">
            <wp:simplePos x="0" y="0"/>
            <wp:positionH relativeFrom="column">
              <wp:posOffset>1157288</wp:posOffset>
            </wp:positionH>
            <wp:positionV relativeFrom="paragraph">
              <wp:posOffset>247650</wp:posOffset>
            </wp:positionV>
            <wp:extent cx="3405188" cy="1554970"/>
            <wp:effectExtent l="0" t="0" r="0" b="0"/>
            <wp:wrapNone/>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405188" cy="1554970"/>
                    </a:xfrm>
                    <a:prstGeom prst="rect">
                      <a:avLst/>
                    </a:prstGeom>
                    <a:ln/>
                  </pic:spPr>
                </pic:pic>
              </a:graphicData>
            </a:graphic>
          </wp:anchor>
        </w:drawing>
      </w:r>
    </w:p>
    <w:p w14:paraId="05E70391" w14:textId="77777777" w:rsidR="00BB280E" w:rsidRDefault="00BB280E">
      <w:pPr>
        <w:spacing w:before="240" w:after="240"/>
        <w:jc w:val="center"/>
        <w:rPr>
          <w:b/>
        </w:rPr>
      </w:pPr>
    </w:p>
    <w:p w14:paraId="0A809783" w14:textId="77777777" w:rsidR="00BB280E" w:rsidRDefault="00BB280E">
      <w:pPr>
        <w:spacing w:before="240" w:after="240"/>
        <w:jc w:val="center"/>
        <w:rPr>
          <w:b/>
        </w:rPr>
      </w:pPr>
    </w:p>
    <w:p w14:paraId="02413B29" w14:textId="77777777" w:rsidR="00BB280E" w:rsidRDefault="00BB280E">
      <w:pPr>
        <w:spacing w:before="240" w:after="240"/>
        <w:jc w:val="center"/>
        <w:rPr>
          <w:b/>
        </w:rPr>
      </w:pPr>
    </w:p>
    <w:p w14:paraId="1B873AB6" w14:textId="77777777" w:rsidR="00BB280E" w:rsidRDefault="00BB280E">
      <w:pPr>
        <w:spacing w:before="240" w:after="240"/>
        <w:jc w:val="center"/>
        <w:rPr>
          <w:b/>
        </w:rPr>
      </w:pPr>
    </w:p>
    <w:p w14:paraId="2DE40F0B" w14:textId="77777777" w:rsidR="00BB280E" w:rsidRDefault="003A6EE9">
      <w:pPr>
        <w:spacing w:before="240" w:after="240"/>
        <w:jc w:val="center"/>
        <w:rPr>
          <w:b/>
        </w:rPr>
      </w:pPr>
      <w:r>
        <w:rPr>
          <w:b/>
        </w:rPr>
        <w:t>Module Code: LCLM5002</w:t>
      </w:r>
    </w:p>
    <w:p w14:paraId="2121E8F2" w14:textId="77777777" w:rsidR="00BB280E" w:rsidRDefault="003A6EE9">
      <w:pPr>
        <w:spacing w:before="240" w:after="240"/>
        <w:jc w:val="center"/>
        <w:rPr>
          <w:b/>
        </w:rPr>
      </w:pPr>
      <w:r>
        <w:rPr>
          <w:b/>
        </w:rPr>
        <w:t>Module Title: Developing and Managing Individuals and Teams</w:t>
      </w:r>
    </w:p>
    <w:p w14:paraId="2CF25E7D" w14:textId="77777777" w:rsidR="00BB280E" w:rsidRDefault="003A6EE9">
      <w:pPr>
        <w:spacing w:before="240" w:after="240"/>
        <w:jc w:val="center"/>
        <w:rPr>
          <w:b/>
        </w:rPr>
      </w:pPr>
      <w:r>
        <w:rPr>
          <w:b/>
        </w:rPr>
        <w:t>Assignment Title: Component 2- Individual Report</w:t>
      </w:r>
    </w:p>
    <w:p w14:paraId="691F9B54" w14:textId="77777777" w:rsidR="00BB280E" w:rsidRDefault="003A6EE9">
      <w:pPr>
        <w:spacing w:before="240" w:after="240"/>
        <w:jc w:val="center"/>
        <w:rPr>
          <w:b/>
        </w:rPr>
      </w:pPr>
      <w:r>
        <w:rPr>
          <w:b/>
        </w:rPr>
        <w:t>Title: Shaping HR practices through technology and flexible work arrangements</w:t>
      </w:r>
    </w:p>
    <w:p w14:paraId="7C96CF03" w14:textId="77777777" w:rsidR="00BB280E" w:rsidRDefault="003A6EE9">
      <w:pPr>
        <w:spacing w:before="240" w:after="240"/>
        <w:jc w:val="center"/>
        <w:rPr>
          <w:b/>
        </w:rPr>
      </w:pPr>
      <w:r>
        <w:rPr>
          <w:b/>
        </w:rPr>
        <w:t>Student Name: George Lupsa</w:t>
      </w:r>
    </w:p>
    <w:p w14:paraId="40909CB4" w14:textId="3FFD3368" w:rsidR="00BB280E" w:rsidRDefault="003A6EE9">
      <w:pPr>
        <w:spacing w:before="240" w:after="240"/>
        <w:jc w:val="center"/>
        <w:rPr>
          <w:b/>
        </w:rPr>
      </w:pPr>
      <w:r>
        <w:rPr>
          <w:b/>
        </w:rPr>
        <w:t xml:space="preserve">Student ID:  </w:t>
      </w:r>
      <w:r w:rsidR="00183790">
        <w:rPr>
          <w:b/>
        </w:rPr>
        <w:t>241</w:t>
      </w:r>
      <w:r w:rsidR="00531196">
        <w:rPr>
          <w:b/>
        </w:rPr>
        <w:t>6879</w:t>
      </w:r>
    </w:p>
    <w:p w14:paraId="06D86D8D" w14:textId="655B9AB6" w:rsidR="00BB280E" w:rsidRDefault="003A6EE9">
      <w:pPr>
        <w:spacing w:before="240" w:after="240"/>
        <w:jc w:val="center"/>
        <w:rPr>
          <w:b/>
        </w:rPr>
      </w:pPr>
      <w:r>
        <w:rPr>
          <w:b/>
        </w:rPr>
        <w:t xml:space="preserve">Lecturer Name: </w:t>
      </w:r>
      <w:proofErr w:type="spellStart"/>
      <w:r w:rsidR="007546D9">
        <w:rPr>
          <w:b/>
        </w:rPr>
        <w:t>Toy</w:t>
      </w:r>
      <w:r w:rsidR="00C76148">
        <w:rPr>
          <w:b/>
        </w:rPr>
        <w:t>in</w:t>
      </w:r>
      <w:proofErr w:type="spellEnd"/>
      <w:r w:rsidR="00C76148">
        <w:rPr>
          <w:b/>
        </w:rPr>
        <w:t xml:space="preserve"> Adisa</w:t>
      </w:r>
    </w:p>
    <w:p w14:paraId="37EF6AA1" w14:textId="77777777" w:rsidR="00BB280E" w:rsidRDefault="00BB280E">
      <w:pPr>
        <w:spacing w:before="240" w:after="240"/>
        <w:jc w:val="center"/>
        <w:rPr>
          <w:b/>
        </w:rPr>
      </w:pPr>
    </w:p>
    <w:p w14:paraId="76DA6300" w14:textId="77777777" w:rsidR="00BB280E" w:rsidRDefault="003A6EE9">
      <w:pPr>
        <w:spacing w:before="240" w:after="240"/>
        <w:jc w:val="center"/>
        <w:rPr>
          <w:b/>
        </w:rPr>
      </w:pPr>
      <w:r>
        <w:br w:type="page"/>
      </w:r>
    </w:p>
    <w:p w14:paraId="3314DFE7" w14:textId="77777777" w:rsidR="00BB280E" w:rsidRDefault="003A6EE9">
      <w:pPr>
        <w:spacing w:before="240" w:after="240"/>
        <w:jc w:val="center"/>
        <w:rPr>
          <w:b/>
        </w:rPr>
      </w:pPr>
      <w:r>
        <w:rPr>
          <w:b/>
        </w:rPr>
        <w:lastRenderedPageBreak/>
        <w:t xml:space="preserve">Table of Contents </w:t>
      </w:r>
    </w:p>
    <w:sdt>
      <w:sdtPr>
        <w:id w:val="-1188697428"/>
        <w:docPartObj>
          <w:docPartGallery w:val="Table of Contents"/>
          <w:docPartUnique/>
        </w:docPartObj>
      </w:sdtPr>
      <w:sdtContent>
        <w:p w14:paraId="42DE5FC8" w14:textId="77777777" w:rsidR="00BB280E" w:rsidRDefault="003A6EE9">
          <w:pPr>
            <w:pBdr>
              <w:top w:val="nil"/>
              <w:left w:val="nil"/>
              <w:bottom w:val="nil"/>
              <w:right w:val="nil"/>
              <w:between w:val="nil"/>
            </w:pBdr>
            <w:tabs>
              <w:tab w:val="right" w:leader="dot" w:pos="9019"/>
            </w:tabs>
            <w:spacing w:before="240" w:after="240"/>
            <w:rPr>
              <w:color w:val="000000"/>
            </w:rPr>
          </w:pPr>
          <w:r>
            <w:fldChar w:fldCharType="begin"/>
          </w:r>
          <w:r>
            <w:instrText xml:space="preserve"> TOC \h \u \z \t "Heading 1,1,Heading 2,2,Heading 3,3,Heading 4,4,Heading 5,5,Heading 6,6,"</w:instrText>
          </w:r>
          <w:r>
            <w:fldChar w:fldCharType="separate"/>
          </w:r>
          <w:hyperlink w:anchor="_heading=h.2he2zh4zythy">
            <w:r>
              <w:rPr>
                <w:color w:val="000000"/>
              </w:rPr>
              <w:t>Introduction</w:t>
            </w:r>
            <w:r>
              <w:rPr>
                <w:color w:val="000000"/>
              </w:rPr>
              <w:tab/>
              <w:t>3</w:t>
            </w:r>
          </w:hyperlink>
        </w:p>
        <w:p w14:paraId="680D64B4" w14:textId="77777777" w:rsidR="00BB280E" w:rsidRDefault="003A6EE9">
          <w:pPr>
            <w:pBdr>
              <w:top w:val="nil"/>
              <w:left w:val="nil"/>
              <w:bottom w:val="nil"/>
              <w:right w:val="nil"/>
              <w:between w:val="nil"/>
            </w:pBdr>
            <w:tabs>
              <w:tab w:val="right" w:leader="dot" w:pos="9019"/>
            </w:tabs>
            <w:spacing w:before="240" w:after="240"/>
            <w:rPr>
              <w:color w:val="000000"/>
            </w:rPr>
          </w:pPr>
          <w:hyperlink w:anchor="_heading=h.5jr4881gptx6">
            <w:r>
              <w:rPr>
                <w:color w:val="000000"/>
              </w:rPr>
              <w:t>Business transformation, digital technology trends and flexible working arrangements in the chosen organisation</w:t>
            </w:r>
            <w:r>
              <w:rPr>
                <w:color w:val="000000"/>
              </w:rPr>
              <w:tab/>
              <w:t>3</w:t>
            </w:r>
          </w:hyperlink>
        </w:p>
        <w:p w14:paraId="64DD408E" w14:textId="77777777" w:rsidR="00BB280E" w:rsidRDefault="003A6EE9">
          <w:pPr>
            <w:pBdr>
              <w:top w:val="nil"/>
              <w:left w:val="nil"/>
              <w:bottom w:val="nil"/>
              <w:right w:val="nil"/>
              <w:between w:val="nil"/>
            </w:pBdr>
            <w:tabs>
              <w:tab w:val="right" w:leader="dot" w:pos="9019"/>
            </w:tabs>
            <w:spacing w:before="240" w:after="240"/>
            <w:rPr>
              <w:color w:val="000000"/>
            </w:rPr>
          </w:pPr>
          <w:hyperlink w:anchor="_heading=h.hpfpcov9gx9x">
            <w:r>
              <w:rPr>
                <w:color w:val="000000"/>
              </w:rPr>
              <w:t>Contemporary HR practices to address the aforementioned factors</w:t>
            </w:r>
            <w:r>
              <w:rPr>
                <w:color w:val="000000"/>
              </w:rPr>
              <w:tab/>
              <w:t>5</w:t>
            </w:r>
          </w:hyperlink>
        </w:p>
        <w:p w14:paraId="17026865" w14:textId="77777777" w:rsidR="00BB280E" w:rsidRDefault="003A6EE9">
          <w:pPr>
            <w:pBdr>
              <w:top w:val="nil"/>
              <w:left w:val="nil"/>
              <w:bottom w:val="nil"/>
              <w:right w:val="nil"/>
              <w:between w:val="nil"/>
            </w:pBdr>
            <w:tabs>
              <w:tab w:val="right" w:leader="dot" w:pos="9019"/>
            </w:tabs>
            <w:spacing w:before="240" w:after="240"/>
            <w:rPr>
              <w:color w:val="000000"/>
            </w:rPr>
          </w:pPr>
          <w:hyperlink w:anchor="_heading=h.ml4urdgxp1y">
            <w:r>
              <w:rPr>
                <w:color w:val="000000"/>
              </w:rPr>
              <w:t>Role of departmental managers for ensuring contemporary practices as a matter of urgency</w:t>
            </w:r>
            <w:r>
              <w:rPr>
                <w:color w:val="000000"/>
              </w:rPr>
              <w:tab/>
              <w:t>7</w:t>
            </w:r>
          </w:hyperlink>
        </w:p>
        <w:p w14:paraId="526BB83E" w14:textId="77777777" w:rsidR="00BB280E" w:rsidRDefault="003A6EE9">
          <w:pPr>
            <w:pBdr>
              <w:top w:val="nil"/>
              <w:left w:val="nil"/>
              <w:bottom w:val="nil"/>
              <w:right w:val="nil"/>
              <w:between w:val="nil"/>
            </w:pBdr>
            <w:tabs>
              <w:tab w:val="right" w:leader="dot" w:pos="9019"/>
            </w:tabs>
            <w:spacing w:before="240" w:after="240"/>
            <w:rPr>
              <w:color w:val="000000"/>
            </w:rPr>
          </w:pPr>
          <w:hyperlink w:anchor="_heading=h.yvlpicen1s75">
            <w:r>
              <w:rPr>
                <w:color w:val="000000"/>
              </w:rPr>
              <w:t>Recommendation</w:t>
            </w:r>
            <w:r>
              <w:rPr>
                <w:color w:val="000000"/>
              </w:rPr>
              <w:tab/>
              <w:t>8</w:t>
            </w:r>
          </w:hyperlink>
        </w:p>
        <w:p w14:paraId="0987FC4B" w14:textId="77777777" w:rsidR="00BB280E" w:rsidRDefault="003A6EE9">
          <w:pPr>
            <w:pBdr>
              <w:top w:val="nil"/>
              <w:left w:val="nil"/>
              <w:bottom w:val="nil"/>
              <w:right w:val="nil"/>
              <w:between w:val="nil"/>
            </w:pBdr>
            <w:tabs>
              <w:tab w:val="right" w:leader="dot" w:pos="9019"/>
            </w:tabs>
            <w:spacing w:before="240" w:after="240"/>
            <w:rPr>
              <w:color w:val="000000"/>
            </w:rPr>
          </w:pPr>
          <w:hyperlink w:anchor="_heading=h.dyuwusgbz1ru">
            <w:r>
              <w:rPr>
                <w:color w:val="000000"/>
              </w:rPr>
              <w:t>Conclusion</w:t>
            </w:r>
            <w:r>
              <w:rPr>
                <w:color w:val="000000"/>
              </w:rPr>
              <w:tab/>
              <w:t>8</w:t>
            </w:r>
          </w:hyperlink>
        </w:p>
        <w:p w14:paraId="40E66D96" w14:textId="77777777" w:rsidR="00BB280E" w:rsidRDefault="003A6EE9">
          <w:pPr>
            <w:pBdr>
              <w:top w:val="nil"/>
              <w:left w:val="nil"/>
              <w:bottom w:val="nil"/>
              <w:right w:val="nil"/>
              <w:between w:val="nil"/>
            </w:pBdr>
            <w:tabs>
              <w:tab w:val="right" w:leader="dot" w:pos="9019"/>
            </w:tabs>
            <w:spacing w:before="240" w:after="240"/>
            <w:rPr>
              <w:color w:val="000000"/>
            </w:rPr>
          </w:pPr>
          <w:hyperlink w:anchor="_heading=h.9wcq4ms3gz4j">
            <w:r>
              <w:rPr>
                <w:color w:val="000000"/>
              </w:rPr>
              <w:t>References</w:t>
            </w:r>
            <w:r>
              <w:rPr>
                <w:color w:val="000000"/>
              </w:rPr>
              <w:tab/>
              <w:t>10</w:t>
            </w:r>
          </w:hyperlink>
        </w:p>
        <w:p w14:paraId="6306F100" w14:textId="77777777" w:rsidR="00BB280E" w:rsidRDefault="003A6EE9">
          <w:pPr>
            <w:widowControl w:val="0"/>
            <w:tabs>
              <w:tab w:val="right" w:pos="12000"/>
            </w:tabs>
            <w:spacing w:before="240" w:after="240"/>
            <w:rPr>
              <w:color w:val="000000"/>
            </w:rPr>
          </w:pPr>
          <w:r>
            <w:fldChar w:fldCharType="end"/>
          </w:r>
        </w:p>
      </w:sdtContent>
    </w:sdt>
    <w:p w14:paraId="1C588137" w14:textId="77777777" w:rsidR="00BB280E" w:rsidRDefault="003A6EE9">
      <w:pPr>
        <w:spacing w:before="240" w:after="240"/>
      </w:pPr>
      <w:r>
        <w:br w:type="page"/>
      </w:r>
    </w:p>
    <w:p w14:paraId="0A61EA42" w14:textId="77777777" w:rsidR="00BB280E" w:rsidRDefault="003A6EE9">
      <w:pPr>
        <w:pStyle w:val="Titlu1"/>
        <w:spacing w:before="240" w:after="240"/>
      </w:pPr>
      <w:bookmarkStart w:id="0" w:name="_heading=h.2he2zh4zythy" w:colFirst="0" w:colLast="0"/>
      <w:bookmarkEnd w:id="0"/>
      <w:r>
        <w:lastRenderedPageBreak/>
        <w:t>Introduction</w:t>
      </w:r>
    </w:p>
    <w:p w14:paraId="6964A032" w14:textId="77777777" w:rsidR="00BB280E" w:rsidRDefault="003A6EE9">
      <w:pPr>
        <w:spacing w:before="240" w:after="240"/>
      </w:pPr>
      <w:r>
        <w:t>The leadership strategy of an organisation is an overall guidance to manage employees, setting working policies, and amending schedules so that employees can work peacefully. Ernst &amp; Young (EY) is a London-based digital servicing network that has almost 4000 employees, including a majority of 157,000 staff from the MEIA (Europe, Middle East, India and Africa) region (</w:t>
      </w:r>
      <w:proofErr w:type="spellStart"/>
      <w:r>
        <w:t>Bohne</w:t>
      </w:r>
      <w:proofErr w:type="spellEnd"/>
      <w:r>
        <w:t xml:space="preserve">, 2024). This report focuses on human resources management and leadership strategy of EY that have helped the company in attaining sustainable business performance. A critical evaluation of different HR practices of EY has been presented in this report to implement business transformation, align with digital trends and facilitate flexible working arrangements. </w:t>
      </w:r>
    </w:p>
    <w:p w14:paraId="54627D2C" w14:textId="77777777" w:rsidR="00BB280E" w:rsidRDefault="003A6EE9">
      <w:pPr>
        <w:spacing w:before="240" w:after="240"/>
        <w:jc w:val="center"/>
      </w:pPr>
      <w:r>
        <w:rPr>
          <w:noProof/>
        </w:rPr>
        <w:drawing>
          <wp:inline distT="114300" distB="114300" distL="114300" distR="114300" wp14:anchorId="253EE2AE" wp14:editId="788AE0D5">
            <wp:extent cx="4719638" cy="2971333"/>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19638" cy="2971333"/>
                    </a:xfrm>
                    <a:prstGeom prst="rect">
                      <a:avLst/>
                    </a:prstGeom>
                    <a:ln w="12700">
                      <a:solidFill>
                        <a:srgbClr val="000000"/>
                      </a:solidFill>
                      <a:prstDash val="solid"/>
                    </a:ln>
                  </pic:spPr>
                </pic:pic>
              </a:graphicData>
            </a:graphic>
          </wp:inline>
        </w:drawing>
      </w:r>
    </w:p>
    <w:p w14:paraId="6168E71C" w14:textId="77777777" w:rsidR="00BB280E" w:rsidRDefault="003A6EE9">
      <w:pPr>
        <w:spacing w:before="240" w:after="240"/>
        <w:jc w:val="center"/>
        <w:rPr>
          <w:b/>
        </w:rPr>
      </w:pPr>
      <w:r>
        <w:rPr>
          <w:b/>
        </w:rPr>
        <w:t xml:space="preserve">Figure 1: Total number of employees in EY by regions </w:t>
      </w:r>
    </w:p>
    <w:p w14:paraId="10770D1E" w14:textId="77777777" w:rsidR="00BB280E" w:rsidRDefault="003A6EE9">
      <w:pPr>
        <w:spacing w:before="240" w:after="240"/>
        <w:jc w:val="center"/>
      </w:pPr>
      <w:r>
        <w:t xml:space="preserve">(Source: </w:t>
      </w:r>
      <w:proofErr w:type="spellStart"/>
      <w:r>
        <w:t>Bohne</w:t>
      </w:r>
      <w:proofErr w:type="spellEnd"/>
      <w:r>
        <w:t>, 2024)</w:t>
      </w:r>
    </w:p>
    <w:p w14:paraId="423EF99C" w14:textId="77777777" w:rsidR="00BB280E" w:rsidRDefault="003A6EE9">
      <w:pPr>
        <w:pStyle w:val="Titlu1"/>
        <w:spacing w:before="240" w:after="240"/>
      </w:pPr>
      <w:bookmarkStart w:id="1" w:name="_heading=h.5jr4881gptx6" w:colFirst="0" w:colLast="0"/>
      <w:bookmarkEnd w:id="1"/>
      <w:r>
        <w:t xml:space="preserve">Business transformation, digital technology trends and flexible working arrangements in the chosen organisation             </w:t>
      </w:r>
    </w:p>
    <w:p w14:paraId="04FABAFB" w14:textId="77777777" w:rsidR="00BB280E" w:rsidRDefault="003A6EE9">
      <w:pPr>
        <w:spacing w:before="240" w:after="240"/>
        <w:rPr>
          <w:b/>
          <w:i/>
        </w:rPr>
      </w:pPr>
      <w:r>
        <w:rPr>
          <w:b/>
          <w:i/>
        </w:rPr>
        <w:t xml:space="preserve">Business transformation </w:t>
      </w:r>
    </w:p>
    <w:p w14:paraId="21E3D27A" w14:textId="77777777" w:rsidR="00BB280E" w:rsidRDefault="003A6EE9">
      <w:pPr>
        <w:spacing w:before="240" w:after="240"/>
      </w:pPr>
      <w:r>
        <w:t xml:space="preserve">The human resource practice of EY focuses on employee engagement, creativity, and positive workplace culture. A human-centric leadership strategy is followed in EY to harness business transformation by addressing emerging challenges (EY, n.d.a). The forces of transformation of HR management are geopolitics, sustainability, technology and demographics. An open </w:t>
      </w:r>
      <w:r>
        <w:lastRenderedPageBreak/>
        <w:t xml:space="preserve">question asking session is encouraged by the management of EY while making decisions and planning trade-offs. Among the four driving forces, geopolitical scopes, demographics ensure purposeful performance growth, whereas transformation depends on sustainability and technological transition of the company. The human-centric management practices place importance on scheduling working arrangements according to employee preferences to evaluate engagement and job satisfaction. </w:t>
      </w:r>
    </w:p>
    <w:p w14:paraId="3C0E5B00" w14:textId="77777777" w:rsidR="00BB280E" w:rsidRDefault="003A6EE9">
      <w:pPr>
        <w:spacing w:before="240" w:after="240"/>
        <w:jc w:val="center"/>
      </w:pPr>
      <w:r>
        <w:rPr>
          <w:noProof/>
        </w:rPr>
        <w:drawing>
          <wp:inline distT="114300" distB="114300" distL="114300" distR="114300" wp14:anchorId="02E0515B" wp14:editId="729DBAD7">
            <wp:extent cx="4461520" cy="4157663"/>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61520" cy="4157663"/>
                    </a:xfrm>
                    <a:prstGeom prst="rect">
                      <a:avLst/>
                    </a:prstGeom>
                    <a:ln w="12700">
                      <a:solidFill>
                        <a:srgbClr val="000000"/>
                      </a:solidFill>
                      <a:prstDash val="solid"/>
                    </a:ln>
                  </pic:spPr>
                </pic:pic>
              </a:graphicData>
            </a:graphic>
          </wp:inline>
        </w:drawing>
      </w:r>
    </w:p>
    <w:p w14:paraId="0DC5F02F" w14:textId="77777777" w:rsidR="00BB280E" w:rsidRDefault="003A6EE9">
      <w:pPr>
        <w:spacing w:before="240" w:after="240"/>
        <w:jc w:val="center"/>
        <w:rPr>
          <w:b/>
        </w:rPr>
      </w:pPr>
      <w:r>
        <w:rPr>
          <w:b/>
        </w:rPr>
        <w:t xml:space="preserve">Figure 2: Business transformation framework in EY </w:t>
      </w:r>
    </w:p>
    <w:p w14:paraId="7D9C051A" w14:textId="77777777" w:rsidR="00BB280E" w:rsidRDefault="003A6EE9">
      <w:pPr>
        <w:spacing w:before="240" w:after="240"/>
        <w:jc w:val="center"/>
      </w:pPr>
      <w:r>
        <w:t>(Source: EY, n.d.a)</w:t>
      </w:r>
    </w:p>
    <w:p w14:paraId="657CA1F7" w14:textId="77777777" w:rsidR="00BB280E" w:rsidRDefault="003A6EE9">
      <w:pPr>
        <w:spacing w:before="240" w:after="240"/>
      </w:pPr>
      <w:r>
        <w:t>The business management paradigm of EY encourages employees to make challenging decisions for shaping organisational practices with the future service networking market trend. The fundamental goal of business transformation in EY is to attain long-term value in order to actively monitor, comprehend and adapt to evolving market dynamics (</w:t>
      </w:r>
      <w:proofErr w:type="spellStart"/>
      <w:r>
        <w:t>Arvanitis</w:t>
      </w:r>
      <w:proofErr w:type="spellEnd"/>
      <w:r>
        <w:t xml:space="preserve"> and </w:t>
      </w:r>
      <w:proofErr w:type="spellStart"/>
      <w:r>
        <w:t>Kasselaki</w:t>
      </w:r>
      <w:proofErr w:type="spellEnd"/>
      <w:r>
        <w:t xml:space="preserve">, 2023). The urge for business transformation emerges from rapid market shifts, growing competition, technological emergence, and customer expectations. </w:t>
      </w:r>
      <w:proofErr w:type="spellStart"/>
      <w:r>
        <w:t>Košičiarová</w:t>
      </w:r>
      <w:proofErr w:type="spellEnd"/>
      <w:r>
        <w:t xml:space="preserve">, </w:t>
      </w:r>
      <w:proofErr w:type="spellStart"/>
      <w:r>
        <w:t>Kadekova</w:t>
      </w:r>
      <w:proofErr w:type="spellEnd"/>
      <w:r>
        <w:t xml:space="preserve"> and </w:t>
      </w:r>
      <w:proofErr w:type="spellStart"/>
      <w:r>
        <w:t>Štarchoň</w:t>
      </w:r>
      <w:proofErr w:type="spellEnd"/>
      <w:r>
        <w:t xml:space="preserve"> (2021) place importance on leadership motivation for shaping international corporate culture, long-term sustainability orientation. The leadership and </w:t>
      </w:r>
      <w:r>
        <w:lastRenderedPageBreak/>
        <w:t xml:space="preserve">management strategy of the EU might be attributed to the features of democratic leaders, for offering guidance to others and also taking insightful information from group members. </w:t>
      </w:r>
    </w:p>
    <w:p w14:paraId="795E73BE" w14:textId="77777777" w:rsidR="00BB280E" w:rsidRDefault="003A6EE9">
      <w:pPr>
        <w:spacing w:before="240" w:after="240"/>
        <w:rPr>
          <w:b/>
          <w:i/>
        </w:rPr>
      </w:pPr>
      <w:r>
        <w:rPr>
          <w:b/>
          <w:i/>
        </w:rPr>
        <w:t xml:space="preserve">Digital technology </w:t>
      </w:r>
    </w:p>
    <w:p w14:paraId="378B3942" w14:textId="77777777" w:rsidR="00BB280E" w:rsidRDefault="003A6EE9">
      <w:pPr>
        <w:spacing w:before="240" w:after="240"/>
      </w:pPr>
      <w:r>
        <w:t>Digital technology transition is an integral part of evaluating the business performance of EY. In order to power up consultancy services, EY uses Artificial Intelligence, Blockchain, IoT and data analytical tools are used in this company. The EY DEEP (Digital Energy Enablement Platform) is used to accelerate innovation and upstream digital transformation, particularly for oil and gas company clients (</w:t>
      </w:r>
      <w:proofErr w:type="spellStart"/>
      <w:r>
        <w:t>Moda</w:t>
      </w:r>
      <w:proofErr w:type="spellEnd"/>
      <w:r>
        <w:t xml:space="preserve"> and </w:t>
      </w:r>
      <w:proofErr w:type="spellStart"/>
      <w:r>
        <w:t>Khanna</w:t>
      </w:r>
      <w:proofErr w:type="spellEnd"/>
      <w:r>
        <w:t xml:space="preserve">, n.d). Apart from that, a comprehensive performance management platform is used to track the productivity and efficiency of employees. The “EY Mobility Pathway” is an integrated, scalable, end-to-end workforce management platform to tackle workforce mobility complexities, connecting with service delivery personnel, corporate managers, vendors and clients of specialised EY (EY, n.d.b). It offers a secure, single, streamlined experience to managers for managing workforce issues, internal complexities by enhancing collaboration among stakeholders. </w:t>
      </w:r>
    </w:p>
    <w:p w14:paraId="73206EC4" w14:textId="77777777" w:rsidR="00BB280E" w:rsidRDefault="003A6EE9">
      <w:pPr>
        <w:spacing w:before="240" w:after="240"/>
      </w:pPr>
      <w:r>
        <w:t xml:space="preserve">A cloud-based platform is used by EY for automatic transactions and taxation for its global workforce. The “EY Global VAT reporting tool (GVRT)” tool accumulates transactional data, tests the accuracy of tax payment and also reviews, corrects transactions (EY, n.d.c). The management strategy of EY focuses on employee training and development to adapt to the digital market trend and personalised service demand. The personal development program of EY focuses on transformational leadership for bringing agility, nurturing curiosity and passion in purpose-driven career development (EY, n.d.d). A transformational leadership style is followed in the workplace of EY to unlock career development opportunities for employees. </w:t>
      </w:r>
    </w:p>
    <w:p w14:paraId="3E465495" w14:textId="77777777" w:rsidR="00BB280E" w:rsidRDefault="003A6EE9">
      <w:pPr>
        <w:spacing w:before="240" w:after="240"/>
        <w:rPr>
          <w:b/>
          <w:i/>
        </w:rPr>
      </w:pPr>
      <w:r>
        <w:rPr>
          <w:b/>
          <w:i/>
        </w:rPr>
        <w:t xml:space="preserve">Flexible working arrangement </w:t>
      </w:r>
    </w:p>
    <w:p w14:paraId="2B27A9E1" w14:textId="77777777" w:rsidR="00BB280E" w:rsidRDefault="003A6EE9">
      <w:pPr>
        <w:spacing w:before="240" w:after="240"/>
      </w:pPr>
      <w:r>
        <w:t xml:space="preserve">Flexible working arrangements are necessary to retain the engagement rate and job satisfaction of the human resources of an organisation. </w:t>
      </w:r>
      <w:proofErr w:type="spellStart"/>
      <w:r>
        <w:t>Shiri</w:t>
      </w:r>
      <w:proofErr w:type="spellEnd"/>
      <w:r>
        <w:t xml:space="preserve"> </w:t>
      </w:r>
      <w:r>
        <w:rPr>
          <w:i/>
        </w:rPr>
        <w:t xml:space="preserve">et al. </w:t>
      </w:r>
      <w:r>
        <w:t xml:space="preserve">(2022) analysed the consequences of flexible working arrangements and found that these arrangements are necessary for addressing psychological distress, burnout and emotional exhaustion. Since the motto of human-centric management strategy of EY is to stimulate job satisfaction and employee engagement, flexible working arrangement is an integral part of business management (EY, n.d.b). Managing work-life balance becomes easier for employees in a flexible working culture. The significance of a flexible working culture lies in strengthening employee job satisfaction, reducing working distress and encouraging taking risky decisions. </w:t>
      </w:r>
    </w:p>
    <w:p w14:paraId="2BACD6BC" w14:textId="77777777" w:rsidR="00BB280E" w:rsidRDefault="003A6EE9">
      <w:pPr>
        <w:pStyle w:val="Titlu1"/>
        <w:spacing w:before="240" w:after="240"/>
      </w:pPr>
      <w:bookmarkStart w:id="2" w:name="_heading=h.hpfpcov9gx9x" w:colFirst="0" w:colLast="0"/>
      <w:bookmarkEnd w:id="2"/>
      <w:r>
        <w:lastRenderedPageBreak/>
        <w:t>Contemporary HR practices to address the aforementioned factors</w:t>
      </w:r>
    </w:p>
    <w:p w14:paraId="20B6B467" w14:textId="77777777" w:rsidR="00BB280E" w:rsidRDefault="003A6EE9">
      <w:pPr>
        <w:spacing w:before="240" w:after="240"/>
      </w:pPr>
      <w:r>
        <w:t xml:space="preserve">Contemporary HR practices cast light on a strategic, technology-driven approach for evaluating employee experience, well-being and nurturing a culture of learning and inclusion in the workplace. As opined by </w:t>
      </w:r>
      <w:proofErr w:type="spellStart"/>
      <w:r>
        <w:t>Onyekwelu</w:t>
      </w:r>
      <w:proofErr w:type="spellEnd"/>
      <w:r>
        <w:t xml:space="preserve"> </w:t>
      </w:r>
      <w:r>
        <w:rPr>
          <w:i/>
        </w:rPr>
        <w:t xml:space="preserve">et al. </w:t>
      </w:r>
      <w:r>
        <w:t xml:space="preserve">(2024), the HR department of an organisation has a significant contribution in the formulation and enforcement of non-discriminatory practices aligning with the organisation’s CSR initiatives. The HR practices of EY focus on building trust, confidence in its capital market, along with servicing transparency (EY, 2025). Democratic leadership features reflect the management practices of EY for managing business transformation and motivating employees to make challenging decisions. Core management practice of EY considers integrity, respect, teaming and inclusiveness to build strong relationships with employees delivering high-quality service, retaining accountability with an enthusiasm to move forward. </w:t>
      </w:r>
    </w:p>
    <w:p w14:paraId="1C339F8C" w14:textId="77777777" w:rsidR="00BB280E" w:rsidRDefault="003A6EE9">
      <w:pPr>
        <w:spacing w:before="240" w:after="240"/>
      </w:pPr>
      <w:r>
        <w:t xml:space="preserve">Inclusivity, personalised career development opportunities underpinned by HR managers of EY to align CSR aspects while managing business operations. A global code of ethics is followed in EY to manage employees according to a universal principle. According to the global code of ethics, EY is ambitious to create long-term value as the most trusted, disciplined, distinctive, personalised servicing organisation (EY, n.d.f). The workplace culture of this company is attributed as one of the inclusive, supportive and market-leading business organisations. Inclusivity, diversity are fundamental conditions in the present employee market to strengthen employee engagement and bring more innovations. This company also focuses on the following aspects to welcome employees from different backgrounds and to make them feel valued. Since EY is present in 150 territorial markets, there is diversity in its workforce to help its clients and strengthen its business network (EY, n.d.e). Thus, HR practices have adapted to the global employee market demand of inclusiveness and positive workplace cultures. </w:t>
      </w:r>
    </w:p>
    <w:p w14:paraId="037C8652" w14:textId="77777777" w:rsidR="00BB280E" w:rsidRDefault="003A6EE9">
      <w:pPr>
        <w:spacing w:before="240" w:after="240"/>
      </w:pPr>
      <w:r>
        <w:t xml:space="preserve">Training and development programs are fundamental prerequisites to upscaling employee performance with the digital technology transition. Chen (2023) stated that training and development programs are becoming easier with AI tools. Positive impact of data-driven training aids effective knowledge management, analysing needs, organising training, and feedback management. Recently, EY has launched an AI academy to support industry-wide </w:t>
      </w:r>
      <w:proofErr w:type="spellStart"/>
      <w:r>
        <w:t>GenAI</w:t>
      </w:r>
      <w:proofErr w:type="spellEnd"/>
      <w:r>
        <w:t xml:space="preserve"> talent </w:t>
      </w:r>
      <w:proofErr w:type="spellStart"/>
      <w:r>
        <w:t>upskilling</w:t>
      </w:r>
      <w:proofErr w:type="spellEnd"/>
      <w:r>
        <w:t xml:space="preserve"> initiatives with the usage of more than 200 real-world AI tools (EY, 2025). It provides a realistic, practical and learning experience to the trainees. Through training, </w:t>
      </w:r>
      <w:proofErr w:type="spellStart"/>
      <w:r>
        <w:t>upskilling</w:t>
      </w:r>
      <w:proofErr w:type="spellEnd"/>
      <w:r>
        <w:t xml:space="preserve"> initiatives, EY is aligning with business objectives of increasing revenue, reducing operational costs, improving clients’ experience and minimising service risks. Thus, HR practices have addressed business transformation and digital technology trends. </w:t>
      </w:r>
      <w:r>
        <w:br/>
      </w:r>
      <w:r>
        <w:lastRenderedPageBreak/>
        <w:t xml:space="preserve">Nowadays, flexible working arrangements are preferred by employees to effectively manage responsibilities between professional and personal life. A hybrid working model has been adopted by EY, allowing employees to work from home and from an office. As per Trent Henry, the global vice talent chairperson of EY, an open, trust-based working environment is stimulated in EY to nurture creative thinking, improve flexible, fluid collaboration of staff(EY, n.d.g). A result-oriented approach is followed in EY that focuses on credibility, efficiency of employee performance by offering flexible working opportunities. </w:t>
      </w:r>
    </w:p>
    <w:p w14:paraId="5B399DB4" w14:textId="77777777" w:rsidR="00BB280E" w:rsidRDefault="003A6EE9">
      <w:pPr>
        <w:spacing w:before="240" w:after="240"/>
        <w:jc w:val="center"/>
      </w:pPr>
      <w:r>
        <w:rPr>
          <w:noProof/>
        </w:rPr>
        <w:drawing>
          <wp:inline distT="114300" distB="114300" distL="114300" distR="114300" wp14:anchorId="2815BF73" wp14:editId="655E540D">
            <wp:extent cx="4673438" cy="1291778"/>
            <wp:effectExtent l="12700" t="12700" r="12700" b="127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73438" cy="1291778"/>
                    </a:xfrm>
                    <a:prstGeom prst="rect">
                      <a:avLst/>
                    </a:prstGeom>
                    <a:ln w="12700">
                      <a:solidFill>
                        <a:srgbClr val="000000"/>
                      </a:solidFill>
                      <a:prstDash val="solid"/>
                    </a:ln>
                  </pic:spPr>
                </pic:pic>
              </a:graphicData>
            </a:graphic>
          </wp:inline>
        </w:drawing>
      </w:r>
    </w:p>
    <w:p w14:paraId="4C63D8C8" w14:textId="77777777" w:rsidR="00BB280E" w:rsidRDefault="003A6EE9">
      <w:pPr>
        <w:spacing w:before="240" w:after="240"/>
        <w:jc w:val="center"/>
        <w:rPr>
          <w:b/>
        </w:rPr>
      </w:pPr>
      <w:r>
        <w:rPr>
          <w:b/>
        </w:rPr>
        <w:t xml:space="preserve">Figure 3: Significance of hybrid working in modern businesses </w:t>
      </w:r>
    </w:p>
    <w:p w14:paraId="2D805B0E" w14:textId="77777777" w:rsidR="00BB280E" w:rsidRDefault="003A6EE9">
      <w:pPr>
        <w:spacing w:before="240" w:after="240"/>
        <w:jc w:val="center"/>
      </w:pPr>
      <w:r>
        <w:t>(Source: EY, n.d.h)</w:t>
      </w:r>
    </w:p>
    <w:p w14:paraId="3031FF3B" w14:textId="77777777" w:rsidR="00BB280E" w:rsidRDefault="003A6EE9">
      <w:pPr>
        <w:spacing w:before="240" w:after="240"/>
      </w:pPr>
      <w:r>
        <w:t xml:space="preserve">The hybrid working module has proven to be effective in accessing the global talent pool, reducing carbon footprint, retaining employees and reducing absenteeism and turnover rate of the organisation. The hybrid working amendments of EY allow office optimal 0 to 1 remote work in a week, 2-3 days remote work for hybrid hopefuls and more than 4 days remote working days in a week for remote-ready team members (EY, n.d.h). Thus, HR practitioners of EY have adapted with flexible working arrangements to attract a global talent pool and retain the job satisfaction of employees. </w:t>
      </w:r>
    </w:p>
    <w:p w14:paraId="0919376E" w14:textId="77777777" w:rsidR="00BB280E" w:rsidRDefault="003A6EE9">
      <w:pPr>
        <w:pStyle w:val="Titlu1"/>
        <w:spacing w:before="240" w:after="240"/>
      </w:pPr>
      <w:bookmarkStart w:id="3" w:name="_heading=h.ml4urdgxp1y" w:colFirst="0" w:colLast="0"/>
      <w:bookmarkEnd w:id="3"/>
      <w:r>
        <w:t>Role of departmental managers for ensuring contemporary practices as a matter of urgency</w:t>
      </w:r>
    </w:p>
    <w:p w14:paraId="277024E5" w14:textId="77777777" w:rsidR="00BB280E" w:rsidRDefault="003A6EE9">
      <w:pPr>
        <w:spacing w:before="240" w:after="240"/>
      </w:pPr>
      <w:r>
        <w:t xml:space="preserve">The human resource departmental managers of EY have a significant role in establishing contemporary management practices to align with digital market trends, nurture talent and ensure job satisfaction of employees. The roles include offering compensation, facilitating training and development, recruiting deserving and eligible candidates, stimulating a positive working environment, and strengthening employee relations. </w:t>
      </w:r>
      <w:proofErr w:type="spellStart"/>
      <w:r>
        <w:t>Elufioye</w:t>
      </w:r>
      <w:proofErr w:type="spellEnd"/>
      <w:r>
        <w:t xml:space="preserve"> </w:t>
      </w:r>
      <w:r>
        <w:rPr>
          <w:i/>
        </w:rPr>
        <w:t xml:space="preserve">et al. </w:t>
      </w:r>
      <w:r>
        <w:t xml:space="preserve">(2024) found that modern HR practices prioritise strengthening feedback mechanisms, continuous mental health improvement of employees, and evaluation of ongoing working arrangements. Regarding employee well-being practices, </w:t>
      </w:r>
      <w:proofErr w:type="spellStart"/>
      <w:r>
        <w:t>Elufioye</w:t>
      </w:r>
      <w:proofErr w:type="spellEnd"/>
      <w:r>
        <w:t xml:space="preserve"> </w:t>
      </w:r>
      <w:r>
        <w:rPr>
          <w:i/>
        </w:rPr>
        <w:t xml:space="preserve">et al. </w:t>
      </w:r>
      <w:r>
        <w:t xml:space="preserve">(2024) stated that flexible working hours, remote working, and compressed weekends to ensure better work-life balance, stress </w:t>
      </w:r>
      <w:r>
        <w:lastRenderedPageBreak/>
        <w:t>reduction that promotes holistic employee well-being. The holistic health and well-being programs consist of mental health support, preventive care, fitness programs, and initiatives promoting a healthy lifestyle. These initiatives improve employee job satisfaction, ensure long-term engagement and harbour a positive working ambience.</w:t>
      </w:r>
    </w:p>
    <w:p w14:paraId="144425EF" w14:textId="77777777" w:rsidR="00BB280E" w:rsidRDefault="003A6EE9">
      <w:pPr>
        <w:spacing w:before="240" w:after="240"/>
      </w:pPr>
      <w:r>
        <w:t>The engagement rate of employees, holistic well-being are measures of effective contemporary HR practice in a modern business environment. It has been found that HR practices that focus on cultivating inclusive and supportive working amendments must have to include open communication, prioritise well-being initiatives for employees (</w:t>
      </w:r>
      <w:proofErr w:type="spellStart"/>
      <w:r>
        <w:t>Elufioye</w:t>
      </w:r>
      <w:proofErr w:type="spellEnd"/>
      <w:r>
        <w:t xml:space="preserve"> </w:t>
      </w:r>
      <w:r>
        <w:rPr>
          <w:i/>
        </w:rPr>
        <w:t xml:space="preserve">et al., </w:t>
      </w:r>
      <w:r>
        <w:t xml:space="preserve">2024). The HR practitioners of EY need to tailor employee engagement initiatives that could be accommodated by staff belonging to diverse demographics such as gender, age and cultural backgrounds. </w:t>
      </w:r>
    </w:p>
    <w:p w14:paraId="156FF2E8" w14:textId="77777777" w:rsidR="00BB280E" w:rsidRDefault="003A6EE9">
      <w:pPr>
        <w:spacing w:before="240" w:after="240"/>
      </w:pPr>
      <w:r>
        <w:t xml:space="preserve">The departmental manager of EY can assure the contemporary needs of business practices, technological shifts, and flexible working accommodations. A shift towards employee-centric working policy, innovative culture, finding strategic opportunities and gathering feedback from diverse employee perspectives can amend HR policy to strengthen job satisfaction. Strict working norms are followed in EY for retaining the company's reputation, ensuring strong dedication. For example, dozens of staff have been laid offers for attending two video meetings simultaneously as an appropriate disciplinary action (Pringle, 2024). As a response to this disciplinary action for violence, EY has alleged those staff for breaking the ethical code of the company and terminated them. Thus, contemporary HR practices of EY put integrity, ethics at the forefront of everything. </w:t>
      </w:r>
    </w:p>
    <w:p w14:paraId="02C660C9" w14:textId="77777777" w:rsidR="00BB280E" w:rsidRDefault="003A6EE9">
      <w:pPr>
        <w:spacing w:before="240" w:after="240"/>
      </w:pPr>
      <w:r>
        <w:t xml:space="preserve">Current HR practices of EY suffer from poor employee engagement, lack of well-being, and work-life balancing issues, as mentioned by employees. As reported by a 26-year-old employee. Anna Sebastian </w:t>
      </w:r>
      <w:proofErr w:type="spellStart"/>
      <w:r>
        <w:t>Perayil</w:t>
      </w:r>
      <w:proofErr w:type="spellEnd"/>
      <w:r>
        <w:t xml:space="preserve"> has blamed the excessive workload of EY for its toxic working environment, taking long working hours that harmed physical, emotional and mental well-being (Yasmin, 2024). Although EY promotes positive work-life balance, young employees have not actually visualised it in the workplace culture. A dilemma in human-centric working policy with actual workplace culture demonstrates the need for immediate action on HR to strengthen the well-being of hired hands. Thus, an urgent need to modify employee well-being policies can be witnessed in contemporary HR practices of EY. </w:t>
      </w:r>
    </w:p>
    <w:p w14:paraId="0F7BC2D5" w14:textId="77777777" w:rsidR="00BB280E" w:rsidRDefault="003A6EE9">
      <w:pPr>
        <w:pStyle w:val="Titlu1"/>
        <w:spacing w:before="240" w:after="240"/>
      </w:pPr>
      <w:bookmarkStart w:id="4" w:name="_heading=h.yvlpicen1s75" w:colFirst="0" w:colLast="0"/>
      <w:bookmarkEnd w:id="4"/>
      <w:r>
        <w:t>Recommendation</w:t>
      </w:r>
    </w:p>
    <w:p w14:paraId="19EE279F" w14:textId="77777777" w:rsidR="00BB280E" w:rsidRDefault="003A6EE9">
      <w:pPr>
        <w:spacing w:before="240" w:after="240"/>
      </w:pPr>
      <w:r>
        <w:t xml:space="preserve">A strong feedback management mechanism and immediate actions are recommended for EY to modify the working environment, strengthening employee retention. </w:t>
      </w:r>
      <w:proofErr w:type="spellStart"/>
      <w:r>
        <w:t>Haque</w:t>
      </w:r>
      <w:proofErr w:type="spellEnd"/>
      <w:r>
        <w:t xml:space="preserve"> (2023) </w:t>
      </w:r>
      <w:r>
        <w:lastRenderedPageBreak/>
        <w:t xml:space="preserve">suggested HR practices need to proactively adapt to technological changes, acquire skills for ensuring remote working efficiency. Although remote working amendments have already been integrated in EY, feedback policies are still lagging behind. A shift towards emotions, intelligence in managing the workforce, and implementing working policies can be effective for HR professionals to reduce job burnout and attract a diverse talent pool. The level of job satisfaction might encourage employees to perform best productivity, bring more creative solutions. </w:t>
      </w:r>
    </w:p>
    <w:p w14:paraId="6072B8C1" w14:textId="77777777" w:rsidR="00BB280E" w:rsidRDefault="003A6EE9">
      <w:pPr>
        <w:pStyle w:val="Titlu1"/>
        <w:spacing w:before="240" w:after="240"/>
      </w:pPr>
      <w:bookmarkStart w:id="5" w:name="_heading=h.dyuwusgbz1ru" w:colFirst="0" w:colLast="0"/>
      <w:bookmarkEnd w:id="5"/>
      <w:r>
        <w:t>Conclusion</w:t>
      </w:r>
    </w:p>
    <w:p w14:paraId="2C26B495" w14:textId="77777777" w:rsidR="00BB280E" w:rsidRDefault="003A6EE9">
      <w:pPr>
        <w:spacing w:before="240" w:after="240"/>
      </w:pPr>
      <w:r>
        <w:t xml:space="preserve">This report has analysed the transformative management strategy of EY, which embraces employee trust, engagement, job satisfaction, agility and inclusivity. Flexible working amendments and employee-centric policies are highlights of HR practice. However, the company always puts integrity, ethical codes to maintain a disciplined working culture. A female staff member has complained about excessive working load, a toxic workplace culture that drains physical, mental and health well-being. In conclusion, HR practices, if EY is recommended to embed emotional intelligence, should strengthen the feedback mechanism. In the long-term, the following recommendation might help in accomplishing HR management vision of sustained employee growth, positive workplace culture. </w:t>
      </w:r>
    </w:p>
    <w:p w14:paraId="63EA8441" w14:textId="77777777" w:rsidR="00BB280E" w:rsidRDefault="003A6EE9">
      <w:pPr>
        <w:spacing w:before="240" w:after="240"/>
      </w:pPr>
      <w:r>
        <w:br w:type="page"/>
      </w:r>
    </w:p>
    <w:p w14:paraId="36E0A06F" w14:textId="77777777" w:rsidR="00BB280E" w:rsidRDefault="003A6EE9">
      <w:pPr>
        <w:pStyle w:val="Titlu1"/>
        <w:spacing w:before="240" w:after="240"/>
      </w:pPr>
      <w:bookmarkStart w:id="6" w:name="_heading=h.9wcq4ms3gz4j" w:colFirst="0" w:colLast="0"/>
      <w:bookmarkEnd w:id="6"/>
      <w:r>
        <w:lastRenderedPageBreak/>
        <w:t xml:space="preserve">References </w:t>
      </w:r>
    </w:p>
    <w:p w14:paraId="62778E99" w14:textId="77777777" w:rsidR="00BB280E" w:rsidRDefault="003A6EE9">
      <w:pPr>
        <w:spacing w:before="240" w:after="240"/>
      </w:pPr>
      <w:proofErr w:type="spellStart"/>
      <w:r>
        <w:t>Arvanitis</w:t>
      </w:r>
      <w:proofErr w:type="spellEnd"/>
      <w:r>
        <w:t xml:space="preserve">, A. and </w:t>
      </w:r>
      <w:proofErr w:type="spellStart"/>
      <w:r>
        <w:t>Kasselaki</w:t>
      </w:r>
      <w:proofErr w:type="spellEnd"/>
      <w:r>
        <w:t xml:space="preserve">, E. (2023) </w:t>
      </w:r>
      <w:r>
        <w:rPr>
          <w:i/>
        </w:rPr>
        <w:t xml:space="preserve">Achieving long-term value through ongoing business transformations. </w:t>
      </w:r>
      <w:r>
        <w:t xml:space="preserve">Available at: </w:t>
      </w:r>
      <w:hyperlink r:id="rId11">
        <w:r>
          <w:t>https://www.ey.com/en_gr/insights/long-term-value/achieving-long-term-value-through-ongoing-business-transformations</w:t>
        </w:r>
      </w:hyperlink>
      <w:r>
        <w:t xml:space="preserve"> (Accessed: 23 October 2025). </w:t>
      </w:r>
    </w:p>
    <w:p w14:paraId="1FA68057" w14:textId="77777777" w:rsidR="00BB280E" w:rsidRDefault="003A6EE9">
      <w:pPr>
        <w:spacing w:before="240" w:after="240"/>
      </w:pPr>
      <w:proofErr w:type="spellStart"/>
      <w:r>
        <w:t>Bohne</w:t>
      </w:r>
      <w:proofErr w:type="spellEnd"/>
      <w:r>
        <w:t xml:space="preserve">, R. (2024) </w:t>
      </w:r>
      <w:r>
        <w:rPr>
          <w:i/>
        </w:rPr>
        <w:t xml:space="preserve">Number of employees of EY worldwide by region 2009-2024. </w:t>
      </w:r>
      <w:r>
        <w:t xml:space="preserve">Available at: </w:t>
      </w:r>
      <w:hyperlink r:id="rId12">
        <w:r>
          <w:t>https://www.statista.com/statistics/189247/number-of-employees-of-ernst-young-by-area/?srsltid=AfmBOorJMw0nIIYsRb48YyHBm9pCgq76mBHf2FwnYLggfXa_snvKSpfj</w:t>
        </w:r>
      </w:hyperlink>
      <w:r>
        <w:t xml:space="preserve"> (Accessed: 22 October 2025). </w:t>
      </w:r>
    </w:p>
    <w:p w14:paraId="51964DA4" w14:textId="77777777" w:rsidR="00BB280E" w:rsidRDefault="003A6EE9">
      <w:pPr>
        <w:spacing w:before="240" w:after="240"/>
      </w:pPr>
      <w:r>
        <w:t xml:space="preserve">Chen, Z. (2023) ‘Artificial intelligence-virtual trainer: Innovative didactics aimed at </w:t>
      </w:r>
      <w:proofErr w:type="spellStart"/>
      <w:r>
        <w:t>personalized</w:t>
      </w:r>
      <w:proofErr w:type="spellEnd"/>
      <w:r>
        <w:t xml:space="preserve"> training needs’, </w:t>
      </w:r>
      <w:r>
        <w:rPr>
          <w:i/>
        </w:rPr>
        <w:t>Journal of the Knowledge Economy</w:t>
      </w:r>
      <w:r>
        <w:t xml:space="preserve">, 14(2), pp. 2007-2025. </w:t>
      </w:r>
    </w:p>
    <w:p w14:paraId="0E2D63B9" w14:textId="77777777" w:rsidR="00BB280E" w:rsidRDefault="003A6EE9">
      <w:pPr>
        <w:spacing w:before="240" w:after="240"/>
      </w:pPr>
      <w:proofErr w:type="spellStart"/>
      <w:r>
        <w:t>Elufioye</w:t>
      </w:r>
      <w:proofErr w:type="spellEnd"/>
      <w:r>
        <w:t xml:space="preserve">, O.A., </w:t>
      </w:r>
      <w:proofErr w:type="spellStart"/>
      <w:r>
        <w:t>Ndubuisi</w:t>
      </w:r>
      <w:proofErr w:type="spellEnd"/>
      <w:r>
        <w:t xml:space="preserve">, N.L., </w:t>
      </w:r>
      <w:proofErr w:type="spellStart"/>
      <w:r>
        <w:t>Daraojimba</w:t>
      </w:r>
      <w:proofErr w:type="spellEnd"/>
      <w:r>
        <w:t xml:space="preserve">, R.E., </w:t>
      </w:r>
      <w:proofErr w:type="spellStart"/>
      <w:r>
        <w:t>Awonuga</w:t>
      </w:r>
      <w:proofErr w:type="spellEnd"/>
      <w:r>
        <w:t xml:space="preserve">, K.F., </w:t>
      </w:r>
      <w:proofErr w:type="spellStart"/>
      <w:r>
        <w:t>Ayanponle</w:t>
      </w:r>
      <w:proofErr w:type="spellEnd"/>
      <w:r>
        <w:t xml:space="preserve">, L.O. and </w:t>
      </w:r>
      <w:proofErr w:type="spellStart"/>
      <w:r>
        <w:t>Asuzu</w:t>
      </w:r>
      <w:proofErr w:type="spellEnd"/>
      <w:r>
        <w:t xml:space="preserve">, O.F. (2024) ‘Reviewing employee well-being and mental health initiatives in contemporary HR Practices’, </w:t>
      </w:r>
      <w:r>
        <w:rPr>
          <w:i/>
        </w:rPr>
        <w:t>International Journal of Science and Research Archive</w:t>
      </w:r>
      <w:r>
        <w:t xml:space="preserve">, 11(1), pp. 828-840. </w:t>
      </w:r>
    </w:p>
    <w:p w14:paraId="7E576D32" w14:textId="77777777" w:rsidR="00BB280E" w:rsidRDefault="003A6EE9">
      <w:pPr>
        <w:spacing w:before="240" w:after="240"/>
      </w:pPr>
      <w:r>
        <w:t xml:space="preserve">EY (2025) </w:t>
      </w:r>
      <w:r>
        <w:rPr>
          <w:i/>
        </w:rPr>
        <w:t xml:space="preserve">About us. </w:t>
      </w:r>
      <w:r>
        <w:t xml:space="preserve">Available at: </w:t>
      </w:r>
      <w:hyperlink r:id="rId13">
        <w:r>
          <w:t>https://www.ey.com/en_in/about-us</w:t>
        </w:r>
      </w:hyperlink>
      <w:r>
        <w:t xml:space="preserve"> (Accessed: 21 October 2025). </w:t>
      </w:r>
    </w:p>
    <w:p w14:paraId="7B0511D2" w14:textId="77777777" w:rsidR="00BB280E" w:rsidRDefault="003A6EE9">
      <w:pPr>
        <w:spacing w:before="240" w:after="240"/>
      </w:pPr>
      <w:r>
        <w:t xml:space="preserve">EY (2025) </w:t>
      </w:r>
      <w:r>
        <w:rPr>
          <w:i/>
        </w:rPr>
        <w:t xml:space="preserve">EY launches ‘AI Academy’ to support industry-wide talent </w:t>
      </w:r>
      <w:proofErr w:type="spellStart"/>
      <w:r>
        <w:rPr>
          <w:i/>
        </w:rPr>
        <w:t>upskilling</w:t>
      </w:r>
      <w:proofErr w:type="spellEnd"/>
      <w:r>
        <w:rPr>
          <w:i/>
        </w:rPr>
        <w:t xml:space="preserve"> in </w:t>
      </w:r>
      <w:proofErr w:type="spellStart"/>
      <w:r>
        <w:rPr>
          <w:i/>
        </w:rPr>
        <w:t>GenAI</w:t>
      </w:r>
      <w:proofErr w:type="spellEnd"/>
      <w:r>
        <w:rPr>
          <w:i/>
        </w:rPr>
        <w:t xml:space="preserve">. </w:t>
      </w:r>
      <w:r>
        <w:t xml:space="preserve">Available at: </w:t>
      </w:r>
      <w:hyperlink r:id="rId14">
        <w:r>
          <w:t>https://www.ey.com/en_in/newsroom/2025/07/ey-launches-ai-academy-to-support-industry-wide-talent-upskilling-in-gen-ai</w:t>
        </w:r>
      </w:hyperlink>
      <w:r>
        <w:t xml:space="preserve"> (Accessed: 22 October 2025). </w:t>
      </w:r>
    </w:p>
    <w:p w14:paraId="0C898C78" w14:textId="77777777" w:rsidR="00BB280E" w:rsidRDefault="003A6EE9">
      <w:pPr>
        <w:spacing w:before="240" w:after="240"/>
      </w:pPr>
      <w:r>
        <w:t xml:space="preserve">EY (n.d.a) </w:t>
      </w:r>
      <w:r>
        <w:rPr>
          <w:i/>
        </w:rPr>
        <w:t xml:space="preserve">EY Transformation. </w:t>
      </w:r>
      <w:r>
        <w:t xml:space="preserve">Available at: </w:t>
      </w:r>
      <w:hyperlink r:id="rId15">
        <w:r>
          <w:t>https://www.ey.com/en_gl/transformation</w:t>
        </w:r>
      </w:hyperlink>
      <w:r>
        <w:t xml:space="preserve"> (Accessed: 21 October 2025). </w:t>
      </w:r>
    </w:p>
    <w:p w14:paraId="13DE8FB8" w14:textId="77777777" w:rsidR="00BB280E" w:rsidRDefault="003A6EE9">
      <w:pPr>
        <w:spacing w:before="240" w:after="240"/>
      </w:pPr>
      <w:r>
        <w:t xml:space="preserve">EY (n.d.b) </w:t>
      </w:r>
      <w:r>
        <w:rPr>
          <w:i/>
        </w:rPr>
        <w:t xml:space="preserve">EY Mobility Pathway: global workforce management tool. </w:t>
      </w:r>
      <w:r>
        <w:t xml:space="preserve">Available at: </w:t>
      </w:r>
      <w:hyperlink r:id="rId16">
        <w:r>
          <w:t>https://www.ey.com/en_in/services/workforce/mobility-pathway-global-workforce-management-tool</w:t>
        </w:r>
      </w:hyperlink>
      <w:r>
        <w:t xml:space="preserve"> (Accessed: 22 October 2025). </w:t>
      </w:r>
    </w:p>
    <w:p w14:paraId="5C3C3B31" w14:textId="77777777" w:rsidR="00BB280E" w:rsidRDefault="003A6EE9">
      <w:pPr>
        <w:spacing w:before="240" w:after="240"/>
      </w:pPr>
      <w:r>
        <w:t xml:space="preserve">EY (n.d.c) </w:t>
      </w:r>
      <w:r>
        <w:rPr>
          <w:i/>
        </w:rPr>
        <w:t xml:space="preserve">EY Global VAT reporting tool (GVRT). </w:t>
      </w:r>
      <w:r>
        <w:t xml:space="preserve">Available at: </w:t>
      </w:r>
      <w:hyperlink r:id="rId17">
        <w:r>
          <w:t>https://www.ey.com/en_in/services/tax/global-vat-reporting-tool</w:t>
        </w:r>
      </w:hyperlink>
      <w:r>
        <w:t xml:space="preserve"> (Accessed: 22 October 2025). </w:t>
      </w:r>
    </w:p>
    <w:p w14:paraId="0DB7AD3B" w14:textId="77777777" w:rsidR="00BB280E" w:rsidRDefault="003A6EE9">
      <w:pPr>
        <w:spacing w:before="240" w:after="240"/>
      </w:pPr>
      <w:r>
        <w:t xml:space="preserve">EY (n.d.d) </w:t>
      </w:r>
      <w:proofErr w:type="spellStart"/>
      <w:r>
        <w:rPr>
          <w:i/>
        </w:rPr>
        <w:t>Personalized</w:t>
      </w:r>
      <w:proofErr w:type="spellEnd"/>
      <w:r>
        <w:rPr>
          <w:i/>
        </w:rPr>
        <w:t xml:space="preserve"> career development. </w:t>
      </w:r>
      <w:r>
        <w:t xml:space="preserve">Available at: </w:t>
      </w:r>
      <w:hyperlink r:id="rId18">
        <w:r>
          <w:t>https://www.ey.com/en_in/careers/personalized-career-development</w:t>
        </w:r>
      </w:hyperlink>
      <w:r>
        <w:t xml:space="preserve"> (Accessed: 22 October 2025). </w:t>
      </w:r>
    </w:p>
    <w:p w14:paraId="5A7D6F86" w14:textId="77777777" w:rsidR="00BB280E" w:rsidRDefault="003A6EE9">
      <w:pPr>
        <w:spacing w:before="240" w:after="240"/>
      </w:pPr>
      <w:r>
        <w:lastRenderedPageBreak/>
        <w:t xml:space="preserve">EY (n.d.e) </w:t>
      </w:r>
      <w:r>
        <w:rPr>
          <w:i/>
        </w:rPr>
        <w:t xml:space="preserve">Diversity, equity and inclusiveness. </w:t>
      </w:r>
      <w:r>
        <w:t xml:space="preserve">Available at: </w:t>
      </w:r>
      <w:hyperlink r:id="rId19">
        <w:r>
          <w:t>https://www.ey.com/en_in/about-us/inclusiveness</w:t>
        </w:r>
      </w:hyperlink>
      <w:r>
        <w:t xml:space="preserve"> (Accessed: 23 October 2025). </w:t>
      </w:r>
    </w:p>
    <w:p w14:paraId="192C3F46" w14:textId="77777777" w:rsidR="00BB280E" w:rsidRDefault="003A6EE9">
      <w:pPr>
        <w:spacing w:before="240" w:after="240"/>
      </w:pPr>
      <w:r>
        <w:t xml:space="preserve">EY (n.d.f) </w:t>
      </w:r>
      <w:r>
        <w:rPr>
          <w:i/>
        </w:rPr>
        <w:t xml:space="preserve">Our Global Code of Conduct. </w:t>
      </w:r>
      <w:r>
        <w:t xml:space="preserve">Available at: </w:t>
      </w:r>
      <w:hyperlink r:id="rId20">
        <w:r>
          <w:t>https://www.ey.com/en_hu/about-us/global-code-of-conduct</w:t>
        </w:r>
      </w:hyperlink>
      <w:r>
        <w:t xml:space="preserve"> (Accessed: 20 October 2025). </w:t>
      </w:r>
    </w:p>
    <w:p w14:paraId="518420DE" w14:textId="77777777" w:rsidR="00BB280E" w:rsidRDefault="003A6EE9">
      <w:pPr>
        <w:spacing w:before="240" w:after="240"/>
      </w:pPr>
      <w:r>
        <w:t xml:space="preserve">EY (n.d.g) </w:t>
      </w:r>
      <w:r>
        <w:rPr>
          <w:i/>
        </w:rPr>
        <w:t xml:space="preserve">Flexibility and mobility. </w:t>
      </w:r>
      <w:r>
        <w:t xml:space="preserve">Available at: </w:t>
      </w:r>
      <w:hyperlink r:id="rId21">
        <w:r>
          <w:t>https://www.ey.com/en_uk/careers/what-its-like-to-work-here/flexibility-mobility</w:t>
        </w:r>
      </w:hyperlink>
      <w:r>
        <w:t xml:space="preserve"> (Accessed: 20 October 2025). </w:t>
      </w:r>
    </w:p>
    <w:p w14:paraId="54EDC694" w14:textId="77777777" w:rsidR="00BB280E" w:rsidRDefault="003A6EE9">
      <w:pPr>
        <w:spacing w:before="240" w:after="240"/>
      </w:pPr>
      <w:r>
        <w:t xml:space="preserve">EY (n.d.h) </w:t>
      </w:r>
      <w:r>
        <w:rPr>
          <w:i/>
        </w:rPr>
        <w:t xml:space="preserve">Hybrid working. </w:t>
      </w:r>
      <w:r>
        <w:t xml:space="preserve">Available at: </w:t>
      </w:r>
      <w:hyperlink r:id="rId22">
        <w:r>
          <w:t>https://www.ey.com/content/dam/ey-unified-site/ey-com/en-uk/insights/workforce/documents/ey-hybrid-working.pdf</w:t>
        </w:r>
      </w:hyperlink>
      <w:r>
        <w:t xml:space="preserve"> (Accessed: 21 October 2025). </w:t>
      </w:r>
    </w:p>
    <w:p w14:paraId="40E8051D" w14:textId="77777777" w:rsidR="00BB280E" w:rsidRDefault="003A6EE9">
      <w:pPr>
        <w:spacing w:before="240" w:after="240"/>
      </w:pPr>
      <w:proofErr w:type="spellStart"/>
      <w:r>
        <w:t>Haque</w:t>
      </w:r>
      <w:proofErr w:type="spellEnd"/>
      <w:r>
        <w:t xml:space="preserve">, S.M.S. (2023) ‘The impact of remote work on hr practices: navigating challenges, embracing opportunities’, </w:t>
      </w:r>
      <w:r>
        <w:rPr>
          <w:i/>
        </w:rPr>
        <w:t>European Journal of Human Resource Management Studies</w:t>
      </w:r>
      <w:r>
        <w:t xml:space="preserve">, </w:t>
      </w:r>
      <w:r>
        <w:rPr>
          <w:i/>
        </w:rPr>
        <w:t>7</w:t>
      </w:r>
      <w:r>
        <w:t xml:space="preserve">(1), p. 1-29. </w:t>
      </w:r>
    </w:p>
    <w:p w14:paraId="20191236" w14:textId="77777777" w:rsidR="00BB280E" w:rsidRDefault="003A6EE9">
      <w:pPr>
        <w:spacing w:before="240" w:after="240"/>
      </w:pPr>
      <w:proofErr w:type="spellStart"/>
      <w:r>
        <w:t>Košičiarová</w:t>
      </w:r>
      <w:proofErr w:type="spellEnd"/>
      <w:r>
        <w:t xml:space="preserve">, I., </w:t>
      </w:r>
      <w:proofErr w:type="spellStart"/>
      <w:r>
        <w:t>Kadekova</w:t>
      </w:r>
      <w:proofErr w:type="spellEnd"/>
      <w:r>
        <w:t xml:space="preserve">, Z. and </w:t>
      </w:r>
      <w:proofErr w:type="spellStart"/>
      <w:r>
        <w:t>Štarchoň</w:t>
      </w:r>
      <w:proofErr w:type="spellEnd"/>
      <w:r>
        <w:t xml:space="preserve">, P. (2021) ‘Leadership and motivation as important aspects of the international company’s corporate culture’, </w:t>
      </w:r>
      <w:r>
        <w:rPr>
          <w:i/>
        </w:rPr>
        <w:t>Sustainability</w:t>
      </w:r>
      <w:r>
        <w:t xml:space="preserve">, 13(7), p. 3916. </w:t>
      </w:r>
    </w:p>
    <w:p w14:paraId="7CDC71F0" w14:textId="77777777" w:rsidR="00BB280E" w:rsidRDefault="003A6EE9">
      <w:pPr>
        <w:spacing w:before="240" w:after="240"/>
      </w:pPr>
      <w:proofErr w:type="spellStart"/>
      <w:r>
        <w:t>Moda</w:t>
      </w:r>
      <w:proofErr w:type="spellEnd"/>
      <w:r>
        <w:t xml:space="preserve">, G. and </w:t>
      </w:r>
      <w:proofErr w:type="spellStart"/>
      <w:r>
        <w:t>Khanna</w:t>
      </w:r>
      <w:proofErr w:type="spellEnd"/>
      <w:r>
        <w:t xml:space="preserve">, D. (n.d) </w:t>
      </w:r>
      <w:r>
        <w:rPr>
          <w:i/>
        </w:rPr>
        <w:t xml:space="preserve">EY DEEP: Digital Energy Enablement Platform. </w:t>
      </w:r>
      <w:r>
        <w:t xml:space="preserve">Available at: </w:t>
      </w:r>
      <w:hyperlink r:id="rId23">
        <w:r>
          <w:t>https://www.ey.com/en_in/industries/energy-resources/ey-deep-digital-energy-enablement-platform</w:t>
        </w:r>
      </w:hyperlink>
      <w:r>
        <w:t xml:space="preserve"> (Accessed: 21 October 2025). </w:t>
      </w:r>
    </w:p>
    <w:p w14:paraId="300BF99A" w14:textId="77777777" w:rsidR="00BB280E" w:rsidRDefault="003A6EE9">
      <w:pPr>
        <w:spacing w:before="240" w:after="240"/>
      </w:pPr>
      <w:proofErr w:type="spellStart"/>
      <w:r>
        <w:t>Onyekwelu</w:t>
      </w:r>
      <w:proofErr w:type="spellEnd"/>
      <w:r>
        <w:t xml:space="preserve">, N.P., </w:t>
      </w:r>
      <w:proofErr w:type="spellStart"/>
      <w:r>
        <w:t>Ezeafulukwe</w:t>
      </w:r>
      <w:proofErr w:type="spellEnd"/>
      <w:r>
        <w:t xml:space="preserve">, C., </w:t>
      </w:r>
      <w:proofErr w:type="spellStart"/>
      <w:r>
        <w:t>Owolabi</w:t>
      </w:r>
      <w:proofErr w:type="spellEnd"/>
      <w:r>
        <w:t xml:space="preserve">, O.R., </w:t>
      </w:r>
      <w:proofErr w:type="spellStart"/>
      <w:r>
        <w:t>Asuzu</w:t>
      </w:r>
      <w:proofErr w:type="spellEnd"/>
      <w:r>
        <w:t xml:space="preserve">, O.F., Bello, B.G. and </w:t>
      </w:r>
      <w:proofErr w:type="spellStart"/>
      <w:r>
        <w:t>Onyekwelu</w:t>
      </w:r>
      <w:proofErr w:type="spellEnd"/>
      <w:r>
        <w:t xml:space="preserve">, S.C. (2024) ‘Ethics and corporate social responsibility in HR: A comprehensive review of policies and practices’, </w:t>
      </w:r>
      <w:r>
        <w:rPr>
          <w:i/>
        </w:rPr>
        <w:t>International Journal of Science and Research Archive</w:t>
      </w:r>
      <w:r>
        <w:t xml:space="preserve">, 11(1), pp. 1294-1303. </w:t>
      </w:r>
    </w:p>
    <w:p w14:paraId="567354B2" w14:textId="77777777" w:rsidR="00BB280E" w:rsidRDefault="003A6EE9">
      <w:pPr>
        <w:spacing w:before="240" w:after="240"/>
      </w:pPr>
      <w:r>
        <w:t xml:space="preserve">Pringle, E. (2024) </w:t>
      </w:r>
      <w:r>
        <w:rPr>
          <w:i/>
        </w:rPr>
        <w:t xml:space="preserve">EY fired dozens of staff members who attended 2 video training meetings simultaneously. </w:t>
      </w:r>
      <w:r>
        <w:t xml:space="preserve">Available at: </w:t>
      </w:r>
      <w:hyperlink r:id="rId24">
        <w:r>
          <w:t>https://fortune.com/2024/10/22/ey-staffers-multiple-career-development-sessions-fired/</w:t>
        </w:r>
      </w:hyperlink>
      <w:r>
        <w:t xml:space="preserve"> (Accessed: 22 October 2025). </w:t>
      </w:r>
    </w:p>
    <w:p w14:paraId="21852302" w14:textId="77777777" w:rsidR="00BB280E" w:rsidRDefault="003A6EE9">
      <w:pPr>
        <w:spacing w:before="240" w:after="240"/>
      </w:pPr>
      <w:proofErr w:type="spellStart"/>
      <w:r>
        <w:t>Shiri</w:t>
      </w:r>
      <w:proofErr w:type="spellEnd"/>
      <w:r>
        <w:t xml:space="preserve">, R., </w:t>
      </w:r>
      <w:proofErr w:type="spellStart"/>
      <w:r>
        <w:t>Turunen</w:t>
      </w:r>
      <w:proofErr w:type="spellEnd"/>
      <w:r>
        <w:t xml:space="preserve">, J., </w:t>
      </w:r>
      <w:proofErr w:type="spellStart"/>
      <w:r>
        <w:t>Kausto</w:t>
      </w:r>
      <w:proofErr w:type="spellEnd"/>
      <w:r>
        <w:t xml:space="preserve">, J., </w:t>
      </w:r>
      <w:proofErr w:type="spellStart"/>
      <w:r>
        <w:t>Leino-Arjas</w:t>
      </w:r>
      <w:proofErr w:type="spellEnd"/>
      <w:r>
        <w:t xml:space="preserve">, P., </w:t>
      </w:r>
      <w:proofErr w:type="spellStart"/>
      <w:r>
        <w:t>Varje</w:t>
      </w:r>
      <w:proofErr w:type="spellEnd"/>
      <w:r>
        <w:t xml:space="preserve">, P., </w:t>
      </w:r>
      <w:proofErr w:type="spellStart"/>
      <w:r>
        <w:t>Väänänen</w:t>
      </w:r>
      <w:proofErr w:type="spellEnd"/>
      <w:r>
        <w:t xml:space="preserve">, A. and </w:t>
      </w:r>
      <w:proofErr w:type="spellStart"/>
      <w:r>
        <w:t>Ervasti</w:t>
      </w:r>
      <w:proofErr w:type="spellEnd"/>
      <w:r>
        <w:t xml:space="preserve">, J. (2022, May) ‘The effect of employee-oriented flexible work on mental health: a systematic review’ In </w:t>
      </w:r>
      <w:r>
        <w:rPr>
          <w:i/>
        </w:rPr>
        <w:t>Healthcare</w:t>
      </w:r>
      <w:r>
        <w:t xml:space="preserve"> (Vol. 10, No. 5, p. 883). MDPI. </w:t>
      </w:r>
    </w:p>
    <w:p w14:paraId="0B9CBE40" w14:textId="77777777" w:rsidR="00BB280E" w:rsidRDefault="003A6EE9">
      <w:pPr>
        <w:spacing w:before="240" w:after="240"/>
      </w:pPr>
      <w:r>
        <w:t xml:space="preserve">Yasmin, S. (2024) </w:t>
      </w:r>
      <w:r>
        <w:rPr>
          <w:i/>
        </w:rPr>
        <w:t xml:space="preserve">26-year-old Ernst &amp; Young employee’s death sparks debate about toxic corporate work culture. </w:t>
      </w:r>
      <w:r>
        <w:t xml:space="preserve">Available at: </w:t>
      </w:r>
      <w:hyperlink r:id="rId25">
        <w:r>
          <w:t>https://www.independent.co.uk/asia/india/ey-anna-</w:t>
        </w:r>
        <w:r>
          <w:lastRenderedPageBreak/>
          <w:t>sebastian-cause-death-pune-deloitte-pwc-kpmg-b2617205.html</w:t>
        </w:r>
      </w:hyperlink>
      <w:r>
        <w:t xml:space="preserve"> (Accessed: 21 October 2025).</w:t>
      </w:r>
    </w:p>
    <w:sectPr w:rsidR="00BB280E">
      <w:footerReference w:type="default" r:id="rId2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09F80" w14:textId="77777777" w:rsidR="00F83FDC" w:rsidRDefault="00F83FDC">
      <w:pPr>
        <w:spacing w:line="240" w:lineRule="auto"/>
      </w:pPr>
      <w:r>
        <w:separator/>
      </w:r>
    </w:p>
  </w:endnote>
  <w:endnote w:type="continuationSeparator" w:id="0">
    <w:p w14:paraId="33E7BE7D" w14:textId="77777777" w:rsidR="00F83FDC" w:rsidRDefault="00F83F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F96F0" w14:textId="47838378" w:rsidR="00BB280E" w:rsidRDefault="003A6EE9">
    <w:pPr>
      <w:jc w:val="right"/>
      <w:rPr>
        <w:sz w:val="20"/>
        <w:szCs w:val="20"/>
      </w:rPr>
    </w:pPr>
    <w:r>
      <w:rPr>
        <w:sz w:val="20"/>
        <w:szCs w:val="20"/>
      </w:rPr>
      <w:fldChar w:fldCharType="begin"/>
    </w:r>
    <w:r>
      <w:rPr>
        <w:sz w:val="20"/>
        <w:szCs w:val="20"/>
      </w:rPr>
      <w:instrText>PAGE</w:instrText>
    </w:r>
    <w:r>
      <w:rPr>
        <w:sz w:val="20"/>
        <w:szCs w:val="20"/>
      </w:rPr>
      <w:fldChar w:fldCharType="separate"/>
    </w:r>
    <w:r w:rsidR="0018379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336AD" w14:textId="77777777" w:rsidR="00F83FDC" w:rsidRDefault="00F83FDC">
      <w:pPr>
        <w:spacing w:line="240" w:lineRule="auto"/>
      </w:pPr>
      <w:r>
        <w:separator/>
      </w:r>
    </w:p>
  </w:footnote>
  <w:footnote w:type="continuationSeparator" w:id="0">
    <w:p w14:paraId="50E43AE4" w14:textId="77777777" w:rsidR="00F83FDC" w:rsidRDefault="00F83F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80E"/>
    <w:rsid w:val="00183790"/>
    <w:rsid w:val="002F386B"/>
    <w:rsid w:val="003A6EE9"/>
    <w:rsid w:val="00531196"/>
    <w:rsid w:val="00575DF5"/>
    <w:rsid w:val="007546D9"/>
    <w:rsid w:val="00BB280E"/>
    <w:rsid w:val="00C76148"/>
    <w:rsid w:val="00F83FD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6527EB87"/>
  <w15:docId w15:val="{37CAB75C-A5D4-3B4B-A925-2B92FEEC1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200" w:after="200"/>
      <w:outlineLvl w:val="0"/>
    </w:pPr>
    <w:rPr>
      <w:b/>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Cuprins1">
    <w:name w:val="toc 1"/>
    <w:basedOn w:val="Normal"/>
    <w:next w:val="Normal"/>
    <w:autoRedefine/>
    <w:uiPriority w:val="39"/>
    <w:unhideWhenUsed/>
    <w:rsid w:val="00E6778E"/>
    <w:pPr>
      <w:spacing w:after="100"/>
    </w:pPr>
  </w:style>
  <w:style w:type="character" w:styleId="Hyperlink">
    <w:name w:val="Hyperlink"/>
    <w:basedOn w:val="Fontdeparagrafimplicit"/>
    <w:uiPriority w:val="99"/>
    <w:unhideWhenUsed/>
    <w:rsid w:val="00E6778E"/>
    <w:rPr>
      <w:color w:val="0000FF" w:themeColor="hyperlink"/>
      <w:u w:val="single"/>
    </w:rPr>
  </w:style>
  <w:style w:type="paragraph" w:styleId="Antet">
    <w:name w:val="header"/>
    <w:basedOn w:val="Normal"/>
    <w:link w:val="AntetCaracter"/>
    <w:uiPriority w:val="99"/>
    <w:unhideWhenUsed/>
    <w:rsid w:val="006573ED"/>
    <w:pPr>
      <w:tabs>
        <w:tab w:val="center" w:pos="4680"/>
        <w:tab w:val="right" w:pos="9360"/>
      </w:tabs>
      <w:spacing w:line="240" w:lineRule="auto"/>
    </w:pPr>
  </w:style>
  <w:style w:type="character" w:customStyle="1" w:styleId="AntetCaracter">
    <w:name w:val="Antet Caracter"/>
    <w:basedOn w:val="Fontdeparagrafimplicit"/>
    <w:link w:val="Antet"/>
    <w:uiPriority w:val="99"/>
    <w:rsid w:val="006573ED"/>
  </w:style>
  <w:style w:type="paragraph" w:styleId="Subsol">
    <w:name w:val="footer"/>
    <w:basedOn w:val="Normal"/>
    <w:link w:val="SubsolCaracter"/>
    <w:uiPriority w:val="99"/>
    <w:unhideWhenUsed/>
    <w:rsid w:val="006573E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6573ED"/>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y.com/en_in/about-us" TargetMode="External"/><Relationship Id="rId18" Type="http://schemas.openxmlformats.org/officeDocument/2006/relationships/hyperlink" Target="https://www.ey.com/en_in/careers/personalized-career-developmen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y.com/en_uk/careers/what-its-like-to-work-here/flexibility-mobility" TargetMode="External"/><Relationship Id="rId7" Type="http://schemas.openxmlformats.org/officeDocument/2006/relationships/image" Target="media/image1.png"/><Relationship Id="rId12" Type="http://schemas.openxmlformats.org/officeDocument/2006/relationships/hyperlink" Target="https://www.statista.com/statistics/189247/number-of-employees-of-ernst-young-by-area/?srsltid=AfmBOorJMw0nIIYsRb48YyHBm9pCgq76mBHf2FwnYLggfXa_snvKSpfj" TargetMode="External"/><Relationship Id="rId17" Type="http://schemas.openxmlformats.org/officeDocument/2006/relationships/hyperlink" Target="https://www.ey.com/en_in/services/tax/global-vat-reporting-tool" TargetMode="External"/><Relationship Id="rId25" Type="http://schemas.openxmlformats.org/officeDocument/2006/relationships/hyperlink" Target="https://www.independent.co.uk/asia/india/ey-anna-sebastian-cause-death-pune-deloitte-pwc-kpmg-b2617205.html" TargetMode="External"/><Relationship Id="rId2" Type="http://schemas.openxmlformats.org/officeDocument/2006/relationships/styles" Target="styles.xml"/><Relationship Id="rId16" Type="http://schemas.openxmlformats.org/officeDocument/2006/relationships/hyperlink" Target="https://www.ey.com/en_in/services/workforce/mobility-pathway-global-workforce-management-tool" TargetMode="External"/><Relationship Id="rId20" Type="http://schemas.openxmlformats.org/officeDocument/2006/relationships/hyperlink" Target="https://www.ey.com/en_hu/about-us/global-code-of-conduc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y.com/en_gr/insights/long-term-value/achieving-long-term-value-through-ongoing-business-transformations" TargetMode="External"/><Relationship Id="rId24" Type="http://schemas.openxmlformats.org/officeDocument/2006/relationships/hyperlink" Target="https://fortune.com/2024/10/22/ey-staffers-multiple-career-development-sessions-fired/" TargetMode="External"/><Relationship Id="rId5" Type="http://schemas.openxmlformats.org/officeDocument/2006/relationships/footnotes" Target="footnotes.xml"/><Relationship Id="rId15" Type="http://schemas.openxmlformats.org/officeDocument/2006/relationships/hyperlink" Target="https://www.ey.com/en_gl/transformation" TargetMode="External"/><Relationship Id="rId23" Type="http://schemas.openxmlformats.org/officeDocument/2006/relationships/hyperlink" Target="https://www.ey.com/en_in/industries/energy-resources/ey-deep-digital-energy-enablement-platform"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ey.com/en_in/about-us/inclusivenes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y.com/en_in/newsroom/2025/07/ey-launches-ai-academy-to-support-industry-wide-talent-upskilling-in-gen-ai" TargetMode="External"/><Relationship Id="rId22" Type="http://schemas.openxmlformats.org/officeDocument/2006/relationships/hyperlink" Target="https://www.ey.com/content/dam/ey-unified-site/ey-com/en-uk/insights/workforce/documents/ey-hybrid-working.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x70zXWFHpN4ZSoxSzyV0nOpt1g==">CgMxLjAyDmguMmhlMnpoNHp5dGh5Mg5oLjVqcjQ4ODFncHR4NjIOaC5ocGZwY292OWd4OXgyDWgubWw0dXJkZ3hwMXkyDmgueXZscGljZW4xczc1Mg5oLmR5dXd1c2diejFydTIOaC45d2NxNG1zM2d6NGo4AHIhMVdmbU1scW0teWtvMDR2Skk1VlNORzgxb2JUVTlBeVlF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3137</Words>
  <Characters>18197</Characters>
  <Application>Microsoft Office Word</Application>
  <DocSecurity>0</DocSecurity>
  <Lines>151</Lines>
  <Paragraphs>42</Paragraphs>
  <ScaleCrop>false</ScaleCrop>
  <Company/>
  <LinksUpToDate>false</LinksUpToDate>
  <CharactersWithSpaces>21292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ferenc gheorghe lupsa</cp:lastModifiedBy>
  <cp:revision>6</cp:revision>
  <dcterms:created xsi:type="dcterms:W3CDTF">2025-10-24T12:29:00Z</dcterms:created>
  <dcterms:modified xsi:type="dcterms:W3CDTF">2025-12-07T20:06:00Z</dcterms:modified>
</cp:coreProperties>
</file>