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FC06614" w14:textId="0029CB71" w:rsidR="006C63EB" w:rsidRPr="00543458" w:rsidRDefault="00E35668" w:rsidP="00543458">
      <w:pPr>
        <w:pStyle w:val="Title"/>
        <w:jc w:val="left"/>
        <w:rPr>
          <w:rFonts w:ascii="Arial" w:hAnsi="Arial" w:cs="Arial"/>
          <w:lang w:val="en-GB"/>
        </w:rPr>
      </w:pPr>
      <w:bookmarkStart w:id="0" w:name="_lzxqa32d5aqa" w:colFirst="0" w:colLast="0"/>
      <w:bookmarkEnd w:id="0"/>
      <w:r w:rsidRPr="00543458">
        <w:rPr>
          <w:rFonts w:ascii="Arial" w:hAnsi="Arial" w:cs="Arial"/>
          <w:noProof/>
          <w:lang w:val="en-IN" w:eastAsia="en-IN"/>
        </w:rPr>
        <w:drawing>
          <wp:anchor distT="0" distB="0" distL="114300" distR="114300" simplePos="0" relativeHeight="251658240" behindDoc="1" locked="0" layoutInCell="1" allowOverlap="1" wp14:anchorId="2D745837" wp14:editId="3193500A">
            <wp:simplePos x="0" y="0"/>
            <wp:positionH relativeFrom="margin">
              <wp:posOffset>1325880</wp:posOffset>
            </wp:positionH>
            <wp:positionV relativeFrom="paragraph">
              <wp:posOffset>0</wp:posOffset>
            </wp:positionV>
            <wp:extent cx="3124200" cy="1210945"/>
            <wp:effectExtent l="0" t="0" r="0" b="8255"/>
            <wp:wrapTight wrapText="bothSides">
              <wp:wrapPolygon edited="0">
                <wp:start x="0" y="0"/>
                <wp:lineTo x="0" y="21407"/>
                <wp:lineTo x="21468" y="21407"/>
                <wp:lineTo x="2146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090" r="3463"/>
                    <a:stretch/>
                  </pic:blipFill>
                  <pic:spPr bwMode="auto">
                    <a:xfrm>
                      <a:off x="0" y="0"/>
                      <a:ext cx="3124200" cy="1210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318D12" w14:textId="77777777" w:rsidR="00E35668" w:rsidRDefault="00E35668" w:rsidP="00543458">
      <w:pPr>
        <w:rPr>
          <w:rFonts w:ascii="Arial" w:hAnsi="Arial" w:cs="Arial"/>
          <w:lang w:val="en-GB"/>
        </w:rPr>
      </w:pPr>
    </w:p>
    <w:p w14:paraId="52B893EE" w14:textId="77777777" w:rsidR="0004384D" w:rsidRDefault="0004384D" w:rsidP="00543458">
      <w:pPr>
        <w:rPr>
          <w:rFonts w:ascii="Arial" w:hAnsi="Arial" w:cs="Arial"/>
          <w:lang w:val="en-GB"/>
        </w:rPr>
      </w:pPr>
    </w:p>
    <w:p w14:paraId="0E0FE469" w14:textId="77777777" w:rsidR="0004384D" w:rsidRDefault="0004384D" w:rsidP="00543458">
      <w:pPr>
        <w:rPr>
          <w:rFonts w:ascii="Arial" w:hAnsi="Arial" w:cs="Arial"/>
          <w:lang w:val="en-GB"/>
        </w:rPr>
      </w:pPr>
    </w:p>
    <w:p w14:paraId="684A2C57" w14:textId="77777777" w:rsidR="00101DF8" w:rsidRDefault="00101DF8" w:rsidP="00543458">
      <w:pPr>
        <w:rPr>
          <w:rFonts w:ascii="Arial" w:hAnsi="Arial" w:cs="Arial"/>
          <w:lang w:val="en-GB"/>
        </w:rPr>
      </w:pPr>
    </w:p>
    <w:p w14:paraId="0093F088" w14:textId="77777777" w:rsidR="00101DF8" w:rsidRDefault="00101DF8" w:rsidP="00543458">
      <w:pPr>
        <w:rPr>
          <w:rFonts w:ascii="Arial" w:hAnsi="Arial" w:cs="Arial"/>
          <w:lang w:val="en-GB"/>
        </w:rPr>
      </w:pPr>
    </w:p>
    <w:p w14:paraId="6FEDF287" w14:textId="77777777" w:rsidR="00E66B02" w:rsidRPr="00543458" w:rsidRDefault="00E66B02" w:rsidP="001E6385">
      <w:pPr>
        <w:rPr>
          <w:rFonts w:ascii="Arial" w:hAnsi="Arial" w:cs="Arial"/>
          <w:lang w:val="en-GB"/>
        </w:rPr>
      </w:pPr>
    </w:p>
    <w:p w14:paraId="2B069C3C" w14:textId="360370C8" w:rsidR="00E35668" w:rsidRPr="00101DF8" w:rsidRDefault="00101DF8" w:rsidP="001E6385">
      <w:pPr>
        <w:pStyle w:val="Title"/>
        <w:rPr>
          <w:rFonts w:ascii="Arial" w:hAnsi="Arial" w:cs="Arial"/>
          <w:sz w:val="24"/>
          <w:szCs w:val="24"/>
          <w:lang w:val="en-GB"/>
        </w:rPr>
      </w:pPr>
      <w:r w:rsidRPr="00101DF8">
        <w:rPr>
          <w:rFonts w:ascii="Arial" w:hAnsi="Arial" w:cs="Arial"/>
          <w:sz w:val="24"/>
          <w:szCs w:val="24"/>
        </w:rPr>
        <w:t>Programme:</w:t>
      </w:r>
      <w:r w:rsidRPr="00101DF8">
        <w:rPr>
          <w:rFonts w:ascii="Arial" w:hAnsi="Arial" w:cs="Arial"/>
          <w:sz w:val="24"/>
          <w:szCs w:val="24"/>
          <w:lang w:val="en-GB"/>
        </w:rPr>
        <w:t xml:space="preserve"> Master</w:t>
      </w:r>
      <w:r w:rsidR="00E35668" w:rsidRPr="00101DF8">
        <w:rPr>
          <w:rFonts w:ascii="Arial" w:hAnsi="Arial" w:cs="Arial"/>
          <w:sz w:val="24"/>
          <w:szCs w:val="24"/>
          <w:lang w:val="en-GB"/>
        </w:rPr>
        <w:t xml:space="preserve"> of Business Administration</w:t>
      </w:r>
    </w:p>
    <w:p w14:paraId="3BE526B3" w14:textId="58AD0341" w:rsidR="00E35668" w:rsidRPr="00101DF8" w:rsidRDefault="00101DF8" w:rsidP="001E6385">
      <w:pPr>
        <w:pStyle w:val="Title"/>
        <w:rPr>
          <w:rFonts w:ascii="Arial" w:hAnsi="Arial" w:cs="Arial"/>
          <w:sz w:val="24"/>
          <w:szCs w:val="24"/>
          <w:lang w:val="en-GB"/>
        </w:rPr>
      </w:pPr>
      <w:r w:rsidRPr="00101DF8">
        <w:rPr>
          <w:rFonts w:ascii="Arial" w:hAnsi="Arial" w:cs="Arial"/>
          <w:sz w:val="24"/>
          <w:szCs w:val="24"/>
        </w:rPr>
        <w:t>Module:</w:t>
      </w:r>
      <w:r w:rsidRPr="00101DF8">
        <w:rPr>
          <w:rFonts w:ascii="Arial" w:hAnsi="Arial" w:cs="Arial"/>
          <w:b w:val="0"/>
          <w:bCs w:val="0"/>
          <w:sz w:val="24"/>
          <w:szCs w:val="24"/>
          <w:lang w:val="en-GB"/>
        </w:rPr>
        <w:t xml:space="preserve"> </w:t>
      </w:r>
      <w:r w:rsidR="00E35668" w:rsidRPr="00101DF8">
        <w:rPr>
          <w:rFonts w:ascii="Arial" w:hAnsi="Arial" w:cs="Arial"/>
          <w:sz w:val="24"/>
          <w:szCs w:val="24"/>
          <w:lang w:val="en-GB"/>
        </w:rPr>
        <w:t>Financial Management</w:t>
      </w:r>
    </w:p>
    <w:p w14:paraId="06BA7C52" w14:textId="08F18EE4" w:rsidR="006C63EB" w:rsidRPr="00101DF8" w:rsidRDefault="00101DF8" w:rsidP="001E6385">
      <w:pPr>
        <w:pStyle w:val="Title"/>
        <w:rPr>
          <w:rFonts w:ascii="Arial" w:hAnsi="Arial" w:cs="Arial"/>
          <w:sz w:val="24"/>
          <w:szCs w:val="24"/>
          <w:lang w:val="en-GB"/>
        </w:rPr>
      </w:pPr>
      <w:r w:rsidRPr="00101DF8">
        <w:rPr>
          <w:rFonts w:ascii="Arial" w:hAnsi="Arial" w:cs="Arial"/>
          <w:sz w:val="24"/>
          <w:szCs w:val="24"/>
        </w:rPr>
        <w:t>Module code:</w:t>
      </w:r>
      <w:r w:rsidRPr="00101DF8">
        <w:rPr>
          <w:rFonts w:ascii="Arial" w:hAnsi="Arial" w:cs="Arial"/>
          <w:sz w:val="24"/>
          <w:szCs w:val="24"/>
          <w:lang w:val="en-GB"/>
        </w:rPr>
        <w:t xml:space="preserve"> LCMB7002</w:t>
      </w:r>
    </w:p>
    <w:p w14:paraId="6292E70D" w14:textId="792919D7" w:rsidR="006C63EB" w:rsidRPr="00101DF8" w:rsidRDefault="00101DF8" w:rsidP="001E6385">
      <w:pPr>
        <w:pStyle w:val="Title"/>
        <w:rPr>
          <w:rFonts w:ascii="Arial" w:hAnsi="Arial" w:cs="Arial"/>
          <w:sz w:val="24"/>
          <w:szCs w:val="24"/>
          <w:lang w:val="en-GB"/>
        </w:rPr>
      </w:pPr>
      <w:r w:rsidRPr="00101DF8">
        <w:rPr>
          <w:rFonts w:ascii="Arial" w:hAnsi="Arial" w:cs="Arial"/>
          <w:sz w:val="24"/>
          <w:szCs w:val="24"/>
        </w:rPr>
        <w:t>Assignment Title:</w:t>
      </w:r>
      <w:r w:rsidRPr="00101DF8">
        <w:rPr>
          <w:rFonts w:ascii="Arial" w:hAnsi="Arial" w:cs="Arial"/>
          <w:sz w:val="24"/>
          <w:szCs w:val="24"/>
          <w:lang w:val="en-GB"/>
        </w:rPr>
        <w:t xml:space="preserve"> Assessment</w:t>
      </w:r>
      <w:r w:rsidR="00E35668" w:rsidRPr="00101DF8">
        <w:rPr>
          <w:rFonts w:ascii="Arial" w:hAnsi="Arial" w:cs="Arial"/>
          <w:sz w:val="24"/>
          <w:szCs w:val="24"/>
          <w:lang w:val="en-GB"/>
        </w:rPr>
        <w:t xml:space="preserve"> component: Financial performance and management</w:t>
      </w:r>
    </w:p>
    <w:p w14:paraId="0CDE7BF0" w14:textId="77777777" w:rsidR="00E35668" w:rsidRPr="00101DF8" w:rsidRDefault="00E35668" w:rsidP="001E6385">
      <w:pPr>
        <w:pStyle w:val="Title"/>
        <w:rPr>
          <w:rFonts w:ascii="Arial" w:hAnsi="Arial" w:cs="Arial"/>
          <w:sz w:val="24"/>
          <w:szCs w:val="24"/>
          <w:lang w:val="en-GB"/>
        </w:rPr>
      </w:pPr>
      <w:r w:rsidRPr="00101DF8">
        <w:rPr>
          <w:rFonts w:ascii="Arial" w:hAnsi="Arial" w:cs="Arial"/>
          <w:sz w:val="24"/>
          <w:szCs w:val="24"/>
          <w:lang w:val="en-GB"/>
        </w:rPr>
        <w:t>FINANCIAL TURNAROUND AND INVESTMENT APPRAISAL REPORT FOR GENERAL ELECTRONIC</w:t>
      </w:r>
    </w:p>
    <w:p w14:paraId="13D186B6" w14:textId="042860C8" w:rsidR="00E35668" w:rsidRPr="00101DF8" w:rsidRDefault="00DF4D89" w:rsidP="001E6385">
      <w:pPr>
        <w:pStyle w:val="Title"/>
        <w:rPr>
          <w:rFonts w:ascii="Arial" w:hAnsi="Arial" w:cs="Arial"/>
          <w:sz w:val="24"/>
          <w:szCs w:val="24"/>
          <w:lang w:val="en-GB"/>
        </w:rPr>
      </w:pPr>
      <w:r>
        <w:rPr>
          <w:rFonts w:ascii="Arial" w:hAnsi="Arial" w:cs="Arial"/>
          <w:sz w:val="24"/>
          <w:szCs w:val="24"/>
          <w:lang w:val="en-GB"/>
        </w:rPr>
        <w:t>Lecturer N</w:t>
      </w:r>
      <w:r w:rsidR="00E35668" w:rsidRPr="00101DF8">
        <w:rPr>
          <w:rFonts w:ascii="Arial" w:hAnsi="Arial" w:cs="Arial"/>
          <w:sz w:val="24"/>
          <w:szCs w:val="24"/>
          <w:lang w:val="en-GB"/>
        </w:rPr>
        <w:t>ame:</w:t>
      </w:r>
      <w:r w:rsidR="00E66B02" w:rsidRPr="00101DF8">
        <w:rPr>
          <w:rFonts w:ascii="Arial" w:hAnsi="Arial" w:cs="Arial"/>
          <w:b w:val="0"/>
          <w:sz w:val="24"/>
          <w:szCs w:val="24"/>
        </w:rPr>
        <w:t xml:space="preserve"> </w:t>
      </w:r>
      <w:r w:rsidR="00E66B02" w:rsidRPr="00101DF8">
        <w:rPr>
          <w:rFonts w:ascii="Arial" w:hAnsi="Arial" w:cs="Arial"/>
          <w:sz w:val="24"/>
          <w:szCs w:val="24"/>
        </w:rPr>
        <w:t>Patrick Yeboah (Birmingham)</w:t>
      </w:r>
    </w:p>
    <w:p w14:paraId="73B04D55" w14:textId="4EEF77FC" w:rsidR="00E35668" w:rsidRPr="00101DF8" w:rsidRDefault="00DF4D89" w:rsidP="001E6385">
      <w:pPr>
        <w:pStyle w:val="Title"/>
        <w:rPr>
          <w:rFonts w:ascii="Arial" w:hAnsi="Arial" w:cs="Arial"/>
          <w:sz w:val="24"/>
          <w:szCs w:val="24"/>
          <w:lang w:val="en-GB"/>
        </w:rPr>
      </w:pPr>
      <w:r>
        <w:rPr>
          <w:rFonts w:ascii="Arial" w:hAnsi="Arial" w:cs="Arial"/>
          <w:sz w:val="24"/>
          <w:szCs w:val="24"/>
          <w:lang w:val="en-GB"/>
        </w:rPr>
        <w:t>Student N</w:t>
      </w:r>
      <w:r w:rsidR="00E35668" w:rsidRPr="00101DF8">
        <w:rPr>
          <w:rFonts w:ascii="Arial" w:hAnsi="Arial" w:cs="Arial"/>
          <w:sz w:val="24"/>
          <w:szCs w:val="24"/>
          <w:lang w:val="en-GB"/>
        </w:rPr>
        <w:t>ame:</w:t>
      </w:r>
      <w:r w:rsidR="00E66B02" w:rsidRPr="00101DF8">
        <w:rPr>
          <w:rFonts w:ascii="Arial" w:hAnsi="Arial" w:cs="Arial"/>
          <w:sz w:val="24"/>
          <w:szCs w:val="24"/>
          <w:lang w:val="en-GB"/>
        </w:rPr>
        <w:t xml:space="preserve"> Harshil Bharatkumar Desai</w:t>
      </w:r>
    </w:p>
    <w:p w14:paraId="08AB934C" w14:textId="5F275680" w:rsidR="00E35668" w:rsidRPr="00101DF8" w:rsidRDefault="00E35668" w:rsidP="001E6385">
      <w:pPr>
        <w:pStyle w:val="Title"/>
        <w:rPr>
          <w:rFonts w:ascii="Arial" w:hAnsi="Arial" w:cs="Arial"/>
          <w:sz w:val="24"/>
          <w:szCs w:val="24"/>
          <w:lang w:val="en-GB"/>
        </w:rPr>
      </w:pPr>
      <w:r w:rsidRPr="00101DF8">
        <w:rPr>
          <w:rFonts w:ascii="Arial" w:hAnsi="Arial" w:cs="Arial"/>
          <w:sz w:val="24"/>
          <w:szCs w:val="24"/>
          <w:lang w:val="en-GB"/>
        </w:rPr>
        <w:t>Student ID:</w:t>
      </w:r>
      <w:r w:rsidR="00101DF8" w:rsidRPr="00101DF8">
        <w:rPr>
          <w:rFonts w:ascii="Arial" w:hAnsi="Arial" w:cs="Arial"/>
          <w:sz w:val="24"/>
          <w:szCs w:val="24"/>
          <w:lang w:val="en-GB"/>
        </w:rPr>
        <w:t xml:space="preserve"> 2504765</w:t>
      </w:r>
    </w:p>
    <w:p w14:paraId="6F825958" w14:textId="3ECCD097" w:rsidR="00E35668" w:rsidRPr="00101DF8" w:rsidRDefault="00E35668" w:rsidP="001E6385">
      <w:pPr>
        <w:pStyle w:val="Title"/>
        <w:rPr>
          <w:rFonts w:ascii="Arial" w:hAnsi="Arial" w:cs="Arial"/>
          <w:sz w:val="24"/>
          <w:szCs w:val="24"/>
          <w:lang w:val="en-GB"/>
        </w:rPr>
      </w:pPr>
      <w:r w:rsidRPr="00101DF8">
        <w:rPr>
          <w:rFonts w:ascii="Arial" w:hAnsi="Arial" w:cs="Arial"/>
          <w:sz w:val="24"/>
          <w:szCs w:val="24"/>
          <w:lang w:val="en-GB"/>
        </w:rPr>
        <w:t>Word count:</w:t>
      </w:r>
      <w:r w:rsidR="006F636C" w:rsidRPr="00101DF8">
        <w:rPr>
          <w:rFonts w:ascii="Arial" w:hAnsi="Arial" w:cs="Arial"/>
          <w:sz w:val="24"/>
          <w:szCs w:val="24"/>
          <w:lang w:val="en-GB"/>
        </w:rPr>
        <w:t xml:space="preserve"> </w:t>
      </w:r>
      <w:r w:rsidR="00DF4D89">
        <w:rPr>
          <w:rFonts w:ascii="Arial" w:hAnsi="Arial" w:cs="Arial"/>
          <w:bCs w:val="0"/>
          <w:sz w:val="24"/>
          <w:szCs w:val="24"/>
          <w:lang w:val="en-GB"/>
        </w:rPr>
        <w:t>5290</w:t>
      </w:r>
      <w:bookmarkStart w:id="1" w:name="_GoBack"/>
      <w:bookmarkEnd w:id="1"/>
    </w:p>
    <w:p w14:paraId="0DD122CA" w14:textId="662A1A08" w:rsidR="00101DF8" w:rsidRPr="00101DF8" w:rsidRDefault="00E35668" w:rsidP="001E6385">
      <w:pPr>
        <w:spacing w:before="120" w:after="120"/>
        <w:jc w:val="center"/>
        <w:rPr>
          <w:rFonts w:ascii="Arial" w:hAnsi="Arial" w:cs="Arial"/>
          <w:b/>
        </w:rPr>
      </w:pPr>
      <w:r w:rsidRPr="00101DF8">
        <w:rPr>
          <w:rFonts w:ascii="Arial" w:hAnsi="Arial" w:cs="Arial"/>
          <w:b/>
          <w:lang w:val="en-GB"/>
        </w:rPr>
        <w:t>Submission date:</w:t>
      </w:r>
      <w:r w:rsidR="006F636C" w:rsidRPr="00101DF8">
        <w:rPr>
          <w:rFonts w:ascii="Arial" w:hAnsi="Arial" w:cs="Arial"/>
          <w:b/>
          <w:lang w:val="en-GB"/>
        </w:rPr>
        <w:t xml:space="preserve"> </w:t>
      </w:r>
      <w:r w:rsidR="00101DF8" w:rsidRPr="00101DF8">
        <w:rPr>
          <w:rFonts w:ascii="Arial" w:hAnsi="Arial" w:cs="Arial"/>
          <w:b/>
        </w:rPr>
        <w:t>Monday 24</w:t>
      </w:r>
      <w:r w:rsidR="00101DF8" w:rsidRPr="00101DF8">
        <w:rPr>
          <w:rFonts w:ascii="Arial" w:hAnsi="Arial" w:cs="Arial"/>
          <w:b/>
          <w:vertAlign w:val="superscript"/>
        </w:rPr>
        <w:t>th</w:t>
      </w:r>
      <w:r w:rsidR="00101DF8" w:rsidRPr="00101DF8">
        <w:rPr>
          <w:rFonts w:ascii="Arial" w:hAnsi="Arial" w:cs="Arial"/>
          <w:b/>
        </w:rPr>
        <w:t xml:space="preserve"> November 2025 by 2pm</w:t>
      </w:r>
    </w:p>
    <w:p w14:paraId="18BBBEB8" w14:textId="5810E1BA" w:rsidR="00E35668" w:rsidRPr="006F636C" w:rsidRDefault="00E35668" w:rsidP="00101DF8">
      <w:pPr>
        <w:pStyle w:val="Title"/>
        <w:rPr>
          <w:rFonts w:ascii="Arial" w:hAnsi="Arial" w:cs="Arial"/>
          <w:b w:val="0"/>
          <w:bCs w:val="0"/>
          <w:sz w:val="24"/>
          <w:szCs w:val="24"/>
          <w:lang w:val="en-GB"/>
        </w:rPr>
        <w:sectPr w:rsidR="00E35668" w:rsidRPr="006F636C">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20" w:footer="720" w:gutter="0"/>
          <w:pgNumType w:start="1"/>
          <w:cols w:space="720"/>
        </w:sectPr>
      </w:pPr>
    </w:p>
    <w:p w14:paraId="6EC503B2" w14:textId="77777777" w:rsidR="006C63EB" w:rsidRPr="00543458" w:rsidRDefault="006C63EB" w:rsidP="00543458">
      <w:pPr>
        <w:pStyle w:val="Title"/>
        <w:jc w:val="both"/>
        <w:rPr>
          <w:rFonts w:ascii="Arial" w:hAnsi="Arial" w:cs="Arial"/>
          <w:lang w:val="en-GB"/>
        </w:rPr>
      </w:pPr>
    </w:p>
    <w:sdt>
      <w:sdtPr>
        <w:rPr>
          <w:rFonts w:ascii="Arial" w:eastAsia="Times New Roman" w:hAnsi="Arial" w:cs="Arial"/>
          <w:b w:val="0"/>
          <w:bCs w:val="0"/>
          <w:color w:val="auto"/>
          <w:sz w:val="24"/>
          <w:szCs w:val="24"/>
          <w:lang w:val="en" w:eastAsia="en-GB"/>
        </w:rPr>
        <w:id w:val="37785294"/>
        <w:docPartObj>
          <w:docPartGallery w:val="Table of Contents"/>
          <w:docPartUnique/>
        </w:docPartObj>
      </w:sdtPr>
      <w:sdtEndPr>
        <w:rPr>
          <w:noProof/>
        </w:rPr>
      </w:sdtEndPr>
      <w:sdtContent>
        <w:p w14:paraId="66E4E057" w14:textId="02FEB987" w:rsidR="00397A32" w:rsidRPr="00791137" w:rsidRDefault="00397A32" w:rsidP="00791137">
          <w:pPr>
            <w:pStyle w:val="TOCHeading"/>
            <w:spacing w:line="360" w:lineRule="auto"/>
            <w:jc w:val="center"/>
            <w:rPr>
              <w:rFonts w:ascii="Arial" w:hAnsi="Arial" w:cs="Arial"/>
              <w:color w:val="auto"/>
              <w:sz w:val="24"/>
              <w:szCs w:val="24"/>
            </w:rPr>
          </w:pPr>
          <w:r w:rsidRPr="00791137">
            <w:rPr>
              <w:rFonts w:ascii="Arial" w:hAnsi="Arial" w:cs="Arial"/>
              <w:color w:val="auto"/>
              <w:sz w:val="24"/>
              <w:szCs w:val="24"/>
            </w:rPr>
            <w:t>Table of Contents</w:t>
          </w:r>
        </w:p>
        <w:p w14:paraId="2C334773" w14:textId="661C46BB" w:rsidR="00791137" w:rsidRPr="00791137" w:rsidRDefault="00397A32" w:rsidP="00791137">
          <w:pPr>
            <w:pStyle w:val="TOC1"/>
            <w:tabs>
              <w:tab w:val="right" w:leader="dot" w:pos="9016"/>
            </w:tabs>
            <w:jc w:val="both"/>
            <w:rPr>
              <w:rFonts w:ascii="Arial" w:eastAsiaTheme="minorEastAsia" w:hAnsi="Arial" w:cs="Arial"/>
              <w:b w:val="0"/>
              <w:bCs w:val="0"/>
              <w:i w:val="0"/>
              <w:iCs w:val="0"/>
              <w:noProof/>
              <w:lang w:val="en-IN" w:eastAsia="en-IN"/>
            </w:rPr>
          </w:pPr>
          <w:r w:rsidRPr="00791137">
            <w:rPr>
              <w:rFonts w:ascii="Arial" w:hAnsi="Arial" w:cs="Arial"/>
              <w:b w:val="0"/>
              <w:bCs w:val="0"/>
              <w:i w:val="0"/>
              <w:iCs w:val="0"/>
            </w:rPr>
            <w:fldChar w:fldCharType="begin"/>
          </w:r>
          <w:r w:rsidRPr="00791137">
            <w:rPr>
              <w:rFonts w:ascii="Arial" w:hAnsi="Arial" w:cs="Arial"/>
              <w:b w:val="0"/>
              <w:bCs w:val="0"/>
              <w:i w:val="0"/>
              <w:iCs w:val="0"/>
            </w:rPr>
            <w:instrText xml:space="preserve"> TOC \o "1-3" \h \z \u </w:instrText>
          </w:r>
          <w:r w:rsidRPr="00791137">
            <w:rPr>
              <w:rFonts w:ascii="Arial" w:hAnsi="Arial" w:cs="Arial"/>
              <w:b w:val="0"/>
              <w:bCs w:val="0"/>
              <w:i w:val="0"/>
              <w:iCs w:val="0"/>
            </w:rPr>
            <w:fldChar w:fldCharType="separate"/>
          </w:r>
          <w:hyperlink w:anchor="_Toc213742658" w:history="1">
            <w:r w:rsidR="00791137" w:rsidRPr="00791137">
              <w:rPr>
                <w:rStyle w:val="Hyperlink"/>
                <w:rFonts w:ascii="Arial" w:hAnsi="Arial" w:cs="Arial"/>
                <w:b w:val="0"/>
                <w:bCs w:val="0"/>
                <w:i w:val="0"/>
                <w:iCs w:val="0"/>
                <w:noProof/>
                <w:color w:val="auto"/>
              </w:rPr>
              <w:t>Introduction</w:t>
            </w:r>
            <w:r w:rsidR="00791137" w:rsidRPr="00791137">
              <w:rPr>
                <w:rFonts w:ascii="Arial" w:hAnsi="Arial" w:cs="Arial"/>
                <w:b w:val="0"/>
                <w:bCs w:val="0"/>
                <w:i w:val="0"/>
                <w:iCs w:val="0"/>
                <w:noProof/>
                <w:webHidden/>
              </w:rPr>
              <w:tab/>
            </w:r>
            <w:r w:rsidR="00791137" w:rsidRPr="00791137">
              <w:rPr>
                <w:rFonts w:ascii="Arial" w:hAnsi="Arial" w:cs="Arial"/>
                <w:b w:val="0"/>
                <w:bCs w:val="0"/>
                <w:i w:val="0"/>
                <w:iCs w:val="0"/>
                <w:noProof/>
                <w:webHidden/>
              </w:rPr>
              <w:fldChar w:fldCharType="begin"/>
            </w:r>
            <w:r w:rsidR="00791137" w:rsidRPr="00791137">
              <w:rPr>
                <w:rFonts w:ascii="Arial" w:hAnsi="Arial" w:cs="Arial"/>
                <w:b w:val="0"/>
                <w:bCs w:val="0"/>
                <w:i w:val="0"/>
                <w:iCs w:val="0"/>
                <w:noProof/>
                <w:webHidden/>
              </w:rPr>
              <w:instrText xml:space="preserve"> PAGEREF _Toc213742658 \h </w:instrText>
            </w:r>
            <w:r w:rsidR="00791137" w:rsidRPr="00791137">
              <w:rPr>
                <w:rFonts w:ascii="Arial" w:hAnsi="Arial" w:cs="Arial"/>
                <w:b w:val="0"/>
                <w:bCs w:val="0"/>
                <w:i w:val="0"/>
                <w:iCs w:val="0"/>
                <w:noProof/>
                <w:webHidden/>
              </w:rPr>
            </w:r>
            <w:r w:rsidR="00791137" w:rsidRPr="00791137">
              <w:rPr>
                <w:rFonts w:ascii="Arial" w:hAnsi="Arial" w:cs="Arial"/>
                <w:b w:val="0"/>
                <w:bCs w:val="0"/>
                <w:i w:val="0"/>
                <w:iCs w:val="0"/>
                <w:noProof/>
                <w:webHidden/>
              </w:rPr>
              <w:fldChar w:fldCharType="separate"/>
            </w:r>
            <w:r w:rsidR="001E6385">
              <w:rPr>
                <w:rFonts w:ascii="Arial" w:hAnsi="Arial" w:cs="Arial"/>
                <w:b w:val="0"/>
                <w:bCs w:val="0"/>
                <w:i w:val="0"/>
                <w:iCs w:val="0"/>
                <w:noProof/>
                <w:webHidden/>
              </w:rPr>
              <w:t>4</w:t>
            </w:r>
            <w:r w:rsidR="00791137" w:rsidRPr="00791137">
              <w:rPr>
                <w:rFonts w:ascii="Arial" w:hAnsi="Arial" w:cs="Arial"/>
                <w:b w:val="0"/>
                <w:bCs w:val="0"/>
                <w:i w:val="0"/>
                <w:iCs w:val="0"/>
                <w:noProof/>
                <w:webHidden/>
              </w:rPr>
              <w:fldChar w:fldCharType="end"/>
            </w:r>
          </w:hyperlink>
        </w:p>
        <w:p w14:paraId="4648CF75" w14:textId="27856FB1" w:rsidR="00791137" w:rsidRPr="00791137" w:rsidRDefault="009F1BAD" w:rsidP="00791137">
          <w:pPr>
            <w:pStyle w:val="TOC1"/>
            <w:tabs>
              <w:tab w:val="right" w:leader="dot" w:pos="9016"/>
            </w:tabs>
            <w:jc w:val="both"/>
            <w:rPr>
              <w:rFonts w:ascii="Arial" w:eastAsiaTheme="minorEastAsia" w:hAnsi="Arial" w:cs="Arial"/>
              <w:b w:val="0"/>
              <w:bCs w:val="0"/>
              <w:i w:val="0"/>
              <w:iCs w:val="0"/>
              <w:noProof/>
              <w:lang w:val="en-IN" w:eastAsia="en-IN"/>
            </w:rPr>
          </w:pPr>
          <w:hyperlink w:anchor="_Toc213742659" w:history="1">
            <w:r w:rsidR="00791137" w:rsidRPr="00791137">
              <w:rPr>
                <w:rStyle w:val="Hyperlink"/>
                <w:rFonts w:ascii="Arial" w:hAnsi="Arial" w:cs="Arial"/>
                <w:b w:val="0"/>
                <w:bCs w:val="0"/>
                <w:i w:val="0"/>
                <w:iCs w:val="0"/>
                <w:noProof/>
                <w:color w:val="auto"/>
              </w:rPr>
              <w:t>1. Financial Health Check</w:t>
            </w:r>
            <w:r w:rsidR="00791137" w:rsidRPr="00791137">
              <w:rPr>
                <w:rFonts w:ascii="Arial" w:hAnsi="Arial" w:cs="Arial"/>
                <w:b w:val="0"/>
                <w:bCs w:val="0"/>
                <w:i w:val="0"/>
                <w:iCs w:val="0"/>
                <w:noProof/>
                <w:webHidden/>
              </w:rPr>
              <w:tab/>
            </w:r>
            <w:r w:rsidR="00791137" w:rsidRPr="00791137">
              <w:rPr>
                <w:rFonts w:ascii="Arial" w:hAnsi="Arial" w:cs="Arial"/>
                <w:b w:val="0"/>
                <w:bCs w:val="0"/>
                <w:i w:val="0"/>
                <w:iCs w:val="0"/>
                <w:noProof/>
                <w:webHidden/>
              </w:rPr>
              <w:fldChar w:fldCharType="begin"/>
            </w:r>
            <w:r w:rsidR="00791137" w:rsidRPr="00791137">
              <w:rPr>
                <w:rFonts w:ascii="Arial" w:hAnsi="Arial" w:cs="Arial"/>
                <w:b w:val="0"/>
                <w:bCs w:val="0"/>
                <w:i w:val="0"/>
                <w:iCs w:val="0"/>
                <w:noProof/>
                <w:webHidden/>
              </w:rPr>
              <w:instrText xml:space="preserve"> PAGEREF _Toc213742659 \h </w:instrText>
            </w:r>
            <w:r w:rsidR="00791137" w:rsidRPr="00791137">
              <w:rPr>
                <w:rFonts w:ascii="Arial" w:hAnsi="Arial" w:cs="Arial"/>
                <w:b w:val="0"/>
                <w:bCs w:val="0"/>
                <w:i w:val="0"/>
                <w:iCs w:val="0"/>
                <w:noProof/>
                <w:webHidden/>
              </w:rPr>
            </w:r>
            <w:r w:rsidR="00791137" w:rsidRPr="00791137">
              <w:rPr>
                <w:rFonts w:ascii="Arial" w:hAnsi="Arial" w:cs="Arial"/>
                <w:b w:val="0"/>
                <w:bCs w:val="0"/>
                <w:i w:val="0"/>
                <w:iCs w:val="0"/>
                <w:noProof/>
                <w:webHidden/>
              </w:rPr>
              <w:fldChar w:fldCharType="separate"/>
            </w:r>
            <w:r w:rsidR="001E6385">
              <w:rPr>
                <w:rFonts w:ascii="Arial" w:hAnsi="Arial" w:cs="Arial"/>
                <w:b w:val="0"/>
                <w:bCs w:val="0"/>
                <w:i w:val="0"/>
                <w:iCs w:val="0"/>
                <w:noProof/>
                <w:webHidden/>
              </w:rPr>
              <w:t>4</w:t>
            </w:r>
            <w:r w:rsidR="00791137" w:rsidRPr="00791137">
              <w:rPr>
                <w:rFonts w:ascii="Arial" w:hAnsi="Arial" w:cs="Arial"/>
                <w:b w:val="0"/>
                <w:bCs w:val="0"/>
                <w:i w:val="0"/>
                <w:iCs w:val="0"/>
                <w:noProof/>
                <w:webHidden/>
              </w:rPr>
              <w:fldChar w:fldCharType="end"/>
            </w:r>
          </w:hyperlink>
        </w:p>
        <w:p w14:paraId="724B9CAF" w14:textId="741BCD47" w:rsidR="00791137" w:rsidRPr="00791137" w:rsidRDefault="009F1BAD" w:rsidP="00791137">
          <w:pPr>
            <w:pStyle w:val="TOC2"/>
            <w:tabs>
              <w:tab w:val="right" w:leader="dot" w:pos="9016"/>
            </w:tabs>
            <w:jc w:val="both"/>
            <w:rPr>
              <w:rFonts w:ascii="Arial" w:eastAsiaTheme="minorEastAsia" w:hAnsi="Arial" w:cs="Arial"/>
              <w:b w:val="0"/>
              <w:bCs w:val="0"/>
              <w:noProof/>
              <w:sz w:val="24"/>
              <w:szCs w:val="24"/>
              <w:lang w:val="en-IN" w:eastAsia="en-IN"/>
            </w:rPr>
          </w:pPr>
          <w:hyperlink w:anchor="_Toc213742660" w:history="1">
            <w:r w:rsidR="00791137" w:rsidRPr="00791137">
              <w:rPr>
                <w:rStyle w:val="Hyperlink"/>
                <w:rFonts w:ascii="Arial" w:hAnsi="Arial" w:cs="Arial"/>
                <w:b w:val="0"/>
                <w:bCs w:val="0"/>
                <w:noProof/>
                <w:color w:val="auto"/>
                <w:sz w:val="24"/>
                <w:szCs w:val="24"/>
              </w:rPr>
              <w:t>1.1 Overview of Financial Performance</w:t>
            </w:r>
            <w:r w:rsidR="00791137" w:rsidRPr="00791137">
              <w:rPr>
                <w:rFonts w:ascii="Arial" w:hAnsi="Arial" w:cs="Arial"/>
                <w:b w:val="0"/>
                <w:bCs w:val="0"/>
                <w:noProof/>
                <w:webHidden/>
                <w:sz w:val="24"/>
                <w:szCs w:val="24"/>
              </w:rPr>
              <w:tab/>
            </w:r>
            <w:r w:rsidR="00791137" w:rsidRPr="00791137">
              <w:rPr>
                <w:rFonts w:ascii="Arial" w:hAnsi="Arial" w:cs="Arial"/>
                <w:b w:val="0"/>
                <w:bCs w:val="0"/>
                <w:noProof/>
                <w:webHidden/>
                <w:sz w:val="24"/>
                <w:szCs w:val="24"/>
              </w:rPr>
              <w:fldChar w:fldCharType="begin"/>
            </w:r>
            <w:r w:rsidR="00791137" w:rsidRPr="00791137">
              <w:rPr>
                <w:rFonts w:ascii="Arial" w:hAnsi="Arial" w:cs="Arial"/>
                <w:b w:val="0"/>
                <w:bCs w:val="0"/>
                <w:noProof/>
                <w:webHidden/>
                <w:sz w:val="24"/>
                <w:szCs w:val="24"/>
              </w:rPr>
              <w:instrText xml:space="preserve"> PAGEREF _Toc213742660 \h </w:instrText>
            </w:r>
            <w:r w:rsidR="00791137" w:rsidRPr="00791137">
              <w:rPr>
                <w:rFonts w:ascii="Arial" w:hAnsi="Arial" w:cs="Arial"/>
                <w:b w:val="0"/>
                <w:bCs w:val="0"/>
                <w:noProof/>
                <w:webHidden/>
                <w:sz w:val="24"/>
                <w:szCs w:val="24"/>
              </w:rPr>
            </w:r>
            <w:r w:rsidR="00791137" w:rsidRPr="00791137">
              <w:rPr>
                <w:rFonts w:ascii="Arial" w:hAnsi="Arial" w:cs="Arial"/>
                <w:b w:val="0"/>
                <w:bCs w:val="0"/>
                <w:noProof/>
                <w:webHidden/>
                <w:sz w:val="24"/>
                <w:szCs w:val="24"/>
              </w:rPr>
              <w:fldChar w:fldCharType="separate"/>
            </w:r>
            <w:r w:rsidR="001E6385">
              <w:rPr>
                <w:rFonts w:ascii="Arial" w:hAnsi="Arial" w:cs="Arial"/>
                <w:b w:val="0"/>
                <w:bCs w:val="0"/>
                <w:noProof/>
                <w:webHidden/>
                <w:sz w:val="24"/>
                <w:szCs w:val="24"/>
              </w:rPr>
              <w:t>4</w:t>
            </w:r>
            <w:r w:rsidR="00791137" w:rsidRPr="00791137">
              <w:rPr>
                <w:rFonts w:ascii="Arial" w:hAnsi="Arial" w:cs="Arial"/>
                <w:b w:val="0"/>
                <w:bCs w:val="0"/>
                <w:noProof/>
                <w:webHidden/>
                <w:sz w:val="24"/>
                <w:szCs w:val="24"/>
              </w:rPr>
              <w:fldChar w:fldCharType="end"/>
            </w:r>
          </w:hyperlink>
        </w:p>
        <w:p w14:paraId="59C6D5F7" w14:textId="2E559158" w:rsidR="00791137" w:rsidRPr="00791137" w:rsidRDefault="009F1BAD" w:rsidP="00791137">
          <w:pPr>
            <w:pStyle w:val="TOC2"/>
            <w:tabs>
              <w:tab w:val="right" w:leader="dot" w:pos="9016"/>
            </w:tabs>
            <w:jc w:val="both"/>
            <w:rPr>
              <w:rFonts w:ascii="Arial" w:eastAsiaTheme="minorEastAsia" w:hAnsi="Arial" w:cs="Arial"/>
              <w:b w:val="0"/>
              <w:bCs w:val="0"/>
              <w:noProof/>
              <w:sz w:val="24"/>
              <w:szCs w:val="24"/>
              <w:lang w:val="en-IN" w:eastAsia="en-IN"/>
            </w:rPr>
          </w:pPr>
          <w:hyperlink w:anchor="_Toc213742661" w:history="1">
            <w:r w:rsidR="00791137" w:rsidRPr="00791137">
              <w:rPr>
                <w:rStyle w:val="Hyperlink"/>
                <w:rFonts w:ascii="Arial" w:hAnsi="Arial" w:cs="Arial"/>
                <w:b w:val="0"/>
                <w:bCs w:val="0"/>
                <w:noProof/>
                <w:color w:val="auto"/>
                <w:sz w:val="24"/>
                <w:szCs w:val="24"/>
              </w:rPr>
              <w:t>1.2 Ratio Analysis</w:t>
            </w:r>
            <w:r w:rsidR="00791137" w:rsidRPr="00791137">
              <w:rPr>
                <w:rFonts w:ascii="Arial" w:hAnsi="Arial" w:cs="Arial"/>
                <w:b w:val="0"/>
                <w:bCs w:val="0"/>
                <w:noProof/>
                <w:webHidden/>
                <w:sz w:val="24"/>
                <w:szCs w:val="24"/>
              </w:rPr>
              <w:tab/>
            </w:r>
            <w:r w:rsidR="00791137" w:rsidRPr="00791137">
              <w:rPr>
                <w:rFonts w:ascii="Arial" w:hAnsi="Arial" w:cs="Arial"/>
                <w:b w:val="0"/>
                <w:bCs w:val="0"/>
                <w:noProof/>
                <w:webHidden/>
                <w:sz w:val="24"/>
                <w:szCs w:val="24"/>
              </w:rPr>
              <w:fldChar w:fldCharType="begin"/>
            </w:r>
            <w:r w:rsidR="00791137" w:rsidRPr="00791137">
              <w:rPr>
                <w:rFonts w:ascii="Arial" w:hAnsi="Arial" w:cs="Arial"/>
                <w:b w:val="0"/>
                <w:bCs w:val="0"/>
                <w:noProof/>
                <w:webHidden/>
                <w:sz w:val="24"/>
                <w:szCs w:val="24"/>
              </w:rPr>
              <w:instrText xml:space="preserve"> PAGEREF _Toc213742661 \h </w:instrText>
            </w:r>
            <w:r w:rsidR="00791137" w:rsidRPr="00791137">
              <w:rPr>
                <w:rFonts w:ascii="Arial" w:hAnsi="Arial" w:cs="Arial"/>
                <w:b w:val="0"/>
                <w:bCs w:val="0"/>
                <w:noProof/>
                <w:webHidden/>
                <w:sz w:val="24"/>
                <w:szCs w:val="24"/>
              </w:rPr>
            </w:r>
            <w:r w:rsidR="00791137" w:rsidRPr="00791137">
              <w:rPr>
                <w:rFonts w:ascii="Arial" w:hAnsi="Arial" w:cs="Arial"/>
                <w:b w:val="0"/>
                <w:bCs w:val="0"/>
                <w:noProof/>
                <w:webHidden/>
                <w:sz w:val="24"/>
                <w:szCs w:val="24"/>
              </w:rPr>
              <w:fldChar w:fldCharType="separate"/>
            </w:r>
            <w:r w:rsidR="001E6385">
              <w:rPr>
                <w:rFonts w:ascii="Arial" w:hAnsi="Arial" w:cs="Arial"/>
                <w:b w:val="0"/>
                <w:bCs w:val="0"/>
                <w:noProof/>
                <w:webHidden/>
                <w:sz w:val="24"/>
                <w:szCs w:val="24"/>
              </w:rPr>
              <w:t>5</w:t>
            </w:r>
            <w:r w:rsidR="00791137" w:rsidRPr="00791137">
              <w:rPr>
                <w:rFonts w:ascii="Arial" w:hAnsi="Arial" w:cs="Arial"/>
                <w:b w:val="0"/>
                <w:bCs w:val="0"/>
                <w:noProof/>
                <w:webHidden/>
                <w:sz w:val="24"/>
                <w:szCs w:val="24"/>
              </w:rPr>
              <w:fldChar w:fldCharType="end"/>
            </w:r>
          </w:hyperlink>
        </w:p>
        <w:p w14:paraId="3C0B5041" w14:textId="6CC4783B" w:rsidR="00791137" w:rsidRPr="00791137" w:rsidRDefault="009F1BAD" w:rsidP="00791137">
          <w:pPr>
            <w:pStyle w:val="TOC2"/>
            <w:tabs>
              <w:tab w:val="right" w:leader="dot" w:pos="9016"/>
            </w:tabs>
            <w:jc w:val="both"/>
            <w:rPr>
              <w:rFonts w:ascii="Arial" w:eastAsiaTheme="minorEastAsia" w:hAnsi="Arial" w:cs="Arial"/>
              <w:b w:val="0"/>
              <w:bCs w:val="0"/>
              <w:noProof/>
              <w:sz w:val="24"/>
              <w:szCs w:val="24"/>
              <w:lang w:val="en-IN" w:eastAsia="en-IN"/>
            </w:rPr>
          </w:pPr>
          <w:hyperlink w:anchor="_Toc213742662" w:history="1">
            <w:r w:rsidR="00791137" w:rsidRPr="00791137">
              <w:rPr>
                <w:rStyle w:val="Hyperlink"/>
                <w:rFonts w:ascii="Arial" w:hAnsi="Arial" w:cs="Arial"/>
                <w:b w:val="0"/>
                <w:bCs w:val="0"/>
                <w:noProof/>
                <w:color w:val="auto"/>
                <w:sz w:val="24"/>
                <w:szCs w:val="24"/>
              </w:rPr>
              <w:t>1.3 Trend Analysis</w:t>
            </w:r>
            <w:r w:rsidR="00791137" w:rsidRPr="00791137">
              <w:rPr>
                <w:rFonts w:ascii="Arial" w:hAnsi="Arial" w:cs="Arial"/>
                <w:b w:val="0"/>
                <w:bCs w:val="0"/>
                <w:noProof/>
                <w:webHidden/>
                <w:sz w:val="24"/>
                <w:szCs w:val="24"/>
              </w:rPr>
              <w:tab/>
            </w:r>
            <w:r w:rsidR="00791137" w:rsidRPr="00791137">
              <w:rPr>
                <w:rFonts w:ascii="Arial" w:hAnsi="Arial" w:cs="Arial"/>
                <w:b w:val="0"/>
                <w:bCs w:val="0"/>
                <w:noProof/>
                <w:webHidden/>
                <w:sz w:val="24"/>
                <w:szCs w:val="24"/>
              </w:rPr>
              <w:fldChar w:fldCharType="begin"/>
            </w:r>
            <w:r w:rsidR="00791137" w:rsidRPr="00791137">
              <w:rPr>
                <w:rFonts w:ascii="Arial" w:hAnsi="Arial" w:cs="Arial"/>
                <w:b w:val="0"/>
                <w:bCs w:val="0"/>
                <w:noProof/>
                <w:webHidden/>
                <w:sz w:val="24"/>
                <w:szCs w:val="24"/>
              </w:rPr>
              <w:instrText xml:space="preserve"> PAGEREF _Toc213742662 \h </w:instrText>
            </w:r>
            <w:r w:rsidR="00791137" w:rsidRPr="00791137">
              <w:rPr>
                <w:rFonts w:ascii="Arial" w:hAnsi="Arial" w:cs="Arial"/>
                <w:b w:val="0"/>
                <w:bCs w:val="0"/>
                <w:noProof/>
                <w:webHidden/>
                <w:sz w:val="24"/>
                <w:szCs w:val="24"/>
              </w:rPr>
            </w:r>
            <w:r w:rsidR="00791137" w:rsidRPr="00791137">
              <w:rPr>
                <w:rFonts w:ascii="Arial" w:hAnsi="Arial" w:cs="Arial"/>
                <w:b w:val="0"/>
                <w:bCs w:val="0"/>
                <w:noProof/>
                <w:webHidden/>
                <w:sz w:val="24"/>
                <w:szCs w:val="24"/>
              </w:rPr>
              <w:fldChar w:fldCharType="separate"/>
            </w:r>
            <w:r w:rsidR="001E6385">
              <w:rPr>
                <w:rFonts w:ascii="Arial" w:hAnsi="Arial" w:cs="Arial"/>
                <w:b w:val="0"/>
                <w:bCs w:val="0"/>
                <w:noProof/>
                <w:webHidden/>
                <w:sz w:val="24"/>
                <w:szCs w:val="24"/>
              </w:rPr>
              <w:t>9</w:t>
            </w:r>
            <w:r w:rsidR="00791137" w:rsidRPr="00791137">
              <w:rPr>
                <w:rFonts w:ascii="Arial" w:hAnsi="Arial" w:cs="Arial"/>
                <w:b w:val="0"/>
                <w:bCs w:val="0"/>
                <w:noProof/>
                <w:webHidden/>
                <w:sz w:val="24"/>
                <w:szCs w:val="24"/>
              </w:rPr>
              <w:fldChar w:fldCharType="end"/>
            </w:r>
          </w:hyperlink>
        </w:p>
        <w:p w14:paraId="19129A31" w14:textId="3A54A673" w:rsidR="00791137" w:rsidRPr="00791137" w:rsidRDefault="009F1BAD" w:rsidP="00791137">
          <w:pPr>
            <w:pStyle w:val="TOC2"/>
            <w:tabs>
              <w:tab w:val="right" w:leader="dot" w:pos="9016"/>
            </w:tabs>
            <w:jc w:val="both"/>
            <w:rPr>
              <w:rFonts w:ascii="Arial" w:eastAsiaTheme="minorEastAsia" w:hAnsi="Arial" w:cs="Arial"/>
              <w:b w:val="0"/>
              <w:bCs w:val="0"/>
              <w:noProof/>
              <w:sz w:val="24"/>
              <w:szCs w:val="24"/>
              <w:lang w:val="en-IN" w:eastAsia="en-IN"/>
            </w:rPr>
          </w:pPr>
          <w:hyperlink w:anchor="_Toc213742663" w:history="1">
            <w:r w:rsidR="00791137" w:rsidRPr="00791137">
              <w:rPr>
                <w:rStyle w:val="Hyperlink"/>
                <w:rFonts w:ascii="Arial" w:hAnsi="Arial" w:cs="Arial"/>
                <w:b w:val="0"/>
                <w:bCs w:val="0"/>
                <w:noProof/>
                <w:color w:val="auto"/>
                <w:sz w:val="24"/>
                <w:szCs w:val="24"/>
              </w:rPr>
              <w:t>1.4 Corporate Failure Prediction</w:t>
            </w:r>
            <w:r w:rsidR="00791137" w:rsidRPr="00791137">
              <w:rPr>
                <w:rFonts w:ascii="Arial" w:hAnsi="Arial" w:cs="Arial"/>
                <w:b w:val="0"/>
                <w:bCs w:val="0"/>
                <w:noProof/>
                <w:webHidden/>
                <w:sz w:val="24"/>
                <w:szCs w:val="24"/>
              </w:rPr>
              <w:tab/>
            </w:r>
            <w:r w:rsidR="00791137" w:rsidRPr="00791137">
              <w:rPr>
                <w:rFonts w:ascii="Arial" w:hAnsi="Arial" w:cs="Arial"/>
                <w:b w:val="0"/>
                <w:bCs w:val="0"/>
                <w:noProof/>
                <w:webHidden/>
                <w:sz w:val="24"/>
                <w:szCs w:val="24"/>
              </w:rPr>
              <w:fldChar w:fldCharType="begin"/>
            </w:r>
            <w:r w:rsidR="00791137" w:rsidRPr="00791137">
              <w:rPr>
                <w:rFonts w:ascii="Arial" w:hAnsi="Arial" w:cs="Arial"/>
                <w:b w:val="0"/>
                <w:bCs w:val="0"/>
                <w:noProof/>
                <w:webHidden/>
                <w:sz w:val="24"/>
                <w:szCs w:val="24"/>
              </w:rPr>
              <w:instrText xml:space="preserve"> PAGEREF _Toc213742663 \h </w:instrText>
            </w:r>
            <w:r w:rsidR="00791137" w:rsidRPr="00791137">
              <w:rPr>
                <w:rFonts w:ascii="Arial" w:hAnsi="Arial" w:cs="Arial"/>
                <w:b w:val="0"/>
                <w:bCs w:val="0"/>
                <w:noProof/>
                <w:webHidden/>
                <w:sz w:val="24"/>
                <w:szCs w:val="24"/>
              </w:rPr>
            </w:r>
            <w:r w:rsidR="00791137" w:rsidRPr="00791137">
              <w:rPr>
                <w:rFonts w:ascii="Arial" w:hAnsi="Arial" w:cs="Arial"/>
                <w:b w:val="0"/>
                <w:bCs w:val="0"/>
                <w:noProof/>
                <w:webHidden/>
                <w:sz w:val="24"/>
                <w:szCs w:val="24"/>
              </w:rPr>
              <w:fldChar w:fldCharType="separate"/>
            </w:r>
            <w:r w:rsidR="001E6385">
              <w:rPr>
                <w:rFonts w:ascii="Arial" w:hAnsi="Arial" w:cs="Arial"/>
                <w:b w:val="0"/>
                <w:bCs w:val="0"/>
                <w:noProof/>
                <w:webHidden/>
                <w:sz w:val="24"/>
                <w:szCs w:val="24"/>
              </w:rPr>
              <w:t>9</w:t>
            </w:r>
            <w:r w:rsidR="00791137" w:rsidRPr="00791137">
              <w:rPr>
                <w:rFonts w:ascii="Arial" w:hAnsi="Arial" w:cs="Arial"/>
                <w:b w:val="0"/>
                <w:bCs w:val="0"/>
                <w:noProof/>
                <w:webHidden/>
                <w:sz w:val="24"/>
                <w:szCs w:val="24"/>
              </w:rPr>
              <w:fldChar w:fldCharType="end"/>
            </w:r>
          </w:hyperlink>
        </w:p>
        <w:p w14:paraId="79B215B3" w14:textId="6EA62D34" w:rsidR="00791137" w:rsidRPr="00791137" w:rsidRDefault="009F1BAD" w:rsidP="00791137">
          <w:pPr>
            <w:pStyle w:val="TOC2"/>
            <w:tabs>
              <w:tab w:val="right" w:leader="dot" w:pos="9016"/>
            </w:tabs>
            <w:jc w:val="both"/>
            <w:rPr>
              <w:rFonts w:ascii="Arial" w:eastAsiaTheme="minorEastAsia" w:hAnsi="Arial" w:cs="Arial"/>
              <w:b w:val="0"/>
              <w:bCs w:val="0"/>
              <w:noProof/>
              <w:sz w:val="24"/>
              <w:szCs w:val="24"/>
              <w:lang w:val="en-IN" w:eastAsia="en-IN"/>
            </w:rPr>
          </w:pPr>
          <w:hyperlink w:anchor="_Toc213742664" w:history="1">
            <w:r w:rsidR="00791137" w:rsidRPr="00791137">
              <w:rPr>
                <w:rStyle w:val="Hyperlink"/>
                <w:rFonts w:ascii="Arial" w:hAnsi="Arial" w:cs="Arial"/>
                <w:b w:val="0"/>
                <w:bCs w:val="0"/>
                <w:noProof/>
                <w:color w:val="auto"/>
                <w:sz w:val="24"/>
                <w:szCs w:val="24"/>
              </w:rPr>
              <w:t>1.5 Summary of Findings</w:t>
            </w:r>
            <w:r w:rsidR="00791137" w:rsidRPr="00791137">
              <w:rPr>
                <w:rFonts w:ascii="Arial" w:hAnsi="Arial" w:cs="Arial"/>
                <w:b w:val="0"/>
                <w:bCs w:val="0"/>
                <w:noProof/>
                <w:webHidden/>
                <w:sz w:val="24"/>
                <w:szCs w:val="24"/>
              </w:rPr>
              <w:tab/>
            </w:r>
            <w:r w:rsidR="00791137" w:rsidRPr="00791137">
              <w:rPr>
                <w:rFonts w:ascii="Arial" w:hAnsi="Arial" w:cs="Arial"/>
                <w:b w:val="0"/>
                <w:bCs w:val="0"/>
                <w:noProof/>
                <w:webHidden/>
                <w:sz w:val="24"/>
                <w:szCs w:val="24"/>
              </w:rPr>
              <w:fldChar w:fldCharType="begin"/>
            </w:r>
            <w:r w:rsidR="00791137" w:rsidRPr="00791137">
              <w:rPr>
                <w:rFonts w:ascii="Arial" w:hAnsi="Arial" w:cs="Arial"/>
                <w:b w:val="0"/>
                <w:bCs w:val="0"/>
                <w:noProof/>
                <w:webHidden/>
                <w:sz w:val="24"/>
                <w:szCs w:val="24"/>
              </w:rPr>
              <w:instrText xml:space="preserve"> PAGEREF _Toc213742664 \h </w:instrText>
            </w:r>
            <w:r w:rsidR="00791137" w:rsidRPr="00791137">
              <w:rPr>
                <w:rFonts w:ascii="Arial" w:hAnsi="Arial" w:cs="Arial"/>
                <w:b w:val="0"/>
                <w:bCs w:val="0"/>
                <w:noProof/>
                <w:webHidden/>
                <w:sz w:val="24"/>
                <w:szCs w:val="24"/>
              </w:rPr>
            </w:r>
            <w:r w:rsidR="00791137" w:rsidRPr="00791137">
              <w:rPr>
                <w:rFonts w:ascii="Arial" w:hAnsi="Arial" w:cs="Arial"/>
                <w:b w:val="0"/>
                <w:bCs w:val="0"/>
                <w:noProof/>
                <w:webHidden/>
                <w:sz w:val="24"/>
                <w:szCs w:val="24"/>
              </w:rPr>
              <w:fldChar w:fldCharType="separate"/>
            </w:r>
            <w:r w:rsidR="001E6385">
              <w:rPr>
                <w:rFonts w:ascii="Arial" w:hAnsi="Arial" w:cs="Arial"/>
                <w:b w:val="0"/>
                <w:bCs w:val="0"/>
                <w:noProof/>
                <w:webHidden/>
                <w:sz w:val="24"/>
                <w:szCs w:val="24"/>
              </w:rPr>
              <w:t>11</w:t>
            </w:r>
            <w:r w:rsidR="00791137" w:rsidRPr="00791137">
              <w:rPr>
                <w:rFonts w:ascii="Arial" w:hAnsi="Arial" w:cs="Arial"/>
                <w:b w:val="0"/>
                <w:bCs w:val="0"/>
                <w:noProof/>
                <w:webHidden/>
                <w:sz w:val="24"/>
                <w:szCs w:val="24"/>
              </w:rPr>
              <w:fldChar w:fldCharType="end"/>
            </w:r>
          </w:hyperlink>
        </w:p>
        <w:p w14:paraId="3FF7744E" w14:textId="5EE6D116" w:rsidR="00791137" w:rsidRPr="00791137" w:rsidRDefault="009F1BAD" w:rsidP="00791137">
          <w:pPr>
            <w:pStyle w:val="TOC1"/>
            <w:tabs>
              <w:tab w:val="right" w:leader="dot" w:pos="9016"/>
            </w:tabs>
            <w:jc w:val="both"/>
            <w:rPr>
              <w:rFonts w:ascii="Arial" w:eastAsiaTheme="minorEastAsia" w:hAnsi="Arial" w:cs="Arial"/>
              <w:b w:val="0"/>
              <w:bCs w:val="0"/>
              <w:i w:val="0"/>
              <w:iCs w:val="0"/>
              <w:noProof/>
              <w:lang w:val="en-IN" w:eastAsia="en-IN"/>
            </w:rPr>
          </w:pPr>
          <w:hyperlink w:anchor="_Toc213742665" w:history="1">
            <w:r w:rsidR="00791137" w:rsidRPr="00791137">
              <w:rPr>
                <w:rStyle w:val="Hyperlink"/>
                <w:rFonts w:ascii="Arial" w:hAnsi="Arial" w:cs="Arial"/>
                <w:b w:val="0"/>
                <w:bCs w:val="0"/>
                <w:i w:val="0"/>
                <w:iCs w:val="0"/>
                <w:noProof/>
                <w:color w:val="auto"/>
              </w:rPr>
              <w:t>2. Working Capital Management Analysis</w:t>
            </w:r>
            <w:r w:rsidR="00791137" w:rsidRPr="00791137">
              <w:rPr>
                <w:rFonts w:ascii="Arial" w:hAnsi="Arial" w:cs="Arial"/>
                <w:b w:val="0"/>
                <w:bCs w:val="0"/>
                <w:i w:val="0"/>
                <w:iCs w:val="0"/>
                <w:noProof/>
                <w:webHidden/>
              </w:rPr>
              <w:tab/>
            </w:r>
            <w:r w:rsidR="00791137" w:rsidRPr="00791137">
              <w:rPr>
                <w:rFonts w:ascii="Arial" w:hAnsi="Arial" w:cs="Arial"/>
                <w:b w:val="0"/>
                <w:bCs w:val="0"/>
                <w:i w:val="0"/>
                <w:iCs w:val="0"/>
                <w:noProof/>
                <w:webHidden/>
              </w:rPr>
              <w:fldChar w:fldCharType="begin"/>
            </w:r>
            <w:r w:rsidR="00791137" w:rsidRPr="00791137">
              <w:rPr>
                <w:rFonts w:ascii="Arial" w:hAnsi="Arial" w:cs="Arial"/>
                <w:b w:val="0"/>
                <w:bCs w:val="0"/>
                <w:i w:val="0"/>
                <w:iCs w:val="0"/>
                <w:noProof/>
                <w:webHidden/>
              </w:rPr>
              <w:instrText xml:space="preserve"> PAGEREF _Toc213742665 \h </w:instrText>
            </w:r>
            <w:r w:rsidR="00791137" w:rsidRPr="00791137">
              <w:rPr>
                <w:rFonts w:ascii="Arial" w:hAnsi="Arial" w:cs="Arial"/>
                <w:b w:val="0"/>
                <w:bCs w:val="0"/>
                <w:i w:val="0"/>
                <w:iCs w:val="0"/>
                <w:noProof/>
                <w:webHidden/>
              </w:rPr>
            </w:r>
            <w:r w:rsidR="00791137" w:rsidRPr="00791137">
              <w:rPr>
                <w:rFonts w:ascii="Arial" w:hAnsi="Arial" w:cs="Arial"/>
                <w:b w:val="0"/>
                <w:bCs w:val="0"/>
                <w:i w:val="0"/>
                <w:iCs w:val="0"/>
                <w:noProof/>
                <w:webHidden/>
              </w:rPr>
              <w:fldChar w:fldCharType="separate"/>
            </w:r>
            <w:r w:rsidR="001E6385">
              <w:rPr>
                <w:rFonts w:ascii="Arial" w:hAnsi="Arial" w:cs="Arial"/>
                <w:b w:val="0"/>
                <w:bCs w:val="0"/>
                <w:i w:val="0"/>
                <w:iCs w:val="0"/>
                <w:noProof/>
                <w:webHidden/>
              </w:rPr>
              <w:t>11</w:t>
            </w:r>
            <w:r w:rsidR="00791137" w:rsidRPr="00791137">
              <w:rPr>
                <w:rFonts w:ascii="Arial" w:hAnsi="Arial" w:cs="Arial"/>
                <w:b w:val="0"/>
                <w:bCs w:val="0"/>
                <w:i w:val="0"/>
                <w:iCs w:val="0"/>
                <w:noProof/>
                <w:webHidden/>
              </w:rPr>
              <w:fldChar w:fldCharType="end"/>
            </w:r>
          </w:hyperlink>
        </w:p>
        <w:p w14:paraId="1335ACFB" w14:textId="62EEC41E" w:rsidR="00791137" w:rsidRPr="00791137" w:rsidRDefault="009F1BAD" w:rsidP="00791137">
          <w:pPr>
            <w:pStyle w:val="TOC2"/>
            <w:tabs>
              <w:tab w:val="right" w:leader="dot" w:pos="9016"/>
            </w:tabs>
            <w:jc w:val="both"/>
            <w:rPr>
              <w:rFonts w:ascii="Arial" w:eastAsiaTheme="minorEastAsia" w:hAnsi="Arial" w:cs="Arial"/>
              <w:b w:val="0"/>
              <w:bCs w:val="0"/>
              <w:noProof/>
              <w:sz w:val="24"/>
              <w:szCs w:val="24"/>
              <w:lang w:val="en-IN" w:eastAsia="en-IN"/>
            </w:rPr>
          </w:pPr>
          <w:hyperlink w:anchor="_Toc213742666" w:history="1">
            <w:r w:rsidR="00791137" w:rsidRPr="00791137">
              <w:rPr>
                <w:rStyle w:val="Hyperlink"/>
                <w:rFonts w:ascii="Arial" w:hAnsi="Arial" w:cs="Arial"/>
                <w:b w:val="0"/>
                <w:bCs w:val="0"/>
                <w:noProof/>
                <w:color w:val="auto"/>
                <w:sz w:val="24"/>
                <w:szCs w:val="24"/>
              </w:rPr>
              <w:t>2.1 Cash Operating Cycle</w:t>
            </w:r>
            <w:r w:rsidR="00791137" w:rsidRPr="00791137">
              <w:rPr>
                <w:rFonts w:ascii="Arial" w:hAnsi="Arial" w:cs="Arial"/>
                <w:b w:val="0"/>
                <w:bCs w:val="0"/>
                <w:noProof/>
                <w:webHidden/>
                <w:sz w:val="24"/>
                <w:szCs w:val="24"/>
              </w:rPr>
              <w:tab/>
            </w:r>
            <w:r w:rsidR="00791137" w:rsidRPr="00791137">
              <w:rPr>
                <w:rFonts w:ascii="Arial" w:hAnsi="Arial" w:cs="Arial"/>
                <w:b w:val="0"/>
                <w:bCs w:val="0"/>
                <w:noProof/>
                <w:webHidden/>
                <w:sz w:val="24"/>
                <w:szCs w:val="24"/>
              </w:rPr>
              <w:fldChar w:fldCharType="begin"/>
            </w:r>
            <w:r w:rsidR="00791137" w:rsidRPr="00791137">
              <w:rPr>
                <w:rFonts w:ascii="Arial" w:hAnsi="Arial" w:cs="Arial"/>
                <w:b w:val="0"/>
                <w:bCs w:val="0"/>
                <w:noProof/>
                <w:webHidden/>
                <w:sz w:val="24"/>
                <w:szCs w:val="24"/>
              </w:rPr>
              <w:instrText xml:space="preserve"> PAGEREF _Toc213742666 \h </w:instrText>
            </w:r>
            <w:r w:rsidR="00791137" w:rsidRPr="00791137">
              <w:rPr>
                <w:rFonts w:ascii="Arial" w:hAnsi="Arial" w:cs="Arial"/>
                <w:b w:val="0"/>
                <w:bCs w:val="0"/>
                <w:noProof/>
                <w:webHidden/>
                <w:sz w:val="24"/>
                <w:szCs w:val="24"/>
              </w:rPr>
            </w:r>
            <w:r w:rsidR="00791137" w:rsidRPr="00791137">
              <w:rPr>
                <w:rFonts w:ascii="Arial" w:hAnsi="Arial" w:cs="Arial"/>
                <w:b w:val="0"/>
                <w:bCs w:val="0"/>
                <w:noProof/>
                <w:webHidden/>
                <w:sz w:val="24"/>
                <w:szCs w:val="24"/>
              </w:rPr>
              <w:fldChar w:fldCharType="separate"/>
            </w:r>
            <w:r w:rsidR="001E6385">
              <w:rPr>
                <w:rFonts w:ascii="Arial" w:hAnsi="Arial" w:cs="Arial"/>
                <w:b w:val="0"/>
                <w:bCs w:val="0"/>
                <w:noProof/>
                <w:webHidden/>
                <w:sz w:val="24"/>
                <w:szCs w:val="24"/>
              </w:rPr>
              <w:t>11</w:t>
            </w:r>
            <w:r w:rsidR="00791137" w:rsidRPr="00791137">
              <w:rPr>
                <w:rFonts w:ascii="Arial" w:hAnsi="Arial" w:cs="Arial"/>
                <w:b w:val="0"/>
                <w:bCs w:val="0"/>
                <w:noProof/>
                <w:webHidden/>
                <w:sz w:val="24"/>
                <w:szCs w:val="24"/>
              </w:rPr>
              <w:fldChar w:fldCharType="end"/>
            </w:r>
          </w:hyperlink>
        </w:p>
        <w:p w14:paraId="0D39C818" w14:textId="6E95F826" w:rsidR="00791137" w:rsidRPr="00791137" w:rsidRDefault="009F1BAD" w:rsidP="00791137">
          <w:pPr>
            <w:pStyle w:val="TOC2"/>
            <w:tabs>
              <w:tab w:val="right" w:leader="dot" w:pos="9016"/>
            </w:tabs>
            <w:jc w:val="both"/>
            <w:rPr>
              <w:rFonts w:ascii="Arial" w:eastAsiaTheme="minorEastAsia" w:hAnsi="Arial" w:cs="Arial"/>
              <w:b w:val="0"/>
              <w:bCs w:val="0"/>
              <w:noProof/>
              <w:sz w:val="24"/>
              <w:szCs w:val="24"/>
              <w:lang w:val="en-IN" w:eastAsia="en-IN"/>
            </w:rPr>
          </w:pPr>
          <w:hyperlink w:anchor="_Toc213742667" w:history="1">
            <w:r w:rsidR="00791137" w:rsidRPr="00791137">
              <w:rPr>
                <w:rStyle w:val="Hyperlink"/>
                <w:rFonts w:ascii="Arial" w:hAnsi="Arial" w:cs="Arial"/>
                <w:b w:val="0"/>
                <w:bCs w:val="0"/>
                <w:noProof/>
                <w:color w:val="auto"/>
                <w:sz w:val="24"/>
                <w:szCs w:val="24"/>
              </w:rPr>
              <w:t>2.2 Liquidity Improvement Strategies</w:t>
            </w:r>
            <w:r w:rsidR="00791137" w:rsidRPr="00791137">
              <w:rPr>
                <w:rFonts w:ascii="Arial" w:hAnsi="Arial" w:cs="Arial"/>
                <w:b w:val="0"/>
                <w:bCs w:val="0"/>
                <w:noProof/>
                <w:webHidden/>
                <w:sz w:val="24"/>
                <w:szCs w:val="24"/>
              </w:rPr>
              <w:tab/>
            </w:r>
            <w:r w:rsidR="00791137" w:rsidRPr="00791137">
              <w:rPr>
                <w:rFonts w:ascii="Arial" w:hAnsi="Arial" w:cs="Arial"/>
                <w:b w:val="0"/>
                <w:bCs w:val="0"/>
                <w:noProof/>
                <w:webHidden/>
                <w:sz w:val="24"/>
                <w:szCs w:val="24"/>
              </w:rPr>
              <w:fldChar w:fldCharType="begin"/>
            </w:r>
            <w:r w:rsidR="00791137" w:rsidRPr="00791137">
              <w:rPr>
                <w:rFonts w:ascii="Arial" w:hAnsi="Arial" w:cs="Arial"/>
                <w:b w:val="0"/>
                <w:bCs w:val="0"/>
                <w:noProof/>
                <w:webHidden/>
                <w:sz w:val="24"/>
                <w:szCs w:val="24"/>
              </w:rPr>
              <w:instrText xml:space="preserve"> PAGEREF _Toc213742667 \h </w:instrText>
            </w:r>
            <w:r w:rsidR="00791137" w:rsidRPr="00791137">
              <w:rPr>
                <w:rFonts w:ascii="Arial" w:hAnsi="Arial" w:cs="Arial"/>
                <w:b w:val="0"/>
                <w:bCs w:val="0"/>
                <w:noProof/>
                <w:webHidden/>
                <w:sz w:val="24"/>
                <w:szCs w:val="24"/>
              </w:rPr>
            </w:r>
            <w:r w:rsidR="00791137" w:rsidRPr="00791137">
              <w:rPr>
                <w:rFonts w:ascii="Arial" w:hAnsi="Arial" w:cs="Arial"/>
                <w:b w:val="0"/>
                <w:bCs w:val="0"/>
                <w:noProof/>
                <w:webHidden/>
                <w:sz w:val="24"/>
                <w:szCs w:val="24"/>
              </w:rPr>
              <w:fldChar w:fldCharType="separate"/>
            </w:r>
            <w:r w:rsidR="001E6385">
              <w:rPr>
                <w:rFonts w:ascii="Arial" w:hAnsi="Arial" w:cs="Arial"/>
                <w:b w:val="0"/>
                <w:bCs w:val="0"/>
                <w:noProof/>
                <w:webHidden/>
                <w:sz w:val="24"/>
                <w:szCs w:val="24"/>
              </w:rPr>
              <w:t>12</w:t>
            </w:r>
            <w:r w:rsidR="00791137" w:rsidRPr="00791137">
              <w:rPr>
                <w:rFonts w:ascii="Arial" w:hAnsi="Arial" w:cs="Arial"/>
                <w:b w:val="0"/>
                <w:bCs w:val="0"/>
                <w:noProof/>
                <w:webHidden/>
                <w:sz w:val="24"/>
                <w:szCs w:val="24"/>
              </w:rPr>
              <w:fldChar w:fldCharType="end"/>
            </w:r>
          </w:hyperlink>
        </w:p>
        <w:p w14:paraId="7CBDE8F4" w14:textId="3625CDC5" w:rsidR="00791137" w:rsidRPr="00791137" w:rsidRDefault="009F1BAD" w:rsidP="00791137">
          <w:pPr>
            <w:pStyle w:val="TOC2"/>
            <w:tabs>
              <w:tab w:val="right" w:leader="dot" w:pos="9016"/>
            </w:tabs>
            <w:jc w:val="both"/>
            <w:rPr>
              <w:rFonts w:ascii="Arial" w:eastAsiaTheme="minorEastAsia" w:hAnsi="Arial" w:cs="Arial"/>
              <w:b w:val="0"/>
              <w:bCs w:val="0"/>
              <w:noProof/>
              <w:sz w:val="24"/>
              <w:szCs w:val="24"/>
              <w:lang w:val="en-IN" w:eastAsia="en-IN"/>
            </w:rPr>
          </w:pPr>
          <w:hyperlink w:anchor="_Toc213742668" w:history="1">
            <w:r w:rsidR="00791137" w:rsidRPr="00791137">
              <w:rPr>
                <w:rStyle w:val="Hyperlink"/>
                <w:rFonts w:ascii="Arial" w:hAnsi="Arial" w:cs="Arial"/>
                <w:b w:val="0"/>
                <w:bCs w:val="0"/>
                <w:noProof/>
                <w:color w:val="auto"/>
                <w:sz w:val="24"/>
                <w:szCs w:val="24"/>
              </w:rPr>
              <w:t>2.3 Financing Strategy</w:t>
            </w:r>
            <w:r w:rsidR="00791137" w:rsidRPr="00791137">
              <w:rPr>
                <w:rFonts w:ascii="Arial" w:hAnsi="Arial" w:cs="Arial"/>
                <w:b w:val="0"/>
                <w:bCs w:val="0"/>
                <w:noProof/>
                <w:webHidden/>
                <w:sz w:val="24"/>
                <w:szCs w:val="24"/>
              </w:rPr>
              <w:tab/>
            </w:r>
            <w:r w:rsidR="00791137" w:rsidRPr="00791137">
              <w:rPr>
                <w:rFonts w:ascii="Arial" w:hAnsi="Arial" w:cs="Arial"/>
                <w:b w:val="0"/>
                <w:bCs w:val="0"/>
                <w:noProof/>
                <w:webHidden/>
                <w:sz w:val="24"/>
                <w:szCs w:val="24"/>
              </w:rPr>
              <w:fldChar w:fldCharType="begin"/>
            </w:r>
            <w:r w:rsidR="00791137" w:rsidRPr="00791137">
              <w:rPr>
                <w:rFonts w:ascii="Arial" w:hAnsi="Arial" w:cs="Arial"/>
                <w:b w:val="0"/>
                <w:bCs w:val="0"/>
                <w:noProof/>
                <w:webHidden/>
                <w:sz w:val="24"/>
                <w:szCs w:val="24"/>
              </w:rPr>
              <w:instrText xml:space="preserve"> PAGEREF _Toc213742668 \h </w:instrText>
            </w:r>
            <w:r w:rsidR="00791137" w:rsidRPr="00791137">
              <w:rPr>
                <w:rFonts w:ascii="Arial" w:hAnsi="Arial" w:cs="Arial"/>
                <w:b w:val="0"/>
                <w:bCs w:val="0"/>
                <w:noProof/>
                <w:webHidden/>
                <w:sz w:val="24"/>
                <w:szCs w:val="24"/>
              </w:rPr>
            </w:r>
            <w:r w:rsidR="00791137" w:rsidRPr="00791137">
              <w:rPr>
                <w:rFonts w:ascii="Arial" w:hAnsi="Arial" w:cs="Arial"/>
                <w:b w:val="0"/>
                <w:bCs w:val="0"/>
                <w:noProof/>
                <w:webHidden/>
                <w:sz w:val="24"/>
                <w:szCs w:val="24"/>
              </w:rPr>
              <w:fldChar w:fldCharType="separate"/>
            </w:r>
            <w:r w:rsidR="001E6385">
              <w:rPr>
                <w:rFonts w:ascii="Arial" w:hAnsi="Arial" w:cs="Arial"/>
                <w:b w:val="0"/>
                <w:bCs w:val="0"/>
                <w:noProof/>
                <w:webHidden/>
                <w:sz w:val="24"/>
                <w:szCs w:val="24"/>
              </w:rPr>
              <w:t>12</w:t>
            </w:r>
            <w:r w:rsidR="00791137" w:rsidRPr="00791137">
              <w:rPr>
                <w:rFonts w:ascii="Arial" w:hAnsi="Arial" w:cs="Arial"/>
                <w:b w:val="0"/>
                <w:bCs w:val="0"/>
                <w:noProof/>
                <w:webHidden/>
                <w:sz w:val="24"/>
                <w:szCs w:val="24"/>
              </w:rPr>
              <w:fldChar w:fldCharType="end"/>
            </w:r>
          </w:hyperlink>
        </w:p>
        <w:p w14:paraId="1C9EC73D" w14:textId="3FD318A7" w:rsidR="00791137" w:rsidRPr="00791137" w:rsidRDefault="009F1BAD" w:rsidP="00791137">
          <w:pPr>
            <w:pStyle w:val="TOC2"/>
            <w:tabs>
              <w:tab w:val="right" w:leader="dot" w:pos="9016"/>
            </w:tabs>
            <w:jc w:val="both"/>
            <w:rPr>
              <w:rFonts w:ascii="Arial" w:eastAsiaTheme="minorEastAsia" w:hAnsi="Arial" w:cs="Arial"/>
              <w:b w:val="0"/>
              <w:bCs w:val="0"/>
              <w:noProof/>
              <w:sz w:val="24"/>
              <w:szCs w:val="24"/>
              <w:lang w:val="en-IN" w:eastAsia="en-IN"/>
            </w:rPr>
          </w:pPr>
          <w:hyperlink w:anchor="_Toc213742669" w:history="1">
            <w:r w:rsidR="00791137" w:rsidRPr="00791137">
              <w:rPr>
                <w:rStyle w:val="Hyperlink"/>
                <w:rFonts w:ascii="Arial" w:hAnsi="Arial" w:cs="Arial"/>
                <w:b w:val="0"/>
                <w:bCs w:val="0"/>
                <w:noProof/>
                <w:color w:val="auto"/>
                <w:sz w:val="24"/>
                <w:szCs w:val="24"/>
              </w:rPr>
              <w:t>2.4 Summary</w:t>
            </w:r>
            <w:r w:rsidR="00791137" w:rsidRPr="00791137">
              <w:rPr>
                <w:rFonts w:ascii="Arial" w:hAnsi="Arial" w:cs="Arial"/>
                <w:b w:val="0"/>
                <w:bCs w:val="0"/>
                <w:noProof/>
                <w:webHidden/>
                <w:sz w:val="24"/>
                <w:szCs w:val="24"/>
              </w:rPr>
              <w:tab/>
            </w:r>
            <w:r w:rsidR="00791137" w:rsidRPr="00791137">
              <w:rPr>
                <w:rFonts w:ascii="Arial" w:hAnsi="Arial" w:cs="Arial"/>
                <w:b w:val="0"/>
                <w:bCs w:val="0"/>
                <w:noProof/>
                <w:webHidden/>
                <w:sz w:val="24"/>
                <w:szCs w:val="24"/>
              </w:rPr>
              <w:fldChar w:fldCharType="begin"/>
            </w:r>
            <w:r w:rsidR="00791137" w:rsidRPr="00791137">
              <w:rPr>
                <w:rFonts w:ascii="Arial" w:hAnsi="Arial" w:cs="Arial"/>
                <w:b w:val="0"/>
                <w:bCs w:val="0"/>
                <w:noProof/>
                <w:webHidden/>
                <w:sz w:val="24"/>
                <w:szCs w:val="24"/>
              </w:rPr>
              <w:instrText xml:space="preserve"> PAGEREF _Toc213742669 \h </w:instrText>
            </w:r>
            <w:r w:rsidR="00791137" w:rsidRPr="00791137">
              <w:rPr>
                <w:rFonts w:ascii="Arial" w:hAnsi="Arial" w:cs="Arial"/>
                <w:b w:val="0"/>
                <w:bCs w:val="0"/>
                <w:noProof/>
                <w:webHidden/>
                <w:sz w:val="24"/>
                <w:szCs w:val="24"/>
              </w:rPr>
            </w:r>
            <w:r w:rsidR="00791137" w:rsidRPr="00791137">
              <w:rPr>
                <w:rFonts w:ascii="Arial" w:hAnsi="Arial" w:cs="Arial"/>
                <w:b w:val="0"/>
                <w:bCs w:val="0"/>
                <w:noProof/>
                <w:webHidden/>
                <w:sz w:val="24"/>
                <w:szCs w:val="24"/>
              </w:rPr>
              <w:fldChar w:fldCharType="separate"/>
            </w:r>
            <w:r w:rsidR="001E6385">
              <w:rPr>
                <w:rFonts w:ascii="Arial" w:hAnsi="Arial" w:cs="Arial"/>
                <w:b w:val="0"/>
                <w:bCs w:val="0"/>
                <w:noProof/>
                <w:webHidden/>
                <w:sz w:val="24"/>
                <w:szCs w:val="24"/>
              </w:rPr>
              <w:t>13</w:t>
            </w:r>
            <w:r w:rsidR="00791137" w:rsidRPr="00791137">
              <w:rPr>
                <w:rFonts w:ascii="Arial" w:hAnsi="Arial" w:cs="Arial"/>
                <w:b w:val="0"/>
                <w:bCs w:val="0"/>
                <w:noProof/>
                <w:webHidden/>
                <w:sz w:val="24"/>
                <w:szCs w:val="24"/>
              </w:rPr>
              <w:fldChar w:fldCharType="end"/>
            </w:r>
          </w:hyperlink>
        </w:p>
        <w:p w14:paraId="124E2689" w14:textId="20CA12E5" w:rsidR="00791137" w:rsidRPr="00791137" w:rsidRDefault="009F1BAD" w:rsidP="00791137">
          <w:pPr>
            <w:pStyle w:val="TOC1"/>
            <w:tabs>
              <w:tab w:val="right" w:leader="dot" w:pos="9016"/>
            </w:tabs>
            <w:jc w:val="both"/>
            <w:rPr>
              <w:rFonts w:ascii="Arial" w:eastAsiaTheme="minorEastAsia" w:hAnsi="Arial" w:cs="Arial"/>
              <w:b w:val="0"/>
              <w:bCs w:val="0"/>
              <w:i w:val="0"/>
              <w:iCs w:val="0"/>
              <w:noProof/>
              <w:lang w:val="en-IN" w:eastAsia="en-IN"/>
            </w:rPr>
          </w:pPr>
          <w:hyperlink w:anchor="_Toc213742670" w:history="1">
            <w:r w:rsidR="00791137" w:rsidRPr="00791137">
              <w:rPr>
                <w:rStyle w:val="Hyperlink"/>
                <w:rFonts w:ascii="Arial" w:hAnsi="Arial" w:cs="Arial"/>
                <w:b w:val="0"/>
                <w:bCs w:val="0"/>
                <w:i w:val="0"/>
                <w:iCs w:val="0"/>
                <w:noProof/>
                <w:color w:val="auto"/>
              </w:rPr>
              <w:t>3. Strategic Financial Restructuring Plan</w:t>
            </w:r>
            <w:r w:rsidR="00791137" w:rsidRPr="00791137">
              <w:rPr>
                <w:rFonts w:ascii="Arial" w:hAnsi="Arial" w:cs="Arial"/>
                <w:b w:val="0"/>
                <w:bCs w:val="0"/>
                <w:i w:val="0"/>
                <w:iCs w:val="0"/>
                <w:noProof/>
                <w:webHidden/>
              </w:rPr>
              <w:tab/>
            </w:r>
            <w:r w:rsidR="00791137" w:rsidRPr="00791137">
              <w:rPr>
                <w:rFonts w:ascii="Arial" w:hAnsi="Arial" w:cs="Arial"/>
                <w:b w:val="0"/>
                <w:bCs w:val="0"/>
                <w:i w:val="0"/>
                <w:iCs w:val="0"/>
                <w:noProof/>
                <w:webHidden/>
              </w:rPr>
              <w:fldChar w:fldCharType="begin"/>
            </w:r>
            <w:r w:rsidR="00791137" w:rsidRPr="00791137">
              <w:rPr>
                <w:rFonts w:ascii="Arial" w:hAnsi="Arial" w:cs="Arial"/>
                <w:b w:val="0"/>
                <w:bCs w:val="0"/>
                <w:i w:val="0"/>
                <w:iCs w:val="0"/>
                <w:noProof/>
                <w:webHidden/>
              </w:rPr>
              <w:instrText xml:space="preserve"> PAGEREF _Toc213742670 \h </w:instrText>
            </w:r>
            <w:r w:rsidR="00791137" w:rsidRPr="00791137">
              <w:rPr>
                <w:rFonts w:ascii="Arial" w:hAnsi="Arial" w:cs="Arial"/>
                <w:b w:val="0"/>
                <w:bCs w:val="0"/>
                <w:i w:val="0"/>
                <w:iCs w:val="0"/>
                <w:noProof/>
                <w:webHidden/>
              </w:rPr>
            </w:r>
            <w:r w:rsidR="00791137" w:rsidRPr="00791137">
              <w:rPr>
                <w:rFonts w:ascii="Arial" w:hAnsi="Arial" w:cs="Arial"/>
                <w:b w:val="0"/>
                <w:bCs w:val="0"/>
                <w:i w:val="0"/>
                <w:iCs w:val="0"/>
                <w:noProof/>
                <w:webHidden/>
              </w:rPr>
              <w:fldChar w:fldCharType="separate"/>
            </w:r>
            <w:r w:rsidR="001E6385">
              <w:rPr>
                <w:rFonts w:ascii="Arial" w:hAnsi="Arial" w:cs="Arial"/>
                <w:b w:val="0"/>
                <w:bCs w:val="0"/>
                <w:i w:val="0"/>
                <w:iCs w:val="0"/>
                <w:noProof/>
                <w:webHidden/>
              </w:rPr>
              <w:t>14</w:t>
            </w:r>
            <w:r w:rsidR="00791137" w:rsidRPr="00791137">
              <w:rPr>
                <w:rFonts w:ascii="Arial" w:hAnsi="Arial" w:cs="Arial"/>
                <w:b w:val="0"/>
                <w:bCs w:val="0"/>
                <w:i w:val="0"/>
                <w:iCs w:val="0"/>
                <w:noProof/>
                <w:webHidden/>
              </w:rPr>
              <w:fldChar w:fldCharType="end"/>
            </w:r>
          </w:hyperlink>
        </w:p>
        <w:p w14:paraId="5B291229" w14:textId="366AA564" w:rsidR="00791137" w:rsidRPr="00791137" w:rsidRDefault="009F1BAD" w:rsidP="00791137">
          <w:pPr>
            <w:pStyle w:val="TOC2"/>
            <w:tabs>
              <w:tab w:val="right" w:leader="dot" w:pos="9016"/>
            </w:tabs>
            <w:jc w:val="both"/>
            <w:rPr>
              <w:rFonts w:ascii="Arial" w:eastAsiaTheme="minorEastAsia" w:hAnsi="Arial" w:cs="Arial"/>
              <w:b w:val="0"/>
              <w:bCs w:val="0"/>
              <w:noProof/>
              <w:sz w:val="24"/>
              <w:szCs w:val="24"/>
              <w:lang w:val="en-IN" w:eastAsia="en-IN"/>
            </w:rPr>
          </w:pPr>
          <w:hyperlink w:anchor="_Toc213742671" w:history="1">
            <w:r w:rsidR="00791137" w:rsidRPr="00791137">
              <w:rPr>
                <w:rStyle w:val="Hyperlink"/>
                <w:rFonts w:ascii="Arial" w:hAnsi="Arial" w:cs="Arial"/>
                <w:b w:val="0"/>
                <w:bCs w:val="0"/>
                <w:noProof/>
                <w:color w:val="auto"/>
                <w:sz w:val="24"/>
                <w:szCs w:val="24"/>
              </w:rPr>
              <w:t>3.1 Overview of the current financial conditions</w:t>
            </w:r>
            <w:r w:rsidR="00791137" w:rsidRPr="00791137">
              <w:rPr>
                <w:rFonts w:ascii="Arial" w:hAnsi="Arial" w:cs="Arial"/>
                <w:b w:val="0"/>
                <w:bCs w:val="0"/>
                <w:noProof/>
                <w:webHidden/>
                <w:sz w:val="24"/>
                <w:szCs w:val="24"/>
              </w:rPr>
              <w:tab/>
            </w:r>
            <w:r w:rsidR="00791137" w:rsidRPr="00791137">
              <w:rPr>
                <w:rFonts w:ascii="Arial" w:hAnsi="Arial" w:cs="Arial"/>
                <w:b w:val="0"/>
                <w:bCs w:val="0"/>
                <w:noProof/>
                <w:webHidden/>
                <w:sz w:val="24"/>
                <w:szCs w:val="24"/>
              </w:rPr>
              <w:fldChar w:fldCharType="begin"/>
            </w:r>
            <w:r w:rsidR="00791137" w:rsidRPr="00791137">
              <w:rPr>
                <w:rFonts w:ascii="Arial" w:hAnsi="Arial" w:cs="Arial"/>
                <w:b w:val="0"/>
                <w:bCs w:val="0"/>
                <w:noProof/>
                <w:webHidden/>
                <w:sz w:val="24"/>
                <w:szCs w:val="24"/>
              </w:rPr>
              <w:instrText xml:space="preserve"> PAGEREF _Toc213742671 \h </w:instrText>
            </w:r>
            <w:r w:rsidR="00791137" w:rsidRPr="00791137">
              <w:rPr>
                <w:rFonts w:ascii="Arial" w:hAnsi="Arial" w:cs="Arial"/>
                <w:b w:val="0"/>
                <w:bCs w:val="0"/>
                <w:noProof/>
                <w:webHidden/>
                <w:sz w:val="24"/>
                <w:szCs w:val="24"/>
              </w:rPr>
            </w:r>
            <w:r w:rsidR="00791137" w:rsidRPr="00791137">
              <w:rPr>
                <w:rFonts w:ascii="Arial" w:hAnsi="Arial" w:cs="Arial"/>
                <w:b w:val="0"/>
                <w:bCs w:val="0"/>
                <w:noProof/>
                <w:webHidden/>
                <w:sz w:val="24"/>
                <w:szCs w:val="24"/>
              </w:rPr>
              <w:fldChar w:fldCharType="separate"/>
            </w:r>
            <w:r w:rsidR="001E6385">
              <w:rPr>
                <w:rFonts w:ascii="Arial" w:hAnsi="Arial" w:cs="Arial"/>
                <w:b w:val="0"/>
                <w:bCs w:val="0"/>
                <w:noProof/>
                <w:webHidden/>
                <w:sz w:val="24"/>
                <w:szCs w:val="24"/>
              </w:rPr>
              <w:t>14</w:t>
            </w:r>
            <w:r w:rsidR="00791137" w:rsidRPr="00791137">
              <w:rPr>
                <w:rFonts w:ascii="Arial" w:hAnsi="Arial" w:cs="Arial"/>
                <w:b w:val="0"/>
                <w:bCs w:val="0"/>
                <w:noProof/>
                <w:webHidden/>
                <w:sz w:val="24"/>
                <w:szCs w:val="24"/>
              </w:rPr>
              <w:fldChar w:fldCharType="end"/>
            </w:r>
          </w:hyperlink>
        </w:p>
        <w:p w14:paraId="51AA982B" w14:textId="3D41E48B" w:rsidR="00791137" w:rsidRPr="00791137" w:rsidRDefault="009F1BAD" w:rsidP="00791137">
          <w:pPr>
            <w:pStyle w:val="TOC2"/>
            <w:tabs>
              <w:tab w:val="right" w:leader="dot" w:pos="9016"/>
            </w:tabs>
            <w:jc w:val="both"/>
            <w:rPr>
              <w:rFonts w:ascii="Arial" w:eastAsiaTheme="minorEastAsia" w:hAnsi="Arial" w:cs="Arial"/>
              <w:b w:val="0"/>
              <w:bCs w:val="0"/>
              <w:noProof/>
              <w:sz w:val="24"/>
              <w:szCs w:val="24"/>
              <w:lang w:val="en-IN" w:eastAsia="en-IN"/>
            </w:rPr>
          </w:pPr>
          <w:hyperlink w:anchor="_Toc213742672" w:history="1">
            <w:r w:rsidR="00791137" w:rsidRPr="00791137">
              <w:rPr>
                <w:rStyle w:val="Hyperlink"/>
                <w:rFonts w:ascii="Arial" w:hAnsi="Arial" w:cs="Arial"/>
                <w:b w:val="0"/>
                <w:bCs w:val="0"/>
                <w:noProof/>
                <w:color w:val="auto"/>
                <w:sz w:val="24"/>
                <w:szCs w:val="24"/>
              </w:rPr>
              <w:t>3.2 Strategic Options</w:t>
            </w:r>
            <w:r w:rsidR="00791137" w:rsidRPr="00791137">
              <w:rPr>
                <w:rFonts w:ascii="Arial" w:hAnsi="Arial" w:cs="Arial"/>
                <w:b w:val="0"/>
                <w:bCs w:val="0"/>
                <w:noProof/>
                <w:webHidden/>
                <w:sz w:val="24"/>
                <w:szCs w:val="24"/>
              </w:rPr>
              <w:tab/>
            </w:r>
            <w:r w:rsidR="00791137" w:rsidRPr="00791137">
              <w:rPr>
                <w:rFonts w:ascii="Arial" w:hAnsi="Arial" w:cs="Arial"/>
                <w:b w:val="0"/>
                <w:bCs w:val="0"/>
                <w:noProof/>
                <w:webHidden/>
                <w:sz w:val="24"/>
                <w:szCs w:val="24"/>
              </w:rPr>
              <w:fldChar w:fldCharType="begin"/>
            </w:r>
            <w:r w:rsidR="00791137" w:rsidRPr="00791137">
              <w:rPr>
                <w:rFonts w:ascii="Arial" w:hAnsi="Arial" w:cs="Arial"/>
                <w:b w:val="0"/>
                <w:bCs w:val="0"/>
                <w:noProof/>
                <w:webHidden/>
                <w:sz w:val="24"/>
                <w:szCs w:val="24"/>
              </w:rPr>
              <w:instrText xml:space="preserve"> PAGEREF _Toc213742672 \h </w:instrText>
            </w:r>
            <w:r w:rsidR="00791137" w:rsidRPr="00791137">
              <w:rPr>
                <w:rFonts w:ascii="Arial" w:hAnsi="Arial" w:cs="Arial"/>
                <w:b w:val="0"/>
                <w:bCs w:val="0"/>
                <w:noProof/>
                <w:webHidden/>
                <w:sz w:val="24"/>
                <w:szCs w:val="24"/>
              </w:rPr>
            </w:r>
            <w:r w:rsidR="00791137" w:rsidRPr="00791137">
              <w:rPr>
                <w:rFonts w:ascii="Arial" w:hAnsi="Arial" w:cs="Arial"/>
                <w:b w:val="0"/>
                <w:bCs w:val="0"/>
                <w:noProof/>
                <w:webHidden/>
                <w:sz w:val="24"/>
                <w:szCs w:val="24"/>
              </w:rPr>
              <w:fldChar w:fldCharType="separate"/>
            </w:r>
            <w:r w:rsidR="001E6385">
              <w:rPr>
                <w:rFonts w:ascii="Arial" w:hAnsi="Arial" w:cs="Arial"/>
                <w:b w:val="0"/>
                <w:bCs w:val="0"/>
                <w:noProof/>
                <w:webHidden/>
                <w:sz w:val="24"/>
                <w:szCs w:val="24"/>
              </w:rPr>
              <w:t>14</w:t>
            </w:r>
            <w:r w:rsidR="00791137" w:rsidRPr="00791137">
              <w:rPr>
                <w:rFonts w:ascii="Arial" w:hAnsi="Arial" w:cs="Arial"/>
                <w:b w:val="0"/>
                <w:bCs w:val="0"/>
                <w:noProof/>
                <w:webHidden/>
                <w:sz w:val="24"/>
                <w:szCs w:val="24"/>
              </w:rPr>
              <w:fldChar w:fldCharType="end"/>
            </w:r>
          </w:hyperlink>
        </w:p>
        <w:p w14:paraId="189C8B55" w14:textId="250CB5A0" w:rsidR="00791137" w:rsidRPr="00791137" w:rsidRDefault="009F1BAD" w:rsidP="00791137">
          <w:pPr>
            <w:pStyle w:val="TOC2"/>
            <w:tabs>
              <w:tab w:val="right" w:leader="dot" w:pos="9016"/>
            </w:tabs>
            <w:jc w:val="both"/>
            <w:rPr>
              <w:rFonts w:ascii="Arial" w:eastAsiaTheme="minorEastAsia" w:hAnsi="Arial" w:cs="Arial"/>
              <w:b w:val="0"/>
              <w:bCs w:val="0"/>
              <w:noProof/>
              <w:sz w:val="24"/>
              <w:szCs w:val="24"/>
              <w:lang w:val="en-IN" w:eastAsia="en-IN"/>
            </w:rPr>
          </w:pPr>
          <w:hyperlink w:anchor="_Toc213742673" w:history="1">
            <w:r w:rsidR="00791137" w:rsidRPr="00791137">
              <w:rPr>
                <w:rStyle w:val="Hyperlink"/>
                <w:rFonts w:ascii="Arial" w:hAnsi="Arial" w:cs="Arial"/>
                <w:b w:val="0"/>
                <w:bCs w:val="0"/>
                <w:noProof/>
                <w:color w:val="auto"/>
                <w:sz w:val="24"/>
                <w:szCs w:val="24"/>
              </w:rPr>
              <w:t>3.3 Evaluation of Each Option</w:t>
            </w:r>
            <w:r w:rsidR="00791137" w:rsidRPr="00791137">
              <w:rPr>
                <w:rFonts w:ascii="Arial" w:hAnsi="Arial" w:cs="Arial"/>
                <w:b w:val="0"/>
                <w:bCs w:val="0"/>
                <w:noProof/>
                <w:webHidden/>
                <w:sz w:val="24"/>
                <w:szCs w:val="24"/>
              </w:rPr>
              <w:tab/>
            </w:r>
            <w:r w:rsidR="00791137" w:rsidRPr="00791137">
              <w:rPr>
                <w:rFonts w:ascii="Arial" w:hAnsi="Arial" w:cs="Arial"/>
                <w:b w:val="0"/>
                <w:bCs w:val="0"/>
                <w:noProof/>
                <w:webHidden/>
                <w:sz w:val="24"/>
                <w:szCs w:val="24"/>
              </w:rPr>
              <w:fldChar w:fldCharType="begin"/>
            </w:r>
            <w:r w:rsidR="00791137" w:rsidRPr="00791137">
              <w:rPr>
                <w:rFonts w:ascii="Arial" w:hAnsi="Arial" w:cs="Arial"/>
                <w:b w:val="0"/>
                <w:bCs w:val="0"/>
                <w:noProof/>
                <w:webHidden/>
                <w:sz w:val="24"/>
                <w:szCs w:val="24"/>
              </w:rPr>
              <w:instrText xml:space="preserve"> PAGEREF _Toc213742673 \h </w:instrText>
            </w:r>
            <w:r w:rsidR="00791137" w:rsidRPr="00791137">
              <w:rPr>
                <w:rFonts w:ascii="Arial" w:hAnsi="Arial" w:cs="Arial"/>
                <w:b w:val="0"/>
                <w:bCs w:val="0"/>
                <w:noProof/>
                <w:webHidden/>
                <w:sz w:val="24"/>
                <w:szCs w:val="24"/>
              </w:rPr>
            </w:r>
            <w:r w:rsidR="00791137" w:rsidRPr="00791137">
              <w:rPr>
                <w:rFonts w:ascii="Arial" w:hAnsi="Arial" w:cs="Arial"/>
                <w:b w:val="0"/>
                <w:bCs w:val="0"/>
                <w:noProof/>
                <w:webHidden/>
                <w:sz w:val="24"/>
                <w:szCs w:val="24"/>
              </w:rPr>
              <w:fldChar w:fldCharType="separate"/>
            </w:r>
            <w:r w:rsidR="001E6385">
              <w:rPr>
                <w:rFonts w:ascii="Arial" w:hAnsi="Arial" w:cs="Arial"/>
                <w:b w:val="0"/>
                <w:bCs w:val="0"/>
                <w:noProof/>
                <w:webHidden/>
                <w:sz w:val="24"/>
                <w:szCs w:val="24"/>
              </w:rPr>
              <w:t>15</w:t>
            </w:r>
            <w:r w:rsidR="00791137" w:rsidRPr="00791137">
              <w:rPr>
                <w:rFonts w:ascii="Arial" w:hAnsi="Arial" w:cs="Arial"/>
                <w:b w:val="0"/>
                <w:bCs w:val="0"/>
                <w:noProof/>
                <w:webHidden/>
                <w:sz w:val="24"/>
                <w:szCs w:val="24"/>
              </w:rPr>
              <w:fldChar w:fldCharType="end"/>
            </w:r>
          </w:hyperlink>
        </w:p>
        <w:p w14:paraId="4899E9F6" w14:textId="7CD09E4D" w:rsidR="00791137" w:rsidRPr="00791137" w:rsidRDefault="009F1BAD" w:rsidP="00791137">
          <w:pPr>
            <w:pStyle w:val="TOC2"/>
            <w:tabs>
              <w:tab w:val="right" w:leader="dot" w:pos="9016"/>
            </w:tabs>
            <w:jc w:val="both"/>
            <w:rPr>
              <w:rFonts w:ascii="Arial" w:eastAsiaTheme="minorEastAsia" w:hAnsi="Arial" w:cs="Arial"/>
              <w:b w:val="0"/>
              <w:bCs w:val="0"/>
              <w:noProof/>
              <w:sz w:val="24"/>
              <w:szCs w:val="24"/>
              <w:lang w:val="en-IN" w:eastAsia="en-IN"/>
            </w:rPr>
          </w:pPr>
          <w:hyperlink w:anchor="_Toc213742674" w:history="1">
            <w:r w:rsidR="00791137" w:rsidRPr="00791137">
              <w:rPr>
                <w:rStyle w:val="Hyperlink"/>
                <w:rFonts w:ascii="Arial" w:hAnsi="Arial" w:cs="Arial"/>
                <w:b w:val="0"/>
                <w:bCs w:val="0"/>
                <w:noProof/>
                <w:color w:val="auto"/>
                <w:sz w:val="24"/>
                <w:szCs w:val="24"/>
              </w:rPr>
              <w:t>3.4 Global and Ethical Considerations</w:t>
            </w:r>
            <w:r w:rsidR="00791137" w:rsidRPr="00791137">
              <w:rPr>
                <w:rFonts w:ascii="Arial" w:hAnsi="Arial" w:cs="Arial"/>
                <w:b w:val="0"/>
                <w:bCs w:val="0"/>
                <w:noProof/>
                <w:webHidden/>
                <w:sz w:val="24"/>
                <w:szCs w:val="24"/>
              </w:rPr>
              <w:tab/>
            </w:r>
            <w:r w:rsidR="00791137" w:rsidRPr="00791137">
              <w:rPr>
                <w:rFonts w:ascii="Arial" w:hAnsi="Arial" w:cs="Arial"/>
                <w:b w:val="0"/>
                <w:bCs w:val="0"/>
                <w:noProof/>
                <w:webHidden/>
                <w:sz w:val="24"/>
                <w:szCs w:val="24"/>
              </w:rPr>
              <w:fldChar w:fldCharType="begin"/>
            </w:r>
            <w:r w:rsidR="00791137" w:rsidRPr="00791137">
              <w:rPr>
                <w:rFonts w:ascii="Arial" w:hAnsi="Arial" w:cs="Arial"/>
                <w:b w:val="0"/>
                <w:bCs w:val="0"/>
                <w:noProof/>
                <w:webHidden/>
                <w:sz w:val="24"/>
                <w:szCs w:val="24"/>
              </w:rPr>
              <w:instrText xml:space="preserve"> PAGEREF _Toc213742674 \h </w:instrText>
            </w:r>
            <w:r w:rsidR="00791137" w:rsidRPr="00791137">
              <w:rPr>
                <w:rFonts w:ascii="Arial" w:hAnsi="Arial" w:cs="Arial"/>
                <w:b w:val="0"/>
                <w:bCs w:val="0"/>
                <w:noProof/>
                <w:webHidden/>
                <w:sz w:val="24"/>
                <w:szCs w:val="24"/>
              </w:rPr>
            </w:r>
            <w:r w:rsidR="00791137" w:rsidRPr="00791137">
              <w:rPr>
                <w:rFonts w:ascii="Arial" w:hAnsi="Arial" w:cs="Arial"/>
                <w:b w:val="0"/>
                <w:bCs w:val="0"/>
                <w:noProof/>
                <w:webHidden/>
                <w:sz w:val="24"/>
                <w:szCs w:val="24"/>
              </w:rPr>
              <w:fldChar w:fldCharType="separate"/>
            </w:r>
            <w:r w:rsidR="001E6385">
              <w:rPr>
                <w:rFonts w:ascii="Arial" w:hAnsi="Arial" w:cs="Arial"/>
                <w:b w:val="0"/>
                <w:bCs w:val="0"/>
                <w:noProof/>
                <w:webHidden/>
                <w:sz w:val="24"/>
                <w:szCs w:val="24"/>
              </w:rPr>
              <w:t>16</w:t>
            </w:r>
            <w:r w:rsidR="00791137" w:rsidRPr="00791137">
              <w:rPr>
                <w:rFonts w:ascii="Arial" w:hAnsi="Arial" w:cs="Arial"/>
                <w:b w:val="0"/>
                <w:bCs w:val="0"/>
                <w:noProof/>
                <w:webHidden/>
                <w:sz w:val="24"/>
                <w:szCs w:val="24"/>
              </w:rPr>
              <w:fldChar w:fldCharType="end"/>
            </w:r>
          </w:hyperlink>
        </w:p>
        <w:p w14:paraId="53B1510B" w14:textId="29C384DD" w:rsidR="00791137" w:rsidRPr="00791137" w:rsidRDefault="009F1BAD" w:rsidP="00791137">
          <w:pPr>
            <w:pStyle w:val="TOC2"/>
            <w:tabs>
              <w:tab w:val="right" w:leader="dot" w:pos="9016"/>
            </w:tabs>
            <w:jc w:val="both"/>
            <w:rPr>
              <w:rFonts w:ascii="Arial" w:eastAsiaTheme="minorEastAsia" w:hAnsi="Arial" w:cs="Arial"/>
              <w:b w:val="0"/>
              <w:bCs w:val="0"/>
              <w:noProof/>
              <w:sz w:val="24"/>
              <w:szCs w:val="24"/>
              <w:lang w:val="en-IN" w:eastAsia="en-IN"/>
            </w:rPr>
          </w:pPr>
          <w:hyperlink w:anchor="_Toc213742675" w:history="1">
            <w:r w:rsidR="00791137" w:rsidRPr="00791137">
              <w:rPr>
                <w:rStyle w:val="Hyperlink"/>
                <w:rFonts w:ascii="Arial" w:hAnsi="Arial" w:cs="Arial"/>
                <w:b w:val="0"/>
                <w:bCs w:val="0"/>
                <w:noProof/>
                <w:color w:val="auto"/>
                <w:sz w:val="24"/>
                <w:szCs w:val="24"/>
              </w:rPr>
              <w:t>3.5 Recommended Restructuring Plan</w:t>
            </w:r>
            <w:r w:rsidR="00791137" w:rsidRPr="00791137">
              <w:rPr>
                <w:rFonts w:ascii="Arial" w:hAnsi="Arial" w:cs="Arial"/>
                <w:b w:val="0"/>
                <w:bCs w:val="0"/>
                <w:noProof/>
                <w:webHidden/>
                <w:sz w:val="24"/>
                <w:szCs w:val="24"/>
              </w:rPr>
              <w:tab/>
            </w:r>
            <w:r w:rsidR="00791137" w:rsidRPr="00791137">
              <w:rPr>
                <w:rFonts w:ascii="Arial" w:hAnsi="Arial" w:cs="Arial"/>
                <w:b w:val="0"/>
                <w:bCs w:val="0"/>
                <w:noProof/>
                <w:webHidden/>
                <w:sz w:val="24"/>
                <w:szCs w:val="24"/>
              </w:rPr>
              <w:fldChar w:fldCharType="begin"/>
            </w:r>
            <w:r w:rsidR="00791137" w:rsidRPr="00791137">
              <w:rPr>
                <w:rFonts w:ascii="Arial" w:hAnsi="Arial" w:cs="Arial"/>
                <w:b w:val="0"/>
                <w:bCs w:val="0"/>
                <w:noProof/>
                <w:webHidden/>
                <w:sz w:val="24"/>
                <w:szCs w:val="24"/>
              </w:rPr>
              <w:instrText xml:space="preserve"> PAGEREF _Toc213742675 \h </w:instrText>
            </w:r>
            <w:r w:rsidR="00791137" w:rsidRPr="00791137">
              <w:rPr>
                <w:rFonts w:ascii="Arial" w:hAnsi="Arial" w:cs="Arial"/>
                <w:b w:val="0"/>
                <w:bCs w:val="0"/>
                <w:noProof/>
                <w:webHidden/>
                <w:sz w:val="24"/>
                <w:szCs w:val="24"/>
              </w:rPr>
            </w:r>
            <w:r w:rsidR="00791137" w:rsidRPr="00791137">
              <w:rPr>
                <w:rFonts w:ascii="Arial" w:hAnsi="Arial" w:cs="Arial"/>
                <w:b w:val="0"/>
                <w:bCs w:val="0"/>
                <w:noProof/>
                <w:webHidden/>
                <w:sz w:val="24"/>
                <w:szCs w:val="24"/>
              </w:rPr>
              <w:fldChar w:fldCharType="separate"/>
            </w:r>
            <w:r w:rsidR="001E6385">
              <w:rPr>
                <w:rFonts w:ascii="Arial" w:hAnsi="Arial" w:cs="Arial"/>
                <w:b w:val="0"/>
                <w:bCs w:val="0"/>
                <w:noProof/>
                <w:webHidden/>
                <w:sz w:val="24"/>
                <w:szCs w:val="24"/>
              </w:rPr>
              <w:t>17</w:t>
            </w:r>
            <w:r w:rsidR="00791137" w:rsidRPr="00791137">
              <w:rPr>
                <w:rFonts w:ascii="Arial" w:hAnsi="Arial" w:cs="Arial"/>
                <w:b w:val="0"/>
                <w:bCs w:val="0"/>
                <w:noProof/>
                <w:webHidden/>
                <w:sz w:val="24"/>
                <w:szCs w:val="24"/>
              </w:rPr>
              <w:fldChar w:fldCharType="end"/>
            </w:r>
          </w:hyperlink>
        </w:p>
        <w:p w14:paraId="547EE232" w14:textId="0DE5822C" w:rsidR="00791137" w:rsidRPr="00791137" w:rsidRDefault="009F1BAD" w:rsidP="00791137">
          <w:pPr>
            <w:pStyle w:val="TOC1"/>
            <w:tabs>
              <w:tab w:val="right" w:leader="dot" w:pos="9016"/>
            </w:tabs>
            <w:jc w:val="both"/>
            <w:rPr>
              <w:rFonts w:ascii="Arial" w:eastAsiaTheme="minorEastAsia" w:hAnsi="Arial" w:cs="Arial"/>
              <w:b w:val="0"/>
              <w:bCs w:val="0"/>
              <w:i w:val="0"/>
              <w:iCs w:val="0"/>
              <w:noProof/>
              <w:lang w:val="en-IN" w:eastAsia="en-IN"/>
            </w:rPr>
          </w:pPr>
          <w:hyperlink w:anchor="_Toc213742676" w:history="1">
            <w:r w:rsidR="00791137" w:rsidRPr="00791137">
              <w:rPr>
                <w:rStyle w:val="Hyperlink"/>
                <w:rFonts w:ascii="Arial" w:hAnsi="Arial" w:cs="Arial"/>
                <w:b w:val="0"/>
                <w:bCs w:val="0"/>
                <w:i w:val="0"/>
                <w:iCs w:val="0"/>
                <w:noProof/>
                <w:color w:val="auto"/>
              </w:rPr>
              <w:t>4. Investment Appraisal and Capital Budgeting</w:t>
            </w:r>
            <w:r w:rsidR="00791137" w:rsidRPr="00791137">
              <w:rPr>
                <w:rFonts w:ascii="Arial" w:hAnsi="Arial" w:cs="Arial"/>
                <w:b w:val="0"/>
                <w:bCs w:val="0"/>
                <w:i w:val="0"/>
                <w:iCs w:val="0"/>
                <w:noProof/>
                <w:webHidden/>
              </w:rPr>
              <w:tab/>
            </w:r>
            <w:r w:rsidR="00791137" w:rsidRPr="00791137">
              <w:rPr>
                <w:rFonts w:ascii="Arial" w:hAnsi="Arial" w:cs="Arial"/>
                <w:b w:val="0"/>
                <w:bCs w:val="0"/>
                <w:i w:val="0"/>
                <w:iCs w:val="0"/>
                <w:noProof/>
                <w:webHidden/>
              </w:rPr>
              <w:fldChar w:fldCharType="begin"/>
            </w:r>
            <w:r w:rsidR="00791137" w:rsidRPr="00791137">
              <w:rPr>
                <w:rFonts w:ascii="Arial" w:hAnsi="Arial" w:cs="Arial"/>
                <w:b w:val="0"/>
                <w:bCs w:val="0"/>
                <w:i w:val="0"/>
                <w:iCs w:val="0"/>
                <w:noProof/>
                <w:webHidden/>
              </w:rPr>
              <w:instrText xml:space="preserve"> PAGEREF _Toc213742676 \h </w:instrText>
            </w:r>
            <w:r w:rsidR="00791137" w:rsidRPr="00791137">
              <w:rPr>
                <w:rFonts w:ascii="Arial" w:hAnsi="Arial" w:cs="Arial"/>
                <w:b w:val="0"/>
                <w:bCs w:val="0"/>
                <w:i w:val="0"/>
                <w:iCs w:val="0"/>
                <w:noProof/>
                <w:webHidden/>
              </w:rPr>
            </w:r>
            <w:r w:rsidR="00791137" w:rsidRPr="00791137">
              <w:rPr>
                <w:rFonts w:ascii="Arial" w:hAnsi="Arial" w:cs="Arial"/>
                <w:b w:val="0"/>
                <w:bCs w:val="0"/>
                <w:i w:val="0"/>
                <w:iCs w:val="0"/>
                <w:noProof/>
                <w:webHidden/>
              </w:rPr>
              <w:fldChar w:fldCharType="separate"/>
            </w:r>
            <w:r w:rsidR="001E6385">
              <w:rPr>
                <w:rFonts w:ascii="Arial" w:hAnsi="Arial" w:cs="Arial"/>
                <w:b w:val="0"/>
                <w:bCs w:val="0"/>
                <w:i w:val="0"/>
                <w:iCs w:val="0"/>
                <w:noProof/>
                <w:webHidden/>
              </w:rPr>
              <w:t>18</w:t>
            </w:r>
            <w:r w:rsidR="00791137" w:rsidRPr="00791137">
              <w:rPr>
                <w:rFonts w:ascii="Arial" w:hAnsi="Arial" w:cs="Arial"/>
                <w:b w:val="0"/>
                <w:bCs w:val="0"/>
                <w:i w:val="0"/>
                <w:iCs w:val="0"/>
                <w:noProof/>
                <w:webHidden/>
              </w:rPr>
              <w:fldChar w:fldCharType="end"/>
            </w:r>
          </w:hyperlink>
        </w:p>
        <w:p w14:paraId="22B871C8" w14:textId="576DB5CF" w:rsidR="00791137" w:rsidRPr="00791137" w:rsidRDefault="009F1BAD" w:rsidP="00791137">
          <w:pPr>
            <w:pStyle w:val="TOC2"/>
            <w:tabs>
              <w:tab w:val="right" w:leader="dot" w:pos="9016"/>
            </w:tabs>
            <w:jc w:val="both"/>
            <w:rPr>
              <w:rFonts w:ascii="Arial" w:eastAsiaTheme="minorEastAsia" w:hAnsi="Arial" w:cs="Arial"/>
              <w:b w:val="0"/>
              <w:bCs w:val="0"/>
              <w:noProof/>
              <w:sz w:val="24"/>
              <w:szCs w:val="24"/>
              <w:lang w:val="en-IN" w:eastAsia="en-IN"/>
            </w:rPr>
          </w:pPr>
          <w:hyperlink w:anchor="_Toc213742677" w:history="1">
            <w:r w:rsidR="00791137" w:rsidRPr="00791137">
              <w:rPr>
                <w:rStyle w:val="Hyperlink"/>
                <w:rFonts w:ascii="Arial" w:hAnsi="Arial" w:cs="Arial"/>
                <w:b w:val="0"/>
                <w:bCs w:val="0"/>
                <w:noProof/>
                <w:color w:val="auto"/>
                <w:sz w:val="24"/>
                <w:szCs w:val="24"/>
              </w:rPr>
              <w:t>4.1 Project Overview</w:t>
            </w:r>
            <w:r w:rsidR="00791137" w:rsidRPr="00791137">
              <w:rPr>
                <w:rFonts w:ascii="Arial" w:hAnsi="Arial" w:cs="Arial"/>
                <w:b w:val="0"/>
                <w:bCs w:val="0"/>
                <w:noProof/>
                <w:webHidden/>
                <w:sz w:val="24"/>
                <w:szCs w:val="24"/>
              </w:rPr>
              <w:tab/>
            </w:r>
            <w:r w:rsidR="00791137" w:rsidRPr="00791137">
              <w:rPr>
                <w:rFonts w:ascii="Arial" w:hAnsi="Arial" w:cs="Arial"/>
                <w:b w:val="0"/>
                <w:bCs w:val="0"/>
                <w:noProof/>
                <w:webHidden/>
                <w:sz w:val="24"/>
                <w:szCs w:val="24"/>
              </w:rPr>
              <w:fldChar w:fldCharType="begin"/>
            </w:r>
            <w:r w:rsidR="00791137" w:rsidRPr="00791137">
              <w:rPr>
                <w:rFonts w:ascii="Arial" w:hAnsi="Arial" w:cs="Arial"/>
                <w:b w:val="0"/>
                <w:bCs w:val="0"/>
                <w:noProof/>
                <w:webHidden/>
                <w:sz w:val="24"/>
                <w:szCs w:val="24"/>
              </w:rPr>
              <w:instrText xml:space="preserve"> PAGEREF _Toc213742677 \h </w:instrText>
            </w:r>
            <w:r w:rsidR="00791137" w:rsidRPr="00791137">
              <w:rPr>
                <w:rFonts w:ascii="Arial" w:hAnsi="Arial" w:cs="Arial"/>
                <w:b w:val="0"/>
                <w:bCs w:val="0"/>
                <w:noProof/>
                <w:webHidden/>
                <w:sz w:val="24"/>
                <w:szCs w:val="24"/>
              </w:rPr>
            </w:r>
            <w:r w:rsidR="00791137" w:rsidRPr="00791137">
              <w:rPr>
                <w:rFonts w:ascii="Arial" w:hAnsi="Arial" w:cs="Arial"/>
                <w:b w:val="0"/>
                <w:bCs w:val="0"/>
                <w:noProof/>
                <w:webHidden/>
                <w:sz w:val="24"/>
                <w:szCs w:val="24"/>
              </w:rPr>
              <w:fldChar w:fldCharType="separate"/>
            </w:r>
            <w:r w:rsidR="001E6385">
              <w:rPr>
                <w:rFonts w:ascii="Arial" w:hAnsi="Arial" w:cs="Arial"/>
                <w:b w:val="0"/>
                <w:bCs w:val="0"/>
                <w:noProof/>
                <w:webHidden/>
                <w:sz w:val="24"/>
                <w:szCs w:val="24"/>
              </w:rPr>
              <w:t>18</w:t>
            </w:r>
            <w:r w:rsidR="00791137" w:rsidRPr="00791137">
              <w:rPr>
                <w:rFonts w:ascii="Arial" w:hAnsi="Arial" w:cs="Arial"/>
                <w:b w:val="0"/>
                <w:bCs w:val="0"/>
                <w:noProof/>
                <w:webHidden/>
                <w:sz w:val="24"/>
                <w:szCs w:val="24"/>
              </w:rPr>
              <w:fldChar w:fldCharType="end"/>
            </w:r>
          </w:hyperlink>
        </w:p>
        <w:p w14:paraId="18F1C26D" w14:textId="34FB9769" w:rsidR="00791137" w:rsidRPr="00791137" w:rsidRDefault="009F1BAD" w:rsidP="00791137">
          <w:pPr>
            <w:pStyle w:val="TOC2"/>
            <w:tabs>
              <w:tab w:val="right" w:leader="dot" w:pos="9016"/>
            </w:tabs>
            <w:jc w:val="both"/>
            <w:rPr>
              <w:rFonts w:ascii="Arial" w:eastAsiaTheme="minorEastAsia" w:hAnsi="Arial" w:cs="Arial"/>
              <w:b w:val="0"/>
              <w:bCs w:val="0"/>
              <w:noProof/>
              <w:sz w:val="24"/>
              <w:szCs w:val="24"/>
              <w:lang w:val="en-IN" w:eastAsia="en-IN"/>
            </w:rPr>
          </w:pPr>
          <w:hyperlink w:anchor="_Toc213742678" w:history="1">
            <w:r w:rsidR="00791137" w:rsidRPr="00791137">
              <w:rPr>
                <w:rStyle w:val="Hyperlink"/>
                <w:rFonts w:ascii="Arial" w:hAnsi="Arial" w:cs="Arial"/>
                <w:b w:val="0"/>
                <w:bCs w:val="0"/>
                <w:noProof/>
                <w:color w:val="auto"/>
                <w:sz w:val="24"/>
                <w:szCs w:val="24"/>
              </w:rPr>
              <w:t>4.2 Evaluation Techniques</w:t>
            </w:r>
            <w:r w:rsidR="00791137" w:rsidRPr="00791137">
              <w:rPr>
                <w:rFonts w:ascii="Arial" w:hAnsi="Arial" w:cs="Arial"/>
                <w:b w:val="0"/>
                <w:bCs w:val="0"/>
                <w:noProof/>
                <w:webHidden/>
                <w:sz w:val="24"/>
                <w:szCs w:val="24"/>
              </w:rPr>
              <w:tab/>
            </w:r>
            <w:r w:rsidR="00791137" w:rsidRPr="00791137">
              <w:rPr>
                <w:rFonts w:ascii="Arial" w:hAnsi="Arial" w:cs="Arial"/>
                <w:b w:val="0"/>
                <w:bCs w:val="0"/>
                <w:noProof/>
                <w:webHidden/>
                <w:sz w:val="24"/>
                <w:szCs w:val="24"/>
              </w:rPr>
              <w:fldChar w:fldCharType="begin"/>
            </w:r>
            <w:r w:rsidR="00791137" w:rsidRPr="00791137">
              <w:rPr>
                <w:rFonts w:ascii="Arial" w:hAnsi="Arial" w:cs="Arial"/>
                <w:b w:val="0"/>
                <w:bCs w:val="0"/>
                <w:noProof/>
                <w:webHidden/>
                <w:sz w:val="24"/>
                <w:szCs w:val="24"/>
              </w:rPr>
              <w:instrText xml:space="preserve"> PAGEREF _Toc213742678 \h </w:instrText>
            </w:r>
            <w:r w:rsidR="00791137" w:rsidRPr="00791137">
              <w:rPr>
                <w:rFonts w:ascii="Arial" w:hAnsi="Arial" w:cs="Arial"/>
                <w:b w:val="0"/>
                <w:bCs w:val="0"/>
                <w:noProof/>
                <w:webHidden/>
                <w:sz w:val="24"/>
                <w:szCs w:val="24"/>
              </w:rPr>
            </w:r>
            <w:r w:rsidR="00791137" w:rsidRPr="00791137">
              <w:rPr>
                <w:rFonts w:ascii="Arial" w:hAnsi="Arial" w:cs="Arial"/>
                <w:b w:val="0"/>
                <w:bCs w:val="0"/>
                <w:noProof/>
                <w:webHidden/>
                <w:sz w:val="24"/>
                <w:szCs w:val="24"/>
              </w:rPr>
              <w:fldChar w:fldCharType="separate"/>
            </w:r>
            <w:r w:rsidR="001E6385">
              <w:rPr>
                <w:rFonts w:ascii="Arial" w:hAnsi="Arial" w:cs="Arial"/>
                <w:b w:val="0"/>
                <w:bCs w:val="0"/>
                <w:noProof/>
                <w:webHidden/>
                <w:sz w:val="24"/>
                <w:szCs w:val="24"/>
              </w:rPr>
              <w:t>18</w:t>
            </w:r>
            <w:r w:rsidR="00791137" w:rsidRPr="00791137">
              <w:rPr>
                <w:rFonts w:ascii="Arial" w:hAnsi="Arial" w:cs="Arial"/>
                <w:b w:val="0"/>
                <w:bCs w:val="0"/>
                <w:noProof/>
                <w:webHidden/>
                <w:sz w:val="24"/>
                <w:szCs w:val="24"/>
              </w:rPr>
              <w:fldChar w:fldCharType="end"/>
            </w:r>
          </w:hyperlink>
        </w:p>
        <w:p w14:paraId="0DBC8EFE" w14:textId="4FE591B9" w:rsidR="00791137" w:rsidRPr="00791137" w:rsidRDefault="009F1BAD" w:rsidP="00791137">
          <w:pPr>
            <w:pStyle w:val="TOC2"/>
            <w:tabs>
              <w:tab w:val="right" w:leader="dot" w:pos="9016"/>
            </w:tabs>
            <w:jc w:val="both"/>
            <w:rPr>
              <w:rFonts w:ascii="Arial" w:eastAsiaTheme="minorEastAsia" w:hAnsi="Arial" w:cs="Arial"/>
              <w:b w:val="0"/>
              <w:bCs w:val="0"/>
              <w:noProof/>
              <w:sz w:val="24"/>
              <w:szCs w:val="24"/>
              <w:lang w:val="en-IN" w:eastAsia="en-IN"/>
            </w:rPr>
          </w:pPr>
          <w:hyperlink w:anchor="_Toc213742679" w:history="1">
            <w:r w:rsidR="00791137" w:rsidRPr="00791137">
              <w:rPr>
                <w:rStyle w:val="Hyperlink"/>
                <w:rFonts w:ascii="Arial" w:hAnsi="Arial" w:cs="Arial"/>
                <w:b w:val="0"/>
                <w:bCs w:val="0"/>
                <w:noProof/>
                <w:color w:val="auto"/>
                <w:sz w:val="24"/>
                <w:szCs w:val="24"/>
              </w:rPr>
              <w:t>4.3 Comparative Analysis</w:t>
            </w:r>
            <w:r w:rsidR="00791137" w:rsidRPr="00791137">
              <w:rPr>
                <w:rFonts w:ascii="Arial" w:hAnsi="Arial" w:cs="Arial"/>
                <w:b w:val="0"/>
                <w:bCs w:val="0"/>
                <w:noProof/>
                <w:webHidden/>
                <w:sz w:val="24"/>
                <w:szCs w:val="24"/>
              </w:rPr>
              <w:tab/>
            </w:r>
            <w:r w:rsidR="00791137" w:rsidRPr="00791137">
              <w:rPr>
                <w:rFonts w:ascii="Arial" w:hAnsi="Arial" w:cs="Arial"/>
                <w:b w:val="0"/>
                <w:bCs w:val="0"/>
                <w:noProof/>
                <w:webHidden/>
                <w:sz w:val="24"/>
                <w:szCs w:val="24"/>
              </w:rPr>
              <w:fldChar w:fldCharType="begin"/>
            </w:r>
            <w:r w:rsidR="00791137" w:rsidRPr="00791137">
              <w:rPr>
                <w:rFonts w:ascii="Arial" w:hAnsi="Arial" w:cs="Arial"/>
                <w:b w:val="0"/>
                <w:bCs w:val="0"/>
                <w:noProof/>
                <w:webHidden/>
                <w:sz w:val="24"/>
                <w:szCs w:val="24"/>
              </w:rPr>
              <w:instrText xml:space="preserve"> PAGEREF _Toc213742679 \h </w:instrText>
            </w:r>
            <w:r w:rsidR="00791137" w:rsidRPr="00791137">
              <w:rPr>
                <w:rFonts w:ascii="Arial" w:hAnsi="Arial" w:cs="Arial"/>
                <w:b w:val="0"/>
                <w:bCs w:val="0"/>
                <w:noProof/>
                <w:webHidden/>
                <w:sz w:val="24"/>
                <w:szCs w:val="24"/>
              </w:rPr>
            </w:r>
            <w:r w:rsidR="00791137" w:rsidRPr="00791137">
              <w:rPr>
                <w:rFonts w:ascii="Arial" w:hAnsi="Arial" w:cs="Arial"/>
                <w:b w:val="0"/>
                <w:bCs w:val="0"/>
                <w:noProof/>
                <w:webHidden/>
                <w:sz w:val="24"/>
                <w:szCs w:val="24"/>
              </w:rPr>
              <w:fldChar w:fldCharType="separate"/>
            </w:r>
            <w:r w:rsidR="001E6385">
              <w:rPr>
                <w:rFonts w:ascii="Arial" w:hAnsi="Arial" w:cs="Arial"/>
                <w:b w:val="0"/>
                <w:bCs w:val="0"/>
                <w:noProof/>
                <w:webHidden/>
                <w:sz w:val="24"/>
                <w:szCs w:val="24"/>
              </w:rPr>
              <w:t>19</w:t>
            </w:r>
            <w:r w:rsidR="00791137" w:rsidRPr="00791137">
              <w:rPr>
                <w:rFonts w:ascii="Arial" w:hAnsi="Arial" w:cs="Arial"/>
                <w:b w:val="0"/>
                <w:bCs w:val="0"/>
                <w:noProof/>
                <w:webHidden/>
                <w:sz w:val="24"/>
                <w:szCs w:val="24"/>
              </w:rPr>
              <w:fldChar w:fldCharType="end"/>
            </w:r>
          </w:hyperlink>
        </w:p>
        <w:p w14:paraId="15C64D04" w14:textId="73975410" w:rsidR="00791137" w:rsidRPr="00791137" w:rsidRDefault="009F1BAD" w:rsidP="00791137">
          <w:pPr>
            <w:pStyle w:val="TOC2"/>
            <w:tabs>
              <w:tab w:val="right" w:leader="dot" w:pos="9016"/>
            </w:tabs>
            <w:jc w:val="both"/>
            <w:rPr>
              <w:rFonts w:ascii="Arial" w:eastAsiaTheme="minorEastAsia" w:hAnsi="Arial" w:cs="Arial"/>
              <w:b w:val="0"/>
              <w:bCs w:val="0"/>
              <w:noProof/>
              <w:sz w:val="24"/>
              <w:szCs w:val="24"/>
              <w:lang w:val="en-IN" w:eastAsia="en-IN"/>
            </w:rPr>
          </w:pPr>
          <w:hyperlink w:anchor="_Toc213742680" w:history="1">
            <w:r w:rsidR="00791137" w:rsidRPr="00791137">
              <w:rPr>
                <w:rStyle w:val="Hyperlink"/>
                <w:rFonts w:ascii="Arial" w:hAnsi="Arial" w:cs="Arial"/>
                <w:b w:val="0"/>
                <w:bCs w:val="0"/>
                <w:noProof/>
                <w:color w:val="auto"/>
                <w:sz w:val="24"/>
                <w:szCs w:val="24"/>
              </w:rPr>
              <w:t>4.4 Capital Rationing Decision</w:t>
            </w:r>
            <w:r w:rsidR="00791137" w:rsidRPr="00791137">
              <w:rPr>
                <w:rFonts w:ascii="Arial" w:hAnsi="Arial" w:cs="Arial"/>
                <w:b w:val="0"/>
                <w:bCs w:val="0"/>
                <w:noProof/>
                <w:webHidden/>
                <w:sz w:val="24"/>
                <w:szCs w:val="24"/>
              </w:rPr>
              <w:tab/>
            </w:r>
            <w:r w:rsidR="00791137" w:rsidRPr="00791137">
              <w:rPr>
                <w:rFonts w:ascii="Arial" w:hAnsi="Arial" w:cs="Arial"/>
                <w:b w:val="0"/>
                <w:bCs w:val="0"/>
                <w:noProof/>
                <w:webHidden/>
                <w:sz w:val="24"/>
                <w:szCs w:val="24"/>
              </w:rPr>
              <w:fldChar w:fldCharType="begin"/>
            </w:r>
            <w:r w:rsidR="00791137" w:rsidRPr="00791137">
              <w:rPr>
                <w:rFonts w:ascii="Arial" w:hAnsi="Arial" w:cs="Arial"/>
                <w:b w:val="0"/>
                <w:bCs w:val="0"/>
                <w:noProof/>
                <w:webHidden/>
                <w:sz w:val="24"/>
                <w:szCs w:val="24"/>
              </w:rPr>
              <w:instrText xml:space="preserve"> PAGEREF _Toc213742680 \h </w:instrText>
            </w:r>
            <w:r w:rsidR="00791137" w:rsidRPr="00791137">
              <w:rPr>
                <w:rFonts w:ascii="Arial" w:hAnsi="Arial" w:cs="Arial"/>
                <w:b w:val="0"/>
                <w:bCs w:val="0"/>
                <w:noProof/>
                <w:webHidden/>
                <w:sz w:val="24"/>
                <w:szCs w:val="24"/>
              </w:rPr>
            </w:r>
            <w:r w:rsidR="00791137" w:rsidRPr="00791137">
              <w:rPr>
                <w:rFonts w:ascii="Arial" w:hAnsi="Arial" w:cs="Arial"/>
                <w:b w:val="0"/>
                <w:bCs w:val="0"/>
                <w:noProof/>
                <w:webHidden/>
                <w:sz w:val="24"/>
                <w:szCs w:val="24"/>
              </w:rPr>
              <w:fldChar w:fldCharType="separate"/>
            </w:r>
            <w:r w:rsidR="001E6385">
              <w:rPr>
                <w:rFonts w:ascii="Arial" w:hAnsi="Arial" w:cs="Arial"/>
                <w:b w:val="0"/>
                <w:bCs w:val="0"/>
                <w:noProof/>
                <w:webHidden/>
                <w:sz w:val="24"/>
                <w:szCs w:val="24"/>
              </w:rPr>
              <w:t>20</w:t>
            </w:r>
            <w:r w:rsidR="00791137" w:rsidRPr="00791137">
              <w:rPr>
                <w:rFonts w:ascii="Arial" w:hAnsi="Arial" w:cs="Arial"/>
                <w:b w:val="0"/>
                <w:bCs w:val="0"/>
                <w:noProof/>
                <w:webHidden/>
                <w:sz w:val="24"/>
                <w:szCs w:val="24"/>
              </w:rPr>
              <w:fldChar w:fldCharType="end"/>
            </w:r>
          </w:hyperlink>
        </w:p>
        <w:p w14:paraId="73854268" w14:textId="6CD7C53C" w:rsidR="00791137" w:rsidRPr="00791137" w:rsidRDefault="009F1BAD" w:rsidP="00791137">
          <w:pPr>
            <w:pStyle w:val="TOC2"/>
            <w:tabs>
              <w:tab w:val="right" w:leader="dot" w:pos="9016"/>
            </w:tabs>
            <w:jc w:val="both"/>
            <w:rPr>
              <w:rFonts w:ascii="Arial" w:eastAsiaTheme="minorEastAsia" w:hAnsi="Arial" w:cs="Arial"/>
              <w:b w:val="0"/>
              <w:bCs w:val="0"/>
              <w:noProof/>
              <w:sz w:val="24"/>
              <w:szCs w:val="24"/>
              <w:lang w:val="en-IN" w:eastAsia="en-IN"/>
            </w:rPr>
          </w:pPr>
          <w:hyperlink w:anchor="_Toc213742681" w:history="1">
            <w:r w:rsidR="00791137" w:rsidRPr="00791137">
              <w:rPr>
                <w:rStyle w:val="Hyperlink"/>
                <w:rFonts w:ascii="Arial" w:hAnsi="Arial" w:cs="Arial"/>
                <w:b w:val="0"/>
                <w:bCs w:val="0"/>
                <w:noProof/>
                <w:color w:val="auto"/>
                <w:sz w:val="24"/>
                <w:szCs w:val="24"/>
              </w:rPr>
              <w:t>4.5 Recommendations</w:t>
            </w:r>
            <w:r w:rsidR="00791137" w:rsidRPr="00791137">
              <w:rPr>
                <w:rFonts w:ascii="Arial" w:hAnsi="Arial" w:cs="Arial"/>
                <w:b w:val="0"/>
                <w:bCs w:val="0"/>
                <w:noProof/>
                <w:webHidden/>
                <w:sz w:val="24"/>
                <w:szCs w:val="24"/>
              </w:rPr>
              <w:tab/>
            </w:r>
            <w:r w:rsidR="00791137" w:rsidRPr="00791137">
              <w:rPr>
                <w:rFonts w:ascii="Arial" w:hAnsi="Arial" w:cs="Arial"/>
                <w:b w:val="0"/>
                <w:bCs w:val="0"/>
                <w:noProof/>
                <w:webHidden/>
                <w:sz w:val="24"/>
                <w:szCs w:val="24"/>
              </w:rPr>
              <w:fldChar w:fldCharType="begin"/>
            </w:r>
            <w:r w:rsidR="00791137" w:rsidRPr="00791137">
              <w:rPr>
                <w:rFonts w:ascii="Arial" w:hAnsi="Arial" w:cs="Arial"/>
                <w:b w:val="0"/>
                <w:bCs w:val="0"/>
                <w:noProof/>
                <w:webHidden/>
                <w:sz w:val="24"/>
                <w:szCs w:val="24"/>
              </w:rPr>
              <w:instrText xml:space="preserve"> PAGEREF _Toc213742681 \h </w:instrText>
            </w:r>
            <w:r w:rsidR="00791137" w:rsidRPr="00791137">
              <w:rPr>
                <w:rFonts w:ascii="Arial" w:hAnsi="Arial" w:cs="Arial"/>
                <w:b w:val="0"/>
                <w:bCs w:val="0"/>
                <w:noProof/>
                <w:webHidden/>
                <w:sz w:val="24"/>
                <w:szCs w:val="24"/>
              </w:rPr>
            </w:r>
            <w:r w:rsidR="00791137" w:rsidRPr="00791137">
              <w:rPr>
                <w:rFonts w:ascii="Arial" w:hAnsi="Arial" w:cs="Arial"/>
                <w:b w:val="0"/>
                <w:bCs w:val="0"/>
                <w:noProof/>
                <w:webHidden/>
                <w:sz w:val="24"/>
                <w:szCs w:val="24"/>
              </w:rPr>
              <w:fldChar w:fldCharType="separate"/>
            </w:r>
            <w:r w:rsidR="001E6385">
              <w:rPr>
                <w:rFonts w:ascii="Arial" w:hAnsi="Arial" w:cs="Arial"/>
                <w:b w:val="0"/>
                <w:bCs w:val="0"/>
                <w:noProof/>
                <w:webHidden/>
                <w:sz w:val="24"/>
                <w:szCs w:val="24"/>
              </w:rPr>
              <w:t>21</w:t>
            </w:r>
            <w:r w:rsidR="00791137" w:rsidRPr="00791137">
              <w:rPr>
                <w:rFonts w:ascii="Arial" w:hAnsi="Arial" w:cs="Arial"/>
                <w:b w:val="0"/>
                <w:bCs w:val="0"/>
                <w:noProof/>
                <w:webHidden/>
                <w:sz w:val="24"/>
                <w:szCs w:val="24"/>
              </w:rPr>
              <w:fldChar w:fldCharType="end"/>
            </w:r>
          </w:hyperlink>
        </w:p>
        <w:p w14:paraId="5A517336" w14:textId="7A262C9C" w:rsidR="00791137" w:rsidRPr="00791137" w:rsidRDefault="009F1BAD" w:rsidP="00791137">
          <w:pPr>
            <w:pStyle w:val="TOC1"/>
            <w:tabs>
              <w:tab w:val="right" w:leader="dot" w:pos="9016"/>
            </w:tabs>
            <w:jc w:val="both"/>
            <w:rPr>
              <w:rFonts w:ascii="Arial" w:eastAsiaTheme="minorEastAsia" w:hAnsi="Arial" w:cs="Arial"/>
              <w:b w:val="0"/>
              <w:bCs w:val="0"/>
              <w:i w:val="0"/>
              <w:iCs w:val="0"/>
              <w:noProof/>
              <w:lang w:val="en-IN" w:eastAsia="en-IN"/>
            </w:rPr>
          </w:pPr>
          <w:hyperlink w:anchor="_Toc213742682" w:history="1">
            <w:r w:rsidR="00791137" w:rsidRPr="00791137">
              <w:rPr>
                <w:rStyle w:val="Hyperlink"/>
                <w:rFonts w:ascii="Arial" w:hAnsi="Arial" w:cs="Arial"/>
                <w:b w:val="0"/>
                <w:bCs w:val="0"/>
                <w:i w:val="0"/>
                <w:iCs w:val="0"/>
                <w:noProof/>
                <w:color w:val="auto"/>
              </w:rPr>
              <w:t>Conclusion</w:t>
            </w:r>
            <w:r w:rsidR="00791137" w:rsidRPr="00791137">
              <w:rPr>
                <w:rFonts w:ascii="Arial" w:hAnsi="Arial" w:cs="Arial"/>
                <w:b w:val="0"/>
                <w:bCs w:val="0"/>
                <w:i w:val="0"/>
                <w:iCs w:val="0"/>
                <w:noProof/>
                <w:webHidden/>
              </w:rPr>
              <w:tab/>
            </w:r>
            <w:r w:rsidR="00791137" w:rsidRPr="00791137">
              <w:rPr>
                <w:rFonts w:ascii="Arial" w:hAnsi="Arial" w:cs="Arial"/>
                <w:b w:val="0"/>
                <w:bCs w:val="0"/>
                <w:i w:val="0"/>
                <w:iCs w:val="0"/>
                <w:noProof/>
                <w:webHidden/>
              </w:rPr>
              <w:fldChar w:fldCharType="begin"/>
            </w:r>
            <w:r w:rsidR="00791137" w:rsidRPr="00791137">
              <w:rPr>
                <w:rFonts w:ascii="Arial" w:hAnsi="Arial" w:cs="Arial"/>
                <w:b w:val="0"/>
                <w:bCs w:val="0"/>
                <w:i w:val="0"/>
                <w:iCs w:val="0"/>
                <w:noProof/>
                <w:webHidden/>
              </w:rPr>
              <w:instrText xml:space="preserve"> PAGEREF _Toc213742682 \h </w:instrText>
            </w:r>
            <w:r w:rsidR="00791137" w:rsidRPr="00791137">
              <w:rPr>
                <w:rFonts w:ascii="Arial" w:hAnsi="Arial" w:cs="Arial"/>
                <w:b w:val="0"/>
                <w:bCs w:val="0"/>
                <w:i w:val="0"/>
                <w:iCs w:val="0"/>
                <w:noProof/>
                <w:webHidden/>
              </w:rPr>
            </w:r>
            <w:r w:rsidR="00791137" w:rsidRPr="00791137">
              <w:rPr>
                <w:rFonts w:ascii="Arial" w:hAnsi="Arial" w:cs="Arial"/>
                <w:b w:val="0"/>
                <w:bCs w:val="0"/>
                <w:i w:val="0"/>
                <w:iCs w:val="0"/>
                <w:noProof/>
                <w:webHidden/>
              </w:rPr>
              <w:fldChar w:fldCharType="separate"/>
            </w:r>
            <w:r w:rsidR="001E6385">
              <w:rPr>
                <w:rFonts w:ascii="Arial" w:hAnsi="Arial" w:cs="Arial"/>
                <w:b w:val="0"/>
                <w:bCs w:val="0"/>
                <w:i w:val="0"/>
                <w:iCs w:val="0"/>
                <w:noProof/>
                <w:webHidden/>
              </w:rPr>
              <w:t>22</w:t>
            </w:r>
            <w:r w:rsidR="00791137" w:rsidRPr="00791137">
              <w:rPr>
                <w:rFonts w:ascii="Arial" w:hAnsi="Arial" w:cs="Arial"/>
                <w:b w:val="0"/>
                <w:bCs w:val="0"/>
                <w:i w:val="0"/>
                <w:iCs w:val="0"/>
                <w:noProof/>
                <w:webHidden/>
              </w:rPr>
              <w:fldChar w:fldCharType="end"/>
            </w:r>
          </w:hyperlink>
        </w:p>
        <w:p w14:paraId="01BDB9F5" w14:textId="6D5EE20C" w:rsidR="00791137" w:rsidRPr="00791137" w:rsidRDefault="009F1BAD" w:rsidP="00791137">
          <w:pPr>
            <w:pStyle w:val="TOC1"/>
            <w:tabs>
              <w:tab w:val="right" w:leader="dot" w:pos="9016"/>
            </w:tabs>
            <w:jc w:val="both"/>
            <w:rPr>
              <w:rFonts w:ascii="Arial" w:eastAsiaTheme="minorEastAsia" w:hAnsi="Arial" w:cs="Arial"/>
              <w:b w:val="0"/>
              <w:bCs w:val="0"/>
              <w:i w:val="0"/>
              <w:iCs w:val="0"/>
              <w:noProof/>
              <w:lang w:val="en-IN" w:eastAsia="en-IN"/>
            </w:rPr>
          </w:pPr>
          <w:hyperlink w:anchor="_Toc213742683" w:history="1">
            <w:r w:rsidR="00791137" w:rsidRPr="00791137">
              <w:rPr>
                <w:rStyle w:val="Hyperlink"/>
                <w:rFonts w:ascii="Arial" w:hAnsi="Arial" w:cs="Arial"/>
                <w:b w:val="0"/>
                <w:bCs w:val="0"/>
                <w:i w:val="0"/>
                <w:iCs w:val="0"/>
                <w:noProof/>
                <w:color w:val="auto"/>
              </w:rPr>
              <w:t>References</w:t>
            </w:r>
            <w:r w:rsidR="00791137" w:rsidRPr="00791137">
              <w:rPr>
                <w:rFonts w:ascii="Arial" w:hAnsi="Arial" w:cs="Arial"/>
                <w:b w:val="0"/>
                <w:bCs w:val="0"/>
                <w:i w:val="0"/>
                <w:iCs w:val="0"/>
                <w:noProof/>
                <w:webHidden/>
              </w:rPr>
              <w:tab/>
            </w:r>
            <w:r w:rsidR="00791137" w:rsidRPr="00791137">
              <w:rPr>
                <w:rFonts w:ascii="Arial" w:hAnsi="Arial" w:cs="Arial"/>
                <w:b w:val="0"/>
                <w:bCs w:val="0"/>
                <w:i w:val="0"/>
                <w:iCs w:val="0"/>
                <w:noProof/>
                <w:webHidden/>
              </w:rPr>
              <w:fldChar w:fldCharType="begin"/>
            </w:r>
            <w:r w:rsidR="00791137" w:rsidRPr="00791137">
              <w:rPr>
                <w:rFonts w:ascii="Arial" w:hAnsi="Arial" w:cs="Arial"/>
                <w:b w:val="0"/>
                <w:bCs w:val="0"/>
                <w:i w:val="0"/>
                <w:iCs w:val="0"/>
                <w:noProof/>
                <w:webHidden/>
              </w:rPr>
              <w:instrText xml:space="preserve"> PAGEREF _Toc213742683 \h </w:instrText>
            </w:r>
            <w:r w:rsidR="00791137" w:rsidRPr="00791137">
              <w:rPr>
                <w:rFonts w:ascii="Arial" w:hAnsi="Arial" w:cs="Arial"/>
                <w:b w:val="0"/>
                <w:bCs w:val="0"/>
                <w:i w:val="0"/>
                <w:iCs w:val="0"/>
                <w:noProof/>
                <w:webHidden/>
              </w:rPr>
            </w:r>
            <w:r w:rsidR="00791137" w:rsidRPr="00791137">
              <w:rPr>
                <w:rFonts w:ascii="Arial" w:hAnsi="Arial" w:cs="Arial"/>
                <w:b w:val="0"/>
                <w:bCs w:val="0"/>
                <w:i w:val="0"/>
                <w:iCs w:val="0"/>
                <w:noProof/>
                <w:webHidden/>
              </w:rPr>
              <w:fldChar w:fldCharType="separate"/>
            </w:r>
            <w:r w:rsidR="001E6385">
              <w:rPr>
                <w:rFonts w:ascii="Arial" w:hAnsi="Arial" w:cs="Arial"/>
                <w:b w:val="0"/>
                <w:bCs w:val="0"/>
                <w:i w:val="0"/>
                <w:iCs w:val="0"/>
                <w:noProof/>
                <w:webHidden/>
              </w:rPr>
              <w:t>23</w:t>
            </w:r>
            <w:r w:rsidR="00791137" w:rsidRPr="00791137">
              <w:rPr>
                <w:rFonts w:ascii="Arial" w:hAnsi="Arial" w:cs="Arial"/>
                <w:b w:val="0"/>
                <w:bCs w:val="0"/>
                <w:i w:val="0"/>
                <w:iCs w:val="0"/>
                <w:noProof/>
                <w:webHidden/>
              </w:rPr>
              <w:fldChar w:fldCharType="end"/>
            </w:r>
          </w:hyperlink>
        </w:p>
        <w:p w14:paraId="6693AF96" w14:textId="254D6D31" w:rsidR="00791137" w:rsidRPr="00791137" w:rsidRDefault="009F1BAD" w:rsidP="00791137">
          <w:pPr>
            <w:pStyle w:val="TOC1"/>
            <w:tabs>
              <w:tab w:val="right" w:leader="dot" w:pos="9016"/>
            </w:tabs>
            <w:jc w:val="both"/>
            <w:rPr>
              <w:rFonts w:ascii="Arial" w:eastAsiaTheme="minorEastAsia" w:hAnsi="Arial" w:cs="Arial"/>
              <w:b w:val="0"/>
              <w:bCs w:val="0"/>
              <w:i w:val="0"/>
              <w:iCs w:val="0"/>
              <w:noProof/>
              <w:lang w:val="en-IN" w:eastAsia="en-IN"/>
            </w:rPr>
          </w:pPr>
          <w:hyperlink w:anchor="_Toc213742684" w:history="1">
            <w:r w:rsidR="00791137" w:rsidRPr="00791137">
              <w:rPr>
                <w:rStyle w:val="Hyperlink"/>
                <w:rFonts w:ascii="Arial" w:hAnsi="Arial" w:cs="Arial"/>
                <w:b w:val="0"/>
                <w:bCs w:val="0"/>
                <w:i w:val="0"/>
                <w:iCs w:val="0"/>
                <w:noProof/>
                <w:color w:val="auto"/>
              </w:rPr>
              <w:t>Appendices</w:t>
            </w:r>
            <w:r w:rsidR="00791137" w:rsidRPr="00791137">
              <w:rPr>
                <w:rFonts w:ascii="Arial" w:hAnsi="Arial" w:cs="Arial"/>
                <w:b w:val="0"/>
                <w:bCs w:val="0"/>
                <w:i w:val="0"/>
                <w:iCs w:val="0"/>
                <w:noProof/>
                <w:webHidden/>
              </w:rPr>
              <w:tab/>
            </w:r>
            <w:r w:rsidR="00791137" w:rsidRPr="00791137">
              <w:rPr>
                <w:rFonts w:ascii="Arial" w:hAnsi="Arial" w:cs="Arial"/>
                <w:b w:val="0"/>
                <w:bCs w:val="0"/>
                <w:i w:val="0"/>
                <w:iCs w:val="0"/>
                <w:noProof/>
                <w:webHidden/>
              </w:rPr>
              <w:fldChar w:fldCharType="begin"/>
            </w:r>
            <w:r w:rsidR="00791137" w:rsidRPr="00791137">
              <w:rPr>
                <w:rFonts w:ascii="Arial" w:hAnsi="Arial" w:cs="Arial"/>
                <w:b w:val="0"/>
                <w:bCs w:val="0"/>
                <w:i w:val="0"/>
                <w:iCs w:val="0"/>
                <w:noProof/>
                <w:webHidden/>
              </w:rPr>
              <w:instrText xml:space="preserve"> PAGEREF _Toc213742684 \h </w:instrText>
            </w:r>
            <w:r w:rsidR="00791137" w:rsidRPr="00791137">
              <w:rPr>
                <w:rFonts w:ascii="Arial" w:hAnsi="Arial" w:cs="Arial"/>
                <w:b w:val="0"/>
                <w:bCs w:val="0"/>
                <w:i w:val="0"/>
                <w:iCs w:val="0"/>
                <w:noProof/>
                <w:webHidden/>
              </w:rPr>
            </w:r>
            <w:r w:rsidR="00791137" w:rsidRPr="00791137">
              <w:rPr>
                <w:rFonts w:ascii="Arial" w:hAnsi="Arial" w:cs="Arial"/>
                <w:b w:val="0"/>
                <w:bCs w:val="0"/>
                <w:i w:val="0"/>
                <w:iCs w:val="0"/>
                <w:noProof/>
                <w:webHidden/>
              </w:rPr>
              <w:fldChar w:fldCharType="separate"/>
            </w:r>
            <w:r w:rsidR="001E6385">
              <w:rPr>
                <w:rFonts w:ascii="Arial" w:hAnsi="Arial" w:cs="Arial"/>
                <w:b w:val="0"/>
                <w:bCs w:val="0"/>
                <w:i w:val="0"/>
                <w:iCs w:val="0"/>
                <w:noProof/>
                <w:webHidden/>
              </w:rPr>
              <w:t>28</w:t>
            </w:r>
            <w:r w:rsidR="00791137" w:rsidRPr="00791137">
              <w:rPr>
                <w:rFonts w:ascii="Arial" w:hAnsi="Arial" w:cs="Arial"/>
                <w:b w:val="0"/>
                <w:bCs w:val="0"/>
                <w:i w:val="0"/>
                <w:iCs w:val="0"/>
                <w:noProof/>
                <w:webHidden/>
              </w:rPr>
              <w:fldChar w:fldCharType="end"/>
            </w:r>
          </w:hyperlink>
        </w:p>
        <w:p w14:paraId="4AC4078D" w14:textId="7DD5CD0D" w:rsidR="00791137" w:rsidRPr="00791137" w:rsidRDefault="009F1BAD" w:rsidP="00791137">
          <w:pPr>
            <w:pStyle w:val="TOC2"/>
            <w:tabs>
              <w:tab w:val="right" w:leader="dot" w:pos="9016"/>
            </w:tabs>
            <w:jc w:val="both"/>
            <w:rPr>
              <w:rFonts w:ascii="Arial" w:eastAsiaTheme="minorEastAsia" w:hAnsi="Arial" w:cs="Arial"/>
              <w:b w:val="0"/>
              <w:bCs w:val="0"/>
              <w:noProof/>
              <w:sz w:val="24"/>
              <w:szCs w:val="24"/>
              <w:lang w:val="en-IN" w:eastAsia="en-IN"/>
            </w:rPr>
          </w:pPr>
          <w:hyperlink w:anchor="_Toc213742685" w:history="1">
            <w:r w:rsidR="00791137" w:rsidRPr="00791137">
              <w:rPr>
                <w:rStyle w:val="Hyperlink"/>
                <w:rFonts w:ascii="Arial" w:hAnsi="Arial" w:cs="Arial"/>
                <w:b w:val="0"/>
                <w:bCs w:val="0"/>
                <w:noProof/>
                <w:color w:val="auto"/>
                <w:sz w:val="24"/>
                <w:szCs w:val="24"/>
              </w:rPr>
              <w:t>Appendix 1: Ratio tables and graphs</w:t>
            </w:r>
            <w:r w:rsidR="00791137" w:rsidRPr="00791137">
              <w:rPr>
                <w:rFonts w:ascii="Arial" w:hAnsi="Arial" w:cs="Arial"/>
                <w:b w:val="0"/>
                <w:bCs w:val="0"/>
                <w:noProof/>
                <w:webHidden/>
                <w:sz w:val="24"/>
                <w:szCs w:val="24"/>
              </w:rPr>
              <w:tab/>
            </w:r>
            <w:r w:rsidR="00791137" w:rsidRPr="00791137">
              <w:rPr>
                <w:rFonts w:ascii="Arial" w:hAnsi="Arial" w:cs="Arial"/>
                <w:b w:val="0"/>
                <w:bCs w:val="0"/>
                <w:noProof/>
                <w:webHidden/>
                <w:sz w:val="24"/>
                <w:szCs w:val="24"/>
              </w:rPr>
              <w:fldChar w:fldCharType="begin"/>
            </w:r>
            <w:r w:rsidR="00791137" w:rsidRPr="00791137">
              <w:rPr>
                <w:rFonts w:ascii="Arial" w:hAnsi="Arial" w:cs="Arial"/>
                <w:b w:val="0"/>
                <w:bCs w:val="0"/>
                <w:noProof/>
                <w:webHidden/>
                <w:sz w:val="24"/>
                <w:szCs w:val="24"/>
              </w:rPr>
              <w:instrText xml:space="preserve"> PAGEREF _Toc213742685 \h </w:instrText>
            </w:r>
            <w:r w:rsidR="00791137" w:rsidRPr="00791137">
              <w:rPr>
                <w:rFonts w:ascii="Arial" w:hAnsi="Arial" w:cs="Arial"/>
                <w:b w:val="0"/>
                <w:bCs w:val="0"/>
                <w:noProof/>
                <w:webHidden/>
                <w:sz w:val="24"/>
                <w:szCs w:val="24"/>
              </w:rPr>
            </w:r>
            <w:r w:rsidR="00791137" w:rsidRPr="00791137">
              <w:rPr>
                <w:rFonts w:ascii="Arial" w:hAnsi="Arial" w:cs="Arial"/>
                <w:b w:val="0"/>
                <w:bCs w:val="0"/>
                <w:noProof/>
                <w:webHidden/>
                <w:sz w:val="24"/>
                <w:szCs w:val="24"/>
              </w:rPr>
              <w:fldChar w:fldCharType="separate"/>
            </w:r>
            <w:r w:rsidR="001E6385">
              <w:rPr>
                <w:rFonts w:ascii="Arial" w:hAnsi="Arial" w:cs="Arial"/>
                <w:b w:val="0"/>
                <w:bCs w:val="0"/>
                <w:noProof/>
                <w:webHidden/>
                <w:sz w:val="24"/>
                <w:szCs w:val="24"/>
              </w:rPr>
              <w:t>28</w:t>
            </w:r>
            <w:r w:rsidR="00791137" w:rsidRPr="00791137">
              <w:rPr>
                <w:rFonts w:ascii="Arial" w:hAnsi="Arial" w:cs="Arial"/>
                <w:b w:val="0"/>
                <w:bCs w:val="0"/>
                <w:noProof/>
                <w:webHidden/>
                <w:sz w:val="24"/>
                <w:szCs w:val="24"/>
              </w:rPr>
              <w:fldChar w:fldCharType="end"/>
            </w:r>
          </w:hyperlink>
        </w:p>
        <w:p w14:paraId="5D6298F1" w14:textId="0AE82A17" w:rsidR="00791137" w:rsidRPr="00791137" w:rsidRDefault="009F1BAD" w:rsidP="00791137">
          <w:pPr>
            <w:pStyle w:val="TOC2"/>
            <w:tabs>
              <w:tab w:val="right" w:leader="dot" w:pos="9016"/>
            </w:tabs>
            <w:jc w:val="both"/>
            <w:rPr>
              <w:rFonts w:ascii="Arial" w:eastAsiaTheme="minorEastAsia" w:hAnsi="Arial" w:cs="Arial"/>
              <w:b w:val="0"/>
              <w:bCs w:val="0"/>
              <w:noProof/>
              <w:sz w:val="24"/>
              <w:szCs w:val="24"/>
              <w:lang w:val="en-IN" w:eastAsia="en-IN"/>
            </w:rPr>
          </w:pPr>
          <w:hyperlink w:anchor="_Toc213742686" w:history="1">
            <w:r w:rsidR="00791137" w:rsidRPr="00791137">
              <w:rPr>
                <w:rStyle w:val="Hyperlink"/>
                <w:rFonts w:ascii="Arial" w:hAnsi="Arial" w:cs="Arial"/>
                <w:b w:val="0"/>
                <w:bCs w:val="0"/>
                <w:noProof/>
                <w:color w:val="auto"/>
                <w:sz w:val="24"/>
                <w:szCs w:val="24"/>
              </w:rPr>
              <w:t>Appendix 2: Investment appraisal calculations</w:t>
            </w:r>
            <w:r w:rsidR="00791137" w:rsidRPr="00791137">
              <w:rPr>
                <w:rFonts w:ascii="Arial" w:hAnsi="Arial" w:cs="Arial"/>
                <w:b w:val="0"/>
                <w:bCs w:val="0"/>
                <w:noProof/>
                <w:webHidden/>
                <w:sz w:val="24"/>
                <w:szCs w:val="24"/>
              </w:rPr>
              <w:tab/>
            </w:r>
            <w:r w:rsidR="00791137" w:rsidRPr="00791137">
              <w:rPr>
                <w:rFonts w:ascii="Arial" w:hAnsi="Arial" w:cs="Arial"/>
                <w:b w:val="0"/>
                <w:bCs w:val="0"/>
                <w:noProof/>
                <w:webHidden/>
                <w:sz w:val="24"/>
                <w:szCs w:val="24"/>
              </w:rPr>
              <w:fldChar w:fldCharType="begin"/>
            </w:r>
            <w:r w:rsidR="00791137" w:rsidRPr="00791137">
              <w:rPr>
                <w:rFonts w:ascii="Arial" w:hAnsi="Arial" w:cs="Arial"/>
                <w:b w:val="0"/>
                <w:bCs w:val="0"/>
                <w:noProof/>
                <w:webHidden/>
                <w:sz w:val="24"/>
                <w:szCs w:val="24"/>
              </w:rPr>
              <w:instrText xml:space="preserve"> PAGEREF _Toc213742686 \h </w:instrText>
            </w:r>
            <w:r w:rsidR="00791137" w:rsidRPr="00791137">
              <w:rPr>
                <w:rFonts w:ascii="Arial" w:hAnsi="Arial" w:cs="Arial"/>
                <w:b w:val="0"/>
                <w:bCs w:val="0"/>
                <w:noProof/>
                <w:webHidden/>
                <w:sz w:val="24"/>
                <w:szCs w:val="24"/>
              </w:rPr>
            </w:r>
            <w:r w:rsidR="00791137" w:rsidRPr="00791137">
              <w:rPr>
                <w:rFonts w:ascii="Arial" w:hAnsi="Arial" w:cs="Arial"/>
                <w:b w:val="0"/>
                <w:bCs w:val="0"/>
                <w:noProof/>
                <w:webHidden/>
                <w:sz w:val="24"/>
                <w:szCs w:val="24"/>
              </w:rPr>
              <w:fldChar w:fldCharType="separate"/>
            </w:r>
            <w:r w:rsidR="001E6385">
              <w:rPr>
                <w:rFonts w:ascii="Arial" w:hAnsi="Arial" w:cs="Arial"/>
                <w:b w:val="0"/>
                <w:bCs w:val="0"/>
                <w:noProof/>
                <w:webHidden/>
                <w:sz w:val="24"/>
                <w:szCs w:val="24"/>
              </w:rPr>
              <w:t>33</w:t>
            </w:r>
            <w:r w:rsidR="00791137" w:rsidRPr="00791137">
              <w:rPr>
                <w:rFonts w:ascii="Arial" w:hAnsi="Arial" w:cs="Arial"/>
                <w:b w:val="0"/>
                <w:bCs w:val="0"/>
                <w:noProof/>
                <w:webHidden/>
                <w:sz w:val="24"/>
                <w:szCs w:val="24"/>
              </w:rPr>
              <w:fldChar w:fldCharType="end"/>
            </w:r>
          </w:hyperlink>
        </w:p>
        <w:p w14:paraId="757F6802" w14:textId="2A9244E5" w:rsidR="00397A32" w:rsidRPr="00543458" w:rsidRDefault="00397A32" w:rsidP="00791137">
          <w:pPr>
            <w:rPr>
              <w:rFonts w:ascii="Arial" w:hAnsi="Arial" w:cs="Arial"/>
            </w:rPr>
          </w:pPr>
          <w:r w:rsidRPr="00791137">
            <w:rPr>
              <w:rFonts w:ascii="Arial" w:hAnsi="Arial" w:cs="Arial"/>
              <w:noProof/>
            </w:rPr>
            <w:fldChar w:fldCharType="end"/>
          </w:r>
        </w:p>
      </w:sdtContent>
    </w:sdt>
    <w:p w14:paraId="00000001" w14:textId="5B7691D2" w:rsidR="00D8667D" w:rsidRPr="00543458" w:rsidRDefault="008B59A6" w:rsidP="00543458">
      <w:pPr>
        <w:pStyle w:val="Title"/>
        <w:rPr>
          <w:rFonts w:ascii="Arial" w:hAnsi="Arial" w:cs="Arial"/>
          <w:lang w:val="en-GB"/>
        </w:rPr>
      </w:pPr>
      <w:r w:rsidRPr="00543458">
        <w:rPr>
          <w:rFonts w:ascii="Arial" w:hAnsi="Arial" w:cs="Arial"/>
          <w:lang w:val="en-GB"/>
        </w:rPr>
        <w:br w:type="page"/>
      </w:r>
    </w:p>
    <w:p w14:paraId="21667686" w14:textId="309315EA" w:rsidR="00E35668" w:rsidRPr="001E6385" w:rsidRDefault="00E35668" w:rsidP="001E6385">
      <w:pPr>
        <w:pStyle w:val="Heading1"/>
      </w:pPr>
      <w:bookmarkStart w:id="2" w:name="_287hvhdji19" w:colFirst="0" w:colLast="0"/>
      <w:bookmarkStart w:id="3" w:name="_Toc213742658"/>
      <w:bookmarkEnd w:id="2"/>
      <w:r w:rsidRPr="001E6385">
        <w:lastRenderedPageBreak/>
        <w:t>Introduction</w:t>
      </w:r>
      <w:bookmarkEnd w:id="3"/>
    </w:p>
    <w:p w14:paraId="3F78CB2B" w14:textId="77777777" w:rsidR="00A85B02" w:rsidRPr="001E6385" w:rsidRDefault="00A85B02" w:rsidP="001E6385">
      <w:pPr>
        <w:rPr>
          <w:rFonts w:ascii="Arial" w:hAnsi="Arial" w:cs="Arial"/>
          <w:lang w:val="en-GB"/>
        </w:rPr>
      </w:pPr>
    </w:p>
    <w:p w14:paraId="1ADA1989" w14:textId="186FEB36" w:rsidR="00E35668" w:rsidRPr="001E6385" w:rsidRDefault="0057536E" w:rsidP="001E6385">
      <w:pPr>
        <w:rPr>
          <w:rFonts w:ascii="Arial" w:hAnsi="Arial" w:cs="Arial"/>
          <w:lang w:val="en-GB"/>
        </w:rPr>
      </w:pPr>
      <w:r w:rsidRPr="001E6385">
        <w:rPr>
          <w:rFonts w:ascii="Arial" w:hAnsi="Arial" w:cs="Arial"/>
          <w:lang w:val="en-GB"/>
        </w:rPr>
        <w:t xml:space="preserve">Investment appraisal is a very important part of establishing projects that will provide long-term profits and also correspond to the turnaround objectives of the firm. </w:t>
      </w:r>
      <w:r w:rsidR="003D3CB6" w:rsidRPr="001E6385">
        <w:rPr>
          <w:rFonts w:ascii="Arial" w:hAnsi="Arial" w:cs="Arial"/>
          <w:lang w:val="en-GB"/>
        </w:rPr>
        <w:t>In context to predict cases or probabilities of corporate failure, asset realignment and retrenchment are key measures that can help prevent insolvency.</w:t>
      </w:r>
      <w:r w:rsidRPr="001E6385">
        <w:rPr>
          <w:rFonts w:ascii="Arial" w:hAnsi="Arial" w:cs="Arial"/>
          <w:lang w:val="en-GB"/>
        </w:rPr>
        <w:t xml:space="preserve"> Acquisitions and restructuring are the methods that can help to increase the level of competitive advantage and guarantee long-term sustainability. General Electronics is in dire financial distress, its profitability is dropping and its liquidity is tightening, as well as it is getting more leveraged. The financial reorganisation is, therefore, the strategic option that is needed to put its operations back on its feet, revive investor trust, and allow growth in the long term.</w:t>
      </w:r>
    </w:p>
    <w:p w14:paraId="181706A4" w14:textId="77777777" w:rsidR="00A85B02" w:rsidRPr="001E6385" w:rsidRDefault="00A85B02" w:rsidP="001E6385">
      <w:pPr>
        <w:rPr>
          <w:rFonts w:ascii="Arial" w:hAnsi="Arial" w:cs="Arial"/>
          <w:lang w:val="en-GB"/>
        </w:rPr>
      </w:pPr>
    </w:p>
    <w:p w14:paraId="00000002" w14:textId="56EB459A" w:rsidR="00D8667D" w:rsidRPr="001E6385" w:rsidRDefault="008B59A6" w:rsidP="001E6385">
      <w:pPr>
        <w:pStyle w:val="Heading1"/>
      </w:pPr>
      <w:bookmarkStart w:id="4" w:name="_Toc213742659"/>
      <w:r w:rsidRPr="001E6385">
        <w:t>1. Financial Health Check</w:t>
      </w:r>
      <w:bookmarkEnd w:id="4"/>
    </w:p>
    <w:p w14:paraId="00000003" w14:textId="77777777" w:rsidR="00D8667D" w:rsidRPr="001E6385" w:rsidRDefault="008B59A6" w:rsidP="001E6385">
      <w:pPr>
        <w:pStyle w:val="Heading2"/>
      </w:pPr>
      <w:bookmarkStart w:id="5" w:name="_j8ex5a8cjjb5" w:colFirst="0" w:colLast="0"/>
      <w:bookmarkStart w:id="6" w:name="_Toc213742660"/>
      <w:bookmarkEnd w:id="5"/>
      <w:r w:rsidRPr="001E6385">
        <w:t>1.1 Overview of Financial Performance</w:t>
      </w:r>
      <w:bookmarkEnd w:id="6"/>
    </w:p>
    <w:p w14:paraId="00000004" w14:textId="17E020F3" w:rsidR="00D8667D" w:rsidRPr="001E6385" w:rsidRDefault="008B59A6" w:rsidP="001E6385">
      <w:pPr>
        <w:rPr>
          <w:rFonts w:ascii="Arial" w:hAnsi="Arial" w:cs="Arial"/>
          <w:lang w:val="en-GB"/>
        </w:rPr>
      </w:pPr>
      <w:r w:rsidRPr="001E6385">
        <w:rPr>
          <w:rFonts w:ascii="Arial" w:hAnsi="Arial" w:cs="Arial"/>
          <w:lang w:val="en-GB"/>
        </w:rPr>
        <w:t xml:space="preserve">The consumer electronics market has remained unstable in the past 5 years as </w:t>
      </w:r>
      <w:bookmarkStart w:id="7" w:name="_Hlk213740417"/>
      <w:r w:rsidRPr="001E6385">
        <w:rPr>
          <w:rFonts w:ascii="Arial" w:hAnsi="Arial" w:cs="Arial"/>
          <w:lang w:val="en-GB"/>
        </w:rPr>
        <w:t xml:space="preserve">General Electronics </w:t>
      </w:r>
      <w:bookmarkEnd w:id="7"/>
      <w:r w:rsidRPr="001E6385">
        <w:rPr>
          <w:rFonts w:ascii="Arial" w:hAnsi="Arial" w:cs="Arial"/>
          <w:lang w:val="en-GB"/>
        </w:rPr>
        <w:t xml:space="preserve">has experienced significant financial turbulence. The profitability changed dramatically as it was moderate in 2020-2021, but losses were severe in 2022-2023, and a minor improvement was recorded in 2024. Gross profit margin was between 23 and 29, with some control at the production level, even when facing pressure on prices. Nevertheless, the operating margin decreased in 2023 to -20.28% as compared to 2020, of 6.06%, and it went up to -3.87% in 2024. </w:t>
      </w:r>
      <w:bookmarkStart w:id="8" w:name="_Hlk213740452"/>
      <w:r w:rsidRPr="001E6385">
        <w:rPr>
          <w:rFonts w:ascii="Arial" w:hAnsi="Arial" w:cs="Arial"/>
          <w:lang w:val="en-GB"/>
        </w:rPr>
        <w:t xml:space="preserve">Net profit margin also decreased by 6.27% and then to -23.3%, and then to -6.08%, indicating high costs and low demand. </w:t>
      </w:r>
      <w:bookmarkEnd w:id="8"/>
      <w:r w:rsidRPr="001E6385">
        <w:rPr>
          <w:rFonts w:ascii="Arial" w:hAnsi="Arial" w:cs="Arial"/>
          <w:lang w:val="en-GB"/>
        </w:rPr>
        <w:t>ROA declined to -27.60% in 2023 and to -7.43% in 2024, which was an improvement of 7.56% in 2020. ROE decreased to 12.31 to -54.91, followed by a slight recovery to -15.698, which is equal to strong erosion of shareholder value. The ROCE has dropped to -43.80 after 11.26, which proves poor use of capital. These patterns indicate some underlying structural problems, such as ineffective market positioning and inefficiency. According to Baliouskas et al. (2023), troubled companies are not always able to adjust to new markets, and the only change that can help restore profitability is the repositioning and financial restructuring of companies.</w:t>
      </w:r>
    </w:p>
    <w:p w14:paraId="0C5CC40D" w14:textId="77777777" w:rsidR="00A85B02" w:rsidRPr="001E6385" w:rsidRDefault="00A85B02" w:rsidP="001E6385">
      <w:pPr>
        <w:rPr>
          <w:rFonts w:ascii="Arial" w:hAnsi="Arial" w:cs="Arial"/>
          <w:lang w:val="en-GB"/>
        </w:rPr>
      </w:pPr>
    </w:p>
    <w:p w14:paraId="46668922" w14:textId="77777777" w:rsidR="00A85B02" w:rsidRPr="001E6385" w:rsidRDefault="00A85B02" w:rsidP="001E6385">
      <w:pPr>
        <w:rPr>
          <w:rFonts w:ascii="Arial" w:hAnsi="Arial" w:cs="Arial"/>
          <w:lang w:val="en-GB"/>
        </w:rPr>
      </w:pPr>
    </w:p>
    <w:p w14:paraId="00000005" w14:textId="77777777" w:rsidR="00D8667D" w:rsidRPr="001E6385" w:rsidRDefault="008B59A6" w:rsidP="001E6385">
      <w:pPr>
        <w:pStyle w:val="Heading2"/>
      </w:pPr>
      <w:bookmarkStart w:id="9" w:name="_uszhkjrq69dv" w:colFirst="0" w:colLast="0"/>
      <w:bookmarkStart w:id="10" w:name="_Toc213742661"/>
      <w:bookmarkEnd w:id="9"/>
      <w:r w:rsidRPr="001E6385">
        <w:lastRenderedPageBreak/>
        <w:t>1.2 Ratio Analysis</w:t>
      </w:r>
      <w:bookmarkEnd w:id="10"/>
    </w:p>
    <w:p w14:paraId="00000006" w14:textId="77777777" w:rsidR="00D8667D" w:rsidRPr="001E6385" w:rsidRDefault="008B59A6" w:rsidP="001E6385">
      <w:pPr>
        <w:rPr>
          <w:rFonts w:ascii="Arial" w:hAnsi="Arial" w:cs="Arial"/>
          <w:b/>
          <w:bCs/>
          <w:iCs/>
          <w:lang w:val="en-GB"/>
        </w:rPr>
      </w:pPr>
      <w:r w:rsidRPr="001E6385">
        <w:rPr>
          <w:rFonts w:ascii="Arial" w:hAnsi="Arial" w:cs="Arial"/>
          <w:b/>
          <w:bCs/>
          <w:iCs/>
          <w:lang w:val="en-GB"/>
        </w:rPr>
        <w:t>Profitability Ratios</w:t>
      </w:r>
    </w:p>
    <w:p w14:paraId="00000007" w14:textId="7CFC8C07" w:rsidR="00D8667D" w:rsidRPr="001E6385" w:rsidRDefault="008B59A6" w:rsidP="001E6385">
      <w:pPr>
        <w:rPr>
          <w:rFonts w:ascii="Arial" w:hAnsi="Arial" w:cs="Arial"/>
          <w:lang w:val="en-GB"/>
        </w:rPr>
      </w:pPr>
      <w:r w:rsidRPr="001E6385">
        <w:rPr>
          <w:rFonts w:ascii="Arial" w:hAnsi="Arial" w:cs="Arial"/>
          <w:lang w:val="en-GB"/>
        </w:rPr>
        <w:t xml:space="preserve">Severe volatility is ensured by profitability ratios. Despite the steady gross margins, negative operating and net margins represent poor cost control and earnings pressure. Deteriorating ROA, ROE and ROCE affirm ineffective utilisation of assets and capital. These results show that it is high time for </w:t>
      </w:r>
      <w:r w:rsidR="008A78CA" w:rsidRPr="001E6385">
        <w:rPr>
          <w:rFonts w:ascii="Arial" w:hAnsi="Arial" w:cs="Arial"/>
          <w:lang w:val="en-GB"/>
        </w:rPr>
        <w:t>entrenchment</w:t>
      </w:r>
      <w:r w:rsidRPr="001E6385">
        <w:rPr>
          <w:rFonts w:ascii="Arial" w:hAnsi="Arial" w:cs="Arial"/>
          <w:lang w:val="en-GB"/>
        </w:rPr>
        <w:t xml:space="preserve"> and efficiency to be corroborated. </w:t>
      </w:r>
      <w:r w:rsidR="00E35668" w:rsidRPr="001E6385">
        <w:rPr>
          <w:rFonts w:ascii="Arial" w:hAnsi="Arial" w:cs="Arial"/>
          <w:lang w:val="en-GB"/>
        </w:rPr>
        <w:t>C</w:t>
      </w:r>
      <w:r w:rsidRPr="001E6385">
        <w:rPr>
          <w:rFonts w:ascii="Arial" w:hAnsi="Arial" w:cs="Arial"/>
          <w:lang w:val="en-GB"/>
        </w:rPr>
        <w:t>orporate turnarounds are based on the ability to sell unprofitable businesses and reduce fixed costs</w:t>
      </w:r>
      <w:r w:rsidR="00E35668" w:rsidRPr="001E6385">
        <w:rPr>
          <w:rFonts w:ascii="Arial" w:hAnsi="Arial" w:cs="Arial"/>
          <w:lang w:val="en-GB"/>
        </w:rPr>
        <w:t xml:space="preserve"> (Rico and Puig, 2021)</w:t>
      </w:r>
      <w:r w:rsidRPr="001E6385">
        <w:rPr>
          <w:rFonts w:ascii="Arial" w:hAnsi="Arial" w:cs="Arial"/>
          <w:lang w:val="en-GB"/>
        </w:rPr>
        <w:t>.</w:t>
      </w:r>
    </w:p>
    <w:p w14:paraId="1CEF0002" w14:textId="77777777" w:rsidR="00A85B02" w:rsidRPr="001E6385" w:rsidRDefault="00A85B02" w:rsidP="001E6385">
      <w:pPr>
        <w:rPr>
          <w:rFonts w:ascii="Arial" w:hAnsi="Arial" w:cs="Arial"/>
          <w:lang w:val="en-GB"/>
        </w:rPr>
      </w:pPr>
    </w:p>
    <w:tbl>
      <w:tblPr>
        <w:tblStyle w:val="TableGrid"/>
        <w:tblW w:w="5000" w:type="pct"/>
        <w:tblLook w:val="04A0" w:firstRow="1" w:lastRow="0" w:firstColumn="1" w:lastColumn="0" w:noHBand="0" w:noVBand="1"/>
      </w:tblPr>
      <w:tblGrid>
        <w:gridCol w:w="2605"/>
        <w:gridCol w:w="3598"/>
        <w:gridCol w:w="589"/>
        <w:gridCol w:w="589"/>
        <w:gridCol w:w="545"/>
        <w:gridCol w:w="545"/>
        <w:gridCol w:w="545"/>
      </w:tblGrid>
      <w:tr w:rsidR="0082355D" w:rsidRPr="001E6385" w14:paraId="5DCB04CC" w14:textId="77777777" w:rsidTr="00C228DF">
        <w:trPr>
          <w:trHeight w:val="300"/>
        </w:trPr>
        <w:tc>
          <w:tcPr>
            <w:tcW w:w="1445" w:type="pct"/>
            <w:noWrap/>
            <w:hideMark/>
          </w:tcPr>
          <w:p w14:paraId="1BA68978" w14:textId="77777777" w:rsidR="0082355D" w:rsidRPr="001E6385" w:rsidRDefault="0082355D" w:rsidP="001E6385">
            <w:pPr>
              <w:spacing w:line="360" w:lineRule="auto"/>
              <w:jc w:val="left"/>
              <w:rPr>
                <w:rFonts w:ascii="Arial" w:hAnsi="Arial" w:cs="Arial"/>
                <w:b/>
                <w:bCs/>
                <w:color w:val="000000"/>
                <w:lang w:val="en-IN" w:eastAsia="en-IN"/>
              </w:rPr>
            </w:pPr>
            <w:r w:rsidRPr="001E6385">
              <w:rPr>
                <w:rFonts w:ascii="Arial" w:hAnsi="Arial" w:cs="Arial"/>
                <w:b/>
                <w:bCs/>
                <w:color w:val="000000"/>
                <w:lang w:val="en-IN" w:eastAsia="en-IN"/>
              </w:rPr>
              <w:t>A. PROFITABILITY RATIOS</w:t>
            </w:r>
          </w:p>
        </w:tc>
        <w:tc>
          <w:tcPr>
            <w:tcW w:w="1995" w:type="pct"/>
            <w:noWrap/>
            <w:hideMark/>
          </w:tcPr>
          <w:p w14:paraId="5EF486F3" w14:textId="77777777" w:rsidR="0082355D" w:rsidRPr="001E6385" w:rsidRDefault="0082355D" w:rsidP="001E6385">
            <w:pPr>
              <w:spacing w:line="360" w:lineRule="auto"/>
              <w:jc w:val="left"/>
              <w:rPr>
                <w:rFonts w:ascii="Arial" w:hAnsi="Arial" w:cs="Arial"/>
                <w:b/>
                <w:bCs/>
                <w:color w:val="000000"/>
                <w:lang w:val="en-IN" w:eastAsia="en-IN"/>
              </w:rPr>
            </w:pPr>
            <w:r w:rsidRPr="001E6385">
              <w:rPr>
                <w:rFonts w:ascii="Arial" w:hAnsi="Arial" w:cs="Arial"/>
                <w:b/>
                <w:bCs/>
                <w:color w:val="000000"/>
                <w:lang w:val="en-IN" w:eastAsia="en-IN"/>
              </w:rPr>
              <w:t> </w:t>
            </w:r>
          </w:p>
        </w:tc>
        <w:tc>
          <w:tcPr>
            <w:tcW w:w="327" w:type="pct"/>
            <w:noWrap/>
            <w:hideMark/>
          </w:tcPr>
          <w:p w14:paraId="65EA079E" w14:textId="1862931F" w:rsidR="0082355D" w:rsidRPr="001E6385" w:rsidRDefault="0082355D" w:rsidP="001E6385">
            <w:pPr>
              <w:spacing w:line="360" w:lineRule="auto"/>
              <w:jc w:val="left"/>
              <w:rPr>
                <w:rFonts w:ascii="Arial" w:hAnsi="Arial" w:cs="Arial"/>
                <w:b/>
                <w:bCs/>
                <w:color w:val="000000"/>
                <w:lang w:val="en-IN" w:eastAsia="en-IN"/>
              </w:rPr>
            </w:pPr>
            <w:r w:rsidRPr="001E6385">
              <w:rPr>
                <w:rFonts w:ascii="Arial" w:hAnsi="Arial" w:cs="Arial"/>
                <w:b/>
                <w:bCs/>
                <w:color w:val="000000"/>
                <w:lang w:val="en-IN" w:eastAsia="en-IN"/>
              </w:rPr>
              <w:t>2024</w:t>
            </w:r>
          </w:p>
        </w:tc>
        <w:tc>
          <w:tcPr>
            <w:tcW w:w="327" w:type="pct"/>
            <w:noWrap/>
            <w:hideMark/>
          </w:tcPr>
          <w:p w14:paraId="5E333574" w14:textId="1CE58229" w:rsidR="0082355D" w:rsidRPr="001E6385" w:rsidRDefault="0082355D" w:rsidP="001E6385">
            <w:pPr>
              <w:spacing w:line="360" w:lineRule="auto"/>
              <w:jc w:val="left"/>
              <w:rPr>
                <w:rFonts w:ascii="Arial" w:hAnsi="Arial" w:cs="Arial"/>
                <w:b/>
                <w:bCs/>
                <w:color w:val="000000"/>
                <w:lang w:val="en-IN" w:eastAsia="en-IN"/>
              </w:rPr>
            </w:pPr>
            <w:r w:rsidRPr="001E6385">
              <w:rPr>
                <w:rFonts w:ascii="Arial" w:hAnsi="Arial" w:cs="Arial"/>
                <w:b/>
                <w:bCs/>
                <w:color w:val="000000"/>
                <w:lang w:val="en-IN" w:eastAsia="en-IN"/>
              </w:rPr>
              <w:t>2023</w:t>
            </w:r>
          </w:p>
        </w:tc>
        <w:tc>
          <w:tcPr>
            <w:tcW w:w="302" w:type="pct"/>
            <w:noWrap/>
            <w:hideMark/>
          </w:tcPr>
          <w:p w14:paraId="6D96830C" w14:textId="602A2A67" w:rsidR="0082355D" w:rsidRPr="001E6385" w:rsidRDefault="0082355D" w:rsidP="001E6385">
            <w:pPr>
              <w:spacing w:line="360" w:lineRule="auto"/>
              <w:jc w:val="left"/>
              <w:rPr>
                <w:rFonts w:ascii="Arial" w:hAnsi="Arial" w:cs="Arial"/>
                <w:b/>
                <w:bCs/>
                <w:color w:val="000000"/>
                <w:lang w:val="en-IN" w:eastAsia="en-IN"/>
              </w:rPr>
            </w:pPr>
            <w:r w:rsidRPr="001E6385">
              <w:rPr>
                <w:rFonts w:ascii="Arial" w:hAnsi="Arial" w:cs="Arial"/>
                <w:b/>
                <w:bCs/>
                <w:color w:val="000000"/>
                <w:lang w:val="en-IN" w:eastAsia="en-IN"/>
              </w:rPr>
              <w:t>2022</w:t>
            </w:r>
          </w:p>
        </w:tc>
        <w:tc>
          <w:tcPr>
            <w:tcW w:w="302" w:type="pct"/>
            <w:noWrap/>
            <w:hideMark/>
          </w:tcPr>
          <w:p w14:paraId="422E5061" w14:textId="1F16B73D" w:rsidR="0082355D" w:rsidRPr="001E6385" w:rsidRDefault="0082355D" w:rsidP="001E6385">
            <w:pPr>
              <w:spacing w:line="360" w:lineRule="auto"/>
              <w:jc w:val="left"/>
              <w:rPr>
                <w:rFonts w:ascii="Arial" w:hAnsi="Arial" w:cs="Arial"/>
                <w:b/>
                <w:bCs/>
                <w:color w:val="000000"/>
                <w:lang w:val="en-IN" w:eastAsia="en-IN"/>
              </w:rPr>
            </w:pPr>
            <w:r w:rsidRPr="001E6385">
              <w:rPr>
                <w:rFonts w:ascii="Arial" w:hAnsi="Arial" w:cs="Arial"/>
                <w:b/>
                <w:bCs/>
                <w:color w:val="000000"/>
                <w:lang w:val="en-IN" w:eastAsia="en-IN"/>
              </w:rPr>
              <w:t>2021</w:t>
            </w:r>
          </w:p>
        </w:tc>
        <w:tc>
          <w:tcPr>
            <w:tcW w:w="302" w:type="pct"/>
            <w:noWrap/>
            <w:hideMark/>
          </w:tcPr>
          <w:p w14:paraId="05CE7E2C" w14:textId="67B83FD5" w:rsidR="0082355D" w:rsidRPr="001E6385" w:rsidRDefault="0082355D" w:rsidP="001E6385">
            <w:pPr>
              <w:spacing w:line="360" w:lineRule="auto"/>
              <w:jc w:val="left"/>
              <w:rPr>
                <w:rFonts w:ascii="Arial" w:hAnsi="Arial" w:cs="Arial"/>
                <w:b/>
                <w:bCs/>
                <w:color w:val="000000"/>
                <w:lang w:val="en-IN" w:eastAsia="en-IN"/>
              </w:rPr>
            </w:pPr>
            <w:r w:rsidRPr="001E6385">
              <w:rPr>
                <w:rFonts w:ascii="Arial" w:hAnsi="Arial" w:cs="Arial"/>
                <w:b/>
                <w:bCs/>
                <w:color w:val="000000"/>
                <w:lang w:val="en-IN" w:eastAsia="en-IN"/>
              </w:rPr>
              <w:t>2020</w:t>
            </w:r>
          </w:p>
        </w:tc>
      </w:tr>
      <w:tr w:rsidR="0082355D" w:rsidRPr="001E6385" w14:paraId="10873F63" w14:textId="77777777" w:rsidTr="00C228DF">
        <w:trPr>
          <w:trHeight w:val="300"/>
        </w:trPr>
        <w:tc>
          <w:tcPr>
            <w:tcW w:w="1445" w:type="pct"/>
            <w:noWrap/>
            <w:hideMark/>
          </w:tcPr>
          <w:p w14:paraId="5083E365" w14:textId="77777777" w:rsidR="0082355D" w:rsidRPr="001E6385" w:rsidRDefault="0082355D" w:rsidP="001E6385">
            <w:pPr>
              <w:spacing w:line="360" w:lineRule="auto"/>
              <w:jc w:val="left"/>
              <w:rPr>
                <w:rFonts w:ascii="Arial" w:hAnsi="Arial" w:cs="Arial"/>
                <w:color w:val="000000"/>
                <w:lang w:val="en-IN" w:eastAsia="en-IN"/>
              </w:rPr>
            </w:pPr>
            <w:r w:rsidRPr="001E6385">
              <w:rPr>
                <w:rFonts w:ascii="Arial" w:hAnsi="Arial" w:cs="Arial"/>
                <w:color w:val="000000"/>
                <w:lang w:val="en-IN" w:eastAsia="en-IN"/>
              </w:rPr>
              <w:t> </w:t>
            </w:r>
          </w:p>
        </w:tc>
        <w:tc>
          <w:tcPr>
            <w:tcW w:w="1995" w:type="pct"/>
            <w:noWrap/>
            <w:hideMark/>
          </w:tcPr>
          <w:p w14:paraId="6EB778FF" w14:textId="77777777" w:rsidR="0082355D" w:rsidRPr="001E6385" w:rsidRDefault="0082355D" w:rsidP="001E6385">
            <w:pPr>
              <w:spacing w:line="360" w:lineRule="auto"/>
              <w:jc w:val="left"/>
              <w:rPr>
                <w:rFonts w:ascii="Arial" w:hAnsi="Arial" w:cs="Arial"/>
                <w:color w:val="000000"/>
                <w:lang w:val="en-IN" w:eastAsia="en-IN"/>
              </w:rPr>
            </w:pPr>
            <w:r w:rsidRPr="001E6385">
              <w:rPr>
                <w:rFonts w:ascii="Arial" w:hAnsi="Arial" w:cs="Arial"/>
                <w:color w:val="000000"/>
                <w:lang w:val="en-IN" w:eastAsia="en-IN"/>
              </w:rPr>
              <w:t> </w:t>
            </w:r>
          </w:p>
        </w:tc>
        <w:tc>
          <w:tcPr>
            <w:tcW w:w="327" w:type="pct"/>
            <w:noWrap/>
            <w:hideMark/>
          </w:tcPr>
          <w:p w14:paraId="0FA9D0A4" w14:textId="77777777" w:rsidR="0082355D" w:rsidRPr="001E6385" w:rsidRDefault="0082355D" w:rsidP="001E6385">
            <w:pPr>
              <w:spacing w:line="360" w:lineRule="auto"/>
              <w:jc w:val="left"/>
              <w:rPr>
                <w:rFonts w:ascii="Arial" w:hAnsi="Arial" w:cs="Arial"/>
                <w:color w:val="000000"/>
                <w:lang w:val="en-IN" w:eastAsia="en-IN"/>
              </w:rPr>
            </w:pPr>
            <w:r w:rsidRPr="001E6385">
              <w:rPr>
                <w:rFonts w:ascii="Arial" w:hAnsi="Arial" w:cs="Arial"/>
                <w:color w:val="000000"/>
                <w:lang w:val="en-IN" w:eastAsia="en-IN"/>
              </w:rPr>
              <w:t> </w:t>
            </w:r>
          </w:p>
        </w:tc>
        <w:tc>
          <w:tcPr>
            <w:tcW w:w="327" w:type="pct"/>
            <w:noWrap/>
            <w:hideMark/>
          </w:tcPr>
          <w:p w14:paraId="00B5DCC1" w14:textId="77777777" w:rsidR="0082355D" w:rsidRPr="001E6385" w:rsidRDefault="0082355D" w:rsidP="001E6385">
            <w:pPr>
              <w:spacing w:line="360" w:lineRule="auto"/>
              <w:jc w:val="left"/>
              <w:rPr>
                <w:rFonts w:ascii="Arial" w:hAnsi="Arial" w:cs="Arial"/>
                <w:color w:val="000000"/>
                <w:lang w:val="en-IN" w:eastAsia="en-IN"/>
              </w:rPr>
            </w:pPr>
            <w:r w:rsidRPr="001E6385">
              <w:rPr>
                <w:rFonts w:ascii="Arial" w:hAnsi="Arial" w:cs="Arial"/>
                <w:color w:val="000000"/>
                <w:lang w:val="en-IN" w:eastAsia="en-IN"/>
              </w:rPr>
              <w:t> </w:t>
            </w:r>
          </w:p>
        </w:tc>
        <w:tc>
          <w:tcPr>
            <w:tcW w:w="302" w:type="pct"/>
            <w:noWrap/>
            <w:hideMark/>
          </w:tcPr>
          <w:p w14:paraId="5BE27BED" w14:textId="77777777" w:rsidR="0082355D" w:rsidRPr="001E6385" w:rsidRDefault="0082355D" w:rsidP="001E6385">
            <w:pPr>
              <w:spacing w:line="360" w:lineRule="auto"/>
              <w:jc w:val="left"/>
              <w:rPr>
                <w:rFonts w:ascii="Arial" w:hAnsi="Arial" w:cs="Arial"/>
                <w:color w:val="000000"/>
                <w:lang w:val="en-IN" w:eastAsia="en-IN"/>
              </w:rPr>
            </w:pPr>
            <w:r w:rsidRPr="001E6385">
              <w:rPr>
                <w:rFonts w:ascii="Arial" w:hAnsi="Arial" w:cs="Arial"/>
                <w:color w:val="000000"/>
                <w:lang w:val="en-IN" w:eastAsia="en-IN"/>
              </w:rPr>
              <w:t> </w:t>
            </w:r>
          </w:p>
        </w:tc>
        <w:tc>
          <w:tcPr>
            <w:tcW w:w="302" w:type="pct"/>
            <w:noWrap/>
            <w:hideMark/>
          </w:tcPr>
          <w:p w14:paraId="1AB92C8F" w14:textId="77777777" w:rsidR="0082355D" w:rsidRPr="001E6385" w:rsidRDefault="0082355D" w:rsidP="001E6385">
            <w:pPr>
              <w:spacing w:line="360" w:lineRule="auto"/>
              <w:jc w:val="left"/>
              <w:rPr>
                <w:rFonts w:ascii="Arial" w:hAnsi="Arial" w:cs="Arial"/>
                <w:color w:val="000000"/>
                <w:lang w:val="en-IN" w:eastAsia="en-IN"/>
              </w:rPr>
            </w:pPr>
            <w:r w:rsidRPr="001E6385">
              <w:rPr>
                <w:rFonts w:ascii="Arial" w:hAnsi="Arial" w:cs="Arial"/>
                <w:color w:val="000000"/>
                <w:lang w:val="en-IN" w:eastAsia="en-IN"/>
              </w:rPr>
              <w:t> </w:t>
            </w:r>
          </w:p>
        </w:tc>
        <w:tc>
          <w:tcPr>
            <w:tcW w:w="302" w:type="pct"/>
            <w:noWrap/>
            <w:hideMark/>
          </w:tcPr>
          <w:p w14:paraId="4CEF39BF" w14:textId="77777777" w:rsidR="0082355D" w:rsidRPr="001E6385" w:rsidRDefault="0082355D" w:rsidP="001E6385">
            <w:pPr>
              <w:spacing w:line="360" w:lineRule="auto"/>
              <w:jc w:val="left"/>
              <w:rPr>
                <w:rFonts w:ascii="Arial" w:hAnsi="Arial" w:cs="Arial"/>
                <w:color w:val="000000"/>
                <w:lang w:val="en-IN" w:eastAsia="en-IN"/>
              </w:rPr>
            </w:pPr>
            <w:r w:rsidRPr="001E6385">
              <w:rPr>
                <w:rFonts w:ascii="Arial" w:hAnsi="Arial" w:cs="Arial"/>
                <w:color w:val="000000"/>
                <w:lang w:val="en-IN" w:eastAsia="en-IN"/>
              </w:rPr>
              <w:t> </w:t>
            </w:r>
          </w:p>
        </w:tc>
      </w:tr>
      <w:tr w:rsidR="0082355D" w:rsidRPr="001E6385" w14:paraId="455356AE" w14:textId="77777777" w:rsidTr="00C228DF">
        <w:trPr>
          <w:trHeight w:val="300"/>
        </w:trPr>
        <w:tc>
          <w:tcPr>
            <w:tcW w:w="1445" w:type="pct"/>
            <w:noWrap/>
            <w:hideMark/>
          </w:tcPr>
          <w:p w14:paraId="2F977B21" w14:textId="77777777" w:rsidR="0082355D" w:rsidRPr="001E6385" w:rsidRDefault="0082355D" w:rsidP="001E6385">
            <w:pPr>
              <w:spacing w:line="360" w:lineRule="auto"/>
              <w:jc w:val="left"/>
              <w:rPr>
                <w:rFonts w:ascii="Arial" w:hAnsi="Arial" w:cs="Arial"/>
                <w:color w:val="000000"/>
                <w:lang w:val="en-IN" w:eastAsia="en-IN"/>
              </w:rPr>
            </w:pPr>
            <w:r w:rsidRPr="001E6385">
              <w:rPr>
                <w:rFonts w:ascii="Arial" w:hAnsi="Arial" w:cs="Arial"/>
                <w:color w:val="000000"/>
                <w:lang w:val="en-IN" w:eastAsia="en-IN"/>
              </w:rPr>
              <w:t>Gross Profit Margin (%)</w:t>
            </w:r>
          </w:p>
        </w:tc>
        <w:tc>
          <w:tcPr>
            <w:tcW w:w="1995" w:type="pct"/>
            <w:noWrap/>
            <w:hideMark/>
          </w:tcPr>
          <w:p w14:paraId="615B635F" w14:textId="77777777" w:rsidR="0082355D" w:rsidRPr="001E6385" w:rsidRDefault="0082355D" w:rsidP="001E6385">
            <w:pPr>
              <w:spacing w:line="360" w:lineRule="auto"/>
              <w:jc w:val="left"/>
              <w:rPr>
                <w:rFonts w:ascii="Arial" w:hAnsi="Arial" w:cs="Arial"/>
                <w:color w:val="000000"/>
                <w:lang w:val="en-IN" w:eastAsia="en-IN"/>
              </w:rPr>
            </w:pPr>
            <w:r w:rsidRPr="001E6385">
              <w:rPr>
                <w:rFonts w:ascii="Arial" w:hAnsi="Arial" w:cs="Arial"/>
                <w:color w:val="000000"/>
                <w:lang w:val="en-IN" w:eastAsia="en-IN"/>
              </w:rPr>
              <w:t>(Gross Profit / Net Revenue) x 100</w:t>
            </w:r>
          </w:p>
        </w:tc>
        <w:tc>
          <w:tcPr>
            <w:tcW w:w="327" w:type="pct"/>
            <w:noWrap/>
            <w:hideMark/>
          </w:tcPr>
          <w:p w14:paraId="0A00312C"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28.87</w:t>
            </w:r>
          </w:p>
        </w:tc>
        <w:tc>
          <w:tcPr>
            <w:tcW w:w="327" w:type="pct"/>
            <w:noWrap/>
            <w:hideMark/>
          </w:tcPr>
          <w:p w14:paraId="446B098D"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23.20</w:t>
            </w:r>
          </w:p>
        </w:tc>
        <w:tc>
          <w:tcPr>
            <w:tcW w:w="302" w:type="pct"/>
            <w:noWrap/>
            <w:hideMark/>
          </w:tcPr>
          <w:p w14:paraId="595A3246"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28.06</w:t>
            </w:r>
          </w:p>
        </w:tc>
        <w:tc>
          <w:tcPr>
            <w:tcW w:w="302" w:type="pct"/>
            <w:noWrap/>
            <w:hideMark/>
          </w:tcPr>
          <w:p w14:paraId="74478F47"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28.76</w:t>
            </w:r>
          </w:p>
        </w:tc>
        <w:tc>
          <w:tcPr>
            <w:tcW w:w="302" w:type="pct"/>
            <w:noWrap/>
            <w:hideMark/>
          </w:tcPr>
          <w:p w14:paraId="78508D8D"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28.67</w:t>
            </w:r>
          </w:p>
        </w:tc>
      </w:tr>
      <w:tr w:rsidR="0082355D" w:rsidRPr="001E6385" w14:paraId="07926603" w14:textId="77777777" w:rsidTr="00C228DF">
        <w:trPr>
          <w:trHeight w:val="300"/>
        </w:trPr>
        <w:tc>
          <w:tcPr>
            <w:tcW w:w="1445" w:type="pct"/>
            <w:noWrap/>
            <w:hideMark/>
          </w:tcPr>
          <w:p w14:paraId="29311FD0" w14:textId="77777777" w:rsidR="0082355D" w:rsidRPr="001E6385" w:rsidRDefault="0082355D" w:rsidP="001E6385">
            <w:pPr>
              <w:spacing w:line="360" w:lineRule="auto"/>
              <w:jc w:val="left"/>
              <w:rPr>
                <w:rFonts w:ascii="Arial" w:hAnsi="Arial" w:cs="Arial"/>
                <w:color w:val="000000"/>
                <w:lang w:val="en-IN" w:eastAsia="en-IN"/>
              </w:rPr>
            </w:pPr>
            <w:r w:rsidRPr="001E6385">
              <w:rPr>
                <w:rFonts w:ascii="Arial" w:hAnsi="Arial" w:cs="Arial"/>
                <w:color w:val="000000"/>
                <w:lang w:val="en-IN" w:eastAsia="en-IN"/>
              </w:rPr>
              <w:t>Operating Profit Margin (%)</w:t>
            </w:r>
          </w:p>
        </w:tc>
        <w:tc>
          <w:tcPr>
            <w:tcW w:w="1995" w:type="pct"/>
            <w:noWrap/>
            <w:hideMark/>
          </w:tcPr>
          <w:p w14:paraId="5C9E36CB" w14:textId="77777777" w:rsidR="0082355D" w:rsidRPr="001E6385" w:rsidRDefault="0082355D" w:rsidP="001E6385">
            <w:pPr>
              <w:spacing w:line="360" w:lineRule="auto"/>
              <w:jc w:val="left"/>
              <w:rPr>
                <w:rFonts w:ascii="Arial" w:hAnsi="Arial" w:cs="Arial"/>
                <w:color w:val="000000"/>
                <w:lang w:val="en-IN" w:eastAsia="en-IN"/>
              </w:rPr>
            </w:pPr>
            <w:r w:rsidRPr="001E6385">
              <w:rPr>
                <w:rFonts w:ascii="Arial" w:hAnsi="Arial" w:cs="Arial"/>
                <w:color w:val="000000"/>
                <w:lang w:val="en-IN" w:eastAsia="en-IN"/>
              </w:rPr>
              <w:t>(Operating Income/Net Sales)*100</w:t>
            </w:r>
          </w:p>
        </w:tc>
        <w:tc>
          <w:tcPr>
            <w:tcW w:w="327" w:type="pct"/>
            <w:noWrap/>
            <w:hideMark/>
          </w:tcPr>
          <w:p w14:paraId="3CA8E77B"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-3.87</w:t>
            </w:r>
          </w:p>
        </w:tc>
        <w:tc>
          <w:tcPr>
            <w:tcW w:w="327" w:type="pct"/>
            <w:noWrap/>
            <w:hideMark/>
          </w:tcPr>
          <w:p w14:paraId="36C53C71"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-20.29</w:t>
            </w:r>
          </w:p>
        </w:tc>
        <w:tc>
          <w:tcPr>
            <w:tcW w:w="302" w:type="pct"/>
            <w:noWrap/>
            <w:hideMark/>
          </w:tcPr>
          <w:p w14:paraId="47AC7DF6"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2.68</w:t>
            </w:r>
          </w:p>
        </w:tc>
        <w:tc>
          <w:tcPr>
            <w:tcW w:w="302" w:type="pct"/>
            <w:noWrap/>
            <w:hideMark/>
          </w:tcPr>
          <w:p w14:paraId="3F692813"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3.87</w:t>
            </w:r>
          </w:p>
        </w:tc>
        <w:tc>
          <w:tcPr>
            <w:tcW w:w="302" w:type="pct"/>
            <w:noWrap/>
            <w:hideMark/>
          </w:tcPr>
          <w:p w14:paraId="40333559"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6.06</w:t>
            </w:r>
          </w:p>
        </w:tc>
      </w:tr>
      <w:tr w:rsidR="0082355D" w:rsidRPr="001E6385" w14:paraId="335F7F78" w14:textId="77777777" w:rsidTr="00C228DF">
        <w:trPr>
          <w:trHeight w:val="300"/>
        </w:trPr>
        <w:tc>
          <w:tcPr>
            <w:tcW w:w="1445" w:type="pct"/>
            <w:noWrap/>
            <w:hideMark/>
          </w:tcPr>
          <w:p w14:paraId="166029EE" w14:textId="77777777" w:rsidR="0082355D" w:rsidRPr="001E6385" w:rsidRDefault="0082355D" w:rsidP="001E6385">
            <w:pPr>
              <w:spacing w:line="360" w:lineRule="auto"/>
              <w:jc w:val="left"/>
              <w:rPr>
                <w:rFonts w:ascii="Arial" w:hAnsi="Arial" w:cs="Arial"/>
                <w:color w:val="000000"/>
                <w:lang w:val="en-IN" w:eastAsia="en-IN"/>
              </w:rPr>
            </w:pPr>
            <w:r w:rsidRPr="001E6385">
              <w:rPr>
                <w:rFonts w:ascii="Arial" w:hAnsi="Arial" w:cs="Arial"/>
                <w:color w:val="000000"/>
                <w:lang w:val="en-IN" w:eastAsia="en-IN"/>
              </w:rPr>
              <w:t>Net Profit Margin (%)</w:t>
            </w:r>
          </w:p>
        </w:tc>
        <w:tc>
          <w:tcPr>
            <w:tcW w:w="1995" w:type="pct"/>
            <w:noWrap/>
            <w:hideMark/>
          </w:tcPr>
          <w:p w14:paraId="023542B7" w14:textId="77777777" w:rsidR="0082355D" w:rsidRPr="001E6385" w:rsidRDefault="0082355D" w:rsidP="001E6385">
            <w:pPr>
              <w:spacing w:line="360" w:lineRule="auto"/>
              <w:jc w:val="left"/>
              <w:rPr>
                <w:rFonts w:ascii="Arial" w:hAnsi="Arial" w:cs="Arial"/>
                <w:color w:val="000000"/>
                <w:lang w:val="en-IN" w:eastAsia="en-IN"/>
              </w:rPr>
            </w:pPr>
            <w:r w:rsidRPr="001E6385">
              <w:rPr>
                <w:rFonts w:ascii="Arial" w:hAnsi="Arial" w:cs="Arial"/>
                <w:color w:val="000000"/>
                <w:lang w:val="en-IN" w:eastAsia="en-IN"/>
              </w:rPr>
              <w:t>(Net Income/Net Sales)*100</w:t>
            </w:r>
          </w:p>
        </w:tc>
        <w:tc>
          <w:tcPr>
            <w:tcW w:w="327" w:type="pct"/>
            <w:noWrap/>
            <w:hideMark/>
          </w:tcPr>
          <w:p w14:paraId="504D233F"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-6.09</w:t>
            </w:r>
          </w:p>
        </w:tc>
        <w:tc>
          <w:tcPr>
            <w:tcW w:w="327" w:type="pct"/>
            <w:noWrap/>
            <w:hideMark/>
          </w:tcPr>
          <w:p w14:paraId="3A4E0DA4"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-23.36</w:t>
            </w:r>
          </w:p>
        </w:tc>
        <w:tc>
          <w:tcPr>
            <w:tcW w:w="302" w:type="pct"/>
            <w:noWrap/>
            <w:hideMark/>
          </w:tcPr>
          <w:p w14:paraId="5F6E30AE"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0.07</w:t>
            </w:r>
          </w:p>
        </w:tc>
        <w:tc>
          <w:tcPr>
            <w:tcW w:w="302" w:type="pct"/>
            <w:noWrap/>
            <w:hideMark/>
          </w:tcPr>
          <w:p w14:paraId="214E76D4"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0.88</w:t>
            </w:r>
          </w:p>
        </w:tc>
        <w:tc>
          <w:tcPr>
            <w:tcW w:w="302" w:type="pct"/>
            <w:noWrap/>
            <w:hideMark/>
          </w:tcPr>
          <w:p w14:paraId="5A3160E8"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6.28</w:t>
            </w:r>
          </w:p>
        </w:tc>
      </w:tr>
      <w:tr w:rsidR="0082355D" w:rsidRPr="001E6385" w14:paraId="6838A930" w14:textId="77777777" w:rsidTr="00C228DF">
        <w:trPr>
          <w:trHeight w:val="300"/>
        </w:trPr>
        <w:tc>
          <w:tcPr>
            <w:tcW w:w="1445" w:type="pct"/>
            <w:noWrap/>
            <w:hideMark/>
          </w:tcPr>
          <w:p w14:paraId="71A9FA9A" w14:textId="77777777" w:rsidR="0082355D" w:rsidRPr="001E6385" w:rsidRDefault="0082355D" w:rsidP="001E6385">
            <w:pPr>
              <w:spacing w:line="360" w:lineRule="auto"/>
              <w:jc w:val="left"/>
              <w:rPr>
                <w:rFonts w:ascii="Arial" w:hAnsi="Arial" w:cs="Arial"/>
                <w:color w:val="000000"/>
                <w:lang w:val="en-IN" w:eastAsia="en-IN"/>
              </w:rPr>
            </w:pPr>
            <w:r w:rsidRPr="001E6385">
              <w:rPr>
                <w:rFonts w:ascii="Arial" w:hAnsi="Arial" w:cs="Arial"/>
                <w:color w:val="000000"/>
                <w:lang w:val="en-IN" w:eastAsia="en-IN"/>
              </w:rPr>
              <w:t>Return on Assets (ROA) (%)</w:t>
            </w:r>
          </w:p>
        </w:tc>
        <w:tc>
          <w:tcPr>
            <w:tcW w:w="1995" w:type="pct"/>
            <w:noWrap/>
            <w:hideMark/>
          </w:tcPr>
          <w:p w14:paraId="20FFE83F" w14:textId="77777777" w:rsidR="0082355D" w:rsidRPr="001E6385" w:rsidRDefault="0082355D" w:rsidP="001E6385">
            <w:pPr>
              <w:spacing w:line="360" w:lineRule="auto"/>
              <w:jc w:val="left"/>
              <w:rPr>
                <w:rFonts w:ascii="Arial" w:hAnsi="Arial" w:cs="Arial"/>
                <w:color w:val="000000"/>
                <w:lang w:val="en-IN" w:eastAsia="en-IN"/>
              </w:rPr>
            </w:pPr>
            <w:r w:rsidRPr="001E6385">
              <w:rPr>
                <w:rFonts w:ascii="Arial" w:hAnsi="Arial" w:cs="Arial"/>
                <w:color w:val="000000"/>
                <w:lang w:val="en-IN" w:eastAsia="en-IN"/>
              </w:rPr>
              <w:t>(Net Income/Total Assets)*100</w:t>
            </w:r>
          </w:p>
        </w:tc>
        <w:tc>
          <w:tcPr>
            <w:tcW w:w="327" w:type="pct"/>
            <w:noWrap/>
            <w:hideMark/>
          </w:tcPr>
          <w:p w14:paraId="147D8DEF"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-7.43</w:t>
            </w:r>
          </w:p>
        </w:tc>
        <w:tc>
          <w:tcPr>
            <w:tcW w:w="327" w:type="pct"/>
            <w:noWrap/>
            <w:hideMark/>
          </w:tcPr>
          <w:p w14:paraId="2FBAC385"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-27.60</w:t>
            </w:r>
          </w:p>
        </w:tc>
        <w:tc>
          <w:tcPr>
            <w:tcW w:w="302" w:type="pct"/>
            <w:noWrap/>
            <w:hideMark/>
          </w:tcPr>
          <w:p w14:paraId="2AEB99E9"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0.08</w:t>
            </w:r>
          </w:p>
        </w:tc>
        <w:tc>
          <w:tcPr>
            <w:tcW w:w="302" w:type="pct"/>
            <w:noWrap/>
            <w:hideMark/>
          </w:tcPr>
          <w:p w14:paraId="2B7C5C42"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1.04</w:t>
            </w:r>
          </w:p>
        </w:tc>
        <w:tc>
          <w:tcPr>
            <w:tcW w:w="302" w:type="pct"/>
            <w:noWrap/>
            <w:hideMark/>
          </w:tcPr>
          <w:p w14:paraId="5CEC16EF"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7.56</w:t>
            </w:r>
          </w:p>
        </w:tc>
      </w:tr>
      <w:tr w:rsidR="0082355D" w:rsidRPr="001E6385" w14:paraId="2BA08FED" w14:textId="77777777" w:rsidTr="00C228DF">
        <w:trPr>
          <w:trHeight w:val="300"/>
        </w:trPr>
        <w:tc>
          <w:tcPr>
            <w:tcW w:w="1445" w:type="pct"/>
            <w:noWrap/>
            <w:hideMark/>
          </w:tcPr>
          <w:p w14:paraId="60BF7286" w14:textId="77777777" w:rsidR="0082355D" w:rsidRPr="001E6385" w:rsidRDefault="0082355D" w:rsidP="001E6385">
            <w:pPr>
              <w:spacing w:line="360" w:lineRule="auto"/>
              <w:jc w:val="left"/>
              <w:rPr>
                <w:rFonts w:ascii="Arial" w:hAnsi="Arial" w:cs="Arial"/>
                <w:color w:val="000000"/>
                <w:lang w:val="en-IN" w:eastAsia="en-IN"/>
              </w:rPr>
            </w:pPr>
            <w:r w:rsidRPr="001E6385">
              <w:rPr>
                <w:rFonts w:ascii="Arial" w:hAnsi="Arial" w:cs="Arial"/>
                <w:color w:val="000000"/>
                <w:lang w:val="en-IN" w:eastAsia="en-IN"/>
              </w:rPr>
              <w:t>Return on Equity (ROE) (%)</w:t>
            </w:r>
          </w:p>
        </w:tc>
        <w:tc>
          <w:tcPr>
            <w:tcW w:w="1995" w:type="pct"/>
            <w:noWrap/>
            <w:hideMark/>
          </w:tcPr>
          <w:p w14:paraId="2B996196" w14:textId="77777777" w:rsidR="0082355D" w:rsidRPr="001E6385" w:rsidRDefault="0082355D" w:rsidP="001E6385">
            <w:pPr>
              <w:spacing w:line="360" w:lineRule="auto"/>
              <w:jc w:val="left"/>
              <w:rPr>
                <w:rFonts w:ascii="Arial" w:hAnsi="Arial" w:cs="Arial"/>
                <w:color w:val="000000"/>
                <w:lang w:val="en-IN" w:eastAsia="en-IN"/>
              </w:rPr>
            </w:pPr>
            <w:r w:rsidRPr="001E6385">
              <w:rPr>
                <w:rFonts w:ascii="Arial" w:hAnsi="Arial" w:cs="Arial"/>
                <w:color w:val="000000"/>
                <w:lang w:val="en-IN" w:eastAsia="en-IN"/>
              </w:rPr>
              <w:t>(Net Income/Total Equity)*100</w:t>
            </w:r>
          </w:p>
        </w:tc>
        <w:tc>
          <w:tcPr>
            <w:tcW w:w="327" w:type="pct"/>
            <w:noWrap/>
            <w:hideMark/>
          </w:tcPr>
          <w:p w14:paraId="36418857"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-15.69</w:t>
            </w:r>
          </w:p>
        </w:tc>
        <w:tc>
          <w:tcPr>
            <w:tcW w:w="327" w:type="pct"/>
            <w:noWrap/>
            <w:hideMark/>
          </w:tcPr>
          <w:p w14:paraId="0B184B13"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-54.91</w:t>
            </w:r>
          </w:p>
        </w:tc>
        <w:tc>
          <w:tcPr>
            <w:tcW w:w="302" w:type="pct"/>
            <w:noWrap/>
            <w:hideMark/>
          </w:tcPr>
          <w:p w14:paraId="3E04C6BC"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0.15</w:t>
            </w:r>
          </w:p>
        </w:tc>
        <w:tc>
          <w:tcPr>
            <w:tcW w:w="302" w:type="pct"/>
            <w:noWrap/>
            <w:hideMark/>
          </w:tcPr>
          <w:p w14:paraId="5848E1ED"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1.92</w:t>
            </w:r>
          </w:p>
        </w:tc>
        <w:tc>
          <w:tcPr>
            <w:tcW w:w="302" w:type="pct"/>
            <w:noWrap/>
            <w:hideMark/>
          </w:tcPr>
          <w:p w14:paraId="7F1033CF"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12.31</w:t>
            </w:r>
          </w:p>
        </w:tc>
      </w:tr>
      <w:tr w:rsidR="0082355D" w:rsidRPr="001E6385" w14:paraId="1ABCED70" w14:textId="77777777" w:rsidTr="00C228DF">
        <w:trPr>
          <w:trHeight w:val="1078"/>
        </w:trPr>
        <w:tc>
          <w:tcPr>
            <w:tcW w:w="1445" w:type="pct"/>
            <w:noWrap/>
            <w:hideMark/>
          </w:tcPr>
          <w:p w14:paraId="49BE3729" w14:textId="77777777" w:rsidR="0082355D" w:rsidRPr="001E6385" w:rsidRDefault="0082355D" w:rsidP="001E6385">
            <w:pPr>
              <w:spacing w:line="360" w:lineRule="auto"/>
              <w:jc w:val="left"/>
              <w:rPr>
                <w:rFonts w:ascii="Arial" w:hAnsi="Arial" w:cs="Arial"/>
                <w:color w:val="000000"/>
                <w:lang w:val="en-IN" w:eastAsia="en-IN"/>
              </w:rPr>
            </w:pPr>
            <w:r w:rsidRPr="001E6385">
              <w:rPr>
                <w:rFonts w:ascii="Arial" w:hAnsi="Arial" w:cs="Arial"/>
                <w:color w:val="000000"/>
                <w:lang w:val="en-IN" w:eastAsia="en-IN"/>
              </w:rPr>
              <w:t>Return on Capital Employed (ROCE) (%)</w:t>
            </w:r>
          </w:p>
        </w:tc>
        <w:tc>
          <w:tcPr>
            <w:tcW w:w="1995" w:type="pct"/>
            <w:noWrap/>
            <w:hideMark/>
          </w:tcPr>
          <w:p w14:paraId="2157055A" w14:textId="77777777" w:rsidR="0082355D" w:rsidRPr="001E6385" w:rsidRDefault="0082355D" w:rsidP="001E6385">
            <w:pPr>
              <w:spacing w:line="360" w:lineRule="auto"/>
              <w:jc w:val="left"/>
              <w:rPr>
                <w:rFonts w:ascii="Arial" w:hAnsi="Arial" w:cs="Arial"/>
                <w:color w:val="000000"/>
                <w:lang w:val="en-IN" w:eastAsia="en-IN"/>
              </w:rPr>
            </w:pPr>
            <w:r w:rsidRPr="001E6385">
              <w:rPr>
                <w:rFonts w:ascii="Arial" w:hAnsi="Arial" w:cs="Arial"/>
                <w:color w:val="000000"/>
                <w:lang w:val="en-IN" w:eastAsia="en-IN"/>
              </w:rPr>
              <w:t>(Operating Income/(Total Assets - Current Liabilities))*100</w:t>
            </w:r>
          </w:p>
        </w:tc>
        <w:tc>
          <w:tcPr>
            <w:tcW w:w="327" w:type="pct"/>
            <w:noWrap/>
            <w:hideMark/>
          </w:tcPr>
          <w:p w14:paraId="2274FEED"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-9.27</w:t>
            </w:r>
          </w:p>
        </w:tc>
        <w:tc>
          <w:tcPr>
            <w:tcW w:w="327" w:type="pct"/>
            <w:noWrap/>
            <w:hideMark/>
          </w:tcPr>
          <w:p w14:paraId="7D648A88"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-43.81</w:t>
            </w:r>
          </w:p>
        </w:tc>
        <w:tc>
          <w:tcPr>
            <w:tcW w:w="302" w:type="pct"/>
            <w:noWrap/>
            <w:hideMark/>
          </w:tcPr>
          <w:p w14:paraId="15238BB4"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5.06</w:t>
            </w:r>
          </w:p>
        </w:tc>
        <w:tc>
          <w:tcPr>
            <w:tcW w:w="302" w:type="pct"/>
            <w:noWrap/>
            <w:hideMark/>
          </w:tcPr>
          <w:p w14:paraId="0FB33B74"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7.92</w:t>
            </w:r>
          </w:p>
        </w:tc>
        <w:tc>
          <w:tcPr>
            <w:tcW w:w="302" w:type="pct"/>
            <w:noWrap/>
            <w:hideMark/>
          </w:tcPr>
          <w:p w14:paraId="69FC9A6B" w14:textId="77777777" w:rsidR="0082355D" w:rsidRPr="001E6385" w:rsidRDefault="0082355D" w:rsidP="001E6385">
            <w:pPr>
              <w:spacing w:line="360" w:lineRule="auto"/>
              <w:jc w:val="right"/>
              <w:rPr>
                <w:rFonts w:ascii="Arial" w:hAnsi="Arial" w:cs="Arial"/>
                <w:color w:val="000000"/>
                <w:lang w:val="en-IN" w:eastAsia="en-IN"/>
              </w:rPr>
            </w:pPr>
            <w:r w:rsidRPr="001E6385">
              <w:rPr>
                <w:rFonts w:ascii="Arial" w:hAnsi="Arial" w:cs="Arial"/>
                <w:color w:val="000000"/>
                <w:lang w:val="en-IN" w:eastAsia="en-IN"/>
              </w:rPr>
              <w:t>11.27</w:t>
            </w:r>
          </w:p>
        </w:tc>
      </w:tr>
    </w:tbl>
    <w:p w14:paraId="7F94D2CA" w14:textId="77777777" w:rsidR="008D2A1C" w:rsidRPr="001E6385" w:rsidRDefault="008D2A1C" w:rsidP="001E6385">
      <w:pPr>
        <w:jc w:val="center"/>
        <w:rPr>
          <w:rFonts w:ascii="Arial" w:hAnsi="Arial" w:cs="Arial"/>
          <w:lang w:val="en-GB"/>
        </w:rPr>
      </w:pPr>
    </w:p>
    <w:p w14:paraId="580E6B37" w14:textId="77777777" w:rsidR="00A85B02" w:rsidRPr="001E6385" w:rsidRDefault="00A85B02" w:rsidP="001E6385">
      <w:pPr>
        <w:rPr>
          <w:rFonts w:ascii="Arial" w:hAnsi="Arial" w:cs="Arial"/>
          <w:b/>
          <w:bCs/>
          <w:iCs/>
          <w:lang w:val="en-GB"/>
        </w:rPr>
      </w:pPr>
    </w:p>
    <w:p w14:paraId="3C33F805" w14:textId="77777777" w:rsidR="00A85B02" w:rsidRPr="001E6385" w:rsidRDefault="00A85B02" w:rsidP="001E6385">
      <w:pPr>
        <w:rPr>
          <w:rFonts w:ascii="Arial" w:hAnsi="Arial" w:cs="Arial"/>
          <w:b/>
          <w:bCs/>
          <w:iCs/>
          <w:lang w:val="en-GB"/>
        </w:rPr>
      </w:pPr>
    </w:p>
    <w:p w14:paraId="30BEA5E5" w14:textId="77777777" w:rsidR="00A85B02" w:rsidRPr="001E6385" w:rsidRDefault="00A85B02" w:rsidP="001E6385">
      <w:pPr>
        <w:rPr>
          <w:rFonts w:ascii="Arial" w:hAnsi="Arial" w:cs="Arial"/>
          <w:b/>
          <w:bCs/>
          <w:iCs/>
          <w:lang w:val="en-GB"/>
        </w:rPr>
      </w:pPr>
    </w:p>
    <w:p w14:paraId="00000008" w14:textId="77777777" w:rsidR="00D8667D" w:rsidRPr="001E6385" w:rsidRDefault="008B59A6" w:rsidP="001E6385">
      <w:pPr>
        <w:rPr>
          <w:rFonts w:ascii="Arial" w:hAnsi="Arial" w:cs="Arial"/>
          <w:b/>
          <w:bCs/>
          <w:iCs/>
          <w:lang w:val="en-GB"/>
        </w:rPr>
      </w:pPr>
      <w:r w:rsidRPr="001E6385">
        <w:rPr>
          <w:rFonts w:ascii="Arial" w:hAnsi="Arial" w:cs="Arial"/>
          <w:b/>
          <w:bCs/>
          <w:iCs/>
          <w:lang w:val="en-GB"/>
        </w:rPr>
        <w:t>Liquidity Ratios</w:t>
      </w:r>
    </w:p>
    <w:p w14:paraId="00000009" w14:textId="67E8C8B2" w:rsidR="00D8667D" w:rsidRPr="001E6385" w:rsidRDefault="008B59A6" w:rsidP="001E6385">
      <w:pPr>
        <w:rPr>
          <w:rFonts w:ascii="Arial" w:hAnsi="Arial" w:cs="Arial"/>
          <w:lang w:val="en-GB"/>
        </w:rPr>
      </w:pPr>
      <w:r w:rsidRPr="001E6385">
        <w:rPr>
          <w:rFonts w:ascii="Arial" w:hAnsi="Arial" w:cs="Arial"/>
          <w:lang w:val="en-GB"/>
        </w:rPr>
        <w:t>The liquidity of the company is still average and declining. The current ratio was 1.55 on average, which is fairly short-term solvency. Nevertheless, the cash ratio decreased to 0.17 in 2024 compared to 0.32 in 2020, and working capital decreased to £147,333m to £84,203m, which is a sign of constrained liquidity. The quick ratio of 1.0 or close to it indicates a low degree of shock absorption. Tanui et al. (2021)</w:t>
      </w:r>
      <w:r w:rsidR="00E35668" w:rsidRPr="001E6385">
        <w:rPr>
          <w:rFonts w:ascii="Arial" w:hAnsi="Arial" w:cs="Arial"/>
          <w:lang w:val="en-GB"/>
        </w:rPr>
        <w:t xml:space="preserve"> stated that </w:t>
      </w:r>
      <w:r w:rsidRPr="001E6385">
        <w:rPr>
          <w:rFonts w:ascii="Arial" w:hAnsi="Arial" w:cs="Arial"/>
          <w:lang w:val="en-GB"/>
        </w:rPr>
        <w:t>these declines are indicative of a low-efficient structure of assets and a necessity to advance cash generation and solvency control.</w:t>
      </w:r>
    </w:p>
    <w:tbl>
      <w:tblPr>
        <w:tblW w:w="5000" w:type="pct"/>
        <w:tblLook w:val="04A0" w:firstRow="1" w:lastRow="0" w:firstColumn="1" w:lastColumn="0" w:noHBand="0" w:noVBand="1"/>
      </w:tblPr>
      <w:tblGrid>
        <w:gridCol w:w="1782"/>
        <w:gridCol w:w="3084"/>
        <w:gridCol w:w="785"/>
        <w:gridCol w:w="785"/>
        <w:gridCol w:w="860"/>
        <w:gridCol w:w="860"/>
        <w:gridCol w:w="860"/>
      </w:tblGrid>
      <w:tr w:rsidR="00330188" w:rsidRPr="001E6385" w14:paraId="4F48332B" w14:textId="77777777" w:rsidTr="00330188">
        <w:trPr>
          <w:trHeight w:val="300"/>
        </w:trPr>
        <w:tc>
          <w:tcPr>
            <w:tcW w:w="988" w:type="pct"/>
            <w:tcBorders>
              <w:top w:val="single" w:sz="4" w:space="0" w:color="auto"/>
              <w:left w:val="single" w:sz="4" w:space="0" w:color="auto"/>
              <w:bottom w:val="single" w:sz="4" w:space="0" w:color="auto"/>
              <w:right w:val="single" w:sz="4" w:space="0" w:color="auto"/>
            </w:tcBorders>
            <w:noWrap/>
            <w:vAlign w:val="bottom"/>
            <w:hideMark/>
          </w:tcPr>
          <w:p w14:paraId="6F04208C" w14:textId="34C44634" w:rsidR="00330188" w:rsidRPr="001E6385" w:rsidRDefault="00330188" w:rsidP="001E6385">
            <w:pPr>
              <w:jc w:val="left"/>
              <w:rPr>
                <w:rFonts w:ascii="Arial" w:hAnsi="Arial" w:cs="Arial"/>
                <w:b/>
                <w:bCs/>
                <w:color w:val="000000"/>
                <w:lang w:val="en-IN" w:eastAsia="en-IN"/>
              </w:rPr>
            </w:pPr>
            <w:r w:rsidRPr="001E6385">
              <w:rPr>
                <w:rFonts w:ascii="Arial" w:hAnsi="Arial" w:cs="Arial"/>
                <w:b/>
                <w:bCs/>
                <w:color w:val="000000"/>
                <w:lang w:val="en-IN" w:eastAsia="en-IN"/>
              </w:rPr>
              <w:t>LIQUIDITY RATIOS</w:t>
            </w:r>
          </w:p>
        </w:tc>
        <w:tc>
          <w:tcPr>
            <w:tcW w:w="1710" w:type="pct"/>
            <w:tcBorders>
              <w:top w:val="single" w:sz="4" w:space="0" w:color="auto"/>
              <w:left w:val="nil"/>
              <w:bottom w:val="single" w:sz="4" w:space="0" w:color="auto"/>
              <w:right w:val="single" w:sz="4" w:space="0" w:color="auto"/>
            </w:tcBorders>
            <w:noWrap/>
            <w:vAlign w:val="bottom"/>
            <w:hideMark/>
          </w:tcPr>
          <w:p w14:paraId="0C617DB1" w14:textId="77777777" w:rsidR="00330188" w:rsidRPr="001E6385" w:rsidRDefault="00330188" w:rsidP="001E6385">
            <w:pPr>
              <w:jc w:val="left"/>
              <w:rPr>
                <w:rFonts w:ascii="Arial" w:hAnsi="Arial" w:cs="Arial"/>
                <w:b/>
                <w:bCs/>
                <w:color w:val="000000"/>
                <w:lang w:val="en-IN" w:eastAsia="en-IN"/>
              </w:rPr>
            </w:pPr>
            <w:r w:rsidRPr="001E6385">
              <w:rPr>
                <w:rFonts w:ascii="Arial" w:hAnsi="Arial" w:cs="Arial"/>
                <w:b/>
                <w:bCs/>
                <w:color w:val="000000"/>
                <w:lang w:val="en-IN" w:eastAsia="en-IN"/>
              </w:rPr>
              <w:t> </w:t>
            </w:r>
          </w:p>
        </w:tc>
        <w:tc>
          <w:tcPr>
            <w:tcW w:w="435" w:type="pct"/>
            <w:tcBorders>
              <w:top w:val="single" w:sz="4" w:space="0" w:color="auto"/>
              <w:left w:val="nil"/>
              <w:bottom w:val="single" w:sz="4" w:space="0" w:color="auto"/>
              <w:right w:val="single" w:sz="4" w:space="0" w:color="auto"/>
            </w:tcBorders>
            <w:noWrap/>
            <w:vAlign w:val="bottom"/>
            <w:hideMark/>
          </w:tcPr>
          <w:p w14:paraId="131FB942" w14:textId="36D27C90" w:rsidR="00330188" w:rsidRPr="001E6385" w:rsidRDefault="00330188" w:rsidP="001E6385">
            <w:pPr>
              <w:jc w:val="left"/>
              <w:rPr>
                <w:rFonts w:ascii="Arial" w:hAnsi="Arial" w:cs="Arial"/>
                <w:b/>
                <w:bCs/>
                <w:color w:val="000000"/>
                <w:lang w:val="en-IN" w:eastAsia="en-IN"/>
              </w:rPr>
            </w:pPr>
            <w:r w:rsidRPr="001E6385">
              <w:rPr>
                <w:rFonts w:ascii="Arial" w:hAnsi="Arial" w:cs="Arial"/>
                <w:b/>
                <w:bCs/>
                <w:color w:val="000000"/>
                <w:lang w:val="en-IN" w:eastAsia="en-IN"/>
              </w:rPr>
              <w:t>2024</w:t>
            </w:r>
          </w:p>
        </w:tc>
        <w:tc>
          <w:tcPr>
            <w:tcW w:w="435" w:type="pct"/>
            <w:tcBorders>
              <w:top w:val="single" w:sz="4" w:space="0" w:color="auto"/>
              <w:left w:val="nil"/>
              <w:bottom w:val="single" w:sz="4" w:space="0" w:color="auto"/>
              <w:right w:val="single" w:sz="4" w:space="0" w:color="auto"/>
            </w:tcBorders>
            <w:noWrap/>
            <w:vAlign w:val="bottom"/>
            <w:hideMark/>
          </w:tcPr>
          <w:p w14:paraId="4312D72B" w14:textId="0522D997" w:rsidR="00330188" w:rsidRPr="001E6385" w:rsidRDefault="00330188" w:rsidP="001E6385">
            <w:pPr>
              <w:jc w:val="left"/>
              <w:rPr>
                <w:rFonts w:ascii="Arial" w:hAnsi="Arial" w:cs="Arial"/>
                <w:b/>
                <w:bCs/>
                <w:color w:val="000000"/>
                <w:lang w:val="en-IN" w:eastAsia="en-IN"/>
              </w:rPr>
            </w:pPr>
            <w:r w:rsidRPr="001E6385">
              <w:rPr>
                <w:rFonts w:ascii="Arial" w:hAnsi="Arial" w:cs="Arial"/>
                <w:b/>
                <w:bCs/>
                <w:color w:val="000000"/>
                <w:lang w:val="en-IN" w:eastAsia="en-IN"/>
              </w:rPr>
              <w:t>2023</w:t>
            </w:r>
          </w:p>
        </w:tc>
        <w:tc>
          <w:tcPr>
            <w:tcW w:w="477" w:type="pct"/>
            <w:tcBorders>
              <w:top w:val="single" w:sz="4" w:space="0" w:color="auto"/>
              <w:left w:val="nil"/>
              <w:bottom w:val="single" w:sz="4" w:space="0" w:color="auto"/>
              <w:right w:val="single" w:sz="4" w:space="0" w:color="auto"/>
            </w:tcBorders>
            <w:noWrap/>
            <w:vAlign w:val="bottom"/>
            <w:hideMark/>
          </w:tcPr>
          <w:p w14:paraId="44D55D52" w14:textId="5D3807B9" w:rsidR="00330188" w:rsidRPr="001E6385" w:rsidRDefault="00330188" w:rsidP="001E6385">
            <w:pPr>
              <w:jc w:val="left"/>
              <w:rPr>
                <w:rFonts w:ascii="Arial" w:hAnsi="Arial" w:cs="Arial"/>
                <w:b/>
                <w:bCs/>
                <w:color w:val="000000"/>
                <w:lang w:val="en-IN" w:eastAsia="en-IN"/>
              </w:rPr>
            </w:pPr>
            <w:r w:rsidRPr="001E6385">
              <w:rPr>
                <w:rFonts w:ascii="Arial" w:hAnsi="Arial" w:cs="Arial"/>
                <w:b/>
                <w:bCs/>
                <w:color w:val="000000"/>
                <w:lang w:val="en-IN" w:eastAsia="en-IN"/>
              </w:rPr>
              <w:t>2022</w:t>
            </w:r>
          </w:p>
        </w:tc>
        <w:tc>
          <w:tcPr>
            <w:tcW w:w="477" w:type="pct"/>
            <w:tcBorders>
              <w:top w:val="single" w:sz="4" w:space="0" w:color="auto"/>
              <w:left w:val="nil"/>
              <w:bottom w:val="single" w:sz="4" w:space="0" w:color="auto"/>
              <w:right w:val="single" w:sz="4" w:space="0" w:color="auto"/>
            </w:tcBorders>
            <w:noWrap/>
            <w:vAlign w:val="bottom"/>
            <w:hideMark/>
          </w:tcPr>
          <w:p w14:paraId="4869DE51" w14:textId="4A1092A1" w:rsidR="00330188" w:rsidRPr="001E6385" w:rsidRDefault="00330188" w:rsidP="001E6385">
            <w:pPr>
              <w:jc w:val="left"/>
              <w:rPr>
                <w:rFonts w:ascii="Arial" w:hAnsi="Arial" w:cs="Arial"/>
                <w:b/>
                <w:bCs/>
                <w:color w:val="000000"/>
                <w:lang w:val="en-IN" w:eastAsia="en-IN"/>
              </w:rPr>
            </w:pPr>
            <w:r w:rsidRPr="001E6385">
              <w:rPr>
                <w:rFonts w:ascii="Arial" w:hAnsi="Arial" w:cs="Arial"/>
                <w:b/>
                <w:bCs/>
                <w:color w:val="000000"/>
                <w:lang w:val="en-IN" w:eastAsia="en-IN"/>
              </w:rPr>
              <w:t>2021</w:t>
            </w:r>
          </w:p>
        </w:tc>
        <w:tc>
          <w:tcPr>
            <w:tcW w:w="477" w:type="pct"/>
            <w:tcBorders>
              <w:top w:val="single" w:sz="4" w:space="0" w:color="auto"/>
              <w:left w:val="nil"/>
              <w:bottom w:val="single" w:sz="4" w:space="0" w:color="auto"/>
              <w:right w:val="single" w:sz="4" w:space="0" w:color="auto"/>
            </w:tcBorders>
            <w:noWrap/>
            <w:vAlign w:val="bottom"/>
            <w:hideMark/>
          </w:tcPr>
          <w:p w14:paraId="2082A6DD" w14:textId="452BDF4B" w:rsidR="00330188" w:rsidRPr="001E6385" w:rsidRDefault="00330188" w:rsidP="001E6385">
            <w:pPr>
              <w:jc w:val="left"/>
              <w:rPr>
                <w:rFonts w:ascii="Arial" w:hAnsi="Arial" w:cs="Arial"/>
                <w:b/>
                <w:bCs/>
                <w:color w:val="000000"/>
                <w:lang w:val="en-IN" w:eastAsia="en-IN"/>
              </w:rPr>
            </w:pPr>
            <w:r w:rsidRPr="001E6385">
              <w:rPr>
                <w:rFonts w:ascii="Arial" w:hAnsi="Arial" w:cs="Arial"/>
                <w:b/>
                <w:bCs/>
                <w:color w:val="000000"/>
                <w:lang w:val="en-IN" w:eastAsia="en-IN"/>
              </w:rPr>
              <w:t>2020</w:t>
            </w:r>
          </w:p>
        </w:tc>
      </w:tr>
      <w:tr w:rsidR="008D2A1C" w:rsidRPr="001E6385" w14:paraId="72FAC3C5" w14:textId="77777777" w:rsidTr="00330188">
        <w:trPr>
          <w:trHeight w:val="300"/>
        </w:trPr>
        <w:tc>
          <w:tcPr>
            <w:tcW w:w="988" w:type="pct"/>
            <w:tcBorders>
              <w:top w:val="nil"/>
              <w:left w:val="single" w:sz="4" w:space="0" w:color="auto"/>
              <w:bottom w:val="single" w:sz="4" w:space="0" w:color="auto"/>
              <w:right w:val="single" w:sz="4" w:space="0" w:color="auto"/>
            </w:tcBorders>
            <w:noWrap/>
            <w:vAlign w:val="bottom"/>
            <w:hideMark/>
          </w:tcPr>
          <w:p w14:paraId="1FDFCC05"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 </w:t>
            </w:r>
          </w:p>
        </w:tc>
        <w:tc>
          <w:tcPr>
            <w:tcW w:w="1710" w:type="pct"/>
            <w:tcBorders>
              <w:top w:val="nil"/>
              <w:left w:val="nil"/>
              <w:bottom w:val="single" w:sz="4" w:space="0" w:color="auto"/>
              <w:right w:val="single" w:sz="4" w:space="0" w:color="auto"/>
            </w:tcBorders>
            <w:noWrap/>
            <w:vAlign w:val="bottom"/>
            <w:hideMark/>
          </w:tcPr>
          <w:p w14:paraId="67A295A9"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 </w:t>
            </w:r>
          </w:p>
        </w:tc>
        <w:tc>
          <w:tcPr>
            <w:tcW w:w="435" w:type="pct"/>
            <w:tcBorders>
              <w:top w:val="nil"/>
              <w:left w:val="nil"/>
              <w:bottom w:val="single" w:sz="4" w:space="0" w:color="auto"/>
              <w:right w:val="single" w:sz="4" w:space="0" w:color="auto"/>
            </w:tcBorders>
            <w:noWrap/>
            <w:vAlign w:val="bottom"/>
            <w:hideMark/>
          </w:tcPr>
          <w:p w14:paraId="635456EC"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 </w:t>
            </w:r>
          </w:p>
        </w:tc>
        <w:tc>
          <w:tcPr>
            <w:tcW w:w="435" w:type="pct"/>
            <w:tcBorders>
              <w:top w:val="nil"/>
              <w:left w:val="nil"/>
              <w:bottom w:val="single" w:sz="4" w:space="0" w:color="auto"/>
              <w:right w:val="single" w:sz="4" w:space="0" w:color="auto"/>
            </w:tcBorders>
            <w:noWrap/>
            <w:vAlign w:val="bottom"/>
            <w:hideMark/>
          </w:tcPr>
          <w:p w14:paraId="35979678"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 </w:t>
            </w:r>
          </w:p>
        </w:tc>
        <w:tc>
          <w:tcPr>
            <w:tcW w:w="477" w:type="pct"/>
            <w:tcBorders>
              <w:top w:val="nil"/>
              <w:left w:val="nil"/>
              <w:bottom w:val="single" w:sz="4" w:space="0" w:color="auto"/>
              <w:right w:val="single" w:sz="4" w:space="0" w:color="auto"/>
            </w:tcBorders>
            <w:noWrap/>
            <w:vAlign w:val="bottom"/>
            <w:hideMark/>
          </w:tcPr>
          <w:p w14:paraId="1374414E"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 </w:t>
            </w:r>
          </w:p>
        </w:tc>
        <w:tc>
          <w:tcPr>
            <w:tcW w:w="477" w:type="pct"/>
            <w:tcBorders>
              <w:top w:val="nil"/>
              <w:left w:val="nil"/>
              <w:bottom w:val="single" w:sz="4" w:space="0" w:color="auto"/>
              <w:right w:val="single" w:sz="4" w:space="0" w:color="auto"/>
            </w:tcBorders>
            <w:noWrap/>
            <w:vAlign w:val="bottom"/>
            <w:hideMark/>
          </w:tcPr>
          <w:p w14:paraId="6DF9FA4A"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 </w:t>
            </w:r>
          </w:p>
        </w:tc>
        <w:tc>
          <w:tcPr>
            <w:tcW w:w="477" w:type="pct"/>
            <w:tcBorders>
              <w:top w:val="nil"/>
              <w:left w:val="nil"/>
              <w:bottom w:val="single" w:sz="4" w:space="0" w:color="auto"/>
              <w:right w:val="single" w:sz="4" w:space="0" w:color="auto"/>
            </w:tcBorders>
            <w:noWrap/>
            <w:vAlign w:val="bottom"/>
            <w:hideMark/>
          </w:tcPr>
          <w:p w14:paraId="2A03E87D"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 </w:t>
            </w:r>
          </w:p>
        </w:tc>
      </w:tr>
      <w:tr w:rsidR="008D2A1C" w:rsidRPr="001E6385" w14:paraId="2E8636B9" w14:textId="77777777" w:rsidTr="00330188">
        <w:trPr>
          <w:trHeight w:val="300"/>
        </w:trPr>
        <w:tc>
          <w:tcPr>
            <w:tcW w:w="988" w:type="pct"/>
            <w:tcBorders>
              <w:top w:val="nil"/>
              <w:left w:val="single" w:sz="4" w:space="0" w:color="auto"/>
              <w:bottom w:val="single" w:sz="4" w:space="0" w:color="auto"/>
              <w:right w:val="single" w:sz="4" w:space="0" w:color="auto"/>
            </w:tcBorders>
            <w:noWrap/>
            <w:vAlign w:val="bottom"/>
            <w:hideMark/>
          </w:tcPr>
          <w:p w14:paraId="19355DE5"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Current Ratio</w:t>
            </w:r>
          </w:p>
        </w:tc>
        <w:tc>
          <w:tcPr>
            <w:tcW w:w="1710" w:type="pct"/>
            <w:tcBorders>
              <w:top w:val="nil"/>
              <w:left w:val="nil"/>
              <w:bottom w:val="single" w:sz="4" w:space="0" w:color="auto"/>
              <w:right w:val="single" w:sz="4" w:space="0" w:color="auto"/>
            </w:tcBorders>
            <w:noWrap/>
            <w:vAlign w:val="bottom"/>
            <w:hideMark/>
          </w:tcPr>
          <w:p w14:paraId="2F5FE173"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Total Current Assets/Total Current Liabilities</w:t>
            </w:r>
          </w:p>
        </w:tc>
        <w:tc>
          <w:tcPr>
            <w:tcW w:w="435" w:type="pct"/>
            <w:tcBorders>
              <w:top w:val="nil"/>
              <w:left w:val="nil"/>
              <w:bottom w:val="single" w:sz="4" w:space="0" w:color="auto"/>
              <w:right w:val="single" w:sz="4" w:space="0" w:color="auto"/>
            </w:tcBorders>
            <w:noWrap/>
            <w:vAlign w:val="bottom"/>
            <w:hideMark/>
          </w:tcPr>
          <w:p w14:paraId="0C58C8A8"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1.53</w:t>
            </w:r>
          </w:p>
        </w:tc>
        <w:tc>
          <w:tcPr>
            <w:tcW w:w="435" w:type="pct"/>
            <w:tcBorders>
              <w:top w:val="nil"/>
              <w:left w:val="nil"/>
              <w:bottom w:val="single" w:sz="4" w:space="0" w:color="auto"/>
              <w:right w:val="single" w:sz="4" w:space="0" w:color="auto"/>
            </w:tcBorders>
            <w:noWrap/>
            <w:vAlign w:val="bottom"/>
            <w:hideMark/>
          </w:tcPr>
          <w:p w14:paraId="45167A45"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1.61</w:t>
            </w:r>
          </w:p>
        </w:tc>
        <w:tc>
          <w:tcPr>
            <w:tcW w:w="477" w:type="pct"/>
            <w:tcBorders>
              <w:top w:val="nil"/>
              <w:left w:val="nil"/>
              <w:bottom w:val="single" w:sz="4" w:space="0" w:color="auto"/>
              <w:right w:val="single" w:sz="4" w:space="0" w:color="auto"/>
            </w:tcBorders>
            <w:noWrap/>
            <w:vAlign w:val="bottom"/>
            <w:hideMark/>
          </w:tcPr>
          <w:p w14:paraId="0A5D8D79"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1.56</w:t>
            </w:r>
          </w:p>
        </w:tc>
        <w:tc>
          <w:tcPr>
            <w:tcW w:w="477" w:type="pct"/>
            <w:tcBorders>
              <w:top w:val="nil"/>
              <w:left w:val="nil"/>
              <w:bottom w:val="single" w:sz="4" w:space="0" w:color="auto"/>
              <w:right w:val="single" w:sz="4" w:space="0" w:color="auto"/>
            </w:tcBorders>
            <w:noWrap/>
            <w:vAlign w:val="bottom"/>
            <w:hideMark/>
          </w:tcPr>
          <w:p w14:paraId="42091DB8"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1.56</w:t>
            </w:r>
          </w:p>
        </w:tc>
        <w:tc>
          <w:tcPr>
            <w:tcW w:w="477" w:type="pct"/>
            <w:tcBorders>
              <w:top w:val="nil"/>
              <w:left w:val="nil"/>
              <w:bottom w:val="single" w:sz="4" w:space="0" w:color="auto"/>
              <w:right w:val="single" w:sz="4" w:space="0" w:color="auto"/>
            </w:tcBorders>
            <w:noWrap/>
            <w:vAlign w:val="bottom"/>
            <w:hideMark/>
          </w:tcPr>
          <w:p w14:paraId="72C5EF9C"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1.82</w:t>
            </w:r>
          </w:p>
        </w:tc>
      </w:tr>
      <w:tr w:rsidR="008D2A1C" w:rsidRPr="001E6385" w14:paraId="7DF02D89" w14:textId="77777777" w:rsidTr="00330188">
        <w:trPr>
          <w:trHeight w:val="300"/>
        </w:trPr>
        <w:tc>
          <w:tcPr>
            <w:tcW w:w="988" w:type="pct"/>
            <w:tcBorders>
              <w:top w:val="nil"/>
              <w:left w:val="single" w:sz="4" w:space="0" w:color="auto"/>
              <w:bottom w:val="single" w:sz="4" w:space="0" w:color="auto"/>
              <w:right w:val="single" w:sz="4" w:space="0" w:color="auto"/>
            </w:tcBorders>
            <w:noWrap/>
            <w:vAlign w:val="bottom"/>
            <w:hideMark/>
          </w:tcPr>
          <w:p w14:paraId="6DEE2534"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Quick Ratio (Acid Test)</w:t>
            </w:r>
          </w:p>
        </w:tc>
        <w:tc>
          <w:tcPr>
            <w:tcW w:w="1710" w:type="pct"/>
            <w:tcBorders>
              <w:top w:val="nil"/>
              <w:left w:val="nil"/>
              <w:bottom w:val="single" w:sz="4" w:space="0" w:color="auto"/>
              <w:right w:val="single" w:sz="4" w:space="0" w:color="auto"/>
            </w:tcBorders>
            <w:noWrap/>
            <w:vAlign w:val="bottom"/>
            <w:hideMark/>
          </w:tcPr>
          <w:p w14:paraId="64163F76"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(Current Assets - Inventories)/Current Liabilities</w:t>
            </w:r>
          </w:p>
        </w:tc>
        <w:tc>
          <w:tcPr>
            <w:tcW w:w="435" w:type="pct"/>
            <w:tcBorders>
              <w:top w:val="nil"/>
              <w:left w:val="nil"/>
              <w:bottom w:val="single" w:sz="4" w:space="0" w:color="auto"/>
              <w:right w:val="single" w:sz="4" w:space="0" w:color="auto"/>
            </w:tcBorders>
            <w:noWrap/>
            <w:vAlign w:val="bottom"/>
            <w:hideMark/>
          </w:tcPr>
          <w:p w14:paraId="448D9092"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1.03</w:t>
            </w:r>
          </w:p>
        </w:tc>
        <w:tc>
          <w:tcPr>
            <w:tcW w:w="435" w:type="pct"/>
            <w:tcBorders>
              <w:top w:val="nil"/>
              <w:left w:val="nil"/>
              <w:bottom w:val="single" w:sz="4" w:space="0" w:color="auto"/>
              <w:right w:val="single" w:sz="4" w:space="0" w:color="auto"/>
            </w:tcBorders>
            <w:noWrap/>
            <w:vAlign w:val="bottom"/>
            <w:hideMark/>
          </w:tcPr>
          <w:p w14:paraId="05F010CD"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1.06</w:t>
            </w:r>
          </w:p>
        </w:tc>
        <w:tc>
          <w:tcPr>
            <w:tcW w:w="477" w:type="pct"/>
            <w:tcBorders>
              <w:top w:val="nil"/>
              <w:left w:val="nil"/>
              <w:bottom w:val="single" w:sz="4" w:space="0" w:color="auto"/>
              <w:right w:val="single" w:sz="4" w:space="0" w:color="auto"/>
            </w:tcBorders>
            <w:noWrap/>
            <w:vAlign w:val="bottom"/>
            <w:hideMark/>
          </w:tcPr>
          <w:p w14:paraId="65C14131"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0.91</w:t>
            </w:r>
          </w:p>
        </w:tc>
        <w:tc>
          <w:tcPr>
            <w:tcW w:w="477" w:type="pct"/>
            <w:tcBorders>
              <w:top w:val="nil"/>
              <w:left w:val="nil"/>
              <w:bottom w:val="single" w:sz="4" w:space="0" w:color="auto"/>
              <w:right w:val="single" w:sz="4" w:space="0" w:color="auto"/>
            </w:tcBorders>
            <w:noWrap/>
            <w:vAlign w:val="bottom"/>
            <w:hideMark/>
          </w:tcPr>
          <w:p w14:paraId="41EEE1E6"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0.93</w:t>
            </w:r>
          </w:p>
        </w:tc>
        <w:tc>
          <w:tcPr>
            <w:tcW w:w="477" w:type="pct"/>
            <w:tcBorders>
              <w:top w:val="nil"/>
              <w:left w:val="nil"/>
              <w:bottom w:val="single" w:sz="4" w:space="0" w:color="auto"/>
              <w:right w:val="single" w:sz="4" w:space="0" w:color="auto"/>
            </w:tcBorders>
            <w:noWrap/>
            <w:vAlign w:val="bottom"/>
            <w:hideMark/>
          </w:tcPr>
          <w:p w14:paraId="045CFA04"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1.15</w:t>
            </w:r>
          </w:p>
        </w:tc>
      </w:tr>
      <w:tr w:rsidR="008D2A1C" w:rsidRPr="001E6385" w14:paraId="4B9F191E" w14:textId="77777777" w:rsidTr="00330188">
        <w:trPr>
          <w:trHeight w:val="300"/>
        </w:trPr>
        <w:tc>
          <w:tcPr>
            <w:tcW w:w="988" w:type="pct"/>
            <w:tcBorders>
              <w:top w:val="nil"/>
              <w:left w:val="single" w:sz="4" w:space="0" w:color="auto"/>
              <w:bottom w:val="single" w:sz="4" w:space="0" w:color="auto"/>
              <w:right w:val="single" w:sz="4" w:space="0" w:color="auto"/>
            </w:tcBorders>
            <w:noWrap/>
            <w:vAlign w:val="bottom"/>
            <w:hideMark/>
          </w:tcPr>
          <w:p w14:paraId="020FE8EB"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Cash Ratio</w:t>
            </w:r>
          </w:p>
        </w:tc>
        <w:tc>
          <w:tcPr>
            <w:tcW w:w="1710" w:type="pct"/>
            <w:tcBorders>
              <w:top w:val="nil"/>
              <w:left w:val="nil"/>
              <w:bottom w:val="single" w:sz="4" w:space="0" w:color="auto"/>
              <w:right w:val="single" w:sz="4" w:space="0" w:color="auto"/>
            </w:tcBorders>
            <w:noWrap/>
            <w:vAlign w:val="bottom"/>
            <w:hideMark/>
          </w:tcPr>
          <w:p w14:paraId="3767347F"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Cash/Current Liabilities</w:t>
            </w:r>
          </w:p>
        </w:tc>
        <w:tc>
          <w:tcPr>
            <w:tcW w:w="435" w:type="pct"/>
            <w:tcBorders>
              <w:top w:val="nil"/>
              <w:left w:val="nil"/>
              <w:bottom w:val="single" w:sz="4" w:space="0" w:color="auto"/>
              <w:right w:val="single" w:sz="4" w:space="0" w:color="auto"/>
            </w:tcBorders>
            <w:noWrap/>
            <w:vAlign w:val="bottom"/>
            <w:hideMark/>
          </w:tcPr>
          <w:p w14:paraId="0D55BDAA"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0.17</w:t>
            </w:r>
          </w:p>
        </w:tc>
        <w:tc>
          <w:tcPr>
            <w:tcW w:w="435" w:type="pct"/>
            <w:tcBorders>
              <w:top w:val="nil"/>
              <w:left w:val="nil"/>
              <w:bottom w:val="single" w:sz="4" w:space="0" w:color="auto"/>
              <w:right w:val="single" w:sz="4" w:space="0" w:color="auto"/>
            </w:tcBorders>
            <w:noWrap/>
            <w:vAlign w:val="bottom"/>
            <w:hideMark/>
          </w:tcPr>
          <w:p w14:paraId="2D59DEDA"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0.27</w:t>
            </w:r>
          </w:p>
        </w:tc>
        <w:tc>
          <w:tcPr>
            <w:tcW w:w="477" w:type="pct"/>
            <w:tcBorders>
              <w:top w:val="nil"/>
              <w:left w:val="nil"/>
              <w:bottom w:val="single" w:sz="4" w:space="0" w:color="auto"/>
              <w:right w:val="single" w:sz="4" w:space="0" w:color="auto"/>
            </w:tcBorders>
            <w:noWrap/>
            <w:vAlign w:val="bottom"/>
            <w:hideMark/>
          </w:tcPr>
          <w:p w14:paraId="6BC71E98"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0.31</w:t>
            </w:r>
          </w:p>
        </w:tc>
        <w:tc>
          <w:tcPr>
            <w:tcW w:w="477" w:type="pct"/>
            <w:tcBorders>
              <w:top w:val="nil"/>
              <w:left w:val="nil"/>
              <w:bottom w:val="single" w:sz="4" w:space="0" w:color="auto"/>
              <w:right w:val="single" w:sz="4" w:space="0" w:color="auto"/>
            </w:tcBorders>
            <w:noWrap/>
            <w:vAlign w:val="bottom"/>
            <w:hideMark/>
          </w:tcPr>
          <w:p w14:paraId="50ED9F69"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0.28</w:t>
            </w:r>
          </w:p>
        </w:tc>
        <w:tc>
          <w:tcPr>
            <w:tcW w:w="477" w:type="pct"/>
            <w:tcBorders>
              <w:top w:val="nil"/>
              <w:left w:val="nil"/>
              <w:bottom w:val="single" w:sz="4" w:space="0" w:color="auto"/>
              <w:right w:val="single" w:sz="4" w:space="0" w:color="auto"/>
            </w:tcBorders>
            <w:noWrap/>
            <w:vAlign w:val="bottom"/>
            <w:hideMark/>
          </w:tcPr>
          <w:p w14:paraId="47095217"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0.32</w:t>
            </w:r>
          </w:p>
        </w:tc>
      </w:tr>
      <w:tr w:rsidR="008D2A1C" w:rsidRPr="001E6385" w14:paraId="16889723" w14:textId="77777777" w:rsidTr="00330188">
        <w:trPr>
          <w:trHeight w:val="300"/>
        </w:trPr>
        <w:tc>
          <w:tcPr>
            <w:tcW w:w="988" w:type="pct"/>
            <w:tcBorders>
              <w:top w:val="nil"/>
              <w:left w:val="single" w:sz="4" w:space="0" w:color="auto"/>
              <w:bottom w:val="single" w:sz="4" w:space="0" w:color="auto"/>
              <w:right w:val="single" w:sz="4" w:space="0" w:color="auto"/>
            </w:tcBorders>
            <w:noWrap/>
            <w:vAlign w:val="bottom"/>
            <w:hideMark/>
          </w:tcPr>
          <w:p w14:paraId="319368CB"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Working Capital (£m)</w:t>
            </w:r>
          </w:p>
        </w:tc>
        <w:tc>
          <w:tcPr>
            <w:tcW w:w="1710" w:type="pct"/>
            <w:tcBorders>
              <w:top w:val="nil"/>
              <w:left w:val="nil"/>
              <w:bottom w:val="single" w:sz="4" w:space="0" w:color="auto"/>
              <w:right w:val="single" w:sz="4" w:space="0" w:color="auto"/>
            </w:tcBorders>
            <w:noWrap/>
            <w:vAlign w:val="bottom"/>
            <w:hideMark/>
          </w:tcPr>
          <w:p w14:paraId="7F2805DD"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Total Current Assets - Total Current Liabilities</w:t>
            </w:r>
          </w:p>
        </w:tc>
        <w:tc>
          <w:tcPr>
            <w:tcW w:w="435" w:type="pct"/>
            <w:tcBorders>
              <w:top w:val="nil"/>
              <w:left w:val="nil"/>
              <w:bottom w:val="single" w:sz="4" w:space="0" w:color="auto"/>
              <w:right w:val="single" w:sz="4" w:space="0" w:color="auto"/>
            </w:tcBorders>
            <w:noWrap/>
            <w:vAlign w:val="bottom"/>
            <w:hideMark/>
          </w:tcPr>
          <w:p w14:paraId="3D75F27C"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84203.00</w:t>
            </w:r>
          </w:p>
        </w:tc>
        <w:tc>
          <w:tcPr>
            <w:tcW w:w="435" w:type="pct"/>
            <w:tcBorders>
              <w:top w:val="nil"/>
              <w:left w:val="nil"/>
              <w:bottom w:val="single" w:sz="4" w:space="0" w:color="auto"/>
              <w:right w:val="single" w:sz="4" w:space="0" w:color="auto"/>
            </w:tcBorders>
            <w:noWrap/>
            <w:vAlign w:val="bottom"/>
            <w:hideMark/>
          </w:tcPr>
          <w:p w14:paraId="70E45AFB"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97703.00</w:t>
            </w:r>
          </w:p>
        </w:tc>
        <w:tc>
          <w:tcPr>
            <w:tcW w:w="477" w:type="pct"/>
            <w:tcBorders>
              <w:top w:val="nil"/>
              <w:left w:val="nil"/>
              <w:bottom w:val="single" w:sz="4" w:space="0" w:color="auto"/>
              <w:right w:val="single" w:sz="4" w:space="0" w:color="auto"/>
            </w:tcBorders>
            <w:noWrap/>
            <w:vAlign w:val="bottom"/>
            <w:hideMark/>
          </w:tcPr>
          <w:p w14:paraId="03834A85"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121567.00</w:t>
            </w:r>
          </w:p>
        </w:tc>
        <w:tc>
          <w:tcPr>
            <w:tcW w:w="477" w:type="pct"/>
            <w:tcBorders>
              <w:top w:val="nil"/>
              <w:left w:val="nil"/>
              <w:bottom w:val="single" w:sz="4" w:space="0" w:color="auto"/>
              <w:right w:val="single" w:sz="4" w:space="0" w:color="auto"/>
            </w:tcBorders>
            <w:noWrap/>
            <w:vAlign w:val="bottom"/>
            <w:hideMark/>
          </w:tcPr>
          <w:p w14:paraId="5ECE8331"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120359.00</w:t>
            </w:r>
          </w:p>
        </w:tc>
        <w:tc>
          <w:tcPr>
            <w:tcW w:w="477" w:type="pct"/>
            <w:tcBorders>
              <w:top w:val="nil"/>
              <w:left w:val="nil"/>
              <w:bottom w:val="single" w:sz="4" w:space="0" w:color="auto"/>
              <w:right w:val="single" w:sz="4" w:space="0" w:color="auto"/>
            </w:tcBorders>
            <w:noWrap/>
            <w:vAlign w:val="bottom"/>
            <w:hideMark/>
          </w:tcPr>
          <w:p w14:paraId="338BD574"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147333.00</w:t>
            </w:r>
          </w:p>
        </w:tc>
      </w:tr>
      <w:tr w:rsidR="008D2A1C" w:rsidRPr="001E6385" w14:paraId="6A6121FE" w14:textId="77777777" w:rsidTr="00330188">
        <w:trPr>
          <w:trHeight w:val="300"/>
        </w:trPr>
        <w:tc>
          <w:tcPr>
            <w:tcW w:w="988" w:type="pct"/>
            <w:tcBorders>
              <w:top w:val="nil"/>
              <w:left w:val="single" w:sz="4" w:space="0" w:color="auto"/>
              <w:bottom w:val="single" w:sz="4" w:space="0" w:color="auto"/>
              <w:right w:val="single" w:sz="4" w:space="0" w:color="auto"/>
            </w:tcBorders>
            <w:noWrap/>
            <w:vAlign w:val="bottom"/>
            <w:hideMark/>
          </w:tcPr>
          <w:p w14:paraId="111AE4F2"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Working Capital Ratio (%)</w:t>
            </w:r>
          </w:p>
        </w:tc>
        <w:tc>
          <w:tcPr>
            <w:tcW w:w="1710" w:type="pct"/>
            <w:tcBorders>
              <w:top w:val="nil"/>
              <w:left w:val="nil"/>
              <w:bottom w:val="single" w:sz="4" w:space="0" w:color="auto"/>
              <w:right w:val="single" w:sz="4" w:space="0" w:color="auto"/>
            </w:tcBorders>
            <w:noWrap/>
            <w:vAlign w:val="bottom"/>
            <w:hideMark/>
          </w:tcPr>
          <w:p w14:paraId="4FCDD97A"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(Working Capital/Total Assets)*100</w:t>
            </w:r>
          </w:p>
        </w:tc>
        <w:tc>
          <w:tcPr>
            <w:tcW w:w="435" w:type="pct"/>
            <w:tcBorders>
              <w:top w:val="nil"/>
              <w:left w:val="nil"/>
              <w:bottom w:val="single" w:sz="4" w:space="0" w:color="auto"/>
              <w:right w:val="single" w:sz="4" w:space="0" w:color="auto"/>
            </w:tcBorders>
            <w:noWrap/>
            <w:vAlign w:val="bottom"/>
            <w:hideMark/>
          </w:tcPr>
          <w:p w14:paraId="271CF4B0"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26.04</w:t>
            </w:r>
          </w:p>
        </w:tc>
        <w:tc>
          <w:tcPr>
            <w:tcW w:w="435" w:type="pct"/>
            <w:tcBorders>
              <w:top w:val="nil"/>
              <w:left w:val="nil"/>
              <w:bottom w:val="single" w:sz="4" w:space="0" w:color="auto"/>
              <w:right w:val="single" w:sz="4" w:space="0" w:color="auto"/>
            </w:tcBorders>
            <w:noWrap/>
            <w:vAlign w:val="bottom"/>
            <w:hideMark/>
          </w:tcPr>
          <w:p w14:paraId="1CE3D5D6"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27.45</w:t>
            </w:r>
          </w:p>
        </w:tc>
        <w:tc>
          <w:tcPr>
            <w:tcW w:w="477" w:type="pct"/>
            <w:tcBorders>
              <w:top w:val="nil"/>
              <w:left w:val="nil"/>
              <w:bottom w:val="single" w:sz="4" w:space="0" w:color="auto"/>
              <w:right w:val="single" w:sz="4" w:space="0" w:color="auto"/>
            </w:tcBorders>
            <w:noWrap/>
            <w:vAlign w:val="bottom"/>
            <w:hideMark/>
          </w:tcPr>
          <w:p w14:paraId="6B8F3AAC"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24.11</w:t>
            </w:r>
          </w:p>
        </w:tc>
        <w:tc>
          <w:tcPr>
            <w:tcW w:w="477" w:type="pct"/>
            <w:tcBorders>
              <w:top w:val="nil"/>
              <w:left w:val="nil"/>
              <w:bottom w:val="single" w:sz="4" w:space="0" w:color="auto"/>
              <w:right w:val="single" w:sz="4" w:space="0" w:color="auto"/>
            </w:tcBorders>
            <w:noWrap/>
            <w:vAlign w:val="bottom"/>
            <w:hideMark/>
          </w:tcPr>
          <w:p w14:paraId="70CAC0B5"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23.58</w:t>
            </w:r>
          </w:p>
        </w:tc>
        <w:tc>
          <w:tcPr>
            <w:tcW w:w="477" w:type="pct"/>
            <w:tcBorders>
              <w:top w:val="nil"/>
              <w:left w:val="nil"/>
              <w:bottom w:val="single" w:sz="4" w:space="0" w:color="auto"/>
              <w:right w:val="single" w:sz="4" w:space="0" w:color="auto"/>
            </w:tcBorders>
            <w:noWrap/>
            <w:vAlign w:val="bottom"/>
            <w:hideMark/>
          </w:tcPr>
          <w:p w14:paraId="2D4FD312"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28.87</w:t>
            </w:r>
          </w:p>
        </w:tc>
      </w:tr>
    </w:tbl>
    <w:p w14:paraId="686840EF" w14:textId="77777777" w:rsidR="008D2A1C" w:rsidRPr="001E6385" w:rsidRDefault="008D2A1C" w:rsidP="001E6385">
      <w:pPr>
        <w:jc w:val="center"/>
        <w:rPr>
          <w:rFonts w:ascii="Arial" w:hAnsi="Arial" w:cs="Arial"/>
          <w:lang w:val="en-GB"/>
        </w:rPr>
      </w:pPr>
    </w:p>
    <w:p w14:paraId="0000000A" w14:textId="77777777" w:rsidR="00D8667D" w:rsidRPr="001E6385" w:rsidRDefault="008B59A6" w:rsidP="001E6385">
      <w:pPr>
        <w:rPr>
          <w:rFonts w:ascii="Arial" w:hAnsi="Arial" w:cs="Arial"/>
          <w:b/>
          <w:bCs/>
          <w:iCs/>
          <w:lang w:val="en-GB"/>
        </w:rPr>
      </w:pPr>
      <w:r w:rsidRPr="001E6385">
        <w:rPr>
          <w:rFonts w:ascii="Arial" w:hAnsi="Arial" w:cs="Arial"/>
          <w:b/>
          <w:bCs/>
          <w:iCs/>
          <w:lang w:val="en-GB"/>
        </w:rPr>
        <w:t>Efficiency Ratios</w:t>
      </w:r>
    </w:p>
    <w:p w14:paraId="0000000B" w14:textId="3A22813D" w:rsidR="00D8667D" w:rsidRPr="001E6385" w:rsidRDefault="008B59A6" w:rsidP="001E6385">
      <w:pPr>
        <w:rPr>
          <w:rFonts w:ascii="Arial" w:hAnsi="Arial" w:cs="Arial"/>
          <w:lang w:val="en-GB"/>
        </w:rPr>
      </w:pPr>
      <w:r w:rsidRPr="001E6385">
        <w:rPr>
          <w:rFonts w:ascii="Arial" w:hAnsi="Arial" w:cs="Arial"/>
          <w:lang w:val="en-GB"/>
        </w:rPr>
        <w:t>There is a decline in operational efficiency. The asset turnover was also stable at 1.2, whereas the receivable turnover and Days Sales Outstanding improved to 3.46 and 105 days, respectively, indicating slower collections. Turnover Payables turnover was low, and this implies that the company was not paying its suppliers on time, but the cash conversion cycle had gone up to 96 days. These tendencies illustrate poor management of working capital. Nyatsumba and Pooe (2022)</w:t>
      </w:r>
      <w:r w:rsidR="00E35668" w:rsidRPr="001E6385">
        <w:rPr>
          <w:rFonts w:ascii="Arial" w:hAnsi="Arial" w:cs="Arial"/>
          <w:lang w:val="en-GB"/>
        </w:rPr>
        <w:t xml:space="preserve"> added that</w:t>
      </w:r>
      <w:r w:rsidRPr="001E6385">
        <w:rPr>
          <w:rFonts w:ascii="Arial" w:hAnsi="Arial" w:cs="Arial"/>
          <w:lang w:val="en-GB"/>
        </w:rPr>
        <w:t xml:space="preserve"> these inefficiencies are usually attributed to instability within the organisation and require a great deal of managerial discipline to reduce it.</w:t>
      </w:r>
    </w:p>
    <w:tbl>
      <w:tblPr>
        <w:tblW w:w="5000" w:type="pct"/>
        <w:tblLook w:val="04A0" w:firstRow="1" w:lastRow="0" w:firstColumn="1" w:lastColumn="0" w:noHBand="0" w:noVBand="1"/>
      </w:tblPr>
      <w:tblGrid>
        <w:gridCol w:w="2491"/>
        <w:gridCol w:w="2969"/>
        <w:gridCol w:w="728"/>
        <w:gridCol w:w="644"/>
        <w:gridCol w:w="728"/>
        <w:gridCol w:w="728"/>
        <w:gridCol w:w="728"/>
      </w:tblGrid>
      <w:tr w:rsidR="00330188" w:rsidRPr="001E6385" w14:paraId="7FF99D3D" w14:textId="77777777" w:rsidTr="00330188">
        <w:trPr>
          <w:trHeight w:val="300"/>
        </w:trPr>
        <w:tc>
          <w:tcPr>
            <w:tcW w:w="1381" w:type="pct"/>
            <w:tcBorders>
              <w:top w:val="single" w:sz="4" w:space="0" w:color="auto"/>
              <w:left w:val="single" w:sz="4" w:space="0" w:color="auto"/>
              <w:bottom w:val="single" w:sz="4" w:space="0" w:color="auto"/>
              <w:right w:val="single" w:sz="4" w:space="0" w:color="auto"/>
            </w:tcBorders>
            <w:noWrap/>
            <w:vAlign w:val="bottom"/>
            <w:hideMark/>
          </w:tcPr>
          <w:p w14:paraId="439C9044" w14:textId="5212E686" w:rsidR="00330188" w:rsidRPr="001E6385" w:rsidRDefault="00330188" w:rsidP="001E6385">
            <w:pPr>
              <w:jc w:val="left"/>
              <w:rPr>
                <w:rFonts w:ascii="Arial" w:hAnsi="Arial" w:cs="Arial"/>
                <w:b/>
                <w:bCs/>
                <w:color w:val="000000"/>
                <w:lang w:val="en-IN" w:eastAsia="en-IN"/>
              </w:rPr>
            </w:pPr>
            <w:r w:rsidRPr="001E6385">
              <w:rPr>
                <w:rFonts w:ascii="Arial" w:hAnsi="Arial" w:cs="Arial"/>
                <w:b/>
                <w:bCs/>
                <w:color w:val="000000"/>
                <w:lang w:val="en-IN" w:eastAsia="en-IN"/>
              </w:rPr>
              <w:lastRenderedPageBreak/>
              <w:t>EFFICIENCY RATIOS</w:t>
            </w:r>
          </w:p>
        </w:tc>
        <w:tc>
          <w:tcPr>
            <w:tcW w:w="1647" w:type="pct"/>
            <w:tcBorders>
              <w:top w:val="single" w:sz="4" w:space="0" w:color="auto"/>
              <w:left w:val="nil"/>
              <w:bottom w:val="single" w:sz="4" w:space="0" w:color="auto"/>
              <w:right w:val="single" w:sz="4" w:space="0" w:color="auto"/>
            </w:tcBorders>
            <w:noWrap/>
            <w:vAlign w:val="bottom"/>
            <w:hideMark/>
          </w:tcPr>
          <w:p w14:paraId="68575931" w14:textId="77777777" w:rsidR="00330188" w:rsidRPr="001E6385" w:rsidRDefault="00330188" w:rsidP="001E6385">
            <w:pPr>
              <w:jc w:val="left"/>
              <w:rPr>
                <w:rFonts w:ascii="Arial" w:hAnsi="Arial" w:cs="Arial"/>
                <w:b/>
                <w:bCs/>
                <w:color w:val="000000"/>
                <w:lang w:val="en-IN" w:eastAsia="en-IN"/>
              </w:rPr>
            </w:pPr>
            <w:r w:rsidRPr="001E6385">
              <w:rPr>
                <w:rFonts w:ascii="Arial" w:hAnsi="Arial" w:cs="Arial"/>
                <w:b/>
                <w:bCs/>
                <w:color w:val="000000"/>
                <w:lang w:val="en-IN" w:eastAsia="en-IN"/>
              </w:rPr>
              <w:t> </w:t>
            </w:r>
          </w:p>
        </w:tc>
        <w:tc>
          <w:tcPr>
            <w:tcW w:w="404" w:type="pct"/>
            <w:tcBorders>
              <w:top w:val="single" w:sz="4" w:space="0" w:color="auto"/>
              <w:left w:val="nil"/>
              <w:bottom w:val="single" w:sz="4" w:space="0" w:color="auto"/>
              <w:right w:val="single" w:sz="4" w:space="0" w:color="auto"/>
            </w:tcBorders>
            <w:noWrap/>
            <w:vAlign w:val="bottom"/>
            <w:hideMark/>
          </w:tcPr>
          <w:p w14:paraId="7A059A7E" w14:textId="3453209C" w:rsidR="00330188" w:rsidRPr="001E6385" w:rsidRDefault="00330188" w:rsidP="001E6385">
            <w:pPr>
              <w:jc w:val="left"/>
              <w:rPr>
                <w:rFonts w:ascii="Arial" w:hAnsi="Arial" w:cs="Arial"/>
                <w:b/>
                <w:bCs/>
                <w:color w:val="000000"/>
                <w:lang w:val="en-IN" w:eastAsia="en-IN"/>
              </w:rPr>
            </w:pPr>
            <w:r w:rsidRPr="001E6385">
              <w:rPr>
                <w:rFonts w:ascii="Arial" w:hAnsi="Arial" w:cs="Arial"/>
                <w:b/>
                <w:bCs/>
                <w:color w:val="000000"/>
                <w:lang w:val="en-IN" w:eastAsia="en-IN"/>
              </w:rPr>
              <w:t>2024</w:t>
            </w:r>
          </w:p>
        </w:tc>
        <w:tc>
          <w:tcPr>
            <w:tcW w:w="357" w:type="pct"/>
            <w:tcBorders>
              <w:top w:val="single" w:sz="4" w:space="0" w:color="auto"/>
              <w:left w:val="nil"/>
              <w:bottom w:val="single" w:sz="4" w:space="0" w:color="auto"/>
              <w:right w:val="single" w:sz="4" w:space="0" w:color="auto"/>
            </w:tcBorders>
            <w:noWrap/>
            <w:vAlign w:val="bottom"/>
            <w:hideMark/>
          </w:tcPr>
          <w:p w14:paraId="4404D0FB" w14:textId="2A9EB2B7" w:rsidR="00330188" w:rsidRPr="001E6385" w:rsidRDefault="00330188" w:rsidP="001E6385">
            <w:pPr>
              <w:jc w:val="left"/>
              <w:rPr>
                <w:rFonts w:ascii="Arial" w:hAnsi="Arial" w:cs="Arial"/>
                <w:b/>
                <w:bCs/>
                <w:color w:val="000000"/>
                <w:lang w:val="en-IN" w:eastAsia="en-IN"/>
              </w:rPr>
            </w:pPr>
            <w:r w:rsidRPr="001E6385">
              <w:rPr>
                <w:rFonts w:ascii="Arial" w:hAnsi="Arial" w:cs="Arial"/>
                <w:b/>
                <w:bCs/>
                <w:color w:val="000000"/>
                <w:lang w:val="en-IN" w:eastAsia="en-IN"/>
              </w:rPr>
              <w:t>2023</w:t>
            </w:r>
          </w:p>
        </w:tc>
        <w:tc>
          <w:tcPr>
            <w:tcW w:w="404" w:type="pct"/>
            <w:tcBorders>
              <w:top w:val="single" w:sz="4" w:space="0" w:color="auto"/>
              <w:left w:val="nil"/>
              <w:bottom w:val="single" w:sz="4" w:space="0" w:color="auto"/>
              <w:right w:val="single" w:sz="4" w:space="0" w:color="auto"/>
            </w:tcBorders>
            <w:noWrap/>
            <w:vAlign w:val="bottom"/>
            <w:hideMark/>
          </w:tcPr>
          <w:p w14:paraId="07D1F4BE" w14:textId="5C5402D0" w:rsidR="00330188" w:rsidRPr="001E6385" w:rsidRDefault="00330188" w:rsidP="001E6385">
            <w:pPr>
              <w:jc w:val="left"/>
              <w:rPr>
                <w:rFonts w:ascii="Arial" w:hAnsi="Arial" w:cs="Arial"/>
                <w:b/>
                <w:bCs/>
                <w:color w:val="000000"/>
                <w:lang w:val="en-IN" w:eastAsia="en-IN"/>
              </w:rPr>
            </w:pPr>
            <w:r w:rsidRPr="001E6385">
              <w:rPr>
                <w:rFonts w:ascii="Arial" w:hAnsi="Arial" w:cs="Arial"/>
                <w:b/>
                <w:bCs/>
                <w:color w:val="000000"/>
                <w:lang w:val="en-IN" w:eastAsia="en-IN"/>
              </w:rPr>
              <w:t>2022</w:t>
            </w:r>
          </w:p>
        </w:tc>
        <w:tc>
          <w:tcPr>
            <w:tcW w:w="404" w:type="pct"/>
            <w:tcBorders>
              <w:top w:val="single" w:sz="4" w:space="0" w:color="auto"/>
              <w:left w:val="nil"/>
              <w:bottom w:val="single" w:sz="4" w:space="0" w:color="auto"/>
              <w:right w:val="single" w:sz="4" w:space="0" w:color="auto"/>
            </w:tcBorders>
            <w:noWrap/>
            <w:vAlign w:val="bottom"/>
            <w:hideMark/>
          </w:tcPr>
          <w:p w14:paraId="1CA6E269" w14:textId="0413E66C" w:rsidR="00330188" w:rsidRPr="001E6385" w:rsidRDefault="00330188" w:rsidP="001E6385">
            <w:pPr>
              <w:jc w:val="left"/>
              <w:rPr>
                <w:rFonts w:ascii="Arial" w:hAnsi="Arial" w:cs="Arial"/>
                <w:b/>
                <w:bCs/>
                <w:color w:val="000000"/>
                <w:lang w:val="en-IN" w:eastAsia="en-IN"/>
              </w:rPr>
            </w:pPr>
            <w:r w:rsidRPr="001E6385">
              <w:rPr>
                <w:rFonts w:ascii="Arial" w:hAnsi="Arial" w:cs="Arial"/>
                <w:b/>
                <w:bCs/>
                <w:color w:val="000000"/>
                <w:lang w:val="en-IN" w:eastAsia="en-IN"/>
              </w:rPr>
              <w:t>2021</w:t>
            </w:r>
          </w:p>
        </w:tc>
        <w:tc>
          <w:tcPr>
            <w:tcW w:w="404" w:type="pct"/>
            <w:tcBorders>
              <w:top w:val="single" w:sz="4" w:space="0" w:color="auto"/>
              <w:left w:val="nil"/>
              <w:bottom w:val="single" w:sz="4" w:space="0" w:color="auto"/>
              <w:right w:val="single" w:sz="4" w:space="0" w:color="auto"/>
            </w:tcBorders>
            <w:noWrap/>
            <w:vAlign w:val="bottom"/>
            <w:hideMark/>
          </w:tcPr>
          <w:p w14:paraId="49489143" w14:textId="3C2CCCF6" w:rsidR="00330188" w:rsidRPr="001E6385" w:rsidRDefault="00330188" w:rsidP="001E6385">
            <w:pPr>
              <w:jc w:val="left"/>
              <w:rPr>
                <w:rFonts w:ascii="Arial" w:hAnsi="Arial" w:cs="Arial"/>
                <w:b/>
                <w:bCs/>
                <w:color w:val="000000"/>
                <w:lang w:val="en-IN" w:eastAsia="en-IN"/>
              </w:rPr>
            </w:pPr>
            <w:r w:rsidRPr="001E6385">
              <w:rPr>
                <w:rFonts w:ascii="Arial" w:hAnsi="Arial" w:cs="Arial"/>
                <w:b/>
                <w:bCs/>
                <w:color w:val="000000"/>
                <w:lang w:val="en-IN" w:eastAsia="en-IN"/>
              </w:rPr>
              <w:t>2020</w:t>
            </w:r>
          </w:p>
        </w:tc>
      </w:tr>
      <w:tr w:rsidR="008D2A1C" w:rsidRPr="001E6385" w14:paraId="54FD281C" w14:textId="77777777" w:rsidTr="00330188">
        <w:trPr>
          <w:trHeight w:val="300"/>
        </w:trPr>
        <w:tc>
          <w:tcPr>
            <w:tcW w:w="1381" w:type="pct"/>
            <w:tcBorders>
              <w:top w:val="nil"/>
              <w:left w:val="single" w:sz="4" w:space="0" w:color="auto"/>
              <w:bottom w:val="single" w:sz="4" w:space="0" w:color="auto"/>
              <w:right w:val="single" w:sz="4" w:space="0" w:color="auto"/>
            </w:tcBorders>
            <w:noWrap/>
            <w:vAlign w:val="bottom"/>
            <w:hideMark/>
          </w:tcPr>
          <w:p w14:paraId="26122E90"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Asset Turnover Ratio</w:t>
            </w:r>
          </w:p>
        </w:tc>
        <w:tc>
          <w:tcPr>
            <w:tcW w:w="1647" w:type="pct"/>
            <w:tcBorders>
              <w:top w:val="nil"/>
              <w:left w:val="nil"/>
              <w:bottom w:val="single" w:sz="4" w:space="0" w:color="auto"/>
              <w:right w:val="single" w:sz="4" w:space="0" w:color="auto"/>
            </w:tcBorders>
            <w:noWrap/>
            <w:vAlign w:val="bottom"/>
            <w:hideMark/>
          </w:tcPr>
          <w:p w14:paraId="22911877"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Net Sales/Total Assets</w:t>
            </w:r>
          </w:p>
        </w:tc>
        <w:tc>
          <w:tcPr>
            <w:tcW w:w="404" w:type="pct"/>
            <w:tcBorders>
              <w:top w:val="nil"/>
              <w:left w:val="nil"/>
              <w:bottom w:val="single" w:sz="4" w:space="0" w:color="auto"/>
              <w:right w:val="single" w:sz="4" w:space="0" w:color="auto"/>
            </w:tcBorders>
            <w:noWrap/>
            <w:vAlign w:val="bottom"/>
            <w:hideMark/>
          </w:tcPr>
          <w:p w14:paraId="33645204"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1.22</w:t>
            </w:r>
          </w:p>
        </w:tc>
        <w:tc>
          <w:tcPr>
            <w:tcW w:w="357" w:type="pct"/>
            <w:tcBorders>
              <w:top w:val="nil"/>
              <w:left w:val="nil"/>
              <w:bottom w:val="single" w:sz="4" w:space="0" w:color="auto"/>
              <w:right w:val="single" w:sz="4" w:space="0" w:color="auto"/>
            </w:tcBorders>
            <w:noWrap/>
            <w:vAlign w:val="bottom"/>
            <w:hideMark/>
          </w:tcPr>
          <w:p w14:paraId="2AAB338E"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1.18</w:t>
            </w:r>
          </w:p>
        </w:tc>
        <w:tc>
          <w:tcPr>
            <w:tcW w:w="404" w:type="pct"/>
            <w:tcBorders>
              <w:top w:val="nil"/>
              <w:left w:val="nil"/>
              <w:bottom w:val="single" w:sz="4" w:space="0" w:color="auto"/>
              <w:right w:val="single" w:sz="4" w:space="0" w:color="auto"/>
            </w:tcBorders>
            <w:noWrap/>
            <w:vAlign w:val="bottom"/>
            <w:hideMark/>
          </w:tcPr>
          <w:p w14:paraId="04E588BC"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1.08</w:t>
            </w:r>
          </w:p>
        </w:tc>
        <w:tc>
          <w:tcPr>
            <w:tcW w:w="404" w:type="pct"/>
            <w:tcBorders>
              <w:top w:val="nil"/>
              <w:left w:val="nil"/>
              <w:bottom w:val="single" w:sz="4" w:space="0" w:color="auto"/>
              <w:right w:val="single" w:sz="4" w:space="0" w:color="auto"/>
            </w:tcBorders>
            <w:noWrap/>
            <w:vAlign w:val="bottom"/>
            <w:hideMark/>
          </w:tcPr>
          <w:p w14:paraId="74BB45F9"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1.18</w:t>
            </w:r>
          </w:p>
        </w:tc>
        <w:tc>
          <w:tcPr>
            <w:tcW w:w="404" w:type="pct"/>
            <w:tcBorders>
              <w:top w:val="nil"/>
              <w:left w:val="nil"/>
              <w:bottom w:val="single" w:sz="4" w:space="0" w:color="auto"/>
              <w:right w:val="single" w:sz="4" w:space="0" w:color="auto"/>
            </w:tcBorders>
            <w:noWrap/>
            <w:vAlign w:val="bottom"/>
            <w:hideMark/>
          </w:tcPr>
          <w:p w14:paraId="4F784BB4"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1.20</w:t>
            </w:r>
          </w:p>
        </w:tc>
      </w:tr>
      <w:tr w:rsidR="008D2A1C" w:rsidRPr="001E6385" w14:paraId="2E0E207F" w14:textId="77777777" w:rsidTr="00330188">
        <w:trPr>
          <w:trHeight w:val="300"/>
        </w:trPr>
        <w:tc>
          <w:tcPr>
            <w:tcW w:w="1381" w:type="pct"/>
            <w:tcBorders>
              <w:top w:val="nil"/>
              <w:left w:val="single" w:sz="4" w:space="0" w:color="auto"/>
              <w:bottom w:val="single" w:sz="4" w:space="0" w:color="auto"/>
              <w:right w:val="single" w:sz="4" w:space="0" w:color="auto"/>
            </w:tcBorders>
            <w:noWrap/>
            <w:vAlign w:val="bottom"/>
            <w:hideMark/>
          </w:tcPr>
          <w:p w14:paraId="0EF88D58"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Inventory Turnover</w:t>
            </w:r>
          </w:p>
        </w:tc>
        <w:tc>
          <w:tcPr>
            <w:tcW w:w="1647" w:type="pct"/>
            <w:tcBorders>
              <w:top w:val="nil"/>
              <w:left w:val="nil"/>
              <w:bottom w:val="single" w:sz="4" w:space="0" w:color="auto"/>
              <w:right w:val="single" w:sz="4" w:space="0" w:color="auto"/>
            </w:tcBorders>
            <w:noWrap/>
            <w:vAlign w:val="bottom"/>
            <w:hideMark/>
          </w:tcPr>
          <w:p w14:paraId="70533445"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Cost of Sales/Average Inventory</w:t>
            </w:r>
          </w:p>
        </w:tc>
        <w:tc>
          <w:tcPr>
            <w:tcW w:w="404" w:type="pct"/>
            <w:tcBorders>
              <w:top w:val="nil"/>
              <w:left w:val="nil"/>
              <w:bottom w:val="single" w:sz="4" w:space="0" w:color="auto"/>
              <w:right w:val="single" w:sz="4" w:space="0" w:color="auto"/>
            </w:tcBorders>
            <w:noWrap/>
            <w:vAlign w:val="bottom"/>
            <w:hideMark/>
          </w:tcPr>
          <w:p w14:paraId="430929F6"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-3.54</w:t>
            </w:r>
          </w:p>
        </w:tc>
        <w:tc>
          <w:tcPr>
            <w:tcW w:w="357" w:type="pct"/>
            <w:tcBorders>
              <w:top w:val="nil"/>
              <w:left w:val="nil"/>
              <w:bottom w:val="single" w:sz="4" w:space="0" w:color="auto"/>
              <w:right w:val="single" w:sz="4" w:space="0" w:color="auto"/>
            </w:tcBorders>
            <w:noWrap/>
            <w:vAlign w:val="bottom"/>
            <w:hideMark/>
          </w:tcPr>
          <w:p w14:paraId="519B959D"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-3.66</w:t>
            </w:r>
          </w:p>
        </w:tc>
        <w:tc>
          <w:tcPr>
            <w:tcW w:w="404" w:type="pct"/>
            <w:tcBorders>
              <w:top w:val="nil"/>
              <w:left w:val="nil"/>
              <w:bottom w:val="single" w:sz="4" w:space="0" w:color="auto"/>
              <w:right w:val="single" w:sz="4" w:space="0" w:color="auto"/>
            </w:tcBorders>
            <w:noWrap/>
            <w:vAlign w:val="bottom"/>
            <w:hideMark/>
          </w:tcPr>
          <w:p w14:paraId="58C77A4E"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-2.79</w:t>
            </w:r>
          </w:p>
        </w:tc>
        <w:tc>
          <w:tcPr>
            <w:tcW w:w="404" w:type="pct"/>
            <w:tcBorders>
              <w:top w:val="nil"/>
              <w:left w:val="nil"/>
              <w:bottom w:val="single" w:sz="4" w:space="0" w:color="auto"/>
              <w:right w:val="single" w:sz="4" w:space="0" w:color="auto"/>
            </w:tcBorders>
            <w:noWrap/>
            <w:vAlign w:val="bottom"/>
            <w:hideMark/>
          </w:tcPr>
          <w:p w14:paraId="77ABED1B"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-3.19</w:t>
            </w:r>
          </w:p>
        </w:tc>
        <w:tc>
          <w:tcPr>
            <w:tcW w:w="404" w:type="pct"/>
            <w:tcBorders>
              <w:top w:val="nil"/>
              <w:left w:val="nil"/>
              <w:bottom w:val="single" w:sz="4" w:space="0" w:color="auto"/>
              <w:right w:val="single" w:sz="4" w:space="0" w:color="auto"/>
            </w:tcBorders>
            <w:noWrap/>
            <w:vAlign w:val="bottom"/>
            <w:hideMark/>
          </w:tcPr>
          <w:p w14:paraId="19B41ECB"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-3.64</w:t>
            </w:r>
          </w:p>
        </w:tc>
      </w:tr>
      <w:tr w:rsidR="008D2A1C" w:rsidRPr="001E6385" w14:paraId="5D922696" w14:textId="77777777" w:rsidTr="00330188">
        <w:trPr>
          <w:trHeight w:val="300"/>
        </w:trPr>
        <w:tc>
          <w:tcPr>
            <w:tcW w:w="1381" w:type="pct"/>
            <w:tcBorders>
              <w:top w:val="nil"/>
              <w:left w:val="single" w:sz="4" w:space="0" w:color="auto"/>
              <w:bottom w:val="single" w:sz="4" w:space="0" w:color="auto"/>
              <w:right w:val="single" w:sz="4" w:space="0" w:color="auto"/>
            </w:tcBorders>
            <w:noWrap/>
            <w:vAlign w:val="bottom"/>
            <w:hideMark/>
          </w:tcPr>
          <w:p w14:paraId="6F017E4D"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Days Inventory Outstanding (DIO)</w:t>
            </w:r>
          </w:p>
        </w:tc>
        <w:tc>
          <w:tcPr>
            <w:tcW w:w="1647" w:type="pct"/>
            <w:tcBorders>
              <w:top w:val="nil"/>
              <w:left w:val="nil"/>
              <w:bottom w:val="single" w:sz="4" w:space="0" w:color="auto"/>
              <w:right w:val="single" w:sz="4" w:space="0" w:color="auto"/>
            </w:tcBorders>
            <w:noWrap/>
            <w:vAlign w:val="bottom"/>
            <w:hideMark/>
          </w:tcPr>
          <w:p w14:paraId="27574BD5"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365/Inventory Turnover</w:t>
            </w:r>
          </w:p>
        </w:tc>
        <w:tc>
          <w:tcPr>
            <w:tcW w:w="404" w:type="pct"/>
            <w:tcBorders>
              <w:top w:val="nil"/>
              <w:left w:val="nil"/>
              <w:bottom w:val="single" w:sz="4" w:space="0" w:color="auto"/>
              <w:right w:val="single" w:sz="4" w:space="0" w:color="auto"/>
            </w:tcBorders>
            <w:noWrap/>
            <w:vAlign w:val="bottom"/>
            <w:hideMark/>
          </w:tcPr>
          <w:p w14:paraId="5B04E798"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-103.12</w:t>
            </w:r>
          </w:p>
        </w:tc>
        <w:tc>
          <w:tcPr>
            <w:tcW w:w="357" w:type="pct"/>
            <w:tcBorders>
              <w:top w:val="nil"/>
              <w:left w:val="nil"/>
              <w:bottom w:val="single" w:sz="4" w:space="0" w:color="auto"/>
              <w:right w:val="single" w:sz="4" w:space="0" w:color="auto"/>
            </w:tcBorders>
            <w:noWrap/>
            <w:vAlign w:val="bottom"/>
            <w:hideMark/>
          </w:tcPr>
          <w:p w14:paraId="66359B6B"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-99.78</w:t>
            </w:r>
          </w:p>
        </w:tc>
        <w:tc>
          <w:tcPr>
            <w:tcW w:w="404" w:type="pct"/>
            <w:tcBorders>
              <w:top w:val="nil"/>
              <w:left w:val="nil"/>
              <w:bottom w:val="single" w:sz="4" w:space="0" w:color="auto"/>
              <w:right w:val="single" w:sz="4" w:space="0" w:color="auto"/>
            </w:tcBorders>
            <w:noWrap/>
            <w:vAlign w:val="bottom"/>
            <w:hideMark/>
          </w:tcPr>
          <w:p w14:paraId="3198329C"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-131.04</w:t>
            </w:r>
          </w:p>
        </w:tc>
        <w:tc>
          <w:tcPr>
            <w:tcW w:w="404" w:type="pct"/>
            <w:tcBorders>
              <w:top w:val="nil"/>
              <w:left w:val="nil"/>
              <w:bottom w:val="single" w:sz="4" w:space="0" w:color="auto"/>
              <w:right w:val="single" w:sz="4" w:space="0" w:color="auto"/>
            </w:tcBorders>
            <w:noWrap/>
            <w:vAlign w:val="bottom"/>
            <w:hideMark/>
          </w:tcPr>
          <w:p w14:paraId="36DA633D"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-114.52</w:t>
            </w:r>
          </w:p>
        </w:tc>
        <w:tc>
          <w:tcPr>
            <w:tcW w:w="404" w:type="pct"/>
            <w:tcBorders>
              <w:top w:val="nil"/>
              <w:left w:val="nil"/>
              <w:bottom w:val="single" w:sz="4" w:space="0" w:color="auto"/>
              <w:right w:val="single" w:sz="4" w:space="0" w:color="auto"/>
            </w:tcBorders>
            <w:noWrap/>
            <w:vAlign w:val="bottom"/>
            <w:hideMark/>
          </w:tcPr>
          <w:p w14:paraId="731DE975"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-100.26</w:t>
            </w:r>
          </w:p>
        </w:tc>
      </w:tr>
      <w:tr w:rsidR="008D2A1C" w:rsidRPr="001E6385" w14:paraId="68A1ABB3" w14:textId="77777777" w:rsidTr="00330188">
        <w:trPr>
          <w:trHeight w:val="300"/>
        </w:trPr>
        <w:tc>
          <w:tcPr>
            <w:tcW w:w="1381" w:type="pct"/>
            <w:tcBorders>
              <w:top w:val="nil"/>
              <w:left w:val="single" w:sz="4" w:space="0" w:color="auto"/>
              <w:bottom w:val="single" w:sz="4" w:space="0" w:color="auto"/>
              <w:right w:val="single" w:sz="4" w:space="0" w:color="auto"/>
            </w:tcBorders>
            <w:noWrap/>
            <w:vAlign w:val="bottom"/>
            <w:hideMark/>
          </w:tcPr>
          <w:p w14:paraId="4ADF36B6"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Receivables Turnover</w:t>
            </w:r>
          </w:p>
        </w:tc>
        <w:tc>
          <w:tcPr>
            <w:tcW w:w="1647" w:type="pct"/>
            <w:tcBorders>
              <w:top w:val="nil"/>
              <w:left w:val="nil"/>
              <w:bottom w:val="single" w:sz="4" w:space="0" w:color="auto"/>
              <w:right w:val="single" w:sz="4" w:space="0" w:color="auto"/>
            </w:tcBorders>
            <w:noWrap/>
            <w:vAlign w:val="bottom"/>
            <w:hideMark/>
          </w:tcPr>
          <w:p w14:paraId="7042C55F"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Net Sales/Average Accounts Receivable</w:t>
            </w:r>
          </w:p>
        </w:tc>
        <w:tc>
          <w:tcPr>
            <w:tcW w:w="404" w:type="pct"/>
            <w:tcBorders>
              <w:top w:val="nil"/>
              <w:left w:val="nil"/>
              <w:bottom w:val="single" w:sz="4" w:space="0" w:color="auto"/>
              <w:right w:val="single" w:sz="4" w:space="0" w:color="auto"/>
            </w:tcBorders>
            <w:noWrap/>
            <w:vAlign w:val="bottom"/>
            <w:hideMark/>
          </w:tcPr>
          <w:p w14:paraId="4C9AC4DF"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3.46</w:t>
            </w:r>
          </w:p>
        </w:tc>
        <w:tc>
          <w:tcPr>
            <w:tcW w:w="357" w:type="pct"/>
            <w:tcBorders>
              <w:top w:val="nil"/>
              <w:left w:val="nil"/>
              <w:bottom w:val="single" w:sz="4" w:space="0" w:color="auto"/>
              <w:right w:val="single" w:sz="4" w:space="0" w:color="auto"/>
            </w:tcBorders>
            <w:noWrap/>
            <w:vAlign w:val="bottom"/>
            <w:hideMark/>
          </w:tcPr>
          <w:p w14:paraId="687F867C"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3.73</w:t>
            </w:r>
          </w:p>
        </w:tc>
        <w:tc>
          <w:tcPr>
            <w:tcW w:w="404" w:type="pct"/>
            <w:tcBorders>
              <w:top w:val="nil"/>
              <w:left w:val="nil"/>
              <w:bottom w:val="single" w:sz="4" w:space="0" w:color="auto"/>
              <w:right w:val="single" w:sz="4" w:space="0" w:color="auto"/>
            </w:tcBorders>
            <w:noWrap/>
            <w:vAlign w:val="bottom"/>
            <w:hideMark/>
          </w:tcPr>
          <w:p w14:paraId="7F573D54"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4.83</w:t>
            </w:r>
          </w:p>
        </w:tc>
        <w:tc>
          <w:tcPr>
            <w:tcW w:w="404" w:type="pct"/>
            <w:tcBorders>
              <w:top w:val="nil"/>
              <w:left w:val="nil"/>
              <w:bottom w:val="single" w:sz="4" w:space="0" w:color="auto"/>
              <w:right w:val="single" w:sz="4" w:space="0" w:color="auto"/>
            </w:tcBorders>
            <w:noWrap/>
            <w:vAlign w:val="bottom"/>
            <w:hideMark/>
          </w:tcPr>
          <w:p w14:paraId="50D8AA23"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4.66</w:t>
            </w:r>
          </w:p>
        </w:tc>
        <w:tc>
          <w:tcPr>
            <w:tcW w:w="404" w:type="pct"/>
            <w:tcBorders>
              <w:top w:val="nil"/>
              <w:left w:val="nil"/>
              <w:bottom w:val="single" w:sz="4" w:space="0" w:color="auto"/>
              <w:right w:val="single" w:sz="4" w:space="0" w:color="auto"/>
            </w:tcBorders>
            <w:noWrap/>
            <w:vAlign w:val="bottom"/>
            <w:hideMark/>
          </w:tcPr>
          <w:p w14:paraId="2303ECD7"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4.75</w:t>
            </w:r>
          </w:p>
        </w:tc>
      </w:tr>
      <w:tr w:rsidR="008D2A1C" w:rsidRPr="001E6385" w14:paraId="34CA6796" w14:textId="77777777" w:rsidTr="00330188">
        <w:trPr>
          <w:trHeight w:val="300"/>
        </w:trPr>
        <w:tc>
          <w:tcPr>
            <w:tcW w:w="1381" w:type="pct"/>
            <w:tcBorders>
              <w:top w:val="nil"/>
              <w:left w:val="single" w:sz="4" w:space="0" w:color="auto"/>
              <w:bottom w:val="single" w:sz="4" w:space="0" w:color="auto"/>
              <w:right w:val="single" w:sz="4" w:space="0" w:color="auto"/>
            </w:tcBorders>
            <w:noWrap/>
            <w:vAlign w:val="bottom"/>
            <w:hideMark/>
          </w:tcPr>
          <w:p w14:paraId="1D44E9B1"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Days Sales Outstanding (DSO)</w:t>
            </w:r>
          </w:p>
        </w:tc>
        <w:tc>
          <w:tcPr>
            <w:tcW w:w="1647" w:type="pct"/>
            <w:tcBorders>
              <w:top w:val="nil"/>
              <w:left w:val="nil"/>
              <w:bottom w:val="single" w:sz="4" w:space="0" w:color="auto"/>
              <w:right w:val="single" w:sz="4" w:space="0" w:color="auto"/>
            </w:tcBorders>
            <w:noWrap/>
            <w:vAlign w:val="bottom"/>
            <w:hideMark/>
          </w:tcPr>
          <w:p w14:paraId="77C5E1D8"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365/Receivables Turnover</w:t>
            </w:r>
          </w:p>
        </w:tc>
        <w:tc>
          <w:tcPr>
            <w:tcW w:w="404" w:type="pct"/>
            <w:tcBorders>
              <w:top w:val="nil"/>
              <w:left w:val="nil"/>
              <w:bottom w:val="single" w:sz="4" w:space="0" w:color="auto"/>
              <w:right w:val="single" w:sz="4" w:space="0" w:color="auto"/>
            </w:tcBorders>
            <w:noWrap/>
            <w:vAlign w:val="bottom"/>
            <w:hideMark/>
          </w:tcPr>
          <w:p w14:paraId="7D7624A9"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105.54</w:t>
            </w:r>
          </w:p>
        </w:tc>
        <w:tc>
          <w:tcPr>
            <w:tcW w:w="357" w:type="pct"/>
            <w:tcBorders>
              <w:top w:val="nil"/>
              <w:left w:val="nil"/>
              <w:bottom w:val="single" w:sz="4" w:space="0" w:color="auto"/>
              <w:right w:val="single" w:sz="4" w:space="0" w:color="auto"/>
            </w:tcBorders>
            <w:noWrap/>
            <w:vAlign w:val="bottom"/>
            <w:hideMark/>
          </w:tcPr>
          <w:p w14:paraId="386957B6"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97.74</w:t>
            </w:r>
          </w:p>
        </w:tc>
        <w:tc>
          <w:tcPr>
            <w:tcW w:w="404" w:type="pct"/>
            <w:tcBorders>
              <w:top w:val="nil"/>
              <w:left w:val="nil"/>
              <w:bottom w:val="single" w:sz="4" w:space="0" w:color="auto"/>
              <w:right w:val="single" w:sz="4" w:space="0" w:color="auto"/>
            </w:tcBorders>
            <w:noWrap/>
            <w:vAlign w:val="bottom"/>
            <w:hideMark/>
          </w:tcPr>
          <w:p w14:paraId="3C56C5BF"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75.55</w:t>
            </w:r>
          </w:p>
        </w:tc>
        <w:tc>
          <w:tcPr>
            <w:tcW w:w="404" w:type="pct"/>
            <w:tcBorders>
              <w:top w:val="nil"/>
              <w:left w:val="nil"/>
              <w:bottom w:val="single" w:sz="4" w:space="0" w:color="auto"/>
              <w:right w:val="single" w:sz="4" w:space="0" w:color="auto"/>
            </w:tcBorders>
            <w:noWrap/>
            <w:vAlign w:val="bottom"/>
            <w:hideMark/>
          </w:tcPr>
          <w:p w14:paraId="67ED080D"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78.40</w:t>
            </w:r>
          </w:p>
        </w:tc>
        <w:tc>
          <w:tcPr>
            <w:tcW w:w="404" w:type="pct"/>
            <w:tcBorders>
              <w:top w:val="nil"/>
              <w:left w:val="nil"/>
              <w:bottom w:val="single" w:sz="4" w:space="0" w:color="auto"/>
              <w:right w:val="single" w:sz="4" w:space="0" w:color="auto"/>
            </w:tcBorders>
            <w:noWrap/>
            <w:vAlign w:val="bottom"/>
            <w:hideMark/>
          </w:tcPr>
          <w:p w14:paraId="0B5AC87F"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76.86</w:t>
            </w:r>
          </w:p>
        </w:tc>
      </w:tr>
      <w:tr w:rsidR="008D2A1C" w:rsidRPr="001E6385" w14:paraId="1D8ED8C6" w14:textId="77777777" w:rsidTr="00330188">
        <w:trPr>
          <w:trHeight w:val="300"/>
        </w:trPr>
        <w:tc>
          <w:tcPr>
            <w:tcW w:w="1381" w:type="pct"/>
            <w:tcBorders>
              <w:top w:val="nil"/>
              <w:left w:val="single" w:sz="4" w:space="0" w:color="auto"/>
              <w:bottom w:val="single" w:sz="4" w:space="0" w:color="auto"/>
              <w:right w:val="single" w:sz="4" w:space="0" w:color="auto"/>
            </w:tcBorders>
            <w:noWrap/>
            <w:vAlign w:val="bottom"/>
            <w:hideMark/>
          </w:tcPr>
          <w:p w14:paraId="53F4A8DA"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Payables Turnover</w:t>
            </w:r>
          </w:p>
        </w:tc>
        <w:tc>
          <w:tcPr>
            <w:tcW w:w="1647" w:type="pct"/>
            <w:tcBorders>
              <w:top w:val="nil"/>
              <w:left w:val="nil"/>
              <w:bottom w:val="single" w:sz="4" w:space="0" w:color="auto"/>
              <w:right w:val="single" w:sz="4" w:space="0" w:color="auto"/>
            </w:tcBorders>
            <w:noWrap/>
            <w:vAlign w:val="bottom"/>
            <w:hideMark/>
          </w:tcPr>
          <w:p w14:paraId="6BFE9859"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Cost of Sales/Average Accounts Payable</w:t>
            </w:r>
          </w:p>
        </w:tc>
        <w:tc>
          <w:tcPr>
            <w:tcW w:w="404" w:type="pct"/>
            <w:tcBorders>
              <w:top w:val="nil"/>
              <w:left w:val="nil"/>
              <w:bottom w:val="single" w:sz="4" w:space="0" w:color="auto"/>
              <w:right w:val="single" w:sz="4" w:space="0" w:color="auto"/>
            </w:tcBorders>
            <w:noWrap/>
            <w:vAlign w:val="bottom"/>
            <w:hideMark/>
          </w:tcPr>
          <w:p w14:paraId="2127706A"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-3.90</w:t>
            </w:r>
          </w:p>
        </w:tc>
        <w:tc>
          <w:tcPr>
            <w:tcW w:w="357" w:type="pct"/>
            <w:tcBorders>
              <w:top w:val="nil"/>
              <w:left w:val="nil"/>
              <w:bottom w:val="single" w:sz="4" w:space="0" w:color="auto"/>
              <w:right w:val="single" w:sz="4" w:space="0" w:color="auto"/>
            </w:tcBorders>
            <w:noWrap/>
            <w:vAlign w:val="bottom"/>
            <w:hideMark/>
          </w:tcPr>
          <w:p w14:paraId="01106382"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-5.66</w:t>
            </w:r>
          </w:p>
        </w:tc>
        <w:tc>
          <w:tcPr>
            <w:tcW w:w="404" w:type="pct"/>
            <w:tcBorders>
              <w:top w:val="nil"/>
              <w:left w:val="nil"/>
              <w:bottom w:val="single" w:sz="4" w:space="0" w:color="auto"/>
              <w:right w:val="single" w:sz="4" w:space="0" w:color="auto"/>
            </w:tcBorders>
            <w:noWrap/>
            <w:vAlign w:val="bottom"/>
            <w:hideMark/>
          </w:tcPr>
          <w:p w14:paraId="6CC63343"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-5.47</w:t>
            </w:r>
          </w:p>
        </w:tc>
        <w:tc>
          <w:tcPr>
            <w:tcW w:w="404" w:type="pct"/>
            <w:tcBorders>
              <w:top w:val="nil"/>
              <w:left w:val="nil"/>
              <w:bottom w:val="single" w:sz="4" w:space="0" w:color="auto"/>
              <w:right w:val="single" w:sz="4" w:space="0" w:color="auto"/>
            </w:tcBorders>
            <w:noWrap/>
            <w:vAlign w:val="bottom"/>
            <w:hideMark/>
          </w:tcPr>
          <w:p w14:paraId="0AA984A9"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-4.62</w:t>
            </w:r>
          </w:p>
        </w:tc>
        <w:tc>
          <w:tcPr>
            <w:tcW w:w="404" w:type="pct"/>
            <w:tcBorders>
              <w:top w:val="nil"/>
              <w:left w:val="nil"/>
              <w:bottom w:val="single" w:sz="4" w:space="0" w:color="auto"/>
              <w:right w:val="single" w:sz="4" w:space="0" w:color="auto"/>
            </w:tcBorders>
            <w:noWrap/>
            <w:vAlign w:val="bottom"/>
            <w:hideMark/>
          </w:tcPr>
          <w:p w14:paraId="2452F507"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-5.27</w:t>
            </w:r>
          </w:p>
        </w:tc>
      </w:tr>
      <w:tr w:rsidR="008D2A1C" w:rsidRPr="001E6385" w14:paraId="5BE666C7" w14:textId="77777777" w:rsidTr="00330188">
        <w:trPr>
          <w:trHeight w:val="300"/>
        </w:trPr>
        <w:tc>
          <w:tcPr>
            <w:tcW w:w="1381" w:type="pct"/>
            <w:tcBorders>
              <w:top w:val="nil"/>
              <w:left w:val="single" w:sz="4" w:space="0" w:color="auto"/>
              <w:bottom w:val="single" w:sz="4" w:space="0" w:color="auto"/>
              <w:right w:val="single" w:sz="4" w:space="0" w:color="auto"/>
            </w:tcBorders>
            <w:noWrap/>
            <w:vAlign w:val="bottom"/>
            <w:hideMark/>
          </w:tcPr>
          <w:p w14:paraId="0C1EE57F"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Days Payable Outstanding (DPO)</w:t>
            </w:r>
          </w:p>
        </w:tc>
        <w:tc>
          <w:tcPr>
            <w:tcW w:w="1647" w:type="pct"/>
            <w:tcBorders>
              <w:top w:val="nil"/>
              <w:left w:val="nil"/>
              <w:bottom w:val="single" w:sz="4" w:space="0" w:color="auto"/>
              <w:right w:val="single" w:sz="4" w:space="0" w:color="auto"/>
            </w:tcBorders>
            <w:noWrap/>
            <w:vAlign w:val="bottom"/>
            <w:hideMark/>
          </w:tcPr>
          <w:p w14:paraId="1856EA24"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365/Payables Turnover</w:t>
            </w:r>
          </w:p>
        </w:tc>
        <w:tc>
          <w:tcPr>
            <w:tcW w:w="404" w:type="pct"/>
            <w:tcBorders>
              <w:top w:val="nil"/>
              <w:left w:val="nil"/>
              <w:bottom w:val="single" w:sz="4" w:space="0" w:color="auto"/>
              <w:right w:val="single" w:sz="4" w:space="0" w:color="auto"/>
            </w:tcBorders>
            <w:noWrap/>
            <w:vAlign w:val="bottom"/>
            <w:hideMark/>
          </w:tcPr>
          <w:p w14:paraId="596138F9"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-93.60</w:t>
            </w:r>
          </w:p>
        </w:tc>
        <w:tc>
          <w:tcPr>
            <w:tcW w:w="357" w:type="pct"/>
            <w:tcBorders>
              <w:top w:val="nil"/>
              <w:left w:val="nil"/>
              <w:bottom w:val="single" w:sz="4" w:space="0" w:color="auto"/>
              <w:right w:val="single" w:sz="4" w:space="0" w:color="auto"/>
            </w:tcBorders>
            <w:noWrap/>
            <w:vAlign w:val="bottom"/>
            <w:hideMark/>
          </w:tcPr>
          <w:p w14:paraId="01D396C1"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-64.47</w:t>
            </w:r>
          </w:p>
        </w:tc>
        <w:tc>
          <w:tcPr>
            <w:tcW w:w="404" w:type="pct"/>
            <w:tcBorders>
              <w:top w:val="nil"/>
              <w:left w:val="nil"/>
              <w:bottom w:val="single" w:sz="4" w:space="0" w:color="auto"/>
              <w:right w:val="single" w:sz="4" w:space="0" w:color="auto"/>
            </w:tcBorders>
            <w:noWrap/>
            <w:vAlign w:val="bottom"/>
            <w:hideMark/>
          </w:tcPr>
          <w:p w14:paraId="2D4B2BFA"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-66.72</w:t>
            </w:r>
          </w:p>
        </w:tc>
        <w:tc>
          <w:tcPr>
            <w:tcW w:w="404" w:type="pct"/>
            <w:tcBorders>
              <w:top w:val="nil"/>
              <w:left w:val="nil"/>
              <w:bottom w:val="single" w:sz="4" w:space="0" w:color="auto"/>
              <w:right w:val="single" w:sz="4" w:space="0" w:color="auto"/>
            </w:tcBorders>
            <w:noWrap/>
            <w:vAlign w:val="bottom"/>
            <w:hideMark/>
          </w:tcPr>
          <w:p w14:paraId="37E2E2B3"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-78.95</w:t>
            </w:r>
          </w:p>
        </w:tc>
        <w:tc>
          <w:tcPr>
            <w:tcW w:w="404" w:type="pct"/>
            <w:tcBorders>
              <w:top w:val="nil"/>
              <w:left w:val="nil"/>
              <w:bottom w:val="single" w:sz="4" w:space="0" w:color="auto"/>
              <w:right w:val="single" w:sz="4" w:space="0" w:color="auto"/>
            </w:tcBorders>
            <w:noWrap/>
            <w:vAlign w:val="bottom"/>
            <w:hideMark/>
          </w:tcPr>
          <w:p w14:paraId="161FC572"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-69.29</w:t>
            </w:r>
          </w:p>
        </w:tc>
      </w:tr>
      <w:tr w:rsidR="008D2A1C" w:rsidRPr="001E6385" w14:paraId="5070120A" w14:textId="77777777" w:rsidTr="00330188">
        <w:trPr>
          <w:trHeight w:val="300"/>
        </w:trPr>
        <w:tc>
          <w:tcPr>
            <w:tcW w:w="1381" w:type="pct"/>
            <w:tcBorders>
              <w:top w:val="nil"/>
              <w:left w:val="single" w:sz="4" w:space="0" w:color="auto"/>
              <w:bottom w:val="single" w:sz="4" w:space="0" w:color="auto"/>
              <w:right w:val="single" w:sz="4" w:space="0" w:color="auto"/>
            </w:tcBorders>
            <w:noWrap/>
            <w:vAlign w:val="bottom"/>
            <w:hideMark/>
          </w:tcPr>
          <w:p w14:paraId="3101BB42"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Cash Conversion Cycle (Days)</w:t>
            </w:r>
          </w:p>
        </w:tc>
        <w:tc>
          <w:tcPr>
            <w:tcW w:w="1647" w:type="pct"/>
            <w:tcBorders>
              <w:top w:val="nil"/>
              <w:left w:val="nil"/>
              <w:bottom w:val="single" w:sz="4" w:space="0" w:color="auto"/>
              <w:right w:val="single" w:sz="4" w:space="0" w:color="auto"/>
            </w:tcBorders>
            <w:noWrap/>
            <w:vAlign w:val="bottom"/>
            <w:hideMark/>
          </w:tcPr>
          <w:p w14:paraId="2A799A16"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DIO + DSO - DPO</w:t>
            </w:r>
          </w:p>
        </w:tc>
        <w:tc>
          <w:tcPr>
            <w:tcW w:w="404" w:type="pct"/>
            <w:tcBorders>
              <w:top w:val="nil"/>
              <w:left w:val="nil"/>
              <w:bottom w:val="single" w:sz="4" w:space="0" w:color="auto"/>
              <w:right w:val="single" w:sz="4" w:space="0" w:color="auto"/>
            </w:tcBorders>
            <w:noWrap/>
            <w:vAlign w:val="bottom"/>
            <w:hideMark/>
          </w:tcPr>
          <w:p w14:paraId="1618FFEF"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96.03</w:t>
            </w:r>
          </w:p>
        </w:tc>
        <w:tc>
          <w:tcPr>
            <w:tcW w:w="357" w:type="pct"/>
            <w:tcBorders>
              <w:top w:val="nil"/>
              <w:left w:val="nil"/>
              <w:bottom w:val="single" w:sz="4" w:space="0" w:color="auto"/>
              <w:right w:val="single" w:sz="4" w:space="0" w:color="auto"/>
            </w:tcBorders>
            <w:noWrap/>
            <w:vAlign w:val="bottom"/>
            <w:hideMark/>
          </w:tcPr>
          <w:p w14:paraId="581F214E"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62.43</w:t>
            </w:r>
          </w:p>
        </w:tc>
        <w:tc>
          <w:tcPr>
            <w:tcW w:w="404" w:type="pct"/>
            <w:tcBorders>
              <w:top w:val="nil"/>
              <w:left w:val="nil"/>
              <w:bottom w:val="single" w:sz="4" w:space="0" w:color="auto"/>
              <w:right w:val="single" w:sz="4" w:space="0" w:color="auto"/>
            </w:tcBorders>
            <w:noWrap/>
            <w:vAlign w:val="bottom"/>
            <w:hideMark/>
          </w:tcPr>
          <w:p w14:paraId="3D4D90FE"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11.23</w:t>
            </w:r>
          </w:p>
        </w:tc>
        <w:tc>
          <w:tcPr>
            <w:tcW w:w="404" w:type="pct"/>
            <w:tcBorders>
              <w:top w:val="nil"/>
              <w:left w:val="nil"/>
              <w:bottom w:val="single" w:sz="4" w:space="0" w:color="auto"/>
              <w:right w:val="single" w:sz="4" w:space="0" w:color="auto"/>
            </w:tcBorders>
            <w:noWrap/>
            <w:vAlign w:val="bottom"/>
            <w:hideMark/>
          </w:tcPr>
          <w:p w14:paraId="63C02A13"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42.83</w:t>
            </w:r>
          </w:p>
        </w:tc>
        <w:tc>
          <w:tcPr>
            <w:tcW w:w="404" w:type="pct"/>
            <w:tcBorders>
              <w:top w:val="nil"/>
              <w:left w:val="nil"/>
              <w:bottom w:val="single" w:sz="4" w:space="0" w:color="auto"/>
              <w:right w:val="single" w:sz="4" w:space="0" w:color="auto"/>
            </w:tcBorders>
            <w:noWrap/>
            <w:vAlign w:val="bottom"/>
            <w:hideMark/>
          </w:tcPr>
          <w:p w14:paraId="5E1B17E2"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45.89</w:t>
            </w:r>
          </w:p>
        </w:tc>
      </w:tr>
      <w:tr w:rsidR="008D2A1C" w:rsidRPr="001E6385" w14:paraId="00C8FBA0" w14:textId="77777777" w:rsidTr="00330188">
        <w:trPr>
          <w:trHeight w:val="300"/>
        </w:trPr>
        <w:tc>
          <w:tcPr>
            <w:tcW w:w="1381" w:type="pct"/>
            <w:tcBorders>
              <w:top w:val="nil"/>
              <w:left w:val="single" w:sz="4" w:space="0" w:color="auto"/>
              <w:bottom w:val="single" w:sz="4" w:space="0" w:color="auto"/>
              <w:right w:val="single" w:sz="4" w:space="0" w:color="auto"/>
            </w:tcBorders>
            <w:noWrap/>
            <w:vAlign w:val="bottom"/>
            <w:hideMark/>
          </w:tcPr>
          <w:p w14:paraId="7670FAC6"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Fixed Asset Turnover</w:t>
            </w:r>
          </w:p>
        </w:tc>
        <w:tc>
          <w:tcPr>
            <w:tcW w:w="1647" w:type="pct"/>
            <w:tcBorders>
              <w:top w:val="nil"/>
              <w:left w:val="nil"/>
              <w:bottom w:val="single" w:sz="4" w:space="0" w:color="auto"/>
              <w:right w:val="single" w:sz="4" w:space="0" w:color="auto"/>
            </w:tcBorders>
            <w:noWrap/>
            <w:vAlign w:val="bottom"/>
            <w:hideMark/>
          </w:tcPr>
          <w:p w14:paraId="67516268"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Net Sales/Property &amp; Equipment</w:t>
            </w:r>
          </w:p>
        </w:tc>
        <w:tc>
          <w:tcPr>
            <w:tcW w:w="404" w:type="pct"/>
            <w:tcBorders>
              <w:top w:val="nil"/>
              <w:left w:val="nil"/>
              <w:bottom w:val="single" w:sz="4" w:space="0" w:color="auto"/>
              <w:right w:val="single" w:sz="4" w:space="0" w:color="auto"/>
            </w:tcBorders>
            <w:noWrap/>
            <w:vAlign w:val="bottom"/>
            <w:hideMark/>
          </w:tcPr>
          <w:p w14:paraId="38391FF3"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11.54</w:t>
            </w:r>
          </w:p>
        </w:tc>
        <w:tc>
          <w:tcPr>
            <w:tcW w:w="357" w:type="pct"/>
            <w:tcBorders>
              <w:top w:val="nil"/>
              <w:left w:val="nil"/>
              <w:bottom w:val="single" w:sz="4" w:space="0" w:color="auto"/>
              <w:right w:val="single" w:sz="4" w:space="0" w:color="auto"/>
            </w:tcBorders>
            <w:noWrap/>
            <w:vAlign w:val="bottom"/>
            <w:hideMark/>
          </w:tcPr>
          <w:p w14:paraId="028B83E6"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9.42</w:t>
            </w:r>
          </w:p>
        </w:tc>
        <w:tc>
          <w:tcPr>
            <w:tcW w:w="404" w:type="pct"/>
            <w:tcBorders>
              <w:top w:val="nil"/>
              <w:left w:val="nil"/>
              <w:bottom w:val="single" w:sz="4" w:space="0" w:color="auto"/>
              <w:right w:val="single" w:sz="4" w:space="0" w:color="auto"/>
            </w:tcBorders>
            <w:noWrap/>
            <w:vAlign w:val="bottom"/>
            <w:hideMark/>
          </w:tcPr>
          <w:p w14:paraId="3D4FC122"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8.64</w:t>
            </w:r>
          </w:p>
        </w:tc>
        <w:tc>
          <w:tcPr>
            <w:tcW w:w="404" w:type="pct"/>
            <w:tcBorders>
              <w:top w:val="nil"/>
              <w:left w:val="nil"/>
              <w:bottom w:val="single" w:sz="4" w:space="0" w:color="auto"/>
              <w:right w:val="single" w:sz="4" w:space="0" w:color="auto"/>
            </w:tcBorders>
            <w:noWrap/>
            <w:vAlign w:val="bottom"/>
            <w:hideMark/>
          </w:tcPr>
          <w:p w14:paraId="37B10022"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8.06</w:t>
            </w:r>
          </w:p>
        </w:tc>
        <w:tc>
          <w:tcPr>
            <w:tcW w:w="404" w:type="pct"/>
            <w:tcBorders>
              <w:top w:val="nil"/>
              <w:left w:val="nil"/>
              <w:bottom w:val="single" w:sz="4" w:space="0" w:color="auto"/>
              <w:right w:val="single" w:sz="4" w:space="0" w:color="auto"/>
            </w:tcBorders>
            <w:noWrap/>
            <w:vAlign w:val="bottom"/>
            <w:hideMark/>
          </w:tcPr>
          <w:p w14:paraId="1C5EED79"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7.04</w:t>
            </w:r>
          </w:p>
        </w:tc>
      </w:tr>
    </w:tbl>
    <w:p w14:paraId="48381A48" w14:textId="77777777" w:rsidR="008D2A1C" w:rsidRPr="001E6385" w:rsidRDefault="008D2A1C" w:rsidP="001E6385">
      <w:pPr>
        <w:rPr>
          <w:rFonts w:ascii="Arial" w:hAnsi="Arial" w:cs="Arial"/>
          <w:lang w:val="en-GB"/>
        </w:rPr>
      </w:pPr>
    </w:p>
    <w:p w14:paraId="0000000C" w14:textId="77777777" w:rsidR="00D8667D" w:rsidRPr="001E6385" w:rsidRDefault="008B59A6" w:rsidP="001E6385">
      <w:pPr>
        <w:rPr>
          <w:rFonts w:ascii="Arial" w:hAnsi="Arial" w:cs="Arial"/>
          <w:b/>
          <w:bCs/>
          <w:iCs/>
          <w:lang w:val="en-GB"/>
        </w:rPr>
      </w:pPr>
      <w:r w:rsidRPr="001E6385">
        <w:rPr>
          <w:rFonts w:ascii="Arial" w:hAnsi="Arial" w:cs="Arial"/>
          <w:b/>
          <w:bCs/>
          <w:iCs/>
          <w:lang w:val="en-GB"/>
        </w:rPr>
        <w:t>Gearing Ratios</w:t>
      </w:r>
    </w:p>
    <w:p w14:paraId="0000000D" w14:textId="5254CAEB" w:rsidR="00D8667D" w:rsidRPr="001E6385" w:rsidRDefault="008B59A6" w:rsidP="001E6385">
      <w:pPr>
        <w:rPr>
          <w:rFonts w:ascii="Arial" w:hAnsi="Arial" w:cs="Arial"/>
          <w:lang w:val="en-GB"/>
        </w:rPr>
      </w:pPr>
      <w:r w:rsidRPr="001E6385">
        <w:rPr>
          <w:rFonts w:ascii="Arial" w:hAnsi="Arial" w:cs="Arial"/>
          <w:lang w:val="en-GB"/>
        </w:rPr>
        <w:t xml:space="preserve">Increasing leverage risk is exhibited by capital structure. Debt-to-equity ratio has risen to 1.11 in 2024 compared to 0.63 in 2020, and the debt-to-assets ratio has changed to 0.53 to 0.39. In 2023, interest coverage was 19.69, and in 2024, it was 4.55, showing that the company was not earning enough to cover its debts. </w:t>
      </w:r>
      <w:r w:rsidR="00E35668" w:rsidRPr="001E6385">
        <w:rPr>
          <w:rFonts w:ascii="Arial" w:hAnsi="Arial" w:cs="Arial"/>
          <w:lang w:val="en-GB"/>
        </w:rPr>
        <w:t>H</w:t>
      </w:r>
      <w:r w:rsidRPr="001E6385">
        <w:rPr>
          <w:rFonts w:ascii="Arial" w:hAnsi="Arial" w:cs="Arial"/>
          <w:lang w:val="en-GB"/>
        </w:rPr>
        <w:t xml:space="preserve">igh leverage lowers flexibility and investor confidence, </w:t>
      </w:r>
      <w:r w:rsidR="00E35668" w:rsidRPr="001E6385">
        <w:rPr>
          <w:rFonts w:ascii="Arial" w:hAnsi="Arial" w:cs="Arial"/>
          <w:lang w:val="en-GB"/>
        </w:rPr>
        <w:t>wherein</w:t>
      </w:r>
      <w:r w:rsidRPr="001E6385">
        <w:rPr>
          <w:rFonts w:ascii="Arial" w:hAnsi="Arial" w:cs="Arial"/>
          <w:lang w:val="en-GB"/>
        </w:rPr>
        <w:t xml:space="preserve"> capital restructuring </w:t>
      </w:r>
      <w:r w:rsidR="00E35668" w:rsidRPr="001E6385">
        <w:rPr>
          <w:rFonts w:ascii="Arial" w:hAnsi="Arial" w:cs="Arial"/>
          <w:lang w:val="en-GB"/>
        </w:rPr>
        <w:t>becomes</w:t>
      </w:r>
      <w:r w:rsidRPr="001E6385">
        <w:rPr>
          <w:rFonts w:ascii="Arial" w:hAnsi="Arial" w:cs="Arial"/>
          <w:lang w:val="en-GB"/>
        </w:rPr>
        <w:t xml:space="preserve"> the key to financial recovery</w:t>
      </w:r>
      <w:r w:rsidR="00E35668" w:rsidRPr="001E6385">
        <w:rPr>
          <w:rFonts w:ascii="Arial" w:hAnsi="Arial" w:cs="Arial"/>
          <w:lang w:val="en-GB"/>
        </w:rPr>
        <w:t xml:space="preserve"> (Imhanzenobe, 2021)</w:t>
      </w:r>
      <w:r w:rsidRPr="001E6385">
        <w:rPr>
          <w:rFonts w:ascii="Arial" w:hAnsi="Arial" w:cs="Arial"/>
          <w:lang w:val="en-GB"/>
        </w:rPr>
        <w:t>.</w:t>
      </w:r>
    </w:p>
    <w:tbl>
      <w:tblPr>
        <w:tblW w:w="5000" w:type="pct"/>
        <w:tblLook w:val="04A0" w:firstRow="1" w:lastRow="0" w:firstColumn="1" w:lastColumn="0" w:noHBand="0" w:noVBand="1"/>
      </w:tblPr>
      <w:tblGrid>
        <w:gridCol w:w="2424"/>
        <w:gridCol w:w="3658"/>
        <w:gridCol w:w="548"/>
        <w:gridCol w:w="580"/>
        <w:gridCol w:w="548"/>
        <w:gridCol w:w="629"/>
        <w:gridCol w:w="629"/>
      </w:tblGrid>
      <w:tr w:rsidR="00330188" w:rsidRPr="001E6385" w14:paraId="04DA1107" w14:textId="77777777" w:rsidTr="00330188">
        <w:trPr>
          <w:trHeight w:val="300"/>
        </w:trPr>
        <w:tc>
          <w:tcPr>
            <w:tcW w:w="1403" w:type="pct"/>
            <w:tcBorders>
              <w:top w:val="single" w:sz="4" w:space="0" w:color="auto"/>
              <w:left w:val="single" w:sz="4" w:space="0" w:color="auto"/>
              <w:bottom w:val="single" w:sz="4" w:space="0" w:color="auto"/>
              <w:right w:val="single" w:sz="4" w:space="0" w:color="auto"/>
            </w:tcBorders>
            <w:noWrap/>
            <w:vAlign w:val="bottom"/>
            <w:hideMark/>
          </w:tcPr>
          <w:p w14:paraId="3A9DC8C1" w14:textId="4E31A478" w:rsidR="00330188" w:rsidRPr="001E6385" w:rsidRDefault="00330188" w:rsidP="001E6385">
            <w:pPr>
              <w:jc w:val="left"/>
              <w:rPr>
                <w:rFonts w:ascii="Arial" w:hAnsi="Arial" w:cs="Arial"/>
                <w:b/>
                <w:bCs/>
                <w:color w:val="000000"/>
                <w:lang w:val="en-IN" w:eastAsia="en-IN"/>
              </w:rPr>
            </w:pPr>
            <w:r w:rsidRPr="001E6385">
              <w:rPr>
                <w:rFonts w:ascii="Arial" w:hAnsi="Arial" w:cs="Arial"/>
                <w:b/>
                <w:bCs/>
                <w:color w:val="000000"/>
                <w:lang w:val="en-IN" w:eastAsia="en-IN"/>
              </w:rPr>
              <w:lastRenderedPageBreak/>
              <w:t>GEARING (LEVERAGE) RATIOS</w:t>
            </w:r>
          </w:p>
        </w:tc>
        <w:tc>
          <w:tcPr>
            <w:tcW w:w="1990" w:type="pct"/>
            <w:tcBorders>
              <w:top w:val="single" w:sz="4" w:space="0" w:color="auto"/>
              <w:left w:val="nil"/>
              <w:bottom w:val="single" w:sz="4" w:space="0" w:color="auto"/>
              <w:right w:val="single" w:sz="4" w:space="0" w:color="auto"/>
            </w:tcBorders>
            <w:noWrap/>
            <w:vAlign w:val="bottom"/>
            <w:hideMark/>
          </w:tcPr>
          <w:p w14:paraId="522B54B3" w14:textId="77777777" w:rsidR="00330188" w:rsidRPr="001E6385" w:rsidRDefault="00330188" w:rsidP="001E6385">
            <w:pPr>
              <w:jc w:val="left"/>
              <w:rPr>
                <w:rFonts w:ascii="Arial" w:hAnsi="Arial" w:cs="Arial"/>
                <w:b/>
                <w:bCs/>
                <w:color w:val="000000"/>
                <w:lang w:val="en-IN" w:eastAsia="en-IN"/>
              </w:rPr>
            </w:pPr>
            <w:r w:rsidRPr="001E6385">
              <w:rPr>
                <w:rFonts w:ascii="Arial" w:hAnsi="Arial" w:cs="Arial"/>
                <w:b/>
                <w:bCs/>
                <w:color w:val="000000"/>
                <w:lang w:val="en-IN" w:eastAsia="en-IN"/>
              </w:rPr>
              <w:t> </w:t>
            </w:r>
          </w:p>
        </w:tc>
        <w:tc>
          <w:tcPr>
            <w:tcW w:w="301" w:type="pct"/>
            <w:tcBorders>
              <w:top w:val="single" w:sz="4" w:space="0" w:color="auto"/>
              <w:left w:val="nil"/>
              <w:bottom w:val="single" w:sz="4" w:space="0" w:color="auto"/>
              <w:right w:val="single" w:sz="4" w:space="0" w:color="auto"/>
            </w:tcBorders>
            <w:noWrap/>
            <w:vAlign w:val="bottom"/>
            <w:hideMark/>
          </w:tcPr>
          <w:p w14:paraId="635D46E5" w14:textId="55918AF7" w:rsidR="00330188" w:rsidRPr="001E6385" w:rsidRDefault="00330188" w:rsidP="001E6385">
            <w:pPr>
              <w:jc w:val="left"/>
              <w:rPr>
                <w:rFonts w:ascii="Arial" w:hAnsi="Arial" w:cs="Arial"/>
                <w:b/>
                <w:bCs/>
                <w:color w:val="000000"/>
                <w:lang w:val="en-IN" w:eastAsia="en-IN"/>
              </w:rPr>
            </w:pPr>
            <w:r w:rsidRPr="001E6385">
              <w:rPr>
                <w:rFonts w:ascii="Arial" w:hAnsi="Arial" w:cs="Arial"/>
                <w:b/>
                <w:bCs/>
                <w:color w:val="000000"/>
                <w:lang w:val="en-IN" w:eastAsia="en-IN"/>
              </w:rPr>
              <w:t>2024</w:t>
            </w:r>
          </w:p>
        </w:tc>
        <w:tc>
          <w:tcPr>
            <w:tcW w:w="318" w:type="pct"/>
            <w:tcBorders>
              <w:top w:val="single" w:sz="4" w:space="0" w:color="auto"/>
              <w:left w:val="nil"/>
              <w:bottom w:val="single" w:sz="4" w:space="0" w:color="auto"/>
              <w:right w:val="single" w:sz="4" w:space="0" w:color="auto"/>
            </w:tcBorders>
            <w:noWrap/>
            <w:vAlign w:val="bottom"/>
            <w:hideMark/>
          </w:tcPr>
          <w:p w14:paraId="0C75A04D" w14:textId="7AE4D954" w:rsidR="00330188" w:rsidRPr="001E6385" w:rsidRDefault="00330188" w:rsidP="001E6385">
            <w:pPr>
              <w:jc w:val="left"/>
              <w:rPr>
                <w:rFonts w:ascii="Arial" w:hAnsi="Arial" w:cs="Arial"/>
                <w:b/>
                <w:bCs/>
                <w:color w:val="000000"/>
                <w:lang w:val="en-IN" w:eastAsia="en-IN"/>
              </w:rPr>
            </w:pPr>
            <w:r w:rsidRPr="001E6385">
              <w:rPr>
                <w:rFonts w:ascii="Arial" w:hAnsi="Arial" w:cs="Arial"/>
                <w:b/>
                <w:bCs/>
                <w:color w:val="000000"/>
                <w:lang w:val="en-IN" w:eastAsia="en-IN"/>
              </w:rPr>
              <w:t>2023</w:t>
            </w:r>
          </w:p>
        </w:tc>
        <w:tc>
          <w:tcPr>
            <w:tcW w:w="301" w:type="pct"/>
            <w:tcBorders>
              <w:top w:val="single" w:sz="4" w:space="0" w:color="auto"/>
              <w:left w:val="nil"/>
              <w:bottom w:val="single" w:sz="4" w:space="0" w:color="auto"/>
              <w:right w:val="single" w:sz="4" w:space="0" w:color="auto"/>
            </w:tcBorders>
            <w:noWrap/>
            <w:vAlign w:val="bottom"/>
            <w:hideMark/>
          </w:tcPr>
          <w:p w14:paraId="17936D09" w14:textId="189583DA" w:rsidR="00330188" w:rsidRPr="001E6385" w:rsidRDefault="00330188" w:rsidP="001E6385">
            <w:pPr>
              <w:jc w:val="left"/>
              <w:rPr>
                <w:rFonts w:ascii="Arial" w:hAnsi="Arial" w:cs="Arial"/>
                <w:b/>
                <w:bCs/>
                <w:color w:val="000000"/>
                <w:lang w:val="en-IN" w:eastAsia="en-IN"/>
              </w:rPr>
            </w:pPr>
            <w:r w:rsidRPr="001E6385">
              <w:rPr>
                <w:rFonts w:ascii="Arial" w:hAnsi="Arial" w:cs="Arial"/>
                <w:b/>
                <w:bCs/>
                <w:color w:val="000000"/>
                <w:lang w:val="en-IN" w:eastAsia="en-IN"/>
              </w:rPr>
              <w:t>2022</w:t>
            </w:r>
          </w:p>
        </w:tc>
        <w:tc>
          <w:tcPr>
            <w:tcW w:w="344" w:type="pct"/>
            <w:tcBorders>
              <w:top w:val="single" w:sz="4" w:space="0" w:color="auto"/>
              <w:left w:val="nil"/>
              <w:bottom w:val="single" w:sz="4" w:space="0" w:color="auto"/>
              <w:right w:val="single" w:sz="4" w:space="0" w:color="auto"/>
            </w:tcBorders>
            <w:noWrap/>
            <w:vAlign w:val="bottom"/>
            <w:hideMark/>
          </w:tcPr>
          <w:p w14:paraId="0DCABB8E" w14:textId="24E6DFAE" w:rsidR="00330188" w:rsidRPr="001E6385" w:rsidRDefault="00330188" w:rsidP="001E6385">
            <w:pPr>
              <w:jc w:val="left"/>
              <w:rPr>
                <w:rFonts w:ascii="Arial" w:hAnsi="Arial" w:cs="Arial"/>
                <w:b/>
                <w:bCs/>
                <w:color w:val="000000"/>
                <w:lang w:val="en-IN" w:eastAsia="en-IN"/>
              </w:rPr>
            </w:pPr>
            <w:r w:rsidRPr="001E6385">
              <w:rPr>
                <w:rFonts w:ascii="Arial" w:hAnsi="Arial" w:cs="Arial"/>
                <w:b/>
                <w:bCs/>
                <w:color w:val="000000"/>
                <w:lang w:val="en-IN" w:eastAsia="en-IN"/>
              </w:rPr>
              <w:t>2021</w:t>
            </w:r>
          </w:p>
        </w:tc>
        <w:tc>
          <w:tcPr>
            <w:tcW w:w="344" w:type="pct"/>
            <w:tcBorders>
              <w:top w:val="single" w:sz="4" w:space="0" w:color="auto"/>
              <w:left w:val="nil"/>
              <w:bottom w:val="single" w:sz="4" w:space="0" w:color="auto"/>
              <w:right w:val="single" w:sz="4" w:space="0" w:color="auto"/>
            </w:tcBorders>
            <w:noWrap/>
            <w:vAlign w:val="bottom"/>
            <w:hideMark/>
          </w:tcPr>
          <w:p w14:paraId="3589DC6D" w14:textId="0B491FE8" w:rsidR="00330188" w:rsidRPr="001E6385" w:rsidRDefault="00330188" w:rsidP="001E6385">
            <w:pPr>
              <w:jc w:val="left"/>
              <w:rPr>
                <w:rFonts w:ascii="Arial" w:hAnsi="Arial" w:cs="Arial"/>
                <w:b/>
                <w:bCs/>
                <w:color w:val="000000"/>
                <w:lang w:val="en-IN" w:eastAsia="en-IN"/>
              </w:rPr>
            </w:pPr>
            <w:r w:rsidRPr="001E6385">
              <w:rPr>
                <w:rFonts w:ascii="Arial" w:hAnsi="Arial" w:cs="Arial"/>
                <w:b/>
                <w:bCs/>
                <w:color w:val="000000"/>
                <w:lang w:val="en-IN" w:eastAsia="en-IN"/>
              </w:rPr>
              <w:t>2020</w:t>
            </w:r>
          </w:p>
        </w:tc>
      </w:tr>
      <w:tr w:rsidR="00330188" w:rsidRPr="001E6385" w14:paraId="687C977B" w14:textId="77777777" w:rsidTr="00330188">
        <w:trPr>
          <w:trHeight w:val="300"/>
        </w:trPr>
        <w:tc>
          <w:tcPr>
            <w:tcW w:w="1403" w:type="pct"/>
            <w:tcBorders>
              <w:top w:val="nil"/>
              <w:left w:val="single" w:sz="4" w:space="0" w:color="auto"/>
              <w:bottom w:val="single" w:sz="4" w:space="0" w:color="auto"/>
              <w:right w:val="single" w:sz="4" w:space="0" w:color="auto"/>
            </w:tcBorders>
            <w:noWrap/>
            <w:vAlign w:val="bottom"/>
            <w:hideMark/>
          </w:tcPr>
          <w:p w14:paraId="3CCBDB56"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Debt-to-Equity Ratio</w:t>
            </w:r>
          </w:p>
        </w:tc>
        <w:tc>
          <w:tcPr>
            <w:tcW w:w="1990" w:type="pct"/>
            <w:tcBorders>
              <w:top w:val="nil"/>
              <w:left w:val="nil"/>
              <w:bottom w:val="single" w:sz="4" w:space="0" w:color="auto"/>
              <w:right w:val="single" w:sz="4" w:space="0" w:color="auto"/>
            </w:tcBorders>
            <w:noWrap/>
            <w:vAlign w:val="bottom"/>
            <w:hideMark/>
          </w:tcPr>
          <w:p w14:paraId="73AA4902"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Total Liabilities/Total Equity</w:t>
            </w:r>
          </w:p>
        </w:tc>
        <w:tc>
          <w:tcPr>
            <w:tcW w:w="301" w:type="pct"/>
            <w:tcBorders>
              <w:top w:val="nil"/>
              <w:left w:val="nil"/>
              <w:bottom w:val="single" w:sz="4" w:space="0" w:color="auto"/>
              <w:right w:val="single" w:sz="4" w:space="0" w:color="auto"/>
            </w:tcBorders>
            <w:noWrap/>
            <w:vAlign w:val="bottom"/>
            <w:hideMark/>
          </w:tcPr>
          <w:p w14:paraId="66BFB89A"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1.11</w:t>
            </w:r>
          </w:p>
        </w:tc>
        <w:tc>
          <w:tcPr>
            <w:tcW w:w="318" w:type="pct"/>
            <w:tcBorders>
              <w:top w:val="nil"/>
              <w:left w:val="nil"/>
              <w:bottom w:val="single" w:sz="4" w:space="0" w:color="auto"/>
              <w:right w:val="single" w:sz="4" w:space="0" w:color="auto"/>
            </w:tcBorders>
            <w:noWrap/>
            <w:vAlign w:val="bottom"/>
            <w:hideMark/>
          </w:tcPr>
          <w:p w14:paraId="6419D4EB"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0.99</w:t>
            </w:r>
          </w:p>
        </w:tc>
        <w:tc>
          <w:tcPr>
            <w:tcW w:w="301" w:type="pct"/>
            <w:tcBorders>
              <w:top w:val="nil"/>
              <w:left w:val="nil"/>
              <w:bottom w:val="single" w:sz="4" w:space="0" w:color="auto"/>
              <w:right w:val="single" w:sz="4" w:space="0" w:color="auto"/>
            </w:tcBorders>
            <w:noWrap/>
            <w:vAlign w:val="bottom"/>
            <w:hideMark/>
          </w:tcPr>
          <w:p w14:paraId="4E0A2791"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0.88</w:t>
            </w:r>
          </w:p>
        </w:tc>
        <w:tc>
          <w:tcPr>
            <w:tcW w:w="344" w:type="pct"/>
            <w:tcBorders>
              <w:top w:val="nil"/>
              <w:left w:val="nil"/>
              <w:bottom w:val="single" w:sz="4" w:space="0" w:color="auto"/>
              <w:right w:val="single" w:sz="4" w:space="0" w:color="auto"/>
            </w:tcBorders>
            <w:noWrap/>
            <w:vAlign w:val="bottom"/>
            <w:hideMark/>
          </w:tcPr>
          <w:p w14:paraId="769CCA9A"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0.85</w:t>
            </w:r>
          </w:p>
        </w:tc>
        <w:tc>
          <w:tcPr>
            <w:tcW w:w="344" w:type="pct"/>
            <w:tcBorders>
              <w:top w:val="nil"/>
              <w:left w:val="nil"/>
              <w:bottom w:val="single" w:sz="4" w:space="0" w:color="auto"/>
              <w:right w:val="single" w:sz="4" w:space="0" w:color="auto"/>
            </w:tcBorders>
            <w:noWrap/>
            <w:vAlign w:val="bottom"/>
            <w:hideMark/>
          </w:tcPr>
          <w:p w14:paraId="7815697B"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0.63</w:t>
            </w:r>
          </w:p>
        </w:tc>
      </w:tr>
      <w:tr w:rsidR="00330188" w:rsidRPr="001E6385" w14:paraId="04911169" w14:textId="77777777" w:rsidTr="00330188">
        <w:trPr>
          <w:trHeight w:val="300"/>
        </w:trPr>
        <w:tc>
          <w:tcPr>
            <w:tcW w:w="1403" w:type="pct"/>
            <w:tcBorders>
              <w:top w:val="nil"/>
              <w:left w:val="single" w:sz="4" w:space="0" w:color="auto"/>
              <w:bottom w:val="single" w:sz="4" w:space="0" w:color="auto"/>
              <w:right w:val="single" w:sz="4" w:space="0" w:color="auto"/>
            </w:tcBorders>
            <w:noWrap/>
            <w:vAlign w:val="bottom"/>
            <w:hideMark/>
          </w:tcPr>
          <w:p w14:paraId="0ECC3702"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Debt-to-Assets Ratio</w:t>
            </w:r>
          </w:p>
        </w:tc>
        <w:tc>
          <w:tcPr>
            <w:tcW w:w="1990" w:type="pct"/>
            <w:tcBorders>
              <w:top w:val="nil"/>
              <w:left w:val="nil"/>
              <w:bottom w:val="single" w:sz="4" w:space="0" w:color="auto"/>
              <w:right w:val="single" w:sz="4" w:space="0" w:color="auto"/>
            </w:tcBorders>
            <w:noWrap/>
            <w:vAlign w:val="bottom"/>
            <w:hideMark/>
          </w:tcPr>
          <w:p w14:paraId="4B66FBBA"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Total Liabilities/Total Assets</w:t>
            </w:r>
          </w:p>
        </w:tc>
        <w:tc>
          <w:tcPr>
            <w:tcW w:w="301" w:type="pct"/>
            <w:tcBorders>
              <w:top w:val="nil"/>
              <w:left w:val="nil"/>
              <w:bottom w:val="single" w:sz="4" w:space="0" w:color="auto"/>
              <w:right w:val="single" w:sz="4" w:space="0" w:color="auto"/>
            </w:tcBorders>
            <w:noWrap/>
            <w:vAlign w:val="bottom"/>
            <w:hideMark/>
          </w:tcPr>
          <w:p w14:paraId="48D3EAA8"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0.53</w:t>
            </w:r>
          </w:p>
        </w:tc>
        <w:tc>
          <w:tcPr>
            <w:tcW w:w="318" w:type="pct"/>
            <w:tcBorders>
              <w:top w:val="nil"/>
              <w:left w:val="nil"/>
              <w:bottom w:val="single" w:sz="4" w:space="0" w:color="auto"/>
              <w:right w:val="single" w:sz="4" w:space="0" w:color="auto"/>
            </w:tcBorders>
            <w:noWrap/>
            <w:vAlign w:val="bottom"/>
            <w:hideMark/>
          </w:tcPr>
          <w:p w14:paraId="04DE11F1"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0.50</w:t>
            </w:r>
          </w:p>
        </w:tc>
        <w:tc>
          <w:tcPr>
            <w:tcW w:w="301" w:type="pct"/>
            <w:tcBorders>
              <w:top w:val="nil"/>
              <w:left w:val="nil"/>
              <w:bottom w:val="single" w:sz="4" w:space="0" w:color="auto"/>
              <w:right w:val="single" w:sz="4" w:space="0" w:color="auto"/>
            </w:tcBorders>
            <w:noWrap/>
            <w:vAlign w:val="bottom"/>
            <w:hideMark/>
          </w:tcPr>
          <w:p w14:paraId="5662F509"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0.47</w:t>
            </w:r>
          </w:p>
        </w:tc>
        <w:tc>
          <w:tcPr>
            <w:tcW w:w="344" w:type="pct"/>
            <w:tcBorders>
              <w:top w:val="nil"/>
              <w:left w:val="nil"/>
              <w:bottom w:val="single" w:sz="4" w:space="0" w:color="auto"/>
              <w:right w:val="single" w:sz="4" w:space="0" w:color="auto"/>
            </w:tcBorders>
            <w:noWrap/>
            <w:vAlign w:val="bottom"/>
            <w:hideMark/>
          </w:tcPr>
          <w:p w14:paraId="2D5F33BC"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0.46</w:t>
            </w:r>
          </w:p>
        </w:tc>
        <w:tc>
          <w:tcPr>
            <w:tcW w:w="344" w:type="pct"/>
            <w:tcBorders>
              <w:top w:val="nil"/>
              <w:left w:val="nil"/>
              <w:bottom w:val="single" w:sz="4" w:space="0" w:color="auto"/>
              <w:right w:val="single" w:sz="4" w:space="0" w:color="auto"/>
            </w:tcBorders>
            <w:noWrap/>
            <w:vAlign w:val="bottom"/>
            <w:hideMark/>
          </w:tcPr>
          <w:p w14:paraId="3850887E"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0.39</w:t>
            </w:r>
          </w:p>
        </w:tc>
      </w:tr>
      <w:tr w:rsidR="00330188" w:rsidRPr="001E6385" w14:paraId="760BEB2E" w14:textId="77777777" w:rsidTr="00330188">
        <w:trPr>
          <w:trHeight w:val="300"/>
        </w:trPr>
        <w:tc>
          <w:tcPr>
            <w:tcW w:w="1403" w:type="pct"/>
            <w:tcBorders>
              <w:top w:val="nil"/>
              <w:left w:val="single" w:sz="4" w:space="0" w:color="auto"/>
              <w:bottom w:val="single" w:sz="4" w:space="0" w:color="auto"/>
              <w:right w:val="single" w:sz="4" w:space="0" w:color="auto"/>
            </w:tcBorders>
            <w:noWrap/>
            <w:vAlign w:val="bottom"/>
            <w:hideMark/>
          </w:tcPr>
          <w:p w14:paraId="4C558F22"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Equity Ratio</w:t>
            </w:r>
          </w:p>
        </w:tc>
        <w:tc>
          <w:tcPr>
            <w:tcW w:w="1990" w:type="pct"/>
            <w:tcBorders>
              <w:top w:val="nil"/>
              <w:left w:val="nil"/>
              <w:bottom w:val="single" w:sz="4" w:space="0" w:color="auto"/>
              <w:right w:val="single" w:sz="4" w:space="0" w:color="auto"/>
            </w:tcBorders>
            <w:noWrap/>
            <w:vAlign w:val="bottom"/>
            <w:hideMark/>
          </w:tcPr>
          <w:p w14:paraId="0960E8B7"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Total Equity/Total Assets</w:t>
            </w:r>
          </w:p>
        </w:tc>
        <w:tc>
          <w:tcPr>
            <w:tcW w:w="301" w:type="pct"/>
            <w:tcBorders>
              <w:top w:val="nil"/>
              <w:left w:val="nil"/>
              <w:bottom w:val="single" w:sz="4" w:space="0" w:color="auto"/>
              <w:right w:val="single" w:sz="4" w:space="0" w:color="auto"/>
            </w:tcBorders>
            <w:noWrap/>
            <w:vAlign w:val="bottom"/>
            <w:hideMark/>
          </w:tcPr>
          <w:p w14:paraId="65CC7464"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0.47</w:t>
            </w:r>
          </w:p>
        </w:tc>
        <w:tc>
          <w:tcPr>
            <w:tcW w:w="318" w:type="pct"/>
            <w:tcBorders>
              <w:top w:val="nil"/>
              <w:left w:val="nil"/>
              <w:bottom w:val="single" w:sz="4" w:space="0" w:color="auto"/>
              <w:right w:val="single" w:sz="4" w:space="0" w:color="auto"/>
            </w:tcBorders>
            <w:noWrap/>
            <w:vAlign w:val="bottom"/>
            <w:hideMark/>
          </w:tcPr>
          <w:p w14:paraId="6F9A1E34"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0.50</w:t>
            </w:r>
          </w:p>
        </w:tc>
        <w:tc>
          <w:tcPr>
            <w:tcW w:w="301" w:type="pct"/>
            <w:tcBorders>
              <w:top w:val="nil"/>
              <w:left w:val="nil"/>
              <w:bottom w:val="single" w:sz="4" w:space="0" w:color="auto"/>
              <w:right w:val="single" w:sz="4" w:space="0" w:color="auto"/>
            </w:tcBorders>
            <w:noWrap/>
            <w:vAlign w:val="bottom"/>
            <w:hideMark/>
          </w:tcPr>
          <w:p w14:paraId="0685B717"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0.53</w:t>
            </w:r>
          </w:p>
        </w:tc>
        <w:tc>
          <w:tcPr>
            <w:tcW w:w="344" w:type="pct"/>
            <w:tcBorders>
              <w:top w:val="nil"/>
              <w:left w:val="nil"/>
              <w:bottom w:val="single" w:sz="4" w:space="0" w:color="auto"/>
              <w:right w:val="single" w:sz="4" w:space="0" w:color="auto"/>
            </w:tcBorders>
            <w:noWrap/>
            <w:vAlign w:val="bottom"/>
            <w:hideMark/>
          </w:tcPr>
          <w:p w14:paraId="52CDAD1E"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0.54</w:t>
            </w:r>
          </w:p>
        </w:tc>
        <w:tc>
          <w:tcPr>
            <w:tcW w:w="344" w:type="pct"/>
            <w:tcBorders>
              <w:top w:val="nil"/>
              <w:left w:val="nil"/>
              <w:bottom w:val="single" w:sz="4" w:space="0" w:color="auto"/>
              <w:right w:val="single" w:sz="4" w:space="0" w:color="auto"/>
            </w:tcBorders>
            <w:noWrap/>
            <w:vAlign w:val="bottom"/>
            <w:hideMark/>
          </w:tcPr>
          <w:p w14:paraId="377747D8"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0.61</w:t>
            </w:r>
          </w:p>
        </w:tc>
      </w:tr>
      <w:tr w:rsidR="00330188" w:rsidRPr="001E6385" w14:paraId="61017635" w14:textId="77777777" w:rsidTr="00330188">
        <w:trPr>
          <w:trHeight w:val="300"/>
        </w:trPr>
        <w:tc>
          <w:tcPr>
            <w:tcW w:w="1403" w:type="pct"/>
            <w:tcBorders>
              <w:top w:val="nil"/>
              <w:left w:val="single" w:sz="4" w:space="0" w:color="auto"/>
              <w:bottom w:val="single" w:sz="4" w:space="0" w:color="auto"/>
              <w:right w:val="single" w:sz="4" w:space="0" w:color="auto"/>
            </w:tcBorders>
            <w:noWrap/>
            <w:vAlign w:val="bottom"/>
            <w:hideMark/>
          </w:tcPr>
          <w:p w14:paraId="424A2904"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Interest Coverage Ratio</w:t>
            </w:r>
          </w:p>
        </w:tc>
        <w:tc>
          <w:tcPr>
            <w:tcW w:w="1990" w:type="pct"/>
            <w:tcBorders>
              <w:top w:val="nil"/>
              <w:left w:val="nil"/>
              <w:bottom w:val="single" w:sz="4" w:space="0" w:color="auto"/>
              <w:right w:val="single" w:sz="4" w:space="0" w:color="auto"/>
            </w:tcBorders>
            <w:noWrap/>
            <w:vAlign w:val="bottom"/>
            <w:hideMark/>
          </w:tcPr>
          <w:p w14:paraId="3214481C"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Operating Income/Interest Expense</w:t>
            </w:r>
          </w:p>
        </w:tc>
        <w:tc>
          <w:tcPr>
            <w:tcW w:w="301" w:type="pct"/>
            <w:tcBorders>
              <w:top w:val="nil"/>
              <w:left w:val="nil"/>
              <w:bottom w:val="single" w:sz="4" w:space="0" w:color="auto"/>
              <w:right w:val="single" w:sz="4" w:space="0" w:color="auto"/>
            </w:tcBorders>
            <w:noWrap/>
            <w:vAlign w:val="bottom"/>
            <w:hideMark/>
          </w:tcPr>
          <w:p w14:paraId="4F1F22DA"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4.55</w:t>
            </w:r>
          </w:p>
        </w:tc>
        <w:tc>
          <w:tcPr>
            <w:tcW w:w="318" w:type="pct"/>
            <w:tcBorders>
              <w:top w:val="nil"/>
              <w:left w:val="nil"/>
              <w:bottom w:val="single" w:sz="4" w:space="0" w:color="auto"/>
              <w:right w:val="single" w:sz="4" w:space="0" w:color="auto"/>
            </w:tcBorders>
            <w:noWrap/>
            <w:vAlign w:val="bottom"/>
            <w:hideMark/>
          </w:tcPr>
          <w:p w14:paraId="7888E660"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19.69</w:t>
            </w:r>
          </w:p>
        </w:tc>
        <w:tc>
          <w:tcPr>
            <w:tcW w:w="301" w:type="pct"/>
            <w:tcBorders>
              <w:top w:val="nil"/>
              <w:left w:val="nil"/>
              <w:bottom w:val="single" w:sz="4" w:space="0" w:color="auto"/>
              <w:right w:val="single" w:sz="4" w:space="0" w:color="auto"/>
            </w:tcBorders>
            <w:noWrap/>
            <w:vAlign w:val="bottom"/>
            <w:hideMark/>
          </w:tcPr>
          <w:p w14:paraId="36FAE145"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-6.61</w:t>
            </w:r>
          </w:p>
        </w:tc>
        <w:tc>
          <w:tcPr>
            <w:tcW w:w="344" w:type="pct"/>
            <w:tcBorders>
              <w:top w:val="nil"/>
              <w:left w:val="nil"/>
              <w:bottom w:val="single" w:sz="4" w:space="0" w:color="auto"/>
              <w:right w:val="single" w:sz="4" w:space="0" w:color="auto"/>
            </w:tcBorders>
            <w:noWrap/>
            <w:vAlign w:val="bottom"/>
            <w:hideMark/>
          </w:tcPr>
          <w:p w14:paraId="51A0D939"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-41.08</w:t>
            </w:r>
          </w:p>
        </w:tc>
        <w:tc>
          <w:tcPr>
            <w:tcW w:w="344" w:type="pct"/>
            <w:tcBorders>
              <w:top w:val="nil"/>
              <w:left w:val="nil"/>
              <w:bottom w:val="single" w:sz="4" w:space="0" w:color="auto"/>
              <w:right w:val="single" w:sz="4" w:space="0" w:color="auto"/>
            </w:tcBorders>
            <w:noWrap/>
            <w:vAlign w:val="bottom"/>
            <w:hideMark/>
          </w:tcPr>
          <w:p w14:paraId="22BA52A6"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-26.21</w:t>
            </w:r>
          </w:p>
        </w:tc>
      </w:tr>
      <w:tr w:rsidR="00330188" w:rsidRPr="001E6385" w14:paraId="6FDC214C" w14:textId="77777777" w:rsidTr="00330188">
        <w:trPr>
          <w:trHeight w:val="300"/>
        </w:trPr>
        <w:tc>
          <w:tcPr>
            <w:tcW w:w="1403" w:type="pct"/>
            <w:tcBorders>
              <w:top w:val="nil"/>
              <w:left w:val="single" w:sz="4" w:space="0" w:color="auto"/>
              <w:bottom w:val="single" w:sz="4" w:space="0" w:color="auto"/>
              <w:right w:val="single" w:sz="4" w:space="0" w:color="auto"/>
            </w:tcBorders>
            <w:noWrap/>
            <w:vAlign w:val="bottom"/>
            <w:hideMark/>
          </w:tcPr>
          <w:p w14:paraId="1020A92C"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Debt Service Coverage Ratio</w:t>
            </w:r>
          </w:p>
        </w:tc>
        <w:tc>
          <w:tcPr>
            <w:tcW w:w="1990" w:type="pct"/>
            <w:tcBorders>
              <w:top w:val="nil"/>
              <w:left w:val="nil"/>
              <w:bottom w:val="single" w:sz="4" w:space="0" w:color="auto"/>
              <w:right w:val="single" w:sz="4" w:space="0" w:color="auto"/>
            </w:tcBorders>
            <w:noWrap/>
            <w:vAlign w:val="bottom"/>
            <w:hideMark/>
          </w:tcPr>
          <w:p w14:paraId="5006AF43"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Operating Income/(Interest + Current Portion of Debt)</w:t>
            </w:r>
          </w:p>
        </w:tc>
        <w:tc>
          <w:tcPr>
            <w:tcW w:w="301" w:type="pct"/>
            <w:tcBorders>
              <w:top w:val="nil"/>
              <w:left w:val="nil"/>
              <w:bottom w:val="single" w:sz="4" w:space="0" w:color="auto"/>
              <w:right w:val="single" w:sz="4" w:space="0" w:color="auto"/>
            </w:tcBorders>
            <w:noWrap/>
            <w:vAlign w:val="bottom"/>
            <w:hideMark/>
          </w:tcPr>
          <w:p w14:paraId="2B7E729C"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-0.46</w:t>
            </w:r>
          </w:p>
        </w:tc>
        <w:tc>
          <w:tcPr>
            <w:tcW w:w="318" w:type="pct"/>
            <w:tcBorders>
              <w:top w:val="nil"/>
              <w:left w:val="nil"/>
              <w:bottom w:val="single" w:sz="4" w:space="0" w:color="auto"/>
              <w:right w:val="single" w:sz="4" w:space="0" w:color="auto"/>
            </w:tcBorders>
            <w:noWrap/>
            <w:vAlign w:val="bottom"/>
            <w:hideMark/>
          </w:tcPr>
          <w:p w14:paraId="2CFF9946"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-1.68</w:t>
            </w:r>
          </w:p>
        </w:tc>
        <w:tc>
          <w:tcPr>
            <w:tcW w:w="301" w:type="pct"/>
            <w:tcBorders>
              <w:top w:val="nil"/>
              <w:left w:val="nil"/>
              <w:bottom w:val="single" w:sz="4" w:space="0" w:color="auto"/>
              <w:right w:val="single" w:sz="4" w:space="0" w:color="auto"/>
            </w:tcBorders>
            <w:noWrap/>
            <w:vAlign w:val="bottom"/>
            <w:hideMark/>
          </w:tcPr>
          <w:p w14:paraId="64A7DAA9"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0.17</w:t>
            </w:r>
          </w:p>
        </w:tc>
        <w:tc>
          <w:tcPr>
            <w:tcW w:w="344" w:type="pct"/>
            <w:tcBorders>
              <w:top w:val="nil"/>
              <w:left w:val="nil"/>
              <w:bottom w:val="single" w:sz="4" w:space="0" w:color="auto"/>
              <w:right w:val="single" w:sz="4" w:space="0" w:color="auto"/>
            </w:tcBorders>
            <w:noWrap/>
            <w:vAlign w:val="bottom"/>
            <w:hideMark/>
          </w:tcPr>
          <w:p w14:paraId="167C6322"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0.42</w:t>
            </w:r>
          </w:p>
        </w:tc>
        <w:tc>
          <w:tcPr>
            <w:tcW w:w="344" w:type="pct"/>
            <w:tcBorders>
              <w:top w:val="nil"/>
              <w:left w:val="nil"/>
              <w:bottom w:val="single" w:sz="4" w:space="0" w:color="auto"/>
              <w:right w:val="single" w:sz="4" w:space="0" w:color="auto"/>
            </w:tcBorders>
            <w:noWrap/>
            <w:vAlign w:val="bottom"/>
            <w:hideMark/>
          </w:tcPr>
          <w:p w14:paraId="3CF3CBBF"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2.01</w:t>
            </w:r>
          </w:p>
        </w:tc>
      </w:tr>
    </w:tbl>
    <w:p w14:paraId="19F97D7A" w14:textId="77777777" w:rsidR="008D2A1C" w:rsidRPr="001E6385" w:rsidRDefault="008D2A1C" w:rsidP="001E6385">
      <w:pPr>
        <w:rPr>
          <w:rFonts w:ascii="Arial" w:hAnsi="Arial" w:cs="Arial"/>
          <w:lang w:val="en-GB"/>
        </w:rPr>
      </w:pPr>
    </w:p>
    <w:p w14:paraId="0000000E" w14:textId="77777777" w:rsidR="00D8667D" w:rsidRPr="001E6385" w:rsidRDefault="008B59A6" w:rsidP="001E6385">
      <w:pPr>
        <w:rPr>
          <w:rFonts w:ascii="Arial" w:hAnsi="Arial" w:cs="Arial"/>
          <w:b/>
          <w:bCs/>
          <w:iCs/>
          <w:lang w:val="en-GB"/>
        </w:rPr>
      </w:pPr>
      <w:r w:rsidRPr="001E6385">
        <w:rPr>
          <w:rFonts w:ascii="Arial" w:hAnsi="Arial" w:cs="Arial"/>
          <w:b/>
          <w:bCs/>
          <w:iCs/>
          <w:lang w:val="en-GB"/>
        </w:rPr>
        <w:t>Cash Flow Ratios</w:t>
      </w:r>
    </w:p>
    <w:p w14:paraId="0000000F" w14:textId="2FFDC6C3" w:rsidR="00D8667D" w:rsidRPr="001E6385" w:rsidRDefault="008B59A6" w:rsidP="001E6385">
      <w:pPr>
        <w:rPr>
          <w:rFonts w:ascii="Arial" w:hAnsi="Arial" w:cs="Arial"/>
          <w:lang w:val="en-GB"/>
        </w:rPr>
      </w:pPr>
      <w:r w:rsidRPr="001E6385">
        <w:rPr>
          <w:rFonts w:ascii="Arial" w:hAnsi="Arial" w:cs="Arial"/>
          <w:lang w:val="en-GB"/>
        </w:rPr>
        <w:t>It has poor cash flow. The free cash flow decreased to a deficit of -3,796m in 2024 compared with a positive figure of £83,113m in 2020, and the margin of the cash flows decreased to -5% in 2024, as compared to 11% in 2020. The cash flow to debt ratio has remained negative, which has ensured that there is a low capability to meet the obligations using internal sources. Such performances depict liquidity weakness. A</w:t>
      </w:r>
      <w:r w:rsidR="00E35668" w:rsidRPr="001E6385">
        <w:rPr>
          <w:rFonts w:ascii="Arial" w:hAnsi="Arial" w:cs="Arial"/>
          <w:lang w:val="en-GB"/>
        </w:rPr>
        <w:t xml:space="preserve">s stated by </w:t>
      </w:r>
      <w:r w:rsidRPr="001E6385">
        <w:rPr>
          <w:rFonts w:ascii="Arial" w:hAnsi="Arial" w:cs="Arial"/>
          <w:lang w:val="en-GB"/>
        </w:rPr>
        <w:t>Kamal and Awan (2025), it is possible to establish financial resilience and stability through the use of structured instruments and innovative financing to stabilise the cash flow of troubled companies.</w:t>
      </w:r>
    </w:p>
    <w:tbl>
      <w:tblPr>
        <w:tblW w:w="5000" w:type="pct"/>
        <w:tblLook w:val="04A0" w:firstRow="1" w:lastRow="0" w:firstColumn="1" w:lastColumn="0" w:noHBand="0" w:noVBand="1"/>
      </w:tblPr>
      <w:tblGrid>
        <w:gridCol w:w="2304"/>
        <w:gridCol w:w="2831"/>
        <w:gridCol w:w="735"/>
        <w:gridCol w:w="808"/>
        <w:gridCol w:w="765"/>
        <w:gridCol w:w="808"/>
        <w:gridCol w:w="765"/>
      </w:tblGrid>
      <w:tr w:rsidR="00330188" w:rsidRPr="001E6385" w14:paraId="68300FE2" w14:textId="77777777" w:rsidTr="00330188">
        <w:trPr>
          <w:trHeight w:val="300"/>
        </w:trPr>
        <w:tc>
          <w:tcPr>
            <w:tcW w:w="1278" w:type="pct"/>
            <w:tcBorders>
              <w:top w:val="single" w:sz="4" w:space="0" w:color="auto"/>
              <w:left w:val="single" w:sz="4" w:space="0" w:color="auto"/>
              <w:bottom w:val="single" w:sz="4" w:space="0" w:color="auto"/>
              <w:right w:val="single" w:sz="4" w:space="0" w:color="auto"/>
            </w:tcBorders>
            <w:noWrap/>
            <w:vAlign w:val="bottom"/>
            <w:hideMark/>
          </w:tcPr>
          <w:p w14:paraId="27ABB582" w14:textId="7FDA0F41" w:rsidR="00330188" w:rsidRPr="001E6385" w:rsidRDefault="00330188" w:rsidP="001E6385">
            <w:pPr>
              <w:jc w:val="left"/>
              <w:rPr>
                <w:rFonts w:ascii="Arial" w:hAnsi="Arial" w:cs="Arial"/>
                <w:b/>
                <w:bCs/>
                <w:color w:val="000000"/>
                <w:lang w:val="en-IN" w:eastAsia="en-IN"/>
              </w:rPr>
            </w:pPr>
            <w:r w:rsidRPr="001E6385">
              <w:rPr>
                <w:rFonts w:ascii="Arial" w:hAnsi="Arial" w:cs="Arial"/>
                <w:b/>
                <w:bCs/>
                <w:color w:val="000000"/>
                <w:lang w:val="en-IN" w:eastAsia="en-IN"/>
              </w:rPr>
              <w:t>CASH FLOW RATIOS</w:t>
            </w:r>
          </w:p>
        </w:tc>
        <w:tc>
          <w:tcPr>
            <w:tcW w:w="1570" w:type="pct"/>
            <w:tcBorders>
              <w:top w:val="single" w:sz="4" w:space="0" w:color="auto"/>
              <w:left w:val="nil"/>
              <w:bottom w:val="single" w:sz="4" w:space="0" w:color="auto"/>
              <w:right w:val="single" w:sz="4" w:space="0" w:color="auto"/>
            </w:tcBorders>
            <w:noWrap/>
            <w:vAlign w:val="bottom"/>
            <w:hideMark/>
          </w:tcPr>
          <w:p w14:paraId="015F0702" w14:textId="77777777" w:rsidR="00330188" w:rsidRPr="001E6385" w:rsidRDefault="00330188" w:rsidP="001E6385">
            <w:pPr>
              <w:jc w:val="left"/>
              <w:rPr>
                <w:rFonts w:ascii="Arial" w:hAnsi="Arial" w:cs="Arial"/>
                <w:b/>
                <w:bCs/>
                <w:color w:val="000000"/>
                <w:lang w:val="en-IN" w:eastAsia="en-IN"/>
              </w:rPr>
            </w:pPr>
            <w:r w:rsidRPr="001E6385">
              <w:rPr>
                <w:rFonts w:ascii="Arial" w:hAnsi="Arial" w:cs="Arial"/>
                <w:b/>
                <w:bCs/>
                <w:color w:val="000000"/>
                <w:lang w:val="en-IN" w:eastAsia="en-IN"/>
              </w:rPr>
              <w:t> </w:t>
            </w:r>
          </w:p>
        </w:tc>
        <w:tc>
          <w:tcPr>
            <w:tcW w:w="408" w:type="pct"/>
            <w:tcBorders>
              <w:top w:val="single" w:sz="4" w:space="0" w:color="auto"/>
              <w:left w:val="nil"/>
              <w:bottom w:val="single" w:sz="4" w:space="0" w:color="auto"/>
              <w:right w:val="single" w:sz="4" w:space="0" w:color="auto"/>
            </w:tcBorders>
            <w:noWrap/>
            <w:vAlign w:val="bottom"/>
            <w:hideMark/>
          </w:tcPr>
          <w:p w14:paraId="359C95D8" w14:textId="1D4528D7" w:rsidR="00330188" w:rsidRPr="001E6385" w:rsidRDefault="00330188" w:rsidP="001E6385">
            <w:pPr>
              <w:jc w:val="left"/>
              <w:rPr>
                <w:rFonts w:ascii="Arial" w:hAnsi="Arial" w:cs="Arial"/>
                <w:b/>
                <w:bCs/>
                <w:color w:val="000000"/>
                <w:lang w:val="en-IN" w:eastAsia="en-IN"/>
              </w:rPr>
            </w:pPr>
            <w:r w:rsidRPr="001E6385">
              <w:rPr>
                <w:rFonts w:ascii="Arial" w:hAnsi="Arial" w:cs="Arial"/>
                <w:b/>
                <w:bCs/>
                <w:color w:val="000000"/>
                <w:lang w:val="en-IN" w:eastAsia="en-IN"/>
              </w:rPr>
              <w:t>2024</w:t>
            </w:r>
          </w:p>
        </w:tc>
        <w:tc>
          <w:tcPr>
            <w:tcW w:w="448" w:type="pct"/>
            <w:tcBorders>
              <w:top w:val="single" w:sz="4" w:space="0" w:color="auto"/>
              <w:left w:val="nil"/>
              <w:bottom w:val="single" w:sz="4" w:space="0" w:color="auto"/>
              <w:right w:val="single" w:sz="4" w:space="0" w:color="auto"/>
            </w:tcBorders>
            <w:noWrap/>
            <w:vAlign w:val="bottom"/>
            <w:hideMark/>
          </w:tcPr>
          <w:p w14:paraId="532D4933" w14:textId="07086E5B" w:rsidR="00330188" w:rsidRPr="001E6385" w:rsidRDefault="00330188" w:rsidP="001E6385">
            <w:pPr>
              <w:jc w:val="left"/>
              <w:rPr>
                <w:rFonts w:ascii="Arial" w:hAnsi="Arial" w:cs="Arial"/>
                <w:b/>
                <w:bCs/>
                <w:color w:val="000000"/>
                <w:lang w:val="en-IN" w:eastAsia="en-IN"/>
              </w:rPr>
            </w:pPr>
            <w:r w:rsidRPr="001E6385">
              <w:rPr>
                <w:rFonts w:ascii="Arial" w:hAnsi="Arial" w:cs="Arial"/>
                <w:b/>
                <w:bCs/>
                <w:color w:val="000000"/>
                <w:lang w:val="en-IN" w:eastAsia="en-IN"/>
              </w:rPr>
              <w:t>2023</w:t>
            </w:r>
          </w:p>
        </w:tc>
        <w:tc>
          <w:tcPr>
            <w:tcW w:w="424" w:type="pct"/>
            <w:tcBorders>
              <w:top w:val="single" w:sz="4" w:space="0" w:color="auto"/>
              <w:left w:val="nil"/>
              <w:bottom w:val="single" w:sz="4" w:space="0" w:color="auto"/>
              <w:right w:val="single" w:sz="4" w:space="0" w:color="auto"/>
            </w:tcBorders>
            <w:noWrap/>
            <w:vAlign w:val="bottom"/>
            <w:hideMark/>
          </w:tcPr>
          <w:p w14:paraId="0B5E04A5" w14:textId="2EE32E94" w:rsidR="00330188" w:rsidRPr="001E6385" w:rsidRDefault="00330188" w:rsidP="001E6385">
            <w:pPr>
              <w:jc w:val="left"/>
              <w:rPr>
                <w:rFonts w:ascii="Arial" w:hAnsi="Arial" w:cs="Arial"/>
                <w:b/>
                <w:bCs/>
                <w:color w:val="000000"/>
                <w:lang w:val="en-IN" w:eastAsia="en-IN"/>
              </w:rPr>
            </w:pPr>
            <w:r w:rsidRPr="001E6385">
              <w:rPr>
                <w:rFonts w:ascii="Arial" w:hAnsi="Arial" w:cs="Arial"/>
                <w:b/>
                <w:bCs/>
                <w:color w:val="000000"/>
                <w:lang w:val="en-IN" w:eastAsia="en-IN"/>
              </w:rPr>
              <w:t>2022</w:t>
            </w:r>
          </w:p>
        </w:tc>
        <w:tc>
          <w:tcPr>
            <w:tcW w:w="448" w:type="pct"/>
            <w:tcBorders>
              <w:top w:val="single" w:sz="4" w:space="0" w:color="auto"/>
              <w:left w:val="nil"/>
              <w:bottom w:val="single" w:sz="4" w:space="0" w:color="auto"/>
              <w:right w:val="single" w:sz="4" w:space="0" w:color="auto"/>
            </w:tcBorders>
            <w:noWrap/>
            <w:vAlign w:val="bottom"/>
            <w:hideMark/>
          </w:tcPr>
          <w:p w14:paraId="30E4DC9F" w14:textId="05E64D5B" w:rsidR="00330188" w:rsidRPr="001E6385" w:rsidRDefault="00330188" w:rsidP="001E6385">
            <w:pPr>
              <w:jc w:val="left"/>
              <w:rPr>
                <w:rFonts w:ascii="Arial" w:hAnsi="Arial" w:cs="Arial"/>
                <w:b/>
                <w:bCs/>
                <w:color w:val="000000"/>
                <w:lang w:val="en-IN" w:eastAsia="en-IN"/>
              </w:rPr>
            </w:pPr>
            <w:r w:rsidRPr="001E6385">
              <w:rPr>
                <w:rFonts w:ascii="Arial" w:hAnsi="Arial" w:cs="Arial"/>
                <w:b/>
                <w:bCs/>
                <w:color w:val="000000"/>
                <w:lang w:val="en-IN" w:eastAsia="en-IN"/>
              </w:rPr>
              <w:t>2021</w:t>
            </w:r>
          </w:p>
        </w:tc>
        <w:tc>
          <w:tcPr>
            <w:tcW w:w="424" w:type="pct"/>
            <w:tcBorders>
              <w:top w:val="single" w:sz="4" w:space="0" w:color="auto"/>
              <w:left w:val="nil"/>
              <w:bottom w:val="single" w:sz="4" w:space="0" w:color="auto"/>
              <w:right w:val="single" w:sz="4" w:space="0" w:color="auto"/>
            </w:tcBorders>
            <w:noWrap/>
            <w:vAlign w:val="bottom"/>
            <w:hideMark/>
          </w:tcPr>
          <w:p w14:paraId="56F09FD2" w14:textId="761F8396" w:rsidR="00330188" w:rsidRPr="001E6385" w:rsidRDefault="00330188" w:rsidP="001E6385">
            <w:pPr>
              <w:jc w:val="left"/>
              <w:rPr>
                <w:rFonts w:ascii="Arial" w:hAnsi="Arial" w:cs="Arial"/>
                <w:b/>
                <w:bCs/>
                <w:color w:val="000000"/>
                <w:lang w:val="en-IN" w:eastAsia="en-IN"/>
              </w:rPr>
            </w:pPr>
            <w:r w:rsidRPr="001E6385">
              <w:rPr>
                <w:rFonts w:ascii="Arial" w:hAnsi="Arial" w:cs="Arial"/>
                <w:b/>
                <w:bCs/>
                <w:color w:val="000000"/>
                <w:lang w:val="en-IN" w:eastAsia="en-IN"/>
              </w:rPr>
              <w:t>2020</w:t>
            </w:r>
          </w:p>
        </w:tc>
      </w:tr>
      <w:tr w:rsidR="008D2A1C" w:rsidRPr="001E6385" w14:paraId="377A6089" w14:textId="77777777" w:rsidTr="00330188">
        <w:trPr>
          <w:trHeight w:val="300"/>
        </w:trPr>
        <w:tc>
          <w:tcPr>
            <w:tcW w:w="1278" w:type="pct"/>
            <w:tcBorders>
              <w:top w:val="nil"/>
              <w:left w:val="single" w:sz="4" w:space="0" w:color="auto"/>
              <w:bottom w:val="single" w:sz="4" w:space="0" w:color="auto"/>
              <w:right w:val="single" w:sz="4" w:space="0" w:color="auto"/>
            </w:tcBorders>
            <w:noWrap/>
            <w:vAlign w:val="bottom"/>
            <w:hideMark/>
          </w:tcPr>
          <w:p w14:paraId="16DE2DB7"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Operating Cash Flow Ratio</w:t>
            </w:r>
          </w:p>
        </w:tc>
        <w:tc>
          <w:tcPr>
            <w:tcW w:w="1570" w:type="pct"/>
            <w:tcBorders>
              <w:top w:val="nil"/>
              <w:left w:val="nil"/>
              <w:bottom w:val="single" w:sz="4" w:space="0" w:color="auto"/>
              <w:right w:val="single" w:sz="4" w:space="0" w:color="auto"/>
            </w:tcBorders>
            <w:noWrap/>
            <w:vAlign w:val="bottom"/>
            <w:hideMark/>
          </w:tcPr>
          <w:p w14:paraId="648C8C70"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Cash from Operations/Current Liabilities</w:t>
            </w:r>
          </w:p>
        </w:tc>
        <w:tc>
          <w:tcPr>
            <w:tcW w:w="408" w:type="pct"/>
            <w:tcBorders>
              <w:top w:val="nil"/>
              <w:left w:val="nil"/>
              <w:bottom w:val="single" w:sz="4" w:space="0" w:color="auto"/>
              <w:right w:val="single" w:sz="4" w:space="0" w:color="auto"/>
            </w:tcBorders>
            <w:noWrap/>
            <w:vAlign w:val="bottom"/>
            <w:hideMark/>
          </w:tcPr>
          <w:p w14:paraId="7EF47F0C"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-0.12</w:t>
            </w:r>
          </w:p>
        </w:tc>
        <w:tc>
          <w:tcPr>
            <w:tcW w:w="448" w:type="pct"/>
            <w:tcBorders>
              <w:top w:val="nil"/>
              <w:left w:val="nil"/>
              <w:bottom w:val="single" w:sz="4" w:space="0" w:color="auto"/>
              <w:right w:val="single" w:sz="4" w:space="0" w:color="auto"/>
            </w:tcBorders>
            <w:noWrap/>
            <w:vAlign w:val="bottom"/>
            <w:hideMark/>
          </w:tcPr>
          <w:p w14:paraId="04BAF1D0"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-0.22</w:t>
            </w:r>
          </w:p>
        </w:tc>
        <w:tc>
          <w:tcPr>
            <w:tcW w:w="424" w:type="pct"/>
            <w:tcBorders>
              <w:top w:val="nil"/>
              <w:left w:val="nil"/>
              <w:bottom w:val="single" w:sz="4" w:space="0" w:color="auto"/>
              <w:right w:val="single" w:sz="4" w:space="0" w:color="auto"/>
            </w:tcBorders>
            <w:noWrap/>
            <w:vAlign w:val="bottom"/>
            <w:hideMark/>
          </w:tcPr>
          <w:p w14:paraId="12DB752F"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0.09</w:t>
            </w:r>
          </w:p>
        </w:tc>
        <w:tc>
          <w:tcPr>
            <w:tcW w:w="448" w:type="pct"/>
            <w:tcBorders>
              <w:top w:val="nil"/>
              <w:left w:val="nil"/>
              <w:bottom w:val="single" w:sz="4" w:space="0" w:color="auto"/>
              <w:right w:val="single" w:sz="4" w:space="0" w:color="auto"/>
            </w:tcBorders>
            <w:noWrap/>
            <w:vAlign w:val="bottom"/>
            <w:hideMark/>
          </w:tcPr>
          <w:p w14:paraId="082B3D88"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-0.10</w:t>
            </w:r>
          </w:p>
        </w:tc>
        <w:tc>
          <w:tcPr>
            <w:tcW w:w="424" w:type="pct"/>
            <w:tcBorders>
              <w:top w:val="nil"/>
              <w:left w:val="nil"/>
              <w:bottom w:val="single" w:sz="4" w:space="0" w:color="auto"/>
              <w:right w:val="single" w:sz="4" w:space="0" w:color="auto"/>
            </w:tcBorders>
            <w:noWrap/>
            <w:vAlign w:val="bottom"/>
            <w:hideMark/>
          </w:tcPr>
          <w:p w14:paraId="7DE43962"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0.37</w:t>
            </w:r>
          </w:p>
        </w:tc>
      </w:tr>
      <w:tr w:rsidR="008D2A1C" w:rsidRPr="001E6385" w14:paraId="558D8688" w14:textId="77777777" w:rsidTr="00330188">
        <w:trPr>
          <w:trHeight w:val="300"/>
        </w:trPr>
        <w:tc>
          <w:tcPr>
            <w:tcW w:w="1278" w:type="pct"/>
            <w:tcBorders>
              <w:top w:val="nil"/>
              <w:left w:val="single" w:sz="4" w:space="0" w:color="auto"/>
              <w:bottom w:val="single" w:sz="4" w:space="0" w:color="auto"/>
              <w:right w:val="single" w:sz="4" w:space="0" w:color="auto"/>
            </w:tcBorders>
            <w:noWrap/>
            <w:vAlign w:val="bottom"/>
            <w:hideMark/>
          </w:tcPr>
          <w:p w14:paraId="6CD62C07"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Free Cash Flow (£m)</w:t>
            </w:r>
          </w:p>
        </w:tc>
        <w:tc>
          <w:tcPr>
            <w:tcW w:w="1570" w:type="pct"/>
            <w:tcBorders>
              <w:top w:val="nil"/>
              <w:left w:val="nil"/>
              <w:bottom w:val="single" w:sz="4" w:space="0" w:color="auto"/>
              <w:right w:val="single" w:sz="4" w:space="0" w:color="auto"/>
            </w:tcBorders>
            <w:noWrap/>
            <w:vAlign w:val="bottom"/>
            <w:hideMark/>
          </w:tcPr>
          <w:p w14:paraId="6F63F496"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Cash from Operations - Capital Expenditures</w:t>
            </w:r>
          </w:p>
        </w:tc>
        <w:tc>
          <w:tcPr>
            <w:tcW w:w="408" w:type="pct"/>
            <w:tcBorders>
              <w:top w:val="nil"/>
              <w:left w:val="nil"/>
              <w:bottom w:val="single" w:sz="4" w:space="0" w:color="auto"/>
              <w:right w:val="single" w:sz="4" w:space="0" w:color="auto"/>
            </w:tcBorders>
            <w:noWrap/>
            <w:vAlign w:val="bottom"/>
            <w:hideMark/>
          </w:tcPr>
          <w:p w14:paraId="68AB1BFF"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-3796.00</w:t>
            </w:r>
          </w:p>
        </w:tc>
        <w:tc>
          <w:tcPr>
            <w:tcW w:w="448" w:type="pct"/>
            <w:tcBorders>
              <w:top w:val="nil"/>
              <w:left w:val="nil"/>
              <w:bottom w:val="single" w:sz="4" w:space="0" w:color="auto"/>
              <w:right w:val="single" w:sz="4" w:space="0" w:color="auto"/>
            </w:tcBorders>
            <w:noWrap/>
            <w:vAlign w:val="bottom"/>
            <w:hideMark/>
          </w:tcPr>
          <w:p w14:paraId="075DE912"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-10790.00</w:t>
            </w:r>
          </w:p>
        </w:tc>
        <w:tc>
          <w:tcPr>
            <w:tcW w:w="424" w:type="pct"/>
            <w:tcBorders>
              <w:top w:val="nil"/>
              <w:left w:val="nil"/>
              <w:bottom w:val="single" w:sz="4" w:space="0" w:color="auto"/>
              <w:right w:val="single" w:sz="4" w:space="0" w:color="auto"/>
            </w:tcBorders>
            <w:noWrap/>
            <w:vAlign w:val="bottom"/>
            <w:hideMark/>
          </w:tcPr>
          <w:p w14:paraId="38C30C70"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14574.00</w:t>
            </w:r>
          </w:p>
        </w:tc>
        <w:tc>
          <w:tcPr>
            <w:tcW w:w="448" w:type="pct"/>
            <w:tcBorders>
              <w:top w:val="nil"/>
              <w:left w:val="nil"/>
              <w:bottom w:val="single" w:sz="4" w:space="0" w:color="auto"/>
              <w:right w:val="single" w:sz="4" w:space="0" w:color="auto"/>
            </w:tcBorders>
            <w:noWrap/>
            <w:vAlign w:val="bottom"/>
            <w:hideMark/>
          </w:tcPr>
          <w:p w14:paraId="2DC107AB"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-25686.00</w:t>
            </w:r>
          </w:p>
        </w:tc>
        <w:tc>
          <w:tcPr>
            <w:tcW w:w="424" w:type="pct"/>
            <w:tcBorders>
              <w:top w:val="nil"/>
              <w:left w:val="nil"/>
              <w:bottom w:val="single" w:sz="4" w:space="0" w:color="auto"/>
              <w:right w:val="single" w:sz="4" w:space="0" w:color="auto"/>
            </w:tcBorders>
            <w:noWrap/>
            <w:vAlign w:val="bottom"/>
            <w:hideMark/>
          </w:tcPr>
          <w:p w14:paraId="615002EF"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83113.00</w:t>
            </w:r>
          </w:p>
        </w:tc>
      </w:tr>
      <w:tr w:rsidR="008D2A1C" w:rsidRPr="001E6385" w14:paraId="22063FF6" w14:textId="77777777" w:rsidTr="00330188">
        <w:trPr>
          <w:trHeight w:val="300"/>
        </w:trPr>
        <w:tc>
          <w:tcPr>
            <w:tcW w:w="1278" w:type="pct"/>
            <w:tcBorders>
              <w:top w:val="nil"/>
              <w:left w:val="single" w:sz="4" w:space="0" w:color="auto"/>
              <w:bottom w:val="single" w:sz="4" w:space="0" w:color="auto"/>
              <w:right w:val="single" w:sz="4" w:space="0" w:color="auto"/>
            </w:tcBorders>
            <w:noWrap/>
            <w:vAlign w:val="bottom"/>
            <w:hideMark/>
          </w:tcPr>
          <w:p w14:paraId="316EE4FA"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lastRenderedPageBreak/>
              <w:t>Cash Flow Margin (%)</w:t>
            </w:r>
          </w:p>
        </w:tc>
        <w:tc>
          <w:tcPr>
            <w:tcW w:w="1570" w:type="pct"/>
            <w:tcBorders>
              <w:top w:val="nil"/>
              <w:left w:val="nil"/>
              <w:bottom w:val="single" w:sz="4" w:space="0" w:color="auto"/>
              <w:right w:val="single" w:sz="4" w:space="0" w:color="auto"/>
            </w:tcBorders>
            <w:noWrap/>
            <w:vAlign w:val="bottom"/>
            <w:hideMark/>
          </w:tcPr>
          <w:p w14:paraId="06530EEF"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(Cash from Operations/Net Sales)*100</w:t>
            </w:r>
          </w:p>
        </w:tc>
        <w:tc>
          <w:tcPr>
            <w:tcW w:w="408" w:type="pct"/>
            <w:tcBorders>
              <w:top w:val="nil"/>
              <w:left w:val="nil"/>
              <w:bottom w:val="single" w:sz="4" w:space="0" w:color="auto"/>
              <w:right w:val="single" w:sz="4" w:space="0" w:color="auto"/>
            </w:tcBorders>
            <w:noWrap/>
            <w:vAlign w:val="bottom"/>
            <w:hideMark/>
          </w:tcPr>
          <w:p w14:paraId="3B709E92"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-5.01</w:t>
            </w:r>
          </w:p>
        </w:tc>
        <w:tc>
          <w:tcPr>
            <w:tcW w:w="448" w:type="pct"/>
            <w:tcBorders>
              <w:top w:val="nil"/>
              <w:left w:val="nil"/>
              <w:bottom w:val="single" w:sz="4" w:space="0" w:color="auto"/>
              <w:right w:val="single" w:sz="4" w:space="0" w:color="auto"/>
            </w:tcBorders>
            <w:noWrap/>
            <w:vAlign w:val="bottom"/>
            <w:hideMark/>
          </w:tcPr>
          <w:p w14:paraId="6A802645"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-8.27</w:t>
            </w:r>
          </w:p>
        </w:tc>
        <w:tc>
          <w:tcPr>
            <w:tcW w:w="424" w:type="pct"/>
            <w:tcBorders>
              <w:top w:val="nil"/>
              <w:left w:val="nil"/>
              <w:bottom w:val="single" w:sz="4" w:space="0" w:color="auto"/>
              <w:right w:val="single" w:sz="4" w:space="0" w:color="auto"/>
            </w:tcBorders>
            <w:noWrap/>
            <w:vAlign w:val="bottom"/>
            <w:hideMark/>
          </w:tcPr>
          <w:p w14:paraId="51492019"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3.78</w:t>
            </w:r>
          </w:p>
        </w:tc>
        <w:tc>
          <w:tcPr>
            <w:tcW w:w="448" w:type="pct"/>
            <w:tcBorders>
              <w:top w:val="nil"/>
              <w:left w:val="nil"/>
              <w:bottom w:val="single" w:sz="4" w:space="0" w:color="auto"/>
              <w:right w:val="single" w:sz="4" w:space="0" w:color="auto"/>
            </w:tcBorders>
            <w:noWrap/>
            <w:vAlign w:val="bottom"/>
            <w:hideMark/>
          </w:tcPr>
          <w:p w14:paraId="7D6142A9"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-3.66</w:t>
            </w:r>
          </w:p>
        </w:tc>
        <w:tc>
          <w:tcPr>
            <w:tcW w:w="424" w:type="pct"/>
            <w:tcBorders>
              <w:top w:val="nil"/>
              <w:left w:val="nil"/>
              <w:bottom w:val="single" w:sz="4" w:space="0" w:color="auto"/>
              <w:right w:val="single" w:sz="4" w:space="0" w:color="auto"/>
            </w:tcBorders>
            <w:noWrap/>
            <w:vAlign w:val="bottom"/>
            <w:hideMark/>
          </w:tcPr>
          <w:p w14:paraId="17473699"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10.73</w:t>
            </w:r>
          </w:p>
        </w:tc>
      </w:tr>
      <w:tr w:rsidR="008D2A1C" w:rsidRPr="001E6385" w14:paraId="7ABEDA6E" w14:textId="77777777" w:rsidTr="00330188">
        <w:trPr>
          <w:trHeight w:val="300"/>
        </w:trPr>
        <w:tc>
          <w:tcPr>
            <w:tcW w:w="1278" w:type="pct"/>
            <w:tcBorders>
              <w:top w:val="nil"/>
              <w:left w:val="single" w:sz="4" w:space="0" w:color="auto"/>
              <w:bottom w:val="single" w:sz="4" w:space="0" w:color="auto"/>
              <w:right w:val="single" w:sz="4" w:space="0" w:color="auto"/>
            </w:tcBorders>
            <w:noWrap/>
            <w:vAlign w:val="bottom"/>
            <w:hideMark/>
          </w:tcPr>
          <w:p w14:paraId="64D07291"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Cash Flow to Debt Ratio</w:t>
            </w:r>
          </w:p>
        </w:tc>
        <w:tc>
          <w:tcPr>
            <w:tcW w:w="1570" w:type="pct"/>
            <w:tcBorders>
              <w:top w:val="nil"/>
              <w:left w:val="nil"/>
              <w:bottom w:val="single" w:sz="4" w:space="0" w:color="auto"/>
              <w:right w:val="single" w:sz="4" w:space="0" w:color="auto"/>
            </w:tcBorders>
            <w:noWrap/>
            <w:vAlign w:val="bottom"/>
            <w:hideMark/>
          </w:tcPr>
          <w:p w14:paraId="2BC81957"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Cash from Operations/Total Liabilities</w:t>
            </w:r>
          </w:p>
        </w:tc>
        <w:tc>
          <w:tcPr>
            <w:tcW w:w="408" w:type="pct"/>
            <w:tcBorders>
              <w:top w:val="nil"/>
              <w:left w:val="nil"/>
              <w:bottom w:val="single" w:sz="4" w:space="0" w:color="auto"/>
              <w:right w:val="single" w:sz="4" w:space="0" w:color="auto"/>
            </w:tcBorders>
            <w:noWrap/>
            <w:vAlign w:val="bottom"/>
            <w:hideMark/>
          </w:tcPr>
          <w:p w14:paraId="3680F154"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-0.12</w:t>
            </w:r>
          </w:p>
        </w:tc>
        <w:tc>
          <w:tcPr>
            <w:tcW w:w="448" w:type="pct"/>
            <w:tcBorders>
              <w:top w:val="nil"/>
              <w:left w:val="nil"/>
              <w:bottom w:val="single" w:sz="4" w:space="0" w:color="auto"/>
              <w:right w:val="single" w:sz="4" w:space="0" w:color="auto"/>
            </w:tcBorders>
            <w:noWrap/>
            <w:vAlign w:val="bottom"/>
            <w:hideMark/>
          </w:tcPr>
          <w:p w14:paraId="0BB6EB60"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-0.20</w:t>
            </w:r>
          </w:p>
        </w:tc>
        <w:tc>
          <w:tcPr>
            <w:tcW w:w="424" w:type="pct"/>
            <w:tcBorders>
              <w:top w:val="nil"/>
              <w:left w:val="nil"/>
              <w:bottom w:val="single" w:sz="4" w:space="0" w:color="auto"/>
              <w:right w:val="single" w:sz="4" w:space="0" w:color="auto"/>
            </w:tcBorders>
            <w:noWrap/>
            <w:vAlign w:val="bottom"/>
            <w:hideMark/>
          </w:tcPr>
          <w:p w14:paraId="03707CC6"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0.09</w:t>
            </w:r>
          </w:p>
        </w:tc>
        <w:tc>
          <w:tcPr>
            <w:tcW w:w="448" w:type="pct"/>
            <w:tcBorders>
              <w:top w:val="nil"/>
              <w:left w:val="nil"/>
              <w:bottom w:val="single" w:sz="4" w:space="0" w:color="auto"/>
              <w:right w:val="single" w:sz="4" w:space="0" w:color="auto"/>
            </w:tcBorders>
            <w:noWrap/>
            <w:vAlign w:val="bottom"/>
            <w:hideMark/>
          </w:tcPr>
          <w:p w14:paraId="0D6F6291"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-0.09</w:t>
            </w:r>
          </w:p>
        </w:tc>
        <w:tc>
          <w:tcPr>
            <w:tcW w:w="424" w:type="pct"/>
            <w:tcBorders>
              <w:top w:val="nil"/>
              <w:left w:val="nil"/>
              <w:bottom w:val="single" w:sz="4" w:space="0" w:color="auto"/>
              <w:right w:val="single" w:sz="4" w:space="0" w:color="auto"/>
            </w:tcBorders>
            <w:noWrap/>
            <w:vAlign w:val="bottom"/>
            <w:hideMark/>
          </w:tcPr>
          <w:p w14:paraId="052515B8"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0.33</w:t>
            </w:r>
          </w:p>
        </w:tc>
      </w:tr>
      <w:tr w:rsidR="008D2A1C" w:rsidRPr="001E6385" w14:paraId="24888A14" w14:textId="77777777" w:rsidTr="00330188">
        <w:trPr>
          <w:trHeight w:val="300"/>
        </w:trPr>
        <w:tc>
          <w:tcPr>
            <w:tcW w:w="1278" w:type="pct"/>
            <w:tcBorders>
              <w:top w:val="nil"/>
              <w:left w:val="single" w:sz="4" w:space="0" w:color="auto"/>
              <w:bottom w:val="single" w:sz="4" w:space="0" w:color="auto"/>
              <w:right w:val="single" w:sz="4" w:space="0" w:color="auto"/>
            </w:tcBorders>
            <w:noWrap/>
            <w:vAlign w:val="bottom"/>
            <w:hideMark/>
          </w:tcPr>
          <w:p w14:paraId="06CE9CB5"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Operating Cash Flow to Net Income</w:t>
            </w:r>
          </w:p>
        </w:tc>
        <w:tc>
          <w:tcPr>
            <w:tcW w:w="1570" w:type="pct"/>
            <w:tcBorders>
              <w:top w:val="nil"/>
              <w:left w:val="nil"/>
              <w:bottom w:val="single" w:sz="4" w:space="0" w:color="auto"/>
              <w:right w:val="single" w:sz="4" w:space="0" w:color="auto"/>
            </w:tcBorders>
            <w:noWrap/>
            <w:vAlign w:val="bottom"/>
            <w:hideMark/>
          </w:tcPr>
          <w:p w14:paraId="3F5E9136" w14:textId="77777777" w:rsidR="008D2A1C" w:rsidRPr="001E6385" w:rsidRDefault="008D2A1C" w:rsidP="001E6385">
            <w:pPr>
              <w:jc w:val="left"/>
              <w:rPr>
                <w:rFonts w:ascii="Arial" w:hAnsi="Arial" w:cs="Arial"/>
                <w:color w:val="000000"/>
                <w:lang w:val="en-IN" w:eastAsia="en-IN"/>
              </w:rPr>
            </w:pPr>
            <w:r w:rsidRPr="001E6385">
              <w:rPr>
                <w:rFonts w:ascii="Arial" w:hAnsi="Arial" w:cs="Arial"/>
                <w:color w:val="000000"/>
                <w:lang w:val="en-IN" w:eastAsia="en-IN"/>
              </w:rPr>
              <w:t>Cash from Operations/Net Income</w:t>
            </w:r>
          </w:p>
        </w:tc>
        <w:tc>
          <w:tcPr>
            <w:tcW w:w="408" w:type="pct"/>
            <w:tcBorders>
              <w:top w:val="nil"/>
              <w:left w:val="nil"/>
              <w:bottom w:val="single" w:sz="4" w:space="0" w:color="auto"/>
              <w:right w:val="single" w:sz="4" w:space="0" w:color="auto"/>
            </w:tcBorders>
            <w:noWrap/>
            <w:vAlign w:val="bottom"/>
            <w:hideMark/>
          </w:tcPr>
          <w:p w14:paraId="29F5AD12"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0.82</w:t>
            </w:r>
          </w:p>
        </w:tc>
        <w:tc>
          <w:tcPr>
            <w:tcW w:w="448" w:type="pct"/>
            <w:tcBorders>
              <w:top w:val="nil"/>
              <w:left w:val="nil"/>
              <w:bottom w:val="single" w:sz="4" w:space="0" w:color="auto"/>
              <w:right w:val="single" w:sz="4" w:space="0" w:color="auto"/>
            </w:tcBorders>
            <w:noWrap/>
            <w:vAlign w:val="bottom"/>
            <w:hideMark/>
          </w:tcPr>
          <w:p w14:paraId="50FD46F5"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0.35</w:t>
            </w:r>
          </w:p>
        </w:tc>
        <w:tc>
          <w:tcPr>
            <w:tcW w:w="424" w:type="pct"/>
            <w:tcBorders>
              <w:top w:val="nil"/>
              <w:left w:val="nil"/>
              <w:bottom w:val="single" w:sz="4" w:space="0" w:color="auto"/>
              <w:right w:val="single" w:sz="4" w:space="0" w:color="auto"/>
            </w:tcBorders>
            <w:noWrap/>
            <w:vAlign w:val="bottom"/>
            <w:hideMark/>
          </w:tcPr>
          <w:p w14:paraId="1F98006B"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50.37</w:t>
            </w:r>
          </w:p>
        </w:tc>
        <w:tc>
          <w:tcPr>
            <w:tcW w:w="448" w:type="pct"/>
            <w:tcBorders>
              <w:top w:val="nil"/>
              <w:left w:val="nil"/>
              <w:bottom w:val="single" w:sz="4" w:space="0" w:color="auto"/>
              <w:right w:val="single" w:sz="4" w:space="0" w:color="auto"/>
            </w:tcBorders>
            <w:noWrap/>
            <w:vAlign w:val="bottom"/>
            <w:hideMark/>
          </w:tcPr>
          <w:p w14:paraId="2554D36D"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-4.16</w:t>
            </w:r>
          </w:p>
        </w:tc>
        <w:tc>
          <w:tcPr>
            <w:tcW w:w="424" w:type="pct"/>
            <w:tcBorders>
              <w:top w:val="nil"/>
              <w:left w:val="nil"/>
              <w:bottom w:val="single" w:sz="4" w:space="0" w:color="auto"/>
              <w:right w:val="single" w:sz="4" w:space="0" w:color="auto"/>
            </w:tcBorders>
            <w:noWrap/>
            <w:vAlign w:val="bottom"/>
            <w:hideMark/>
          </w:tcPr>
          <w:p w14:paraId="423FCC2C" w14:textId="77777777" w:rsidR="008D2A1C" w:rsidRPr="001E6385" w:rsidRDefault="008D2A1C" w:rsidP="001E6385">
            <w:pPr>
              <w:jc w:val="right"/>
              <w:rPr>
                <w:rFonts w:ascii="Arial" w:hAnsi="Arial" w:cs="Arial"/>
                <w:color w:val="000000"/>
                <w:lang w:val="en-IN" w:eastAsia="en-IN"/>
              </w:rPr>
            </w:pPr>
            <w:r w:rsidRPr="001E6385">
              <w:rPr>
                <w:rFonts w:ascii="Arial" w:hAnsi="Arial" w:cs="Arial"/>
                <w:color w:val="000000"/>
                <w:lang w:val="en-IN" w:eastAsia="en-IN"/>
              </w:rPr>
              <w:t>1.71</w:t>
            </w:r>
          </w:p>
        </w:tc>
      </w:tr>
    </w:tbl>
    <w:p w14:paraId="35BEFD02" w14:textId="77777777" w:rsidR="008D2A1C" w:rsidRPr="001E6385" w:rsidRDefault="008D2A1C" w:rsidP="001E6385">
      <w:pPr>
        <w:rPr>
          <w:rFonts w:ascii="Arial" w:hAnsi="Arial" w:cs="Arial"/>
          <w:lang w:val="en-GB"/>
        </w:rPr>
      </w:pPr>
    </w:p>
    <w:p w14:paraId="00000010" w14:textId="77777777" w:rsidR="00D8667D" w:rsidRPr="001E6385" w:rsidRDefault="008B59A6" w:rsidP="001E6385">
      <w:pPr>
        <w:pStyle w:val="Heading2"/>
      </w:pPr>
      <w:bookmarkStart w:id="11" w:name="_vjbf35po9a63" w:colFirst="0" w:colLast="0"/>
      <w:bookmarkStart w:id="12" w:name="_Toc213742662"/>
      <w:bookmarkEnd w:id="11"/>
      <w:r w:rsidRPr="001E6385">
        <w:t>1.3 Trend Analysis</w:t>
      </w:r>
      <w:bookmarkEnd w:id="12"/>
    </w:p>
    <w:p w14:paraId="00000011" w14:textId="33CC75A4" w:rsidR="00D8667D" w:rsidRPr="001E6385" w:rsidRDefault="008B59A6" w:rsidP="001E6385">
      <w:pPr>
        <w:rPr>
          <w:rFonts w:ascii="Arial" w:hAnsi="Arial" w:cs="Arial"/>
          <w:lang w:val="en-GB"/>
        </w:rPr>
      </w:pPr>
      <w:r w:rsidRPr="001E6385">
        <w:rPr>
          <w:rFonts w:ascii="Arial" w:hAnsi="Arial" w:cs="Arial"/>
          <w:lang w:val="en-GB"/>
        </w:rPr>
        <w:t xml:space="preserve">In 2020-2024, General Electronics turned the relative profitability into open financial distress. The decline in profitability began in 2021 and showed a sharp negative change following poor cost control and high competition. The liquidity was satisfactory, but cash holdings had reduced. There </w:t>
      </w:r>
      <w:r w:rsidR="00E35668" w:rsidRPr="001E6385">
        <w:rPr>
          <w:rFonts w:ascii="Arial" w:hAnsi="Arial" w:cs="Arial"/>
          <w:lang w:val="en-GB"/>
        </w:rPr>
        <w:t>was</w:t>
      </w:r>
      <w:r w:rsidRPr="001E6385">
        <w:rPr>
          <w:rFonts w:ascii="Arial" w:hAnsi="Arial" w:cs="Arial"/>
          <w:lang w:val="en-GB"/>
        </w:rPr>
        <w:t xml:space="preserve"> an efficiency decline and an increase in the collection cycle and working capital turnover. Debt exposure is greater, as demonstrated by gearing ratios, and risk was increased by cash flow volatility. These trends signify not short-term but structural problems. There has been poor utilisation of the capital of the company, and fluctuating cash flows have destroyed investor confidence. According to the perspective of Oliveira Saraiva et al. (2024), declining companies need to focus their strategy on turnaround activities by restructuring finances, innovating and controlling costs. Harrigan and Wing (2021)</w:t>
      </w:r>
      <w:r w:rsidR="00E35668" w:rsidRPr="001E6385">
        <w:rPr>
          <w:rFonts w:ascii="Arial" w:hAnsi="Arial" w:cs="Arial"/>
          <w:lang w:val="en-GB"/>
        </w:rPr>
        <w:t xml:space="preserve"> further</w:t>
      </w:r>
      <w:r w:rsidRPr="001E6385">
        <w:rPr>
          <w:rFonts w:ascii="Arial" w:hAnsi="Arial" w:cs="Arial"/>
          <w:lang w:val="en-GB"/>
        </w:rPr>
        <w:t xml:space="preserve"> believe</w:t>
      </w:r>
      <w:r w:rsidR="00E35668" w:rsidRPr="001E6385">
        <w:rPr>
          <w:rFonts w:ascii="Arial" w:hAnsi="Arial" w:cs="Arial"/>
          <w:lang w:val="en-GB"/>
        </w:rPr>
        <w:t>d</w:t>
      </w:r>
      <w:r w:rsidRPr="001E6385">
        <w:rPr>
          <w:rFonts w:ascii="Arial" w:hAnsi="Arial" w:cs="Arial"/>
          <w:lang w:val="en-GB"/>
        </w:rPr>
        <w:t xml:space="preserve"> that turnarounds can be successful only through asset optimisation, governance improvement, and recapitalisation. Thus, General Electronics needs to focus on cost discipline, capital efficiency, and financial reorganisation to make a recovery.</w:t>
      </w:r>
    </w:p>
    <w:p w14:paraId="00000012" w14:textId="2D0C04BB" w:rsidR="00D8667D" w:rsidRPr="001E6385" w:rsidRDefault="008B59A6" w:rsidP="001E6385">
      <w:pPr>
        <w:pStyle w:val="Heading2"/>
      </w:pPr>
      <w:bookmarkStart w:id="13" w:name="_bifg7nw23962" w:colFirst="0" w:colLast="0"/>
      <w:bookmarkStart w:id="14" w:name="_Toc213742663"/>
      <w:bookmarkEnd w:id="13"/>
      <w:r w:rsidRPr="001E6385">
        <w:t>1.4 Corporate Failure Prediction</w:t>
      </w:r>
      <w:bookmarkEnd w:id="14"/>
    </w:p>
    <w:p w14:paraId="411E50DA" w14:textId="6C7D5F99" w:rsidR="003D3CB6" w:rsidRPr="001E6385" w:rsidRDefault="003D3CB6" w:rsidP="001E6385">
      <w:pPr>
        <w:rPr>
          <w:rFonts w:ascii="Arial" w:hAnsi="Arial" w:cs="Arial"/>
          <w:lang w:val="en-GB"/>
        </w:rPr>
      </w:pPr>
      <w:r w:rsidRPr="001E6385">
        <w:rPr>
          <w:rFonts w:ascii="Arial" w:hAnsi="Arial" w:cs="Arial"/>
          <w:lang w:val="en-GB"/>
        </w:rPr>
        <w:t xml:space="preserve">The Altman Z-score is calculated using weighted ratios of working capital (X1), retained earnings (X2), EBIT (X3), market value of equity (X4) and Sales/total assets (X5). The score of 1.8-3.0 is in the grey zone, which indicates a moderate risk of financial distress (Rashid et al. 2023). </w:t>
      </w:r>
    </w:p>
    <w:p w14:paraId="068BC2AD" w14:textId="0B4EBF6B" w:rsidR="003D3CB6" w:rsidRPr="001E6385" w:rsidRDefault="003D3CB6" w:rsidP="001E6385">
      <w:pPr>
        <w:jc w:val="center"/>
        <w:rPr>
          <w:rFonts w:ascii="Arial" w:hAnsi="Arial" w:cs="Arial"/>
          <w:lang w:val="en-GB"/>
        </w:rPr>
      </w:pPr>
      <w:r w:rsidRPr="001E6385">
        <w:rPr>
          <w:rFonts w:ascii="Arial" w:hAnsi="Arial" w:cs="Arial"/>
          <w:noProof/>
          <w:lang w:val="en-IN" w:eastAsia="en-IN"/>
        </w:rPr>
        <w:lastRenderedPageBreak/>
        <w:drawing>
          <wp:inline distT="0" distB="0" distL="0" distR="0" wp14:anchorId="345BC510" wp14:editId="47AED770">
            <wp:extent cx="5038724" cy="26574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21849"/>
                    <a:stretch/>
                  </pic:blipFill>
                  <pic:spPr bwMode="auto">
                    <a:xfrm>
                      <a:off x="0" y="0"/>
                      <a:ext cx="5039428" cy="2657846"/>
                    </a:xfrm>
                    <a:prstGeom prst="rect">
                      <a:avLst/>
                    </a:prstGeom>
                    <a:ln>
                      <a:noFill/>
                    </a:ln>
                    <a:extLst>
                      <a:ext uri="{53640926-AAD7-44D8-BBD7-CCE9431645EC}">
                        <a14:shadowObscured xmlns:a14="http://schemas.microsoft.com/office/drawing/2010/main"/>
                      </a:ext>
                    </a:extLst>
                  </pic:spPr>
                </pic:pic>
              </a:graphicData>
            </a:graphic>
          </wp:inline>
        </w:drawing>
      </w:r>
    </w:p>
    <w:p w14:paraId="67123573" w14:textId="5F40DA10" w:rsidR="003D3CB6" w:rsidRPr="001E6385" w:rsidRDefault="003D3CB6" w:rsidP="001E6385">
      <w:pPr>
        <w:jc w:val="center"/>
        <w:rPr>
          <w:rFonts w:ascii="Arial" w:hAnsi="Arial" w:cs="Arial"/>
          <w:b/>
          <w:bCs/>
          <w:lang w:val="en-GB"/>
        </w:rPr>
      </w:pPr>
      <w:r w:rsidRPr="001E6385">
        <w:rPr>
          <w:rFonts w:ascii="Arial" w:hAnsi="Arial" w:cs="Arial"/>
          <w:b/>
          <w:bCs/>
          <w:lang w:val="en-GB"/>
        </w:rPr>
        <w:t>Figure 1:</w:t>
      </w:r>
      <w:r w:rsidRPr="001E6385">
        <w:rPr>
          <w:rFonts w:ascii="Arial" w:hAnsi="Arial" w:cs="Arial"/>
        </w:rPr>
        <w:t xml:space="preserve"> </w:t>
      </w:r>
      <w:r w:rsidRPr="001E6385">
        <w:rPr>
          <w:rFonts w:ascii="Arial" w:hAnsi="Arial" w:cs="Arial"/>
          <w:b/>
          <w:bCs/>
          <w:lang w:val="en-GB"/>
        </w:rPr>
        <w:t>Altman Z-score model</w:t>
      </w:r>
    </w:p>
    <w:p w14:paraId="62C19D97" w14:textId="794455AD" w:rsidR="003D3CB6" w:rsidRPr="001E6385" w:rsidRDefault="003D3CB6" w:rsidP="001E6385">
      <w:pPr>
        <w:jc w:val="center"/>
        <w:rPr>
          <w:rFonts w:ascii="Arial" w:hAnsi="Arial" w:cs="Arial"/>
          <w:lang w:val="en-GB"/>
        </w:rPr>
      </w:pPr>
      <w:r w:rsidRPr="001E6385">
        <w:rPr>
          <w:rFonts w:ascii="Arial" w:hAnsi="Arial" w:cs="Arial"/>
          <w:lang w:val="en-GB"/>
        </w:rPr>
        <w:t xml:space="preserve">(Source: </w:t>
      </w:r>
      <w:r w:rsidR="00C228DF" w:rsidRPr="001E6385">
        <w:rPr>
          <w:rFonts w:ascii="Arial" w:hAnsi="Arial" w:cs="Arial"/>
          <w:lang w:val="en-GB"/>
        </w:rPr>
        <w:t>I</w:t>
      </w:r>
      <w:r w:rsidRPr="001E6385">
        <w:rPr>
          <w:rFonts w:ascii="Arial" w:hAnsi="Arial" w:cs="Arial"/>
          <w:lang w:val="en-GB"/>
        </w:rPr>
        <w:t>nspired by the ideas of Rashid et al. 2023)</w:t>
      </w:r>
    </w:p>
    <w:p w14:paraId="52584325" w14:textId="78FE35B1" w:rsidR="00891DEA" w:rsidRPr="001E6385" w:rsidRDefault="00891DEA" w:rsidP="001E6385">
      <w:pPr>
        <w:jc w:val="center"/>
        <w:rPr>
          <w:rFonts w:ascii="Arial" w:hAnsi="Arial" w:cs="Arial"/>
          <w:lang w:val="en-GB"/>
        </w:rPr>
      </w:pPr>
      <w:r w:rsidRPr="001E6385">
        <w:rPr>
          <w:rFonts w:ascii="Arial" w:hAnsi="Arial" w:cs="Arial"/>
          <w:noProof/>
          <w:lang w:val="en-IN" w:eastAsia="en-IN"/>
        </w:rPr>
        <w:drawing>
          <wp:inline distT="0" distB="0" distL="0" distR="0" wp14:anchorId="4B5EBF69" wp14:editId="4D9F3658">
            <wp:extent cx="5848350" cy="31718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48350" cy="3171825"/>
                    </a:xfrm>
                    <a:prstGeom prst="rect">
                      <a:avLst/>
                    </a:prstGeom>
                  </pic:spPr>
                </pic:pic>
              </a:graphicData>
            </a:graphic>
          </wp:inline>
        </w:drawing>
      </w:r>
    </w:p>
    <w:p w14:paraId="31146F30" w14:textId="488FDE84" w:rsidR="003D3CB6" w:rsidRPr="001E6385" w:rsidRDefault="003D3CB6" w:rsidP="001E6385">
      <w:pPr>
        <w:rPr>
          <w:rFonts w:ascii="Arial" w:hAnsi="Arial" w:cs="Arial"/>
          <w:i/>
          <w:iCs/>
          <w:lang w:val="en-GB"/>
        </w:rPr>
      </w:pPr>
      <w:r w:rsidRPr="001E6385">
        <w:rPr>
          <w:rFonts w:ascii="Arial" w:hAnsi="Arial" w:cs="Arial"/>
          <w:lang w:val="en-GB"/>
        </w:rPr>
        <w:t xml:space="preserve">The Altman Z-score of General Electronics is </w:t>
      </w:r>
      <w:r w:rsidRPr="001E6385">
        <w:rPr>
          <w:rFonts w:ascii="Arial" w:hAnsi="Arial" w:cs="Arial"/>
          <w:i/>
          <w:iCs/>
          <w:lang w:val="en-GB"/>
        </w:rPr>
        <w:t>2.50.</w:t>
      </w:r>
    </w:p>
    <w:p w14:paraId="00000013" w14:textId="5196E8B8" w:rsidR="00D8667D" w:rsidRPr="001E6385" w:rsidRDefault="008B59A6" w:rsidP="001E6385">
      <w:pPr>
        <w:rPr>
          <w:rFonts w:ascii="Arial" w:hAnsi="Arial" w:cs="Arial"/>
          <w:lang w:val="en-GB"/>
        </w:rPr>
      </w:pPr>
      <w:r w:rsidRPr="001E6385">
        <w:rPr>
          <w:rFonts w:ascii="Arial" w:hAnsi="Arial" w:cs="Arial"/>
          <w:lang w:val="en-GB"/>
        </w:rPr>
        <w:t xml:space="preserve">These positive elements include working capital (0.47) and retained earnings (0.64) to counter the poor EBIT/Total Assets (-0.06) and market value of equity/liabilities (0.0015). The sales-to-assets ratio (1.22) has little stability and is unable to offset the poor earnings of the firm. The score suggests that there is a vulnerability with no redress taken promptly. </w:t>
      </w:r>
      <w:r w:rsidR="00E35668" w:rsidRPr="001E6385">
        <w:rPr>
          <w:rFonts w:ascii="Arial" w:hAnsi="Arial" w:cs="Arial"/>
          <w:lang w:val="en-GB"/>
        </w:rPr>
        <w:t>I</w:t>
      </w:r>
      <w:r w:rsidRPr="001E6385">
        <w:rPr>
          <w:rFonts w:ascii="Arial" w:hAnsi="Arial" w:cs="Arial"/>
          <w:lang w:val="en-GB"/>
        </w:rPr>
        <w:t>n th</w:t>
      </w:r>
      <w:r w:rsidR="00E35668" w:rsidRPr="001E6385">
        <w:rPr>
          <w:rFonts w:ascii="Arial" w:hAnsi="Arial" w:cs="Arial"/>
          <w:lang w:val="en-GB"/>
        </w:rPr>
        <w:t>e</w:t>
      </w:r>
      <w:r w:rsidRPr="001E6385">
        <w:rPr>
          <w:rFonts w:ascii="Arial" w:hAnsi="Arial" w:cs="Arial"/>
          <w:lang w:val="en-GB"/>
        </w:rPr>
        <w:t xml:space="preserve"> category of risks, companies should be subjected to operational and financial restructuring to restore their stability</w:t>
      </w:r>
      <w:r w:rsidR="00E35668" w:rsidRPr="001E6385">
        <w:rPr>
          <w:rFonts w:ascii="Arial" w:hAnsi="Arial" w:cs="Arial"/>
          <w:lang w:val="en-GB"/>
        </w:rPr>
        <w:t xml:space="preserve"> (Oduor et al. 2021)</w:t>
      </w:r>
      <w:r w:rsidRPr="001E6385">
        <w:rPr>
          <w:rFonts w:ascii="Arial" w:hAnsi="Arial" w:cs="Arial"/>
          <w:lang w:val="en-GB"/>
        </w:rPr>
        <w:t>. The situation of the firm is an indication that it requires turnaround measures, which can avert possible default.</w:t>
      </w:r>
    </w:p>
    <w:p w14:paraId="00000014" w14:textId="77777777" w:rsidR="00D8667D" w:rsidRPr="001E6385" w:rsidRDefault="008B59A6" w:rsidP="001E6385">
      <w:pPr>
        <w:pStyle w:val="Heading2"/>
      </w:pPr>
      <w:bookmarkStart w:id="15" w:name="_nuxps5w7yo3m" w:colFirst="0" w:colLast="0"/>
      <w:bookmarkStart w:id="16" w:name="_Toc213742664"/>
      <w:bookmarkEnd w:id="15"/>
      <w:r w:rsidRPr="001E6385">
        <w:lastRenderedPageBreak/>
        <w:t>1.5 Summary of Findings</w:t>
      </w:r>
      <w:bookmarkEnd w:id="16"/>
    </w:p>
    <w:p w14:paraId="00000015" w14:textId="25E78945" w:rsidR="00D8667D" w:rsidRPr="001E6385" w:rsidRDefault="008B59A6" w:rsidP="001E6385">
      <w:pPr>
        <w:rPr>
          <w:rFonts w:ascii="Arial" w:hAnsi="Arial" w:cs="Arial"/>
          <w:lang w:val="en-GB"/>
        </w:rPr>
      </w:pPr>
      <w:r w:rsidRPr="001E6385">
        <w:rPr>
          <w:rFonts w:ascii="Arial" w:hAnsi="Arial" w:cs="Arial"/>
          <w:lang w:val="en-GB"/>
        </w:rPr>
        <w:t xml:space="preserve">General Electronics is recovering partially after a major decline, although it is still weak financially. The company is unprofitable because of high expenditures and a large debt. The liquidity is average and is strained by the falling cash reserves. The poor working capital control is shown in the efficiency ratios and the high leverage </w:t>
      </w:r>
      <w:r w:rsidR="008A78CA" w:rsidRPr="001E6385">
        <w:rPr>
          <w:rFonts w:ascii="Arial" w:hAnsi="Arial" w:cs="Arial"/>
          <w:lang w:val="en-GB"/>
        </w:rPr>
        <w:t>increase</w:t>
      </w:r>
      <w:r w:rsidRPr="001E6385">
        <w:rPr>
          <w:rFonts w:ascii="Arial" w:hAnsi="Arial" w:cs="Arial"/>
          <w:lang w:val="en-GB"/>
        </w:rPr>
        <w:t xml:space="preserve"> the default risk. Liquidity issues are supported by cash flow deficits. The Altman Z-score of 2.50 puts the firm in a borderline distress area, which proves that the firm is sensitive in case it does not implement reforms promptly. </w:t>
      </w:r>
      <w:r w:rsidR="0057536E" w:rsidRPr="001E6385">
        <w:rPr>
          <w:rFonts w:ascii="Arial" w:hAnsi="Arial" w:cs="Arial"/>
          <w:lang w:val="en-GB"/>
        </w:rPr>
        <w:t>E</w:t>
      </w:r>
      <w:r w:rsidRPr="001E6385">
        <w:rPr>
          <w:rFonts w:ascii="Arial" w:hAnsi="Arial" w:cs="Arial"/>
          <w:lang w:val="en-GB"/>
        </w:rPr>
        <w:t xml:space="preserve">ntrepreneurial thinking that fosters the use of adaptive strategies is what is needed to achieve turnaround success. </w:t>
      </w:r>
      <w:r w:rsidR="00E35668" w:rsidRPr="001E6385">
        <w:rPr>
          <w:rFonts w:ascii="Arial" w:hAnsi="Arial" w:cs="Arial"/>
          <w:lang w:val="en-GB"/>
        </w:rPr>
        <w:t>S</w:t>
      </w:r>
      <w:r w:rsidRPr="001E6385">
        <w:rPr>
          <w:rFonts w:ascii="Arial" w:hAnsi="Arial" w:cs="Arial"/>
          <w:lang w:val="en-GB"/>
        </w:rPr>
        <w:t xml:space="preserve">tructured financial instruments stabilise liquidity and minimise the uncertainty of cash flows. All in all, General Electronics is showing decreasing profitability, constricting liquidity, ineffective results, and increasing leverage, a combination that demands urgent financial and operational reform. The recovery should be equipped with cost restructuring, optimisation of working capital and balance sheet repair to regain profitability. </w:t>
      </w:r>
      <w:r w:rsidR="00E35668" w:rsidRPr="001E6385">
        <w:rPr>
          <w:rFonts w:ascii="Arial" w:hAnsi="Arial" w:cs="Arial"/>
          <w:lang w:val="en-GB"/>
        </w:rPr>
        <w:t>S</w:t>
      </w:r>
      <w:r w:rsidRPr="001E6385">
        <w:rPr>
          <w:rFonts w:ascii="Arial" w:hAnsi="Arial" w:cs="Arial"/>
          <w:lang w:val="en-GB"/>
        </w:rPr>
        <w:t>ustainable turnaround is dependent on strategic realignment and innovation. General Electronics can recover through strategic reorganising, sound management, and financial creativity to revive its strength, confidence of shareholders, and to rebrand itself to recover in the long term globally.</w:t>
      </w:r>
    </w:p>
    <w:p w14:paraId="59881399" w14:textId="77777777" w:rsidR="00E35668" w:rsidRPr="001E6385" w:rsidRDefault="00E35668" w:rsidP="001E6385">
      <w:pPr>
        <w:rPr>
          <w:rFonts w:ascii="Arial" w:hAnsi="Arial" w:cs="Arial"/>
          <w:lang w:val="en-GB"/>
        </w:rPr>
      </w:pPr>
    </w:p>
    <w:p w14:paraId="00000016" w14:textId="77777777" w:rsidR="00D8667D" w:rsidRPr="001E6385" w:rsidRDefault="008B59A6" w:rsidP="001E6385">
      <w:pPr>
        <w:pStyle w:val="Heading1"/>
      </w:pPr>
      <w:bookmarkStart w:id="17" w:name="_jrjjgnlj6qkh" w:colFirst="0" w:colLast="0"/>
      <w:bookmarkStart w:id="18" w:name="_Toc213742665"/>
      <w:bookmarkEnd w:id="17"/>
      <w:r w:rsidRPr="001E6385">
        <w:t>2. Working Capital Management Analysis</w:t>
      </w:r>
      <w:bookmarkEnd w:id="18"/>
    </w:p>
    <w:p w14:paraId="00000017" w14:textId="77777777" w:rsidR="00D8667D" w:rsidRPr="001E6385" w:rsidRDefault="008B59A6" w:rsidP="001E6385">
      <w:pPr>
        <w:pStyle w:val="Heading2"/>
      </w:pPr>
      <w:bookmarkStart w:id="19" w:name="_yr3c0om8p3ce" w:colFirst="0" w:colLast="0"/>
      <w:bookmarkStart w:id="20" w:name="_Toc213742666"/>
      <w:bookmarkEnd w:id="19"/>
      <w:r w:rsidRPr="001E6385">
        <w:t>2.1 Cash Operating Cycle</w:t>
      </w:r>
      <w:bookmarkEnd w:id="20"/>
    </w:p>
    <w:p w14:paraId="457D4700" w14:textId="77777777" w:rsidR="00E35668" w:rsidRPr="001E6385" w:rsidRDefault="008B59A6" w:rsidP="001E6385">
      <w:pPr>
        <w:rPr>
          <w:rFonts w:ascii="Arial" w:hAnsi="Arial" w:cs="Arial"/>
          <w:lang w:val="en-GB"/>
        </w:rPr>
      </w:pPr>
      <w:r w:rsidRPr="001E6385">
        <w:rPr>
          <w:rFonts w:ascii="Arial" w:hAnsi="Arial" w:cs="Arial"/>
          <w:lang w:val="en-GB"/>
        </w:rPr>
        <w:t xml:space="preserve">The working capital cycle measures the efficiency of the company in terms of its ability to convert resources into cash. In the case of General Electronics, </w:t>
      </w:r>
    </w:p>
    <w:p w14:paraId="7BF9F4C8" w14:textId="67873BDA" w:rsidR="00E35668" w:rsidRPr="001E6385" w:rsidRDefault="00E35668" w:rsidP="001E6385">
      <w:pPr>
        <w:jc w:val="center"/>
        <w:rPr>
          <w:rFonts w:ascii="Arial" w:hAnsi="Arial" w:cs="Arial"/>
          <w:lang w:val="en-GB"/>
        </w:rPr>
      </w:pPr>
      <w:r w:rsidRPr="001E6385">
        <w:rPr>
          <w:rFonts w:ascii="Arial" w:hAnsi="Arial" w:cs="Arial"/>
          <w:lang w:val="en-GB"/>
        </w:rPr>
        <w:t xml:space="preserve">Cash Operating Cycle = </w:t>
      </w:r>
      <w:r w:rsidR="008B59A6" w:rsidRPr="001E6385">
        <w:rPr>
          <w:rFonts w:ascii="Arial" w:hAnsi="Arial" w:cs="Arial"/>
          <w:lang w:val="en-GB"/>
        </w:rPr>
        <w:t>Inventory Days + Receivable Days - Payable Days</w:t>
      </w:r>
    </w:p>
    <w:p w14:paraId="5397D2D9" w14:textId="77777777" w:rsidR="00E35668" w:rsidRPr="001E6385" w:rsidRDefault="00E35668" w:rsidP="001E6385">
      <w:pPr>
        <w:rPr>
          <w:rFonts w:ascii="Arial" w:hAnsi="Arial" w:cs="Arial"/>
          <w:i/>
          <w:iCs/>
          <w:lang w:val="en-GB"/>
        </w:rPr>
      </w:pPr>
      <w:r w:rsidRPr="001E6385">
        <w:rPr>
          <w:rFonts w:ascii="Arial" w:hAnsi="Arial" w:cs="Arial"/>
          <w:lang w:val="en-GB"/>
        </w:rPr>
        <w:t>Here,</w:t>
      </w:r>
      <w:r w:rsidR="008B59A6" w:rsidRPr="001E6385">
        <w:rPr>
          <w:rFonts w:ascii="Arial" w:hAnsi="Arial" w:cs="Arial"/>
          <w:lang w:val="en-GB"/>
        </w:rPr>
        <w:t xml:space="preserve"> </w:t>
      </w:r>
      <w:r w:rsidR="008B59A6" w:rsidRPr="001E6385">
        <w:rPr>
          <w:rFonts w:ascii="Arial" w:hAnsi="Arial" w:cs="Arial"/>
          <w:i/>
          <w:iCs/>
          <w:lang w:val="en-GB"/>
        </w:rPr>
        <w:t xml:space="preserve">inventory period </w:t>
      </w:r>
      <w:r w:rsidRPr="001E6385">
        <w:rPr>
          <w:rFonts w:ascii="Arial" w:hAnsi="Arial" w:cs="Arial"/>
          <w:i/>
          <w:iCs/>
          <w:lang w:val="en-GB"/>
        </w:rPr>
        <w:t>is</w:t>
      </w:r>
      <w:r w:rsidR="008B59A6" w:rsidRPr="001E6385">
        <w:rPr>
          <w:rFonts w:ascii="Arial" w:hAnsi="Arial" w:cs="Arial"/>
          <w:i/>
          <w:iCs/>
          <w:lang w:val="en-GB"/>
        </w:rPr>
        <w:t xml:space="preserve"> 82 days</w:t>
      </w:r>
    </w:p>
    <w:p w14:paraId="595F3436" w14:textId="77777777" w:rsidR="00E35668" w:rsidRPr="001E6385" w:rsidRDefault="00E35668" w:rsidP="001E6385">
      <w:pPr>
        <w:rPr>
          <w:rFonts w:ascii="Arial" w:hAnsi="Arial" w:cs="Arial"/>
          <w:i/>
          <w:iCs/>
          <w:lang w:val="en-GB"/>
        </w:rPr>
      </w:pPr>
      <w:r w:rsidRPr="001E6385">
        <w:rPr>
          <w:rFonts w:ascii="Arial" w:hAnsi="Arial" w:cs="Arial"/>
          <w:i/>
          <w:iCs/>
          <w:lang w:val="en-GB"/>
        </w:rPr>
        <w:t>R</w:t>
      </w:r>
      <w:r w:rsidR="008B59A6" w:rsidRPr="001E6385">
        <w:rPr>
          <w:rFonts w:ascii="Arial" w:hAnsi="Arial" w:cs="Arial"/>
          <w:i/>
          <w:iCs/>
          <w:lang w:val="en-GB"/>
        </w:rPr>
        <w:t xml:space="preserve">eceivable period </w:t>
      </w:r>
      <w:r w:rsidRPr="001E6385">
        <w:rPr>
          <w:rFonts w:ascii="Arial" w:hAnsi="Arial" w:cs="Arial"/>
          <w:i/>
          <w:iCs/>
          <w:lang w:val="en-GB"/>
        </w:rPr>
        <w:t>is</w:t>
      </w:r>
      <w:r w:rsidR="008B59A6" w:rsidRPr="001E6385">
        <w:rPr>
          <w:rFonts w:ascii="Arial" w:hAnsi="Arial" w:cs="Arial"/>
          <w:i/>
          <w:iCs/>
          <w:lang w:val="en-GB"/>
        </w:rPr>
        <w:t xml:space="preserve"> 105 days and </w:t>
      </w:r>
    </w:p>
    <w:p w14:paraId="5321B4D9" w14:textId="4F23DD58" w:rsidR="00E35668" w:rsidRPr="001E6385" w:rsidRDefault="00E35668" w:rsidP="001E6385">
      <w:pPr>
        <w:rPr>
          <w:rFonts w:ascii="Arial" w:hAnsi="Arial" w:cs="Arial"/>
          <w:i/>
          <w:iCs/>
          <w:lang w:val="en-GB"/>
        </w:rPr>
      </w:pPr>
      <w:r w:rsidRPr="001E6385">
        <w:rPr>
          <w:rFonts w:ascii="Arial" w:hAnsi="Arial" w:cs="Arial"/>
          <w:i/>
          <w:iCs/>
          <w:lang w:val="en-GB"/>
        </w:rPr>
        <w:t>P</w:t>
      </w:r>
      <w:r w:rsidR="008B59A6" w:rsidRPr="001E6385">
        <w:rPr>
          <w:rFonts w:ascii="Arial" w:hAnsi="Arial" w:cs="Arial"/>
          <w:i/>
          <w:iCs/>
          <w:lang w:val="en-GB"/>
        </w:rPr>
        <w:t xml:space="preserve">ayable period </w:t>
      </w:r>
      <w:r w:rsidRPr="001E6385">
        <w:rPr>
          <w:rFonts w:ascii="Arial" w:hAnsi="Arial" w:cs="Arial"/>
          <w:i/>
          <w:iCs/>
          <w:lang w:val="en-GB"/>
        </w:rPr>
        <w:t xml:space="preserve">is </w:t>
      </w:r>
      <w:r w:rsidR="008B59A6" w:rsidRPr="001E6385">
        <w:rPr>
          <w:rFonts w:ascii="Arial" w:hAnsi="Arial" w:cs="Arial"/>
          <w:i/>
          <w:iCs/>
          <w:lang w:val="en-GB"/>
        </w:rPr>
        <w:t>of 91 days</w:t>
      </w:r>
    </w:p>
    <w:p w14:paraId="2DEF641E" w14:textId="5BB74F58" w:rsidR="00E35668" w:rsidRPr="001E6385" w:rsidRDefault="00E35668" w:rsidP="001E6385">
      <w:pPr>
        <w:rPr>
          <w:rFonts w:ascii="Arial" w:hAnsi="Arial" w:cs="Arial"/>
          <w:lang w:val="en-GB"/>
        </w:rPr>
      </w:pPr>
      <w:r w:rsidRPr="001E6385">
        <w:rPr>
          <w:rFonts w:ascii="Arial" w:hAnsi="Arial" w:cs="Arial"/>
          <w:lang w:val="en-GB"/>
        </w:rPr>
        <w:t>Therefore, Cash Operating Cycle = 82 + 105 -91</w:t>
      </w:r>
    </w:p>
    <w:p w14:paraId="226BCFB1" w14:textId="47E2C165" w:rsidR="00E35668" w:rsidRPr="001E6385" w:rsidRDefault="00E35668" w:rsidP="001E6385">
      <w:pPr>
        <w:ind w:left="2880" w:firstLine="720"/>
        <w:rPr>
          <w:rFonts w:ascii="Arial" w:hAnsi="Arial" w:cs="Arial"/>
          <w:lang w:val="en-GB"/>
        </w:rPr>
      </w:pPr>
      <w:r w:rsidRPr="001E6385">
        <w:rPr>
          <w:rFonts w:ascii="Arial" w:hAnsi="Arial" w:cs="Arial"/>
          <w:lang w:val="en-GB"/>
        </w:rPr>
        <w:t>= 96 days</w:t>
      </w:r>
    </w:p>
    <w:p w14:paraId="00000018" w14:textId="2EF6F4FF" w:rsidR="00D8667D" w:rsidRPr="001E6385" w:rsidRDefault="008B59A6" w:rsidP="001E6385">
      <w:pPr>
        <w:rPr>
          <w:rFonts w:ascii="Arial" w:hAnsi="Arial" w:cs="Arial"/>
          <w:lang w:val="en-GB"/>
        </w:rPr>
      </w:pPr>
      <w:r w:rsidRPr="001E6385">
        <w:rPr>
          <w:rFonts w:ascii="Arial" w:hAnsi="Arial" w:cs="Arial"/>
          <w:lang w:val="en-GB"/>
        </w:rPr>
        <w:t xml:space="preserve">This long turnover indicates that money invested in the operation is returned slowly, which causes liquidity pressure. A long receivable period is a sign of poor credit management and excessive reliance on generous terms, whereas large inventory levels are a sign of overproduction or poor demand forecasting. The payables also offer relief, but the total cycle is longer than the industry average of 45-60 days, which </w:t>
      </w:r>
      <w:r w:rsidRPr="001E6385">
        <w:rPr>
          <w:rFonts w:ascii="Arial" w:hAnsi="Arial" w:cs="Arial"/>
          <w:lang w:val="en-GB"/>
        </w:rPr>
        <w:lastRenderedPageBreak/>
        <w:t>indicates inefficiency in managing cash. In accordance with the perspective of Okeke et al. (2022), high inventory and delayed collections are specific obstacles to financial sustainability in manufacturing companies. Therefore, it is necessary to minimise the cycle to stabilise cash flow in order to facilitate the turnaround of the firm.</w:t>
      </w:r>
    </w:p>
    <w:p w14:paraId="65CA8B42" w14:textId="77777777" w:rsidR="00A85B02" w:rsidRPr="001E6385" w:rsidRDefault="00A85B02" w:rsidP="001E6385">
      <w:pPr>
        <w:rPr>
          <w:rFonts w:ascii="Arial" w:hAnsi="Arial" w:cs="Arial"/>
          <w:lang w:val="en-GB"/>
        </w:rPr>
      </w:pPr>
    </w:p>
    <w:p w14:paraId="00000019" w14:textId="77777777" w:rsidR="00D8667D" w:rsidRPr="001E6385" w:rsidRDefault="008B59A6" w:rsidP="001E6385">
      <w:pPr>
        <w:pStyle w:val="Heading2"/>
      </w:pPr>
      <w:bookmarkStart w:id="21" w:name="_2hyq373obir9" w:colFirst="0" w:colLast="0"/>
      <w:bookmarkStart w:id="22" w:name="_Toc213742667"/>
      <w:bookmarkEnd w:id="21"/>
      <w:r w:rsidRPr="001E6385">
        <w:t xml:space="preserve">2.2 </w:t>
      </w:r>
      <w:bookmarkStart w:id="23" w:name="_Hlk213740527"/>
      <w:r w:rsidRPr="001E6385">
        <w:t>Liquidity Improvement Strategies</w:t>
      </w:r>
      <w:bookmarkEnd w:id="22"/>
      <w:bookmarkEnd w:id="23"/>
    </w:p>
    <w:p w14:paraId="0000001A" w14:textId="1BC7517B" w:rsidR="00D8667D" w:rsidRPr="001E6385" w:rsidRDefault="008B59A6" w:rsidP="001E6385">
      <w:pPr>
        <w:rPr>
          <w:rFonts w:ascii="Arial" w:hAnsi="Arial" w:cs="Arial"/>
          <w:lang w:val="en-GB"/>
        </w:rPr>
      </w:pPr>
      <w:r w:rsidRPr="001E6385">
        <w:rPr>
          <w:rFonts w:ascii="Arial" w:hAnsi="Arial" w:cs="Arial"/>
          <w:lang w:val="en-GB"/>
        </w:rPr>
        <w:t>Liquidity ratios need to be improved through reforms in receivables, inventory and payables. Receivable management is aimed at closer control over credit and automatic notices to monitor timely payment. Rivera-Prieto et al. (2025)</w:t>
      </w:r>
      <w:r w:rsidR="000E75DF" w:rsidRPr="001E6385">
        <w:rPr>
          <w:rFonts w:ascii="Arial" w:hAnsi="Arial" w:cs="Arial"/>
          <w:lang w:val="en-GB"/>
        </w:rPr>
        <w:t xml:space="preserve"> added that</w:t>
      </w:r>
      <w:r w:rsidRPr="001E6385">
        <w:rPr>
          <w:rFonts w:ascii="Arial" w:hAnsi="Arial" w:cs="Arial"/>
          <w:lang w:val="en-GB"/>
        </w:rPr>
        <w:t xml:space="preserve"> turnarounds require financial discipline that is sustained through human resource coordination of turnarounds, in which accountability is internalised in cash management. Early payment discounts may also be introduced, but it is possible to accelerate the inflows without ruining the relationships with clients. Through the just-in-time (JIT) practice and better demand forecasts, inventory levels could be minimised to ensure that stock levels are in line with the market demand. </w:t>
      </w:r>
      <w:r w:rsidR="000E75DF" w:rsidRPr="001E6385">
        <w:rPr>
          <w:rFonts w:ascii="Arial" w:hAnsi="Arial" w:cs="Arial"/>
          <w:lang w:val="en-GB"/>
        </w:rPr>
        <w:t>M</w:t>
      </w:r>
      <w:r w:rsidRPr="001E6385">
        <w:rPr>
          <w:rFonts w:ascii="Arial" w:hAnsi="Arial" w:cs="Arial"/>
          <w:lang w:val="en-GB"/>
        </w:rPr>
        <w:t>atching production plans and sales projections enhances liquidity and increases operational efficiency</w:t>
      </w:r>
      <w:r w:rsidR="000E75DF" w:rsidRPr="001E6385">
        <w:rPr>
          <w:rFonts w:ascii="Arial" w:hAnsi="Arial" w:cs="Arial"/>
          <w:lang w:val="en-GB"/>
        </w:rPr>
        <w:t xml:space="preserve"> (Beekun and De Carvalho, 2021)</w:t>
      </w:r>
      <w:r w:rsidRPr="001E6385">
        <w:rPr>
          <w:rFonts w:ascii="Arial" w:hAnsi="Arial" w:cs="Arial"/>
          <w:lang w:val="en-GB"/>
        </w:rPr>
        <w:t xml:space="preserve">. In the case of payables, it is more advantageous to negotiate longer credit terms with the suppliers, as long as the relationships are not compromised. According to Jamal and Salisi (2021), reorganising supplier contracts in times of downfalls allows companies to remain afloat as well as reduce short-term cash commitments. Transparency and payment consistency will save the trust of the suppliers. Another important factor </w:t>
      </w:r>
      <w:r w:rsidR="000E75DF" w:rsidRPr="001E6385">
        <w:rPr>
          <w:rFonts w:ascii="Arial" w:hAnsi="Arial" w:cs="Arial"/>
          <w:lang w:val="en-GB"/>
        </w:rPr>
        <w:t>is</w:t>
      </w:r>
      <w:r w:rsidRPr="001E6385">
        <w:rPr>
          <w:rFonts w:ascii="Arial" w:hAnsi="Arial" w:cs="Arial"/>
          <w:lang w:val="en-GB"/>
        </w:rPr>
        <w:t xml:space="preserve"> governance, </w:t>
      </w:r>
      <w:r w:rsidR="000E75DF" w:rsidRPr="001E6385">
        <w:rPr>
          <w:rFonts w:ascii="Arial" w:hAnsi="Arial" w:cs="Arial"/>
          <w:lang w:val="en-GB"/>
        </w:rPr>
        <w:t xml:space="preserve">wherein </w:t>
      </w:r>
      <w:r w:rsidRPr="001E6385">
        <w:rPr>
          <w:rFonts w:ascii="Arial" w:hAnsi="Arial" w:cs="Arial"/>
          <w:lang w:val="en-GB"/>
        </w:rPr>
        <w:t xml:space="preserve">effective governance systems </w:t>
      </w:r>
      <w:r w:rsidR="000E75DF" w:rsidRPr="001E6385">
        <w:rPr>
          <w:rFonts w:ascii="Arial" w:hAnsi="Arial" w:cs="Arial"/>
          <w:lang w:val="en-GB"/>
        </w:rPr>
        <w:t xml:space="preserve">is said to </w:t>
      </w:r>
      <w:r w:rsidRPr="001E6385">
        <w:rPr>
          <w:rFonts w:ascii="Arial" w:hAnsi="Arial" w:cs="Arial"/>
          <w:lang w:val="en-GB"/>
        </w:rPr>
        <w:t>promote financial control and mean that liquidity management is in line with more general recovery goals</w:t>
      </w:r>
      <w:r w:rsidR="000E75DF" w:rsidRPr="001E6385">
        <w:rPr>
          <w:rFonts w:ascii="Arial" w:hAnsi="Arial" w:cs="Arial"/>
          <w:lang w:val="en-GB"/>
        </w:rPr>
        <w:t xml:space="preserve"> (Tron et al. 2023)</w:t>
      </w:r>
      <w:r w:rsidRPr="001E6385">
        <w:rPr>
          <w:rFonts w:ascii="Arial" w:hAnsi="Arial" w:cs="Arial"/>
          <w:lang w:val="en-GB"/>
        </w:rPr>
        <w:t>. Maintaining consistency and accountability of financial decisions can be achieved through the use of board-level monitoring of cash cycles.</w:t>
      </w:r>
    </w:p>
    <w:p w14:paraId="66BF0AC7" w14:textId="77777777" w:rsidR="00A85B02" w:rsidRPr="001E6385" w:rsidRDefault="00A85B02" w:rsidP="001E6385">
      <w:pPr>
        <w:rPr>
          <w:rFonts w:ascii="Arial" w:hAnsi="Arial" w:cs="Arial"/>
          <w:lang w:val="en-GB"/>
        </w:rPr>
      </w:pPr>
    </w:p>
    <w:p w14:paraId="0000001B" w14:textId="77777777" w:rsidR="00D8667D" w:rsidRPr="001E6385" w:rsidRDefault="008B59A6" w:rsidP="001E6385">
      <w:pPr>
        <w:pStyle w:val="Heading2"/>
      </w:pPr>
      <w:bookmarkStart w:id="24" w:name="_wz0x8endua0y" w:colFirst="0" w:colLast="0"/>
      <w:bookmarkStart w:id="25" w:name="_Toc213742668"/>
      <w:bookmarkEnd w:id="24"/>
      <w:r w:rsidRPr="001E6385">
        <w:t>2.3 Financing Strategy</w:t>
      </w:r>
      <w:bookmarkEnd w:id="25"/>
    </w:p>
    <w:p w14:paraId="0000001C" w14:textId="53E39BA7" w:rsidR="00D8667D" w:rsidRPr="001E6385" w:rsidRDefault="008B59A6" w:rsidP="001E6385">
      <w:pPr>
        <w:rPr>
          <w:rFonts w:ascii="Arial" w:hAnsi="Arial" w:cs="Arial"/>
          <w:lang w:val="en-GB"/>
        </w:rPr>
      </w:pPr>
      <w:r w:rsidRPr="001E6385">
        <w:rPr>
          <w:rFonts w:ascii="Arial" w:hAnsi="Arial" w:cs="Arial"/>
          <w:lang w:val="en-GB"/>
        </w:rPr>
        <w:t xml:space="preserve">Short-term facilities like overdrafts, trade and factoring offer instant liquidity at increased interest rates or reliance on external lenders. Equity, bonds or retained earnings are long-term options that are stable but lack flexibility. </w:t>
      </w:r>
      <w:r w:rsidR="000E75DF" w:rsidRPr="001E6385">
        <w:rPr>
          <w:rFonts w:ascii="Arial" w:hAnsi="Arial" w:cs="Arial"/>
          <w:lang w:val="en-GB"/>
        </w:rPr>
        <w:t>T</w:t>
      </w:r>
      <w:r w:rsidRPr="001E6385">
        <w:rPr>
          <w:rFonts w:ascii="Arial" w:hAnsi="Arial" w:cs="Arial"/>
          <w:lang w:val="en-GB"/>
        </w:rPr>
        <w:t xml:space="preserve">roubled companies enjoy the advantages of retrenchment policies, which minimise borrowing of external funds and boost liquidity by using asset-based financing. One strategy that General Electronics can adopt is a </w:t>
      </w:r>
      <w:r w:rsidRPr="001E6385">
        <w:rPr>
          <w:rFonts w:ascii="Arial" w:hAnsi="Arial" w:cs="Arial"/>
          <w:i/>
          <w:iCs/>
          <w:lang w:val="en-GB"/>
        </w:rPr>
        <w:t>hybrid financing model</w:t>
      </w:r>
      <w:r w:rsidRPr="001E6385">
        <w:rPr>
          <w:rFonts w:ascii="Arial" w:hAnsi="Arial" w:cs="Arial"/>
          <w:lang w:val="en-GB"/>
        </w:rPr>
        <w:t xml:space="preserve">, whereby entails short-term facilities </w:t>
      </w:r>
      <w:r w:rsidRPr="001E6385">
        <w:rPr>
          <w:rFonts w:ascii="Arial" w:hAnsi="Arial" w:cs="Arial"/>
          <w:lang w:val="en-GB"/>
        </w:rPr>
        <w:lastRenderedPageBreak/>
        <w:t>to meet the working needs but long-term capital restructuring to restore balance sheets. Short-term factoring has the potential to unlock cash in receivables, whereas trade credit can continue the relationship with suppliers without making payments. In the long-term sustainability, financial stability can be strengthened by equity injections from investors or strategic partners. Kim et al. (2021)</w:t>
      </w:r>
      <w:r w:rsidR="00305AE8" w:rsidRPr="001E6385">
        <w:rPr>
          <w:rFonts w:ascii="Arial" w:hAnsi="Arial" w:cs="Arial"/>
          <w:lang w:val="en-GB"/>
        </w:rPr>
        <w:t xml:space="preserve"> added that</w:t>
      </w:r>
      <w:r w:rsidRPr="001E6385">
        <w:rPr>
          <w:rFonts w:ascii="Arial" w:hAnsi="Arial" w:cs="Arial"/>
          <w:lang w:val="en-GB"/>
        </w:rPr>
        <w:t xml:space="preserve"> companies </w:t>
      </w:r>
      <w:r w:rsidR="00305AE8" w:rsidRPr="001E6385">
        <w:rPr>
          <w:rFonts w:ascii="Arial" w:hAnsi="Arial" w:cs="Arial"/>
          <w:lang w:val="en-GB"/>
        </w:rPr>
        <w:t>operating in</w:t>
      </w:r>
      <w:r w:rsidRPr="001E6385">
        <w:rPr>
          <w:rFonts w:ascii="Arial" w:hAnsi="Arial" w:cs="Arial"/>
          <w:lang w:val="en-GB"/>
        </w:rPr>
        <w:t xml:space="preserve"> uncertain markets ought to be financially agile by ensuring that their capital structures are flexible to changes in the volatile market. Maintaining a low cost of capital is important to profitability. The bargaining of good credit line terms and balance of capital mix lowers the weighted average cost of capital of the firm. </w:t>
      </w:r>
      <w:r w:rsidR="003D3CB6" w:rsidRPr="001E6385">
        <w:rPr>
          <w:rFonts w:ascii="Arial" w:hAnsi="Arial" w:cs="Arial"/>
          <w:lang w:val="en-GB"/>
        </w:rPr>
        <w:t>C</w:t>
      </w:r>
      <w:r w:rsidRPr="001E6385">
        <w:rPr>
          <w:rFonts w:ascii="Arial" w:hAnsi="Arial" w:cs="Arial"/>
          <w:lang w:val="en-GB"/>
        </w:rPr>
        <w:t xml:space="preserve">ompanies </w:t>
      </w:r>
      <w:r w:rsidR="003D3CB6" w:rsidRPr="001E6385">
        <w:rPr>
          <w:rFonts w:ascii="Arial" w:hAnsi="Arial" w:cs="Arial"/>
          <w:lang w:val="en-GB"/>
        </w:rPr>
        <w:t>that</w:t>
      </w:r>
      <w:r w:rsidRPr="001E6385">
        <w:rPr>
          <w:rFonts w:ascii="Arial" w:hAnsi="Arial" w:cs="Arial"/>
          <w:lang w:val="en-GB"/>
        </w:rPr>
        <w:t xml:space="preserve"> incorporate flexible financing mechanisms into the resource-based model make their resilience and recovery more robust</w:t>
      </w:r>
      <w:r w:rsidR="003D3CB6" w:rsidRPr="001E6385">
        <w:rPr>
          <w:rFonts w:ascii="Arial" w:hAnsi="Arial" w:cs="Arial"/>
          <w:lang w:val="en-GB"/>
        </w:rPr>
        <w:t xml:space="preserve"> (Xu et al. 2022)</w:t>
      </w:r>
      <w:r w:rsidRPr="001E6385">
        <w:rPr>
          <w:rFonts w:ascii="Arial" w:hAnsi="Arial" w:cs="Arial"/>
          <w:lang w:val="en-GB"/>
        </w:rPr>
        <w:t>. The integration of financing flexibility and operation reform helps General Electronics to control the liquidity risk and invest in recovery. This strategy will guarantee adequate cash levels, higher investor confidence and recovery of financial strength in the long term.</w:t>
      </w:r>
    </w:p>
    <w:p w14:paraId="753C8682" w14:textId="77777777" w:rsidR="00A85B02" w:rsidRPr="001E6385" w:rsidRDefault="00A85B02" w:rsidP="001E6385">
      <w:pPr>
        <w:rPr>
          <w:rFonts w:ascii="Arial" w:hAnsi="Arial" w:cs="Arial"/>
          <w:lang w:val="en-GB"/>
        </w:rPr>
      </w:pPr>
    </w:p>
    <w:p w14:paraId="0000001D" w14:textId="77777777" w:rsidR="00D8667D" w:rsidRPr="001E6385" w:rsidRDefault="008B59A6" w:rsidP="001E6385">
      <w:pPr>
        <w:pStyle w:val="Heading2"/>
      </w:pPr>
      <w:bookmarkStart w:id="26" w:name="_ehlp1275bhf2" w:colFirst="0" w:colLast="0"/>
      <w:bookmarkStart w:id="27" w:name="_Toc213742669"/>
      <w:bookmarkEnd w:id="26"/>
      <w:r w:rsidRPr="001E6385">
        <w:t>2.4 Summary</w:t>
      </w:r>
      <w:bookmarkEnd w:id="27"/>
    </w:p>
    <w:p w14:paraId="0000001E" w14:textId="14F190C0" w:rsidR="00D8667D" w:rsidRPr="001E6385" w:rsidRDefault="008B59A6" w:rsidP="001E6385">
      <w:pPr>
        <w:rPr>
          <w:rFonts w:ascii="Arial" w:hAnsi="Arial" w:cs="Arial"/>
          <w:lang w:val="en-GB"/>
        </w:rPr>
      </w:pPr>
      <w:r w:rsidRPr="001E6385">
        <w:rPr>
          <w:rFonts w:ascii="Arial" w:hAnsi="Arial" w:cs="Arial"/>
          <w:lang w:val="en-GB"/>
        </w:rPr>
        <w:t xml:space="preserve">The cash operating cycle of 96 days of General Electronics indicates late conversion of cash in its forms because it has poor control of its receivables and inventory. The solution of these inefficiencies by tightening credit, adopting JIT, and renegotiating suppliers will improve liquidity and reduce the cycle. The governance of strategies will be in control and accountable. Stability in finance meant a balanced financing model that entailed short-term funding of the day-to-day running of the organisation and long-term capital funding for restructuring the operations. </w:t>
      </w:r>
      <w:r w:rsidR="003D3CB6" w:rsidRPr="001E6385">
        <w:rPr>
          <w:rFonts w:ascii="Arial" w:hAnsi="Arial" w:cs="Arial"/>
          <w:lang w:val="en-GB"/>
        </w:rPr>
        <w:t>T</w:t>
      </w:r>
      <w:r w:rsidRPr="001E6385">
        <w:rPr>
          <w:rFonts w:ascii="Arial" w:hAnsi="Arial" w:cs="Arial"/>
          <w:lang w:val="en-GB"/>
        </w:rPr>
        <w:t xml:space="preserve">urnaround management is tied to the ability to integrate financial discipline, human resources, and strategic adaptability. </w:t>
      </w:r>
    </w:p>
    <w:p w14:paraId="7AC451A5" w14:textId="77777777" w:rsidR="00A85B02" w:rsidRPr="001E6385" w:rsidRDefault="00A85B02" w:rsidP="001E6385">
      <w:pPr>
        <w:rPr>
          <w:rFonts w:ascii="Arial" w:hAnsi="Arial" w:cs="Arial"/>
          <w:lang w:val="en-GB"/>
        </w:rPr>
      </w:pPr>
    </w:p>
    <w:p w14:paraId="29CD9A6B" w14:textId="77777777" w:rsidR="00A85B02" w:rsidRPr="001E6385" w:rsidRDefault="00A85B02" w:rsidP="001E6385">
      <w:pPr>
        <w:rPr>
          <w:rFonts w:ascii="Arial" w:hAnsi="Arial" w:cs="Arial"/>
          <w:lang w:val="en-GB"/>
        </w:rPr>
      </w:pPr>
    </w:p>
    <w:p w14:paraId="4FA9B264" w14:textId="77777777" w:rsidR="00A85B02" w:rsidRPr="001E6385" w:rsidRDefault="00A85B02" w:rsidP="001E6385">
      <w:pPr>
        <w:rPr>
          <w:rFonts w:ascii="Arial" w:hAnsi="Arial" w:cs="Arial"/>
          <w:lang w:val="en-GB"/>
        </w:rPr>
      </w:pPr>
    </w:p>
    <w:p w14:paraId="3C2D9705" w14:textId="77777777" w:rsidR="00A85B02" w:rsidRPr="001E6385" w:rsidRDefault="00A85B02" w:rsidP="001E6385">
      <w:pPr>
        <w:rPr>
          <w:rFonts w:ascii="Arial" w:hAnsi="Arial" w:cs="Arial"/>
          <w:lang w:val="en-GB"/>
        </w:rPr>
      </w:pPr>
    </w:p>
    <w:p w14:paraId="3C077BD9" w14:textId="77777777" w:rsidR="00A85B02" w:rsidRPr="001E6385" w:rsidRDefault="00A85B02" w:rsidP="001E6385">
      <w:pPr>
        <w:rPr>
          <w:rFonts w:ascii="Arial" w:hAnsi="Arial" w:cs="Arial"/>
          <w:lang w:val="en-GB"/>
        </w:rPr>
      </w:pPr>
    </w:p>
    <w:p w14:paraId="248EE249" w14:textId="77777777" w:rsidR="00A85B02" w:rsidRPr="001E6385" w:rsidRDefault="00A85B02" w:rsidP="001E6385">
      <w:pPr>
        <w:rPr>
          <w:rFonts w:ascii="Arial" w:hAnsi="Arial" w:cs="Arial"/>
          <w:lang w:val="en-GB"/>
        </w:rPr>
      </w:pPr>
    </w:p>
    <w:p w14:paraId="02776B8F" w14:textId="77777777" w:rsidR="00A85B02" w:rsidRPr="001E6385" w:rsidRDefault="00A85B02" w:rsidP="001E6385">
      <w:pPr>
        <w:rPr>
          <w:rFonts w:ascii="Arial" w:hAnsi="Arial" w:cs="Arial"/>
          <w:lang w:val="en-GB"/>
        </w:rPr>
      </w:pPr>
    </w:p>
    <w:p w14:paraId="191009ED" w14:textId="77777777" w:rsidR="003D3CB6" w:rsidRPr="001E6385" w:rsidRDefault="003D3CB6" w:rsidP="001E6385">
      <w:pPr>
        <w:rPr>
          <w:rFonts w:ascii="Arial" w:hAnsi="Arial" w:cs="Arial"/>
          <w:lang w:val="en-GB"/>
        </w:rPr>
      </w:pPr>
    </w:p>
    <w:p w14:paraId="0000001F" w14:textId="77777777" w:rsidR="00D8667D" w:rsidRPr="001E6385" w:rsidRDefault="008B59A6" w:rsidP="001E6385">
      <w:pPr>
        <w:pStyle w:val="Heading1"/>
      </w:pPr>
      <w:bookmarkStart w:id="28" w:name="_l34pjtrt7vma" w:colFirst="0" w:colLast="0"/>
      <w:bookmarkStart w:id="29" w:name="_Toc213742670"/>
      <w:bookmarkEnd w:id="28"/>
      <w:r w:rsidRPr="001E6385">
        <w:lastRenderedPageBreak/>
        <w:t>3. Strategic Financial Restructuring Plan</w:t>
      </w:r>
      <w:bookmarkEnd w:id="29"/>
    </w:p>
    <w:p w14:paraId="0627164B" w14:textId="77777777" w:rsidR="00A85B02" w:rsidRPr="001E6385" w:rsidRDefault="00A85B02" w:rsidP="001E6385">
      <w:pPr>
        <w:rPr>
          <w:rFonts w:ascii="Arial" w:hAnsi="Arial" w:cs="Arial"/>
          <w:lang w:val="en-GB"/>
        </w:rPr>
      </w:pPr>
    </w:p>
    <w:p w14:paraId="00000020" w14:textId="3E4C3274" w:rsidR="00D8667D" w:rsidRPr="001E6385" w:rsidRDefault="008B59A6" w:rsidP="001E6385">
      <w:pPr>
        <w:pStyle w:val="Heading2"/>
      </w:pPr>
      <w:bookmarkStart w:id="30" w:name="_obbsqoc8f1ew" w:colFirst="0" w:colLast="0"/>
      <w:bookmarkStart w:id="31" w:name="_Toc213742671"/>
      <w:bookmarkEnd w:id="30"/>
      <w:r w:rsidRPr="001E6385">
        <w:t>3.1 Overview</w:t>
      </w:r>
      <w:r w:rsidR="0057536E" w:rsidRPr="001E6385">
        <w:t xml:space="preserve"> of the current financial conditions</w:t>
      </w:r>
      <w:bookmarkEnd w:id="31"/>
    </w:p>
    <w:p w14:paraId="00000021" w14:textId="3B8BAB7A" w:rsidR="00D8667D" w:rsidRPr="001E6385" w:rsidRDefault="008B59A6" w:rsidP="001E6385">
      <w:pPr>
        <w:rPr>
          <w:rFonts w:ascii="Arial" w:hAnsi="Arial" w:cs="Arial"/>
          <w:lang w:val="en-GB"/>
        </w:rPr>
      </w:pPr>
      <w:r w:rsidRPr="001E6385">
        <w:rPr>
          <w:rFonts w:ascii="Arial" w:hAnsi="Arial" w:cs="Arial"/>
          <w:lang w:val="en-GB"/>
        </w:rPr>
        <w:t>Restructuring will help to re-align the capital structure of the firm, optimise costs, and improve the efficiency of operations, as well as maintain ethical and sustainable operations. Bukhori et al. (2022)</w:t>
      </w:r>
      <w:r w:rsidR="0057536E" w:rsidRPr="001E6385">
        <w:rPr>
          <w:rFonts w:ascii="Arial" w:hAnsi="Arial" w:cs="Arial"/>
          <w:lang w:val="en-GB"/>
        </w:rPr>
        <w:t xml:space="preserve"> found</w:t>
      </w:r>
      <w:r w:rsidRPr="001E6385">
        <w:rPr>
          <w:rFonts w:ascii="Arial" w:hAnsi="Arial" w:cs="Arial"/>
          <w:lang w:val="en-GB"/>
        </w:rPr>
        <w:t xml:space="preserve"> financial restructuring </w:t>
      </w:r>
      <w:r w:rsidR="0057536E" w:rsidRPr="001E6385">
        <w:rPr>
          <w:rFonts w:ascii="Arial" w:hAnsi="Arial" w:cs="Arial"/>
          <w:lang w:val="en-GB"/>
        </w:rPr>
        <w:t>to be</w:t>
      </w:r>
      <w:r w:rsidRPr="001E6385">
        <w:rPr>
          <w:rFonts w:ascii="Arial" w:hAnsi="Arial" w:cs="Arial"/>
          <w:lang w:val="en-GB"/>
        </w:rPr>
        <w:t xml:space="preserve"> beneficial in preventing insolvency and ensuring that the financial restructuring of companies is always timely. To recover, the company will have to do a mix of divestiture, merger or acquisition, equity injection, and debt restructuring. These are the strategic alternatives which are backed by the governance reform and international risk management that can enhance financial flexibility and competitiveness in the dynamic consumer electronics market.</w:t>
      </w:r>
    </w:p>
    <w:p w14:paraId="3A65FB7B" w14:textId="77777777" w:rsidR="00A85B02" w:rsidRPr="001E6385" w:rsidRDefault="00A85B02" w:rsidP="001E6385">
      <w:pPr>
        <w:rPr>
          <w:rFonts w:ascii="Arial" w:hAnsi="Arial" w:cs="Arial"/>
          <w:lang w:val="en-GB"/>
        </w:rPr>
      </w:pPr>
    </w:p>
    <w:p w14:paraId="00000022" w14:textId="77777777" w:rsidR="00D8667D" w:rsidRPr="001E6385" w:rsidRDefault="008B59A6" w:rsidP="001E6385">
      <w:pPr>
        <w:pStyle w:val="Heading2"/>
      </w:pPr>
      <w:bookmarkStart w:id="32" w:name="_hqwu37z6czqu" w:colFirst="0" w:colLast="0"/>
      <w:bookmarkStart w:id="33" w:name="_Toc213742672"/>
      <w:bookmarkEnd w:id="32"/>
      <w:r w:rsidRPr="001E6385">
        <w:t>3.2 Strategic Options</w:t>
      </w:r>
      <w:bookmarkEnd w:id="33"/>
    </w:p>
    <w:p w14:paraId="00000023" w14:textId="77777777" w:rsidR="00D8667D" w:rsidRPr="001E6385" w:rsidRDefault="008B59A6" w:rsidP="001E6385">
      <w:pPr>
        <w:rPr>
          <w:rFonts w:ascii="Arial" w:hAnsi="Arial" w:cs="Arial"/>
          <w:b/>
          <w:bCs/>
          <w:iCs/>
          <w:lang w:val="en-GB"/>
        </w:rPr>
      </w:pPr>
      <w:r w:rsidRPr="001E6385">
        <w:rPr>
          <w:rFonts w:ascii="Arial" w:hAnsi="Arial" w:cs="Arial"/>
          <w:b/>
          <w:bCs/>
          <w:iCs/>
          <w:lang w:val="en-GB"/>
        </w:rPr>
        <w:t>Divestiture</w:t>
      </w:r>
    </w:p>
    <w:p w14:paraId="00000024" w14:textId="08ECF346" w:rsidR="00D8667D" w:rsidRPr="001E6385" w:rsidRDefault="008B59A6" w:rsidP="001E6385">
      <w:pPr>
        <w:rPr>
          <w:rFonts w:ascii="Arial" w:hAnsi="Arial" w:cs="Arial"/>
          <w:lang w:val="en-GB"/>
        </w:rPr>
      </w:pPr>
      <w:r w:rsidRPr="001E6385">
        <w:rPr>
          <w:rFonts w:ascii="Arial" w:hAnsi="Arial" w:cs="Arial"/>
          <w:lang w:val="en-GB"/>
        </w:rPr>
        <w:t>Disposing of non-core or poorly performing divisions can create liquidity now, cut debt and allow management to concentrate on the profitable areas. Divestiture will enable the company to unlock capital that has been held up in non-productive assets and redirect the money towards innovation and digitisation. Abdillah et al. (2022)</w:t>
      </w:r>
      <w:r w:rsidR="0057536E" w:rsidRPr="001E6385">
        <w:rPr>
          <w:rFonts w:ascii="Arial" w:hAnsi="Arial" w:cs="Arial"/>
          <w:lang w:val="en-GB"/>
        </w:rPr>
        <w:t xml:space="preserve"> added that</w:t>
      </w:r>
      <w:r w:rsidRPr="001E6385">
        <w:rPr>
          <w:rFonts w:ascii="Arial" w:hAnsi="Arial" w:cs="Arial"/>
          <w:lang w:val="en-GB"/>
        </w:rPr>
        <w:t xml:space="preserve"> strategic divestitures in bad times help the companies to restore efficiency and concentrate on high-margin operations. In the case of General Electronics, liquidation of old product lines or business units that do not contribute to growth will sustain financial salvaging and operational flexibility.</w:t>
      </w:r>
    </w:p>
    <w:p w14:paraId="00000025" w14:textId="77777777" w:rsidR="00D8667D" w:rsidRPr="001E6385" w:rsidRDefault="008B59A6" w:rsidP="001E6385">
      <w:pPr>
        <w:rPr>
          <w:rFonts w:ascii="Arial" w:hAnsi="Arial" w:cs="Arial"/>
          <w:b/>
          <w:bCs/>
          <w:iCs/>
          <w:lang w:val="en-GB"/>
        </w:rPr>
      </w:pPr>
      <w:r w:rsidRPr="001E6385">
        <w:rPr>
          <w:rFonts w:ascii="Arial" w:hAnsi="Arial" w:cs="Arial"/>
          <w:b/>
          <w:bCs/>
          <w:iCs/>
          <w:lang w:val="en-GB"/>
        </w:rPr>
        <w:t>Merger or Acquisition</w:t>
      </w:r>
    </w:p>
    <w:p w14:paraId="00000026" w14:textId="74C5302B" w:rsidR="00D8667D" w:rsidRPr="001E6385" w:rsidRDefault="008B59A6" w:rsidP="001E6385">
      <w:pPr>
        <w:rPr>
          <w:rFonts w:ascii="Arial" w:hAnsi="Arial" w:cs="Arial"/>
          <w:lang w:val="en-GB"/>
        </w:rPr>
      </w:pPr>
      <w:r w:rsidRPr="001E6385">
        <w:rPr>
          <w:rFonts w:ascii="Arial" w:hAnsi="Arial" w:cs="Arial"/>
          <w:lang w:val="en-GB"/>
        </w:rPr>
        <w:t xml:space="preserve">A merger or strategic alliance may be able to increase economies of scale, decrease the cost of production and increase market access. Consolidation may also enhance the resilience and innovation capability of the supply chain in a very competitive global electronics market. </w:t>
      </w:r>
      <w:r w:rsidR="0057536E" w:rsidRPr="001E6385">
        <w:rPr>
          <w:rFonts w:ascii="Arial" w:hAnsi="Arial" w:cs="Arial"/>
          <w:lang w:val="en-GB"/>
        </w:rPr>
        <w:t>M</w:t>
      </w:r>
      <w:r w:rsidRPr="001E6385">
        <w:rPr>
          <w:rFonts w:ascii="Arial" w:hAnsi="Arial" w:cs="Arial"/>
          <w:lang w:val="en-GB"/>
        </w:rPr>
        <w:t>ergers may also help to align the firms with sustainable business operations, enhancing the environmental and social performance with financial results</w:t>
      </w:r>
      <w:r w:rsidR="0057536E" w:rsidRPr="001E6385">
        <w:rPr>
          <w:rFonts w:ascii="Arial" w:hAnsi="Arial" w:cs="Arial"/>
          <w:lang w:val="en-GB"/>
        </w:rPr>
        <w:t xml:space="preserve"> (Altunbaş et al. 2023)</w:t>
      </w:r>
      <w:r w:rsidRPr="001E6385">
        <w:rPr>
          <w:rFonts w:ascii="Arial" w:hAnsi="Arial" w:cs="Arial"/>
          <w:lang w:val="en-GB"/>
        </w:rPr>
        <w:t>. The collaboration with a technologically advanced firm might thus be quick to recover and foster ethical and sustainable value creation.</w:t>
      </w:r>
    </w:p>
    <w:p w14:paraId="00000027" w14:textId="77777777" w:rsidR="00D8667D" w:rsidRPr="001E6385" w:rsidRDefault="008B59A6" w:rsidP="001E6385">
      <w:pPr>
        <w:rPr>
          <w:rFonts w:ascii="Arial" w:hAnsi="Arial" w:cs="Arial"/>
          <w:b/>
          <w:bCs/>
          <w:iCs/>
          <w:lang w:val="en-GB"/>
        </w:rPr>
      </w:pPr>
      <w:r w:rsidRPr="001E6385">
        <w:rPr>
          <w:rFonts w:ascii="Arial" w:hAnsi="Arial" w:cs="Arial"/>
          <w:b/>
          <w:bCs/>
          <w:iCs/>
          <w:lang w:val="en-GB"/>
        </w:rPr>
        <w:t>Equity Injection</w:t>
      </w:r>
    </w:p>
    <w:p w14:paraId="00000028" w14:textId="00C9599A" w:rsidR="00D8667D" w:rsidRPr="001E6385" w:rsidRDefault="008B59A6" w:rsidP="001E6385">
      <w:pPr>
        <w:rPr>
          <w:rFonts w:ascii="Arial" w:hAnsi="Arial" w:cs="Arial"/>
          <w:lang w:val="en-GB"/>
        </w:rPr>
      </w:pPr>
      <w:r w:rsidRPr="001E6385">
        <w:rPr>
          <w:rFonts w:ascii="Arial" w:hAnsi="Arial" w:cs="Arial"/>
          <w:lang w:val="en-GB"/>
        </w:rPr>
        <w:t xml:space="preserve">Bringing new equity funds will stabilise the capital base of the firm and lower the level of financial leverage. Equity infusion provides a non-debt form of financing which </w:t>
      </w:r>
      <w:r w:rsidRPr="001E6385">
        <w:rPr>
          <w:rFonts w:ascii="Arial" w:hAnsi="Arial" w:cs="Arial"/>
          <w:lang w:val="en-GB"/>
        </w:rPr>
        <w:lastRenderedPageBreak/>
        <w:t xml:space="preserve">provides long-term liquidity. The practice is also effective in enhancing investor trust and creditworthiness, which makes borrowing in the future cheaper. According to Hentry et al. (2024), </w:t>
      </w:r>
      <w:r w:rsidR="0057536E" w:rsidRPr="001E6385">
        <w:rPr>
          <w:rFonts w:ascii="Arial" w:hAnsi="Arial" w:cs="Arial"/>
          <w:lang w:val="en-GB"/>
        </w:rPr>
        <w:t>start-ups</w:t>
      </w:r>
      <w:r w:rsidRPr="001E6385">
        <w:rPr>
          <w:rFonts w:ascii="Arial" w:hAnsi="Arial" w:cs="Arial"/>
          <w:lang w:val="en-GB"/>
        </w:rPr>
        <w:t xml:space="preserve"> and troubled companies usually revitalise via equity recapitalisation that offers not only the finances but managerial capabilities to improve such companies. General Electronics has the option of private equity partnerships or strategic investors who will be in line with its innovation-based recovery plan.</w:t>
      </w:r>
    </w:p>
    <w:p w14:paraId="00000029" w14:textId="77777777" w:rsidR="00D8667D" w:rsidRPr="001E6385" w:rsidRDefault="008B59A6" w:rsidP="001E6385">
      <w:pPr>
        <w:rPr>
          <w:rFonts w:ascii="Arial" w:hAnsi="Arial" w:cs="Arial"/>
          <w:b/>
          <w:bCs/>
          <w:iCs/>
          <w:lang w:val="en-GB"/>
        </w:rPr>
      </w:pPr>
      <w:r w:rsidRPr="001E6385">
        <w:rPr>
          <w:rFonts w:ascii="Arial" w:hAnsi="Arial" w:cs="Arial"/>
          <w:b/>
          <w:bCs/>
          <w:iCs/>
          <w:lang w:val="en-GB"/>
        </w:rPr>
        <w:t>Debt Restructuring</w:t>
      </w:r>
    </w:p>
    <w:p w14:paraId="0000002A" w14:textId="2FFB92CA" w:rsidR="00D8667D" w:rsidRPr="001E6385" w:rsidRDefault="008B59A6" w:rsidP="001E6385">
      <w:pPr>
        <w:rPr>
          <w:rFonts w:ascii="Arial" w:hAnsi="Arial" w:cs="Arial"/>
          <w:lang w:val="en-GB"/>
        </w:rPr>
      </w:pPr>
      <w:r w:rsidRPr="001E6385">
        <w:rPr>
          <w:rFonts w:ascii="Arial" w:hAnsi="Arial" w:cs="Arial"/>
          <w:lang w:val="en-GB"/>
        </w:rPr>
        <w:t>The points of renegotiating current debt conditions are crucial to alleviate the cash pressure in the short term and avoid default. Restructuring of debt can be the extension of debt repayment terms, lowering of interest rates or equitization. This strategy has the capability of releasing liquidity to reinvest and normalising cash flow. Walela et al. (2022)</w:t>
      </w:r>
      <w:r w:rsidR="0057536E" w:rsidRPr="001E6385">
        <w:rPr>
          <w:rFonts w:ascii="Arial" w:hAnsi="Arial" w:cs="Arial"/>
          <w:lang w:val="en-GB"/>
        </w:rPr>
        <w:t xml:space="preserve"> added that</w:t>
      </w:r>
      <w:r w:rsidRPr="001E6385">
        <w:rPr>
          <w:rFonts w:ascii="Arial" w:hAnsi="Arial" w:cs="Arial"/>
          <w:lang w:val="en-GB"/>
        </w:rPr>
        <w:t xml:space="preserve"> the high leverage helps firms to enjoy structured refinancing because it allows reducing the chance of default and improving the continuity of operations. In the case of General Electronics, the focus on a cooperative relationship with lenders will guarantee the positive mutual results and safeguard the interests of stakeholders.</w:t>
      </w:r>
    </w:p>
    <w:p w14:paraId="756D6FCE" w14:textId="77777777" w:rsidR="00A85B02" w:rsidRPr="001E6385" w:rsidRDefault="00A85B02" w:rsidP="001E6385">
      <w:pPr>
        <w:rPr>
          <w:rFonts w:ascii="Arial" w:hAnsi="Arial" w:cs="Arial"/>
          <w:lang w:val="en-GB"/>
        </w:rPr>
      </w:pPr>
    </w:p>
    <w:p w14:paraId="0000002B" w14:textId="77777777" w:rsidR="00D8667D" w:rsidRPr="001E6385" w:rsidRDefault="008B59A6" w:rsidP="001E6385">
      <w:pPr>
        <w:pStyle w:val="Heading2"/>
      </w:pPr>
      <w:bookmarkStart w:id="34" w:name="_lbvhkwgnz0vk" w:colFirst="0" w:colLast="0"/>
      <w:bookmarkStart w:id="35" w:name="_Toc213742673"/>
      <w:bookmarkEnd w:id="34"/>
      <w:r w:rsidRPr="001E6385">
        <w:t>3.3 Evaluation of Each Option</w:t>
      </w:r>
      <w:bookmarkEnd w:id="35"/>
    </w:p>
    <w:p w14:paraId="0000002C" w14:textId="54AA3BB6" w:rsidR="00D8667D" w:rsidRPr="001E6385" w:rsidRDefault="008B59A6" w:rsidP="001E6385">
      <w:pPr>
        <w:rPr>
          <w:rFonts w:ascii="Arial" w:hAnsi="Arial" w:cs="Arial"/>
          <w:lang w:val="en-GB"/>
        </w:rPr>
      </w:pPr>
      <w:r w:rsidRPr="001E6385">
        <w:rPr>
          <w:rFonts w:ascii="Arial" w:hAnsi="Arial" w:cs="Arial"/>
          <w:lang w:val="en-GB"/>
        </w:rPr>
        <w:t xml:space="preserve">The effect of every restructuring strategy on shareholder value, debt ratios, and stability of earnings </w:t>
      </w:r>
      <w:r w:rsidR="0057536E" w:rsidRPr="001E6385">
        <w:rPr>
          <w:rFonts w:ascii="Arial" w:hAnsi="Arial" w:cs="Arial"/>
          <w:lang w:val="en-GB"/>
        </w:rPr>
        <w:t>need to</w:t>
      </w:r>
      <w:r w:rsidRPr="001E6385">
        <w:rPr>
          <w:rFonts w:ascii="Arial" w:hAnsi="Arial" w:cs="Arial"/>
          <w:lang w:val="en-GB"/>
        </w:rPr>
        <w:t xml:space="preserve"> be evaluated, and the tax, interest and currency implications taken into account.</w:t>
      </w:r>
    </w:p>
    <w:p w14:paraId="0000002D" w14:textId="3906A6C2" w:rsidR="00D8667D" w:rsidRPr="001E6385" w:rsidRDefault="008B59A6" w:rsidP="001E6385">
      <w:pPr>
        <w:pStyle w:val="ListParagraph"/>
        <w:numPr>
          <w:ilvl w:val="0"/>
          <w:numId w:val="1"/>
        </w:numPr>
        <w:rPr>
          <w:rFonts w:ascii="Arial" w:hAnsi="Arial" w:cs="Arial"/>
          <w:lang w:val="en-GB"/>
        </w:rPr>
      </w:pPr>
      <w:r w:rsidRPr="001E6385">
        <w:rPr>
          <w:rFonts w:ascii="Arial" w:hAnsi="Arial" w:cs="Arial"/>
          <w:lang w:val="en-GB"/>
        </w:rPr>
        <w:t xml:space="preserve">Divestiture increases liquidity and lowers the debt ratio, which directly increases solvency. It frees cash and enhances the turnover of assets by concentrating on effective investments. Nevertheless, over-divestment can lead to loss of market share in case central capabilities are divested. The sale of high-value assets </w:t>
      </w:r>
      <w:r w:rsidR="0057536E" w:rsidRPr="001E6385">
        <w:rPr>
          <w:rFonts w:ascii="Arial" w:hAnsi="Arial" w:cs="Arial"/>
          <w:lang w:val="en-GB"/>
        </w:rPr>
        <w:t>is</w:t>
      </w:r>
      <w:r w:rsidRPr="001E6385">
        <w:rPr>
          <w:rFonts w:ascii="Arial" w:hAnsi="Arial" w:cs="Arial"/>
          <w:lang w:val="en-GB"/>
        </w:rPr>
        <w:t xml:space="preserve"> subject</w:t>
      </w:r>
      <w:r w:rsidR="0057536E" w:rsidRPr="001E6385">
        <w:rPr>
          <w:rFonts w:ascii="Arial" w:hAnsi="Arial" w:cs="Arial"/>
          <w:lang w:val="en-GB"/>
        </w:rPr>
        <w:t>ed</w:t>
      </w:r>
      <w:r w:rsidRPr="001E6385">
        <w:rPr>
          <w:rFonts w:ascii="Arial" w:hAnsi="Arial" w:cs="Arial"/>
          <w:lang w:val="en-GB"/>
        </w:rPr>
        <w:t xml:space="preserve"> to taxation, especially capital gains taxes.</w:t>
      </w:r>
    </w:p>
    <w:p w14:paraId="0000002E" w14:textId="4CBE6230" w:rsidR="00D8667D" w:rsidRPr="001E6385" w:rsidRDefault="008B59A6" w:rsidP="001E6385">
      <w:pPr>
        <w:pStyle w:val="ListParagraph"/>
        <w:numPr>
          <w:ilvl w:val="0"/>
          <w:numId w:val="1"/>
        </w:numPr>
        <w:rPr>
          <w:rFonts w:ascii="Arial" w:hAnsi="Arial" w:cs="Arial"/>
          <w:lang w:val="en-GB"/>
        </w:rPr>
      </w:pPr>
      <w:r w:rsidRPr="001E6385">
        <w:rPr>
          <w:rFonts w:ascii="Arial" w:hAnsi="Arial" w:cs="Arial"/>
          <w:lang w:val="en-GB"/>
        </w:rPr>
        <w:t xml:space="preserve">Acquisitions or mergers may bring about strategic synergies that increase the stability of earnings and competitiveness in the market. They, however, demand heavy due diligence to ascertain a fit between the culture and operations. The cross-border mergers will come with some complexities in exchange rate and taxation, which </w:t>
      </w:r>
      <w:r w:rsidR="0057536E" w:rsidRPr="001E6385">
        <w:rPr>
          <w:rFonts w:ascii="Arial" w:hAnsi="Arial" w:cs="Arial"/>
          <w:lang w:val="en-GB"/>
        </w:rPr>
        <w:t>need to</w:t>
      </w:r>
      <w:r w:rsidRPr="001E6385">
        <w:rPr>
          <w:rFonts w:ascii="Arial" w:hAnsi="Arial" w:cs="Arial"/>
          <w:lang w:val="en-GB"/>
        </w:rPr>
        <w:t xml:space="preserve"> be well structured to avoid loss of value.</w:t>
      </w:r>
    </w:p>
    <w:p w14:paraId="0000002F" w14:textId="77777777" w:rsidR="00D8667D" w:rsidRPr="001E6385" w:rsidRDefault="008B59A6" w:rsidP="001E6385">
      <w:pPr>
        <w:pStyle w:val="ListParagraph"/>
        <w:numPr>
          <w:ilvl w:val="0"/>
          <w:numId w:val="1"/>
        </w:numPr>
        <w:rPr>
          <w:rFonts w:ascii="Arial" w:hAnsi="Arial" w:cs="Arial"/>
          <w:lang w:val="en-GB"/>
        </w:rPr>
      </w:pPr>
      <w:r w:rsidRPr="001E6385">
        <w:rPr>
          <w:rFonts w:ascii="Arial" w:hAnsi="Arial" w:cs="Arial"/>
          <w:lang w:val="en-GB"/>
        </w:rPr>
        <w:t xml:space="preserve">Immediate benefits of equity injections are an improvement of debt-to-equity positioning and credit position, as the capital base is enhanced instantly. The </w:t>
      </w:r>
      <w:r w:rsidRPr="001E6385">
        <w:rPr>
          <w:rFonts w:ascii="Arial" w:hAnsi="Arial" w:cs="Arial"/>
          <w:lang w:val="en-GB"/>
        </w:rPr>
        <w:lastRenderedPageBreak/>
        <w:t>long-term effect of new capital on the firm value is positive, although the current shareholders may suffer dilution in case the new capital is not efficiently used.</w:t>
      </w:r>
    </w:p>
    <w:p w14:paraId="00000030" w14:textId="7A0CBBFA" w:rsidR="00D8667D" w:rsidRPr="001E6385" w:rsidRDefault="008B59A6" w:rsidP="001E6385">
      <w:pPr>
        <w:pStyle w:val="ListParagraph"/>
        <w:numPr>
          <w:ilvl w:val="0"/>
          <w:numId w:val="1"/>
        </w:numPr>
        <w:rPr>
          <w:rFonts w:ascii="Arial" w:hAnsi="Arial" w:cs="Arial"/>
          <w:lang w:val="en-GB"/>
        </w:rPr>
      </w:pPr>
      <w:r w:rsidRPr="001E6385">
        <w:rPr>
          <w:rFonts w:ascii="Arial" w:hAnsi="Arial" w:cs="Arial"/>
          <w:lang w:val="en-GB"/>
        </w:rPr>
        <w:t>Restructuring of debts helps to reduce interest payments and increases the interest coverage ratio to reinstate liquidity and debt-servicing ability. It can, however, reduce a credit rating when seen as a financial weakness. The strategy</w:t>
      </w:r>
      <w:r w:rsidR="0057536E" w:rsidRPr="001E6385">
        <w:rPr>
          <w:rFonts w:ascii="Arial" w:hAnsi="Arial" w:cs="Arial"/>
          <w:lang w:val="en-GB"/>
        </w:rPr>
        <w:t xml:space="preserve">, </w:t>
      </w:r>
      <w:r w:rsidRPr="001E6385">
        <w:rPr>
          <w:rFonts w:ascii="Arial" w:hAnsi="Arial" w:cs="Arial"/>
          <w:lang w:val="en-GB"/>
        </w:rPr>
        <w:t>thus</w:t>
      </w:r>
      <w:r w:rsidR="0057536E" w:rsidRPr="001E6385">
        <w:rPr>
          <w:rFonts w:ascii="Arial" w:hAnsi="Arial" w:cs="Arial"/>
          <w:lang w:val="en-GB"/>
        </w:rPr>
        <w:t>, needs to</w:t>
      </w:r>
      <w:r w:rsidRPr="001E6385">
        <w:rPr>
          <w:rFonts w:ascii="Arial" w:hAnsi="Arial" w:cs="Arial"/>
          <w:lang w:val="en-GB"/>
        </w:rPr>
        <w:t xml:space="preserve"> be balanced, and </w:t>
      </w:r>
      <w:r w:rsidR="0057536E" w:rsidRPr="001E6385">
        <w:rPr>
          <w:rFonts w:ascii="Arial" w:hAnsi="Arial" w:cs="Arial"/>
          <w:lang w:val="en-GB"/>
        </w:rPr>
        <w:t xml:space="preserve">open communication will </w:t>
      </w:r>
      <w:r w:rsidRPr="001E6385">
        <w:rPr>
          <w:rFonts w:ascii="Arial" w:hAnsi="Arial" w:cs="Arial"/>
          <w:lang w:val="en-GB"/>
        </w:rPr>
        <w:t>keep the investors confident.</w:t>
      </w:r>
    </w:p>
    <w:p w14:paraId="00000031" w14:textId="6668E252" w:rsidR="00D8667D" w:rsidRPr="001E6385" w:rsidRDefault="008B59A6" w:rsidP="001E6385">
      <w:pPr>
        <w:pStyle w:val="ListParagraph"/>
        <w:numPr>
          <w:ilvl w:val="0"/>
          <w:numId w:val="1"/>
        </w:numPr>
        <w:rPr>
          <w:rFonts w:ascii="Arial" w:hAnsi="Arial" w:cs="Arial"/>
          <w:lang w:val="en-GB"/>
        </w:rPr>
      </w:pPr>
      <w:r w:rsidRPr="001E6385">
        <w:rPr>
          <w:rFonts w:ascii="Arial" w:hAnsi="Arial" w:cs="Arial"/>
          <w:lang w:val="en-GB"/>
        </w:rPr>
        <w:t>A</w:t>
      </w:r>
      <w:r w:rsidR="0057536E" w:rsidRPr="001E6385">
        <w:rPr>
          <w:rFonts w:ascii="Arial" w:hAnsi="Arial" w:cs="Arial"/>
          <w:lang w:val="en-GB"/>
        </w:rPr>
        <w:t xml:space="preserve">s stated by </w:t>
      </w:r>
      <w:r w:rsidRPr="001E6385">
        <w:rPr>
          <w:rFonts w:ascii="Arial" w:hAnsi="Arial" w:cs="Arial"/>
          <w:lang w:val="en-GB"/>
        </w:rPr>
        <w:t>Nyatsumba and Pooe (2023), the defect in turnaround implementation is usually caused by the inadequate harmony between strategic intent and financial restructuring. General Electronics should thus make sure that every restructuring program can be used to complement its operational and strategic objectives, as opposed to a short-term solution.</w:t>
      </w:r>
    </w:p>
    <w:p w14:paraId="00000032" w14:textId="27D2FC33" w:rsidR="00D8667D" w:rsidRPr="001E6385" w:rsidRDefault="008B59A6" w:rsidP="001E6385">
      <w:pPr>
        <w:pStyle w:val="ListParagraph"/>
        <w:numPr>
          <w:ilvl w:val="0"/>
          <w:numId w:val="1"/>
        </w:numPr>
        <w:rPr>
          <w:rFonts w:ascii="Arial" w:hAnsi="Arial" w:cs="Arial"/>
          <w:lang w:val="en-GB"/>
        </w:rPr>
      </w:pPr>
      <w:r w:rsidRPr="001E6385">
        <w:rPr>
          <w:rFonts w:ascii="Arial" w:hAnsi="Arial" w:cs="Arial"/>
          <w:lang w:val="en-GB"/>
        </w:rPr>
        <w:t xml:space="preserve">Digital integration is also needed in effective restructuring. </w:t>
      </w:r>
      <w:r w:rsidR="0057536E" w:rsidRPr="001E6385">
        <w:rPr>
          <w:rFonts w:ascii="Arial" w:hAnsi="Arial" w:cs="Arial"/>
          <w:lang w:val="en-GB"/>
        </w:rPr>
        <w:t>C</w:t>
      </w:r>
      <w:r w:rsidRPr="001E6385">
        <w:rPr>
          <w:rFonts w:ascii="Arial" w:hAnsi="Arial" w:cs="Arial"/>
          <w:lang w:val="en-GB"/>
        </w:rPr>
        <w:t>ompanies that integrate digitalisation in turnaround strategies get quicker efficiency growth, better governance, and more transparency to the stakeholders</w:t>
      </w:r>
      <w:r w:rsidR="0057536E" w:rsidRPr="001E6385">
        <w:rPr>
          <w:rFonts w:ascii="Arial" w:hAnsi="Arial" w:cs="Arial"/>
          <w:lang w:val="en-GB"/>
        </w:rPr>
        <w:t xml:space="preserve"> (Barker III et al. 2024)</w:t>
      </w:r>
      <w:r w:rsidRPr="001E6385">
        <w:rPr>
          <w:rFonts w:ascii="Arial" w:hAnsi="Arial" w:cs="Arial"/>
          <w:lang w:val="en-GB"/>
        </w:rPr>
        <w:t>. In the case of General Electronics, expenses related to digital transformation</w:t>
      </w:r>
      <w:r w:rsidR="0057536E" w:rsidRPr="001E6385">
        <w:rPr>
          <w:rFonts w:ascii="Arial" w:hAnsi="Arial" w:cs="Arial"/>
          <w:lang w:val="en-GB"/>
        </w:rPr>
        <w:t xml:space="preserve">, such as </w:t>
      </w:r>
      <w:r w:rsidRPr="001E6385">
        <w:rPr>
          <w:rFonts w:ascii="Arial" w:hAnsi="Arial" w:cs="Arial"/>
          <w:lang w:val="en-GB"/>
        </w:rPr>
        <w:t>automation, data analysis,</w:t>
      </w:r>
      <w:r w:rsidR="0057536E" w:rsidRPr="001E6385">
        <w:rPr>
          <w:rFonts w:ascii="Arial" w:hAnsi="Arial" w:cs="Arial"/>
          <w:lang w:val="en-GB"/>
        </w:rPr>
        <w:t xml:space="preserve"> and</w:t>
      </w:r>
      <w:r w:rsidRPr="001E6385">
        <w:rPr>
          <w:rFonts w:ascii="Arial" w:hAnsi="Arial" w:cs="Arial"/>
          <w:lang w:val="en-GB"/>
        </w:rPr>
        <w:t xml:space="preserve"> e-commerce</w:t>
      </w:r>
      <w:r w:rsidR="0057536E" w:rsidRPr="001E6385">
        <w:rPr>
          <w:rFonts w:ascii="Arial" w:hAnsi="Arial" w:cs="Arial"/>
          <w:lang w:val="en-GB"/>
        </w:rPr>
        <w:t>,</w:t>
      </w:r>
      <w:r w:rsidRPr="001E6385">
        <w:rPr>
          <w:rFonts w:ascii="Arial" w:hAnsi="Arial" w:cs="Arial"/>
          <w:lang w:val="en-GB"/>
        </w:rPr>
        <w:t xml:space="preserve"> can enhance the returns of financial restructuring by enhancing cost management and reaching out to the customers.</w:t>
      </w:r>
    </w:p>
    <w:p w14:paraId="5CE5B882" w14:textId="77777777" w:rsidR="00A85B02" w:rsidRPr="001E6385" w:rsidRDefault="00A85B02" w:rsidP="001E6385">
      <w:pPr>
        <w:pStyle w:val="ListParagraph"/>
        <w:rPr>
          <w:rFonts w:ascii="Arial" w:hAnsi="Arial" w:cs="Arial"/>
          <w:lang w:val="en-GB"/>
        </w:rPr>
      </w:pPr>
    </w:p>
    <w:p w14:paraId="00000033" w14:textId="77777777" w:rsidR="00D8667D" w:rsidRPr="001E6385" w:rsidRDefault="008B59A6" w:rsidP="001E6385">
      <w:pPr>
        <w:pStyle w:val="Heading2"/>
      </w:pPr>
      <w:bookmarkStart w:id="36" w:name="_dwqhr285hiiz" w:colFirst="0" w:colLast="0"/>
      <w:bookmarkStart w:id="37" w:name="_Toc213742674"/>
      <w:bookmarkEnd w:id="36"/>
      <w:r w:rsidRPr="001E6385">
        <w:t>3.4 Global and Ethical Considerations</w:t>
      </w:r>
      <w:bookmarkEnd w:id="37"/>
    </w:p>
    <w:p w14:paraId="00000034" w14:textId="77777777" w:rsidR="00D8667D" w:rsidRPr="001E6385" w:rsidRDefault="008B59A6" w:rsidP="001E6385">
      <w:pPr>
        <w:rPr>
          <w:rFonts w:ascii="Arial" w:hAnsi="Arial" w:cs="Arial"/>
          <w:b/>
          <w:bCs/>
          <w:iCs/>
          <w:lang w:val="en-GB"/>
        </w:rPr>
      </w:pPr>
      <w:r w:rsidRPr="001E6385">
        <w:rPr>
          <w:rFonts w:ascii="Arial" w:hAnsi="Arial" w:cs="Arial"/>
          <w:b/>
          <w:bCs/>
          <w:iCs/>
          <w:lang w:val="en-GB"/>
        </w:rPr>
        <w:t>Taxation</w:t>
      </w:r>
    </w:p>
    <w:p w14:paraId="00000035" w14:textId="49281155" w:rsidR="00D8667D" w:rsidRPr="001E6385" w:rsidRDefault="008B59A6" w:rsidP="001E6385">
      <w:pPr>
        <w:rPr>
          <w:rFonts w:ascii="Arial" w:hAnsi="Arial" w:cs="Arial"/>
          <w:lang w:val="en-GB"/>
        </w:rPr>
      </w:pPr>
      <w:r w:rsidRPr="001E6385">
        <w:rPr>
          <w:rFonts w:ascii="Arial" w:hAnsi="Arial" w:cs="Arial"/>
          <w:lang w:val="en-GB"/>
        </w:rPr>
        <w:t xml:space="preserve">Since </w:t>
      </w:r>
      <w:r w:rsidR="0057536E" w:rsidRPr="001E6385">
        <w:rPr>
          <w:rFonts w:ascii="Arial" w:hAnsi="Arial" w:cs="Arial"/>
          <w:lang w:val="en-GB"/>
        </w:rPr>
        <w:t xml:space="preserve">General Electronics </w:t>
      </w:r>
      <w:r w:rsidRPr="001E6385">
        <w:rPr>
          <w:rFonts w:ascii="Arial" w:hAnsi="Arial" w:cs="Arial"/>
          <w:lang w:val="en-GB"/>
        </w:rPr>
        <w:t>operates internationally, the restructuring of the firm will entail cross-border transactions in different tax regimes. The overall tax exposure can be reduced by the use of transfer pricing management and tax treaties to optimise the tax structure of the group. Nonetheless, to ensure both ethics and adherence to the regulations, aggressive tax avoidance must be prevented.</w:t>
      </w:r>
    </w:p>
    <w:p w14:paraId="00000036" w14:textId="77777777" w:rsidR="00D8667D" w:rsidRPr="001E6385" w:rsidRDefault="008B59A6" w:rsidP="001E6385">
      <w:pPr>
        <w:rPr>
          <w:rFonts w:ascii="Arial" w:hAnsi="Arial" w:cs="Arial"/>
          <w:b/>
          <w:bCs/>
          <w:iCs/>
          <w:lang w:val="en-GB"/>
        </w:rPr>
      </w:pPr>
      <w:r w:rsidRPr="001E6385">
        <w:rPr>
          <w:rFonts w:ascii="Arial" w:hAnsi="Arial" w:cs="Arial"/>
          <w:b/>
          <w:bCs/>
          <w:iCs/>
          <w:lang w:val="en-GB"/>
        </w:rPr>
        <w:t>Currency Risk</w:t>
      </w:r>
    </w:p>
    <w:p w14:paraId="00000037" w14:textId="69F5656E" w:rsidR="00D8667D" w:rsidRPr="001E6385" w:rsidRDefault="008B59A6" w:rsidP="001E6385">
      <w:pPr>
        <w:rPr>
          <w:rFonts w:ascii="Arial" w:hAnsi="Arial" w:cs="Arial"/>
          <w:lang w:val="en-GB"/>
        </w:rPr>
      </w:pPr>
      <w:r w:rsidRPr="001E6385">
        <w:rPr>
          <w:rFonts w:ascii="Arial" w:hAnsi="Arial" w:cs="Arial"/>
          <w:lang w:val="en-GB"/>
        </w:rPr>
        <w:t xml:space="preserve">The volatility in the exchange rate is a major risk to profitability as well as debt servicing. To help it deal with unfavourable currency changes, the company needs to implement hedging mechanisms such as forward contracts and natural offsets. </w:t>
      </w:r>
      <w:r w:rsidR="0057536E" w:rsidRPr="001E6385">
        <w:rPr>
          <w:rFonts w:ascii="Arial" w:hAnsi="Arial" w:cs="Arial"/>
          <w:lang w:val="en-GB"/>
        </w:rPr>
        <w:t xml:space="preserve">As per </w:t>
      </w:r>
      <w:r w:rsidRPr="001E6385">
        <w:rPr>
          <w:rFonts w:ascii="Arial" w:hAnsi="Arial" w:cs="Arial"/>
          <w:lang w:val="en-GB"/>
        </w:rPr>
        <w:t>Kinyua and Kihara (2021), financial planning and currency risk management are part of maintaining the post-restructuring performance.</w:t>
      </w:r>
    </w:p>
    <w:p w14:paraId="00000038" w14:textId="77777777" w:rsidR="00D8667D" w:rsidRPr="001E6385" w:rsidRDefault="008B59A6" w:rsidP="001E6385">
      <w:pPr>
        <w:rPr>
          <w:rFonts w:ascii="Arial" w:hAnsi="Arial" w:cs="Arial"/>
          <w:b/>
          <w:bCs/>
          <w:iCs/>
          <w:lang w:val="en-GB"/>
        </w:rPr>
      </w:pPr>
      <w:r w:rsidRPr="001E6385">
        <w:rPr>
          <w:rFonts w:ascii="Arial" w:hAnsi="Arial" w:cs="Arial"/>
          <w:b/>
          <w:bCs/>
          <w:iCs/>
          <w:lang w:val="en-GB"/>
        </w:rPr>
        <w:lastRenderedPageBreak/>
        <w:t>Inflation and Interest Rates</w:t>
      </w:r>
    </w:p>
    <w:p w14:paraId="00000039" w14:textId="13FDD5F7" w:rsidR="00D8667D" w:rsidRPr="001E6385" w:rsidRDefault="008B59A6" w:rsidP="001E6385">
      <w:pPr>
        <w:rPr>
          <w:rFonts w:ascii="Arial" w:hAnsi="Arial" w:cs="Arial"/>
          <w:lang w:val="en-GB"/>
        </w:rPr>
      </w:pPr>
      <w:r w:rsidRPr="001E6385">
        <w:rPr>
          <w:rFonts w:ascii="Arial" w:hAnsi="Arial" w:cs="Arial"/>
          <w:lang w:val="en-GB"/>
        </w:rPr>
        <w:t>The cost of capital is affected directly by high inflation and fluctuating interest rates. The</w:t>
      </w:r>
      <w:r w:rsidR="0057536E" w:rsidRPr="001E6385">
        <w:rPr>
          <w:rFonts w:ascii="Arial" w:hAnsi="Arial" w:cs="Arial"/>
          <w:lang w:val="en-GB"/>
        </w:rPr>
        <w:t>refore, it is essential for General Electronics</w:t>
      </w:r>
      <w:r w:rsidRPr="001E6385">
        <w:rPr>
          <w:rFonts w:ascii="Arial" w:hAnsi="Arial" w:cs="Arial"/>
          <w:lang w:val="en-GB"/>
        </w:rPr>
        <w:t xml:space="preserve"> </w:t>
      </w:r>
      <w:r w:rsidR="0057536E" w:rsidRPr="001E6385">
        <w:rPr>
          <w:rFonts w:ascii="Arial" w:hAnsi="Arial" w:cs="Arial"/>
          <w:lang w:val="en-GB"/>
        </w:rPr>
        <w:t>to</w:t>
      </w:r>
      <w:r w:rsidRPr="001E6385">
        <w:rPr>
          <w:rFonts w:ascii="Arial" w:hAnsi="Arial" w:cs="Arial"/>
          <w:lang w:val="en-GB"/>
        </w:rPr>
        <w:t xml:space="preserve"> strike a balance between fixed and variable interest payments, whereby refinancing is adopted where interest rates are on a decreasing trend. Long-term investments can also be protected with the help of strategic employment of inflation-linked instruments.</w:t>
      </w:r>
    </w:p>
    <w:p w14:paraId="0000003A" w14:textId="77777777" w:rsidR="00D8667D" w:rsidRPr="001E6385" w:rsidRDefault="008B59A6" w:rsidP="001E6385">
      <w:pPr>
        <w:rPr>
          <w:rFonts w:ascii="Arial" w:hAnsi="Arial" w:cs="Arial"/>
          <w:b/>
          <w:bCs/>
          <w:iCs/>
          <w:lang w:val="en-GB"/>
        </w:rPr>
      </w:pPr>
      <w:r w:rsidRPr="001E6385">
        <w:rPr>
          <w:rFonts w:ascii="Arial" w:hAnsi="Arial" w:cs="Arial"/>
          <w:b/>
          <w:bCs/>
          <w:iCs/>
          <w:lang w:val="en-GB"/>
        </w:rPr>
        <w:t>CSR and Ethics</w:t>
      </w:r>
    </w:p>
    <w:p w14:paraId="0000003B" w14:textId="77777777" w:rsidR="00D8667D" w:rsidRPr="001E6385" w:rsidRDefault="008B59A6" w:rsidP="001E6385">
      <w:pPr>
        <w:rPr>
          <w:rFonts w:ascii="Arial" w:hAnsi="Arial" w:cs="Arial"/>
          <w:lang w:val="en-GB"/>
        </w:rPr>
      </w:pPr>
      <w:r w:rsidRPr="001E6385">
        <w:rPr>
          <w:rFonts w:ascii="Arial" w:hAnsi="Arial" w:cs="Arial"/>
          <w:lang w:val="en-GB"/>
        </w:rPr>
        <w:t>Restructuring should be done with ethical accountability. Mass layoffs should not be the order of the day, and the company should consider redeploying, retraining and reforming based on productivity. Every business operation should have the elements of sustainable sourcing and carbon-reduction programs. In accordance with the opinion of Abdillah et al. (2022), ethical business conduct in the restructuring process increases corporate reputation and trust in the stakeholders, which are vital in recovery and long-term development.</w:t>
      </w:r>
    </w:p>
    <w:p w14:paraId="0E3A2BF3" w14:textId="77777777" w:rsidR="00A85B02" w:rsidRPr="001E6385" w:rsidRDefault="00A85B02" w:rsidP="001E6385">
      <w:pPr>
        <w:rPr>
          <w:rFonts w:ascii="Arial" w:hAnsi="Arial" w:cs="Arial"/>
          <w:lang w:val="en-GB"/>
        </w:rPr>
      </w:pPr>
    </w:p>
    <w:p w14:paraId="0000003C" w14:textId="77777777" w:rsidR="00D8667D" w:rsidRPr="001E6385" w:rsidRDefault="008B59A6" w:rsidP="001E6385">
      <w:pPr>
        <w:pStyle w:val="Heading2"/>
      </w:pPr>
      <w:bookmarkStart w:id="38" w:name="_bquf9tc8y2vv" w:colFirst="0" w:colLast="0"/>
      <w:bookmarkStart w:id="39" w:name="_Toc213742675"/>
      <w:bookmarkEnd w:id="38"/>
      <w:r w:rsidRPr="001E6385">
        <w:t>3.5 Recommended Restructuring Plan</w:t>
      </w:r>
      <w:bookmarkEnd w:id="39"/>
    </w:p>
    <w:p w14:paraId="0000003D" w14:textId="77777777" w:rsidR="00D8667D" w:rsidRPr="001E6385" w:rsidRDefault="008B59A6" w:rsidP="001E6385">
      <w:pPr>
        <w:rPr>
          <w:rFonts w:ascii="Arial" w:hAnsi="Arial" w:cs="Arial"/>
          <w:lang w:val="en-GB"/>
        </w:rPr>
      </w:pPr>
      <w:r w:rsidRPr="001E6385">
        <w:rPr>
          <w:rFonts w:ascii="Arial" w:hAnsi="Arial" w:cs="Arial"/>
          <w:lang w:val="en-GB"/>
        </w:rPr>
        <w:t>General Electronics needs to consider a combined reorganising strategy that involves divesting, equity financing, and refinancing of debts, although a long-term merger should be left as an option for synergy building.</w:t>
      </w:r>
    </w:p>
    <w:p w14:paraId="0000003E" w14:textId="7DDF785E" w:rsidR="00D8667D" w:rsidRPr="001E6385" w:rsidRDefault="008B59A6" w:rsidP="001E6385">
      <w:pPr>
        <w:pStyle w:val="ListParagraph"/>
        <w:numPr>
          <w:ilvl w:val="0"/>
          <w:numId w:val="2"/>
        </w:numPr>
        <w:rPr>
          <w:rFonts w:ascii="Arial" w:hAnsi="Arial" w:cs="Arial"/>
          <w:lang w:val="en-GB"/>
        </w:rPr>
      </w:pPr>
      <w:r w:rsidRPr="001E6385">
        <w:rPr>
          <w:rFonts w:ascii="Arial" w:hAnsi="Arial" w:cs="Arial"/>
          <w:lang w:val="en-GB"/>
        </w:rPr>
        <w:t>Short-term Measures: Incur</w:t>
      </w:r>
      <w:r w:rsidR="0057536E" w:rsidRPr="001E6385">
        <w:rPr>
          <w:rFonts w:ascii="Arial" w:hAnsi="Arial" w:cs="Arial"/>
          <w:lang w:val="en-GB"/>
        </w:rPr>
        <w:t>ring</w:t>
      </w:r>
      <w:r w:rsidRPr="001E6385">
        <w:rPr>
          <w:rFonts w:ascii="Arial" w:hAnsi="Arial" w:cs="Arial"/>
          <w:lang w:val="en-GB"/>
        </w:rPr>
        <w:t xml:space="preserve"> selective dispositions of non-core assets to raise liquidity and decrease debt</w:t>
      </w:r>
    </w:p>
    <w:p w14:paraId="0000003F" w14:textId="4EBC238D" w:rsidR="00D8667D" w:rsidRPr="001E6385" w:rsidRDefault="008B59A6" w:rsidP="001E6385">
      <w:pPr>
        <w:pStyle w:val="ListParagraph"/>
        <w:numPr>
          <w:ilvl w:val="0"/>
          <w:numId w:val="2"/>
        </w:numPr>
        <w:rPr>
          <w:rFonts w:ascii="Arial" w:hAnsi="Arial" w:cs="Arial"/>
          <w:lang w:val="en-GB"/>
        </w:rPr>
      </w:pPr>
      <w:r w:rsidRPr="001E6385">
        <w:rPr>
          <w:rFonts w:ascii="Arial" w:hAnsi="Arial" w:cs="Arial"/>
          <w:lang w:val="en-GB"/>
        </w:rPr>
        <w:t>Medium-Term Measures: Seek</w:t>
      </w:r>
      <w:r w:rsidR="0057536E" w:rsidRPr="001E6385">
        <w:rPr>
          <w:rFonts w:ascii="Arial" w:hAnsi="Arial" w:cs="Arial"/>
          <w:lang w:val="en-GB"/>
        </w:rPr>
        <w:t>ing</w:t>
      </w:r>
      <w:r w:rsidRPr="001E6385">
        <w:rPr>
          <w:rFonts w:ascii="Arial" w:hAnsi="Arial" w:cs="Arial"/>
          <w:lang w:val="en-GB"/>
        </w:rPr>
        <w:t xml:space="preserve"> debt restructuring to reduce the pressure of the repayments and the burden of interest, as well as maturities</w:t>
      </w:r>
    </w:p>
    <w:p w14:paraId="00000040" w14:textId="138F9850" w:rsidR="00D8667D" w:rsidRPr="001E6385" w:rsidRDefault="008B59A6" w:rsidP="001E6385">
      <w:pPr>
        <w:pStyle w:val="ListParagraph"/>
        <w:numPr>
          <w:ilvl w:val="0"/>
          <w:numId w:val="2"/>
        </w:numPr>
        <w:rPr>
          <w:rFonts w:ascii="Arial" w:hAnsi="Arial" w:cs="Arial"/>
          <w:lang w:val="en-GB"/>
        </w:rPr>
      </w:pPr>
      <w:r w:rsidRPr="001E6385">
        <w:rPr>
          <w:rFonts w:ascii="Arial" w:hAnsi="Arial" w:cs="Arial"/>
          <w:lang w:val="en-GB"/>
        </w:rPr>
        <w:t xml:space="preserve">Long-Term Measures: a secure capital injection by means of strategic investors </w:t>
      </w:r>
      <w:r w:rsidR="0057536E" w:rsidRPr="001E6385">
        <w:rPr>
          <w:rFonts w:ascii="Arial" w:hAnsi="Arial" w:cs="Arial"/>
          <w:lang w:val="en-GB"/>
        </w:rPr>
        <w:t xml:space="preserve">is essential </w:t>
      </w:r>
      <w:r w:rsidRPr="001E6385">
        <w:rPr>
          <w:rFonts w:ascii="Arial" w:hAnsi="Arial" w:cs="Arial"/>
          <w:lang w:val="en-GB"/>
        </w:rPr>
        <w:t>to enhance the capital base and finance technology revival</w:t>
      </w:r>
    </w:p>
    <w:p w14:paraId="00000042" w14:textId="3A85427F" w:rsidR="00D8667D" w:rsidRPr="001E6385" w:rsidRDefault="008B59A6" w:rsidP="001E6385">
      <w:pPr>
        <w:rPr>
          <w:rFonts w:ascii="Arial" w:hAnsi="Arial" w:cs="Arial"/>
          <w:lang w:val="en-GB"/>
        </w:rPr>
      </w:pPr>
      <w:r w:rsidRPr="001E6385">
        <w:rPr>
          <w:rFonts w:ascii="Arial" w:hAnsi="Arial" w:cs="Arial"/>
          <w:lang w:val="en-GB"/>
        </w:rPr>
        <w:t xml:space="preserve">Such a multi-prong solution will decrease leverage, enhance cash flow, and achieve solvency. Operational improvement and efficiency will be based on governance reform and digital transformation. </w:t>
      </w:r>
      <w:r w:rsidR="0057536E" w:rsidRPr="001E6385">
        <w:rPr>
          <w:rFonts w:ascii="Arial" w:hAnsi="Arial" w:cs="Arial"/>
          <w:lang w:val="en-GB"/>
        </w:rPr>
        <w:t>S</w:t>
      </w:r>
      <w:r w:rsidRPr="001E6385">
        <w:rPr>
          <w:rFonts w:ascii="Arial" w:hAnsi="Arial" w:cs="Arial"/>
          <w:lang w:val="en-GB"/>
        </w:rPr>
        <w:t>ustainable turnaround suggests the alignment of financial restructuring and innovation and strategic agility.</w:t>
      </w:r>
      <w:r w:rsidR="0057536E" w:rsidRPr="001E6385">
        <w:rPr>
          <w:rFonts w:ascii="Arial" w:hAnsi="Arial" w:cs="Arial"/>
          <w:lang w:val="en-GB"/>
        </w:rPr>
        <w:t xml:space="preserve"> </w:t>
      </w:r>
      <w:r w:rsidRPr="001E6385">
        <w:rPr>
          <w:rFonts w:ascii="Arial" w:hAnsi="Arial" w:cs="Arial"/>
          <w:lang w:val="en-GB"/>
        </w:rPr>
        <w:t>Ethics and international business should keep the focus on board, ensuring that the tax standards of the global market are followed, the currency exposure is controlled, and the labour practices are ethical. By incorporating sustainability in the restructuring, the financial performance will be stabilised, besides improving the image of the company globally.</w:t>
      </w:r>
    </w:p>
    <w:p w14:paraId="2554C4AD" w14:textId="77777777" w:rsidR="0057536E" w:rsidRPr="001E6385" w:rsidRDefault="0057536E" w:rsidP="001E6385">
      <w:pPr>
        <w:rPr>
          <w:rFonts w:ascii="Arial" w:hAnsi="Arial" w:cs="Arial"/>
          <w:lang w:val="en-GB"/>
        </w:rPr>
      </w:pPr>
    </w:p>
    <w:p w14:paraId="00000043" w14:textId="77777777" w:rsidR="00D8667D" w:rsidRPr="001E6385" w:rsidRDefault="008B59A6" w:rsidP="001E6385">
      <w:pPr>
        <w:pStyle w:val="Heading1"/>
      </w:pPr>
      <w:bookmarkStart w:id="40" w:name="_c4nh776he65j" w:colFirst="0" w:colLast="0"/>
      <w:bookmarkStart w:id="41" w:name="_Toc213742676"/>
      <w:bookmarkEnd w:id="40"/>
      <w:r w:rsidRPr="001E6385">
        <w:t>4. Investment Appraisal and Capital Budgeting</w:t>
      </w:r>
      <w:bookmarkEnd w:id="41"/>
    </w:p>
    <w:p w14:paraId="7B03898B" w14:textId="77777777" w:rsidR="00A85B02" w:rsidRPr="001E6385" w:rsidRDefault="00A85B02" w:rsidP="001E6385">
      <w:pPr>
        <w:rPr>
          <w:rFonts w:ascii="Arial" w:hAnsi="Arial" w:cs="Arial"/>
          <w:lang w:val="en-GB"/>
        </w:rPr>
      </w:pPr>
    </w:p>
    <w:p w14:paraId="00000044" w14:textId="77777777" w:rsidR="00D8667D" w:rsidRPr="001E6385" w:rsidRDefault="008B59A6" w:rsidP="001E6385">
      <w:pPr>
        <w:pStyle w:val="Heading2"/>
      </w:pPr>
      <w:bookmarkStart w:id="42" w:name="_1mdftalfkrdj" w:colFirst="0" w:colLast="0"/>
      <w:bookmarkStart w:id="43" w:name="_Toc213742677"/>
      <w:bookmarkEnd w:id="42"/>
      <w:r w:rsidRPr="001E6385">
        <w:t>4.1 Project Overview</w:t>
      </w:r>
      <w:bookmarkEnd w:id="43"/>
    </w:p>
    <w:p w14:paraId="397315C4" w14:textId="77777777" w:rsidR="0059237A" w:rsidRPr="001E6385" w:rsidRDefault="0057536E" w:rsidP="001E6385">
      <w:pPr>
        <w:rPr>
          <w:rFonts w:ascii="Arial" w:hAnsi="Arial" w:cs="Arial"/>
          <w:lang w:val="en-GB"/>
        </w:rPr>
      </w:pPr>
      <w:r w:rsidRPr="001E6385">
        <w:rPr>
          <w:rFonts w:ascii="Arial" w:hAnsi="Arial" w:cs="Arial"/>
          <w:lang w:val="en-GB"/>
        </w:rPr>
        <w:t>General Electronics</w:t>
      </w:r>
      <w:r w:rsidR="008B59A6" w:rsidRPr="001E6385">
        <w:rPr>
          <w:rFonts w:ascii="Arial" w:hAnsi="Arial" w:cs="Arial"/>
          <w:lang w:val="en-GB"/>
        </w:rPr>
        <w:t xml:space="preserve"> is evaluating three main investment opportunities, namely Project A, Project B, and Project C, each of which involves a high start-up capital and different cash flow patterns over a period of five years. </w:t>
      </w:r>
    </w:p>
    <w:p w14:paraId="5ABA175D" w14:textId="301F3CFA" w:rsidR="0059237A" w:rsidRPr="001E6385" w:rsidRDefault="008B59A6" w:rsidP="001E6385">
      <w:pPr>
        <w:rPr>
          <w:rFonts w:ascii="Arial" w:hAnsi="Arial" w:cs="Arial"/>
          <w:lang w:val="en-GB"/>
        </w:rPr>
      </w:pPr>
      <w:r w:rsidRPr="001E6385">
        <w:rPr>
          <w:rFonts w:ascii="Arial" w:hAnsi="Arial" w:cs="Arial"/>
          <w:b/>
          <w:bCs/>
          <w:i/>
          <w:iCs/>
          <w:lang w:val="en-GB"/>
        </w:rPr>
        <w:t>Project A</w:t>
      </w:r>
      <w:r w:rsidRPr="001E6385">
        <w:rPr>
          <w:rFonts w:ascii="Arial" w:hAnsi="Arial" w:cs="Arial"/>
          <w:lang w:val="en-GB"/>
        </w:rPr>
        <w:t xml:space="preserve"> is expected to cost £40 million to start with and annual inflows of 10 million, 12 million, 14 million, 10 million and 8 million. </w:t>
      </w:r>
    </w:p>
    <w:p w14:paraId="7B27C49F" w14:textId="77777777" w:rsidR="0059237A" w:rsidRPr="001E6385" w:rsidRDefault="008B59A6" w:rsidP="001E6385">
      <w:pPr>
        <w:rPr>
          <w:rFonts w:ascii="Arial" w:hAnsi="Arial" w:cs="Arial"/>
          <w:lang w:val="en-GB"/>
        </w:rPr>
      </w:pPr>
      <w:r w:rsidRPr="001E6385">
        <w:rPr>
          <w:rFonts w:ascii="Arial" w:hAnsi="Arial" w:cs="Arial"/>
          <w:b/>
          <w:bCs/>
          <w:i/>
          <w:iCs/>
          <w:lang w:val="en-GB"/>
        </w:rPr>
        <w:t>Project B</w:t>
      </w:r>
      <w:r w:rsidRPr="001E6385">
        <w:rPr>
          <w:rFonts w:ascii="Arial" w:hAnsi="Arial" w:cs="Arial"/>
          <w:lang w:val="en-GB"/>
        </w:rPr>
        <w:t xml:space="preserve"> is an investment of 30 million, in which the inflows would be constant at 6 million every year over a period of five years. </w:t>
      </w:r>
    </w:p>
    <w:p w14:paraId="75178E11" w14:textId="77777777" w:rsidR="0059237A" w:rsidRPr="001E6385" w:rsidRDefault="008B59A6" w:rsidP="001E6385">
      <w:pPr>
        <w:rPr>
          <w:rFonts w:ascii="Arial" w:hAnsi="Arial" w:cs="Arial"/>
          <w:lang w:val="en-GB"/>
        </w:rPr>
      </w:pPr>
      <w:r w:rsidRPr="001E6385">
        <w:rPr>
          <w:rFonts w:ascii="Arial" w:hAnsi="Arial" w:cs="Arial"/>
          <w:lang w:val="en-GB"/>
        </w:rPr>
        <w:t xml:space="preserve">In </w:t>
      </w:r>
      <w:r w:rsidRPr="001E6385">
        <w:rPr>
          <w:rFonts w:ascii="Arial" w:hAnsi="Arial" w:cs="Arial"/>
          <w:b/>
          <w:bCs/>
          <w:i/>
          <w:iCs/>
          <w:lang w:val="en-GB"/>
        </w:rPr>
        <w:t>Project C</w:t>
      </w:r>
      <w:r w:rsidRPr="001E6385">
        <w:rPr>
          <w:rFonts w:ascii="Arial" w:hAnsi="Arial" w:cs="Arial"/>
          <w:lang w:val="en-GB"/>
        </w:rPr>
        <w:t xml:space="preserve">, the initial capital outlays are 50 million, and the inflows are 5 million, 10 million, 20 million, 25 million and 15 million within the same time. The discount rate used will be 110%, and the depreciation will take place in a straight-line fashion to zero. </w:t>
      </w:r>
    </w:p>
    <w:p w14:paraId="00000045" w14:textId="23B2168B" w:rsidR="00D8667D" w:rsidRPr="001E6385" w:rsidRDefault="0059237A" w:rsidP="001E6385">
      <w:pPr>
        <w:rPr>
          <w:rFonts w:ascii="Arial" w:hAnsi="Arial" w:cs="Arial"/>
          <w:lang w:val="en-GB"/>
        </w:rPr>
      </w:pPr>
      <w:r w:rsidRPr="001E6385">
        <w:rPr>
          <w:rFonts w:ascii="Arial" w:hAnsi="Arial" w:cs="Arial"/>
          <w:lang w:val="en-GB"/>
        </w:rPr>
        <w:t>T</w:t>
      </w:r>
      <w:r w:rsidR="008B59A6" w:rsidRPr="001E6385">
        <w:rPr>
          <w:rFonts w:ascii="Arial" w:hAnsi="Arial" w:cs="Arial"/>
          <w:lang w:val="en-GB"/>
        </w:rPr>
        <w:t>hese parameters enable a realistic evaluation of the time-adjusted returns and profitability. The choice of projects with good cash flow consistency and enhancing solvency is one of the most important factors in determining the recovery after the distress and long-term development (Altman et al., 2025). Hence, a combined method of appraisal through the various financial measures would guarantee a decentralised, balanced and informed decision.</w:t>
      </w:r>
    </w:p>
    <w:p w14:paraId="51C0998C" w14:textId="77777777" w:rsidR="00A85B02" w:rsidRPr="001E6385" w:rsidRDefault="00A85B02" w:rsidP="001E6385">
      <w:pPr>
        <w:rPr>
          <w:rFonts w:ascii="Arial" w:hAnsi="Arial" w:cs="Arial"/>
          <w:lang w:val="en-GB"/>
        </w:rPr>
      </w:pPr>
    </w:p>
    <w:p w14:paraId="00000046" w14:textId="77777777" w:rsidR="00D8667D" w:rsidRPr="001E6385" w:rsidRDefault="008B59A6" w:rsidP="001E6385">
      <w:pPr>
        <w:pStyle w:val="Heading2"/>
      </w:pPr>
      <w:bookmarkStart w:id="44" w:name="_r8ihozox6yf1" w:colFirst="0" w:colLast="0"/>
      <w:bookmarkStart w:id="45" w:name="_Toc213742678"/>
      <w:bookmarkEnd w:id="44"/>
      <w:r w:rsidRPr="001E6385">
        <w:t>4.2 Evaluation Techniques</w:t>
      </w:r>
      <w:bookmarkEnd w:id="45"/>
    </w:p>
    <w:p w14:paraId="00000047" w14:textId="0B146498" w:rsidR="00D8667D" w:rsidRPr="001E6385" w:rsidRDefault="008B59A6" w:rsidP="001E6385">
      <w:pPr>
        <w:rPr>
          <w:rFonts w:ascii="Arial" w:hAnsi="Arial" w:cs="Arial"/>
          <w:lang w:val="en-GB"/>
        </w:rPr>
      </w:pPr>
      <w:r w:rsidRPr="001E6385">
        <w:rPr>
          <w:rFonts w:ascii="Arial" w:hAnsi="Arial" w:cs="Arial"/>
          <w:lang w:val="en-GB"/>
        </w:rPr>
        <w:t xml:space="preserve">Payback period (PBP) weighs the speed at which an investment pays back the initial investment as a result of net cash inflows. The </w:t>
      </w:r>
      <w:r w:rsidR="0057536E" w:rsidRPr="001E6385">
        <w:rPr>
          <w:rFonts w:ascii="Arial" w:hAnsi="Arial" w:cs="Arial"/>
          <w:lang w:val="en-GB"/>
        </w:rPr>
        <w:t>4</w:t>
      </w:r>
      <w:r w:rsidR="0057536E" w:rsidRPr="001E6385">
        <w:rPr>
          <w:rFonts w:ascii="Arial" w:hAnsi="Arial" w:cs="Arial"/>
          <w:vertAlign w:val="superscript"/>
          <w:lang w:val="en-GB"/>
        </w:rPr>
        <w:t>th</w:t>
      </w:r>
      <w:r w:rsidR="0057536E" w:rsidRPr="001E6385">
        <w:rPr>
          <w:rFonts w:ascii="Arial" w:hAnsi="Arial" w:cs="Arial"/>
          <w:lang w:val="en-GB"/>
        </w:rPr>
        <w:t xml:space="preserve"> </w:t>
      </w:r>
      <w:r w:rsidRPr="001E6385">
        <w:rPr>
          <w:rFonts w:ascii="Arial" w:hAnsi="Arial" w:cs="Arial"/>
          <w:lang w:val="en-GB"/>
        </w:rPr>
        <w:t xml:space="preserve">year shows a positive cumulative cash flow in Project </w:t>
      </w:r>
      <w:proofErr w:type="gramStart"/>
      <w:r w:rsidRPr="001E6385">
        <w:rPr>
          <w:rFonts w:ascii="Arial" w:hAnsi="Arial" w:cs="Arial"/>
          <w:lang w:val="en-GB"/>
        </w:rPr>
        <w:t>A</w:t>
      </w:r>
      <w:proofErr w:type="gramEnd"/>
      <w:r w:rsidRPr="001E6385">
        <w:rPr>
          <w:rFonts w:ascii="Arial" w:hAnsi="Arial" w:cs="Arial"/>
          <w:lang w:val="en-GB"/>
        </w:rPr>
        <w:t>, showing that the payback period is four years. Project B cannot recover its investment in the next five years, and Project C breaks even in the fourth and fifth years, and it also has a payback period of four years. A lower payback period implies faster payback in terms of cash and lower risk cap. As stated by Nyantika et al. (2022)</w:t>
      </w:r>
      <w:r w:rsidR="0057536E" w:rsidRPr="001E6385">
        <w:rPr>
          <w:rFonts w:ascii="Arial" w:hAnsi="Arial" w:cs="Arial"/>
          <w:lang w:val="en-GB"/>
        </w:rPr>
        <w:t>,</w:t>
      </w:r>
      <w:r w:rsidRPr="001E6385">
        <w:rPr>
          <w:rFonts w:ascii="Arial" w:hAnsi="Arial" w:cs="Arial"/>
          <w:lang w:val="en-GB"/>
        </w:rPr>
        <w:t xml:space="preserve"> efficient cash flow management and a short operating cycle increase the financial stability</w:t>
      </w:r>
      <w:r w:rsidR="0059237A" w:rsidRPr="001E6385">
        <w:rPr>
          <w:rFonts w:ascii="Arial" w:hAnsi="Arial" w:cs="Arial"/>
          <w:lang w:val="en-GB"/>
        </w:rPr>
        <w:t xml:space="preserve">. Therefore, </w:t>
      </w:r>
      <w:r w:rsidRPr="001E6385">
        <w:rPr>
          <w:rFonts w:ascii="Arial" w:hAnsi="Arial" w:cs="Arial"/>
          <w:lang w:val="en-GB"/>
        </w:rPr>
        <w:t xml:space="preserve">Projects A and C are moderately liquid, but Project B is not attractive. The accounting rate of return (ARR) is a measure of the profitability using accounting profits and not cash flows. Project A has a record of ARR of -94, Project B -80 and Project C -100. Although it provides profitability data, ARR does not </w:t>
      </w:r>
      <w:r w:rsidRPr="001E6385">
        <w:rPr>
          <w:rFonts w:ascii="Arial" w:hAnsi="Arial" w:cs="Arial"/>
          <w:lang w:val="en-GB"/>
        </w:rPr>
        <w:lastRenderedPageBreak/>
        <w:t xml:space="preserve">consider the time value of money and has to be supplemented by discounted measures. </w:t>
      </w:r>
      <w:r w:rsidR="0057536E" w:rsidRPr="001E6385">
        <w:rPr>
          <w:rFonts w:ascii="Arial" w:hAnsi="Arial" w:cs="Arial"/>
          <w:lang w:val="en-GB"/>
        </w:rPr>
        <w:t>A</w:t>
      </w:r>
      <w:r w:rsidRPr="001E6385">
        <w:rPr>
          <w:rFonts w:ascii="Arial" w:hAnsi="Arial" w:cs="Arial"/>
          <w:lang w:val="en-GB"/>
        </w:rPr>
        <w:t>ccounting-based measures on their own are not enough to measure operational efficiency and profitability.</w:t>
      </w:r>
    </w:p>
    <w:p w14:paraId="00000048" w14:textId="5E707143" w:rsidR="00D8667D" w:rsidRPr="001E6385" w:rsidRDefault="008B59A6" w:rsidP="001E6385">
      <w:pPr>
        <w:rPr>
          <w:rFonts w:ascii="Arial" w:hAnsi="Arial" w:cs="Arial"/>
          <w:lang w:val="en-GB"/>
        </w:rPr>
      </w:pPr>
      <w:r w:rsidRPr="001E6385">
        <w:rPr>
          <w:rFonts w:ascii="Arial" w:hAnsi="Arial" w:cs="Arial"/>
          <w:lang w:val="en-GB"/>
        </w:rPr>
        <w:t>The net present value (NPV) method discounts inflows of cash to present value, indicating the cost of capital. Project A has an NPV of 1.32m positive, Project B has a negative NPV of 7.26m, and Project C has a positive NPV of 4.23m. When NPVs are positive, it means that wealth is created, and when they are negative, value is lost. High NPV projects</w:t>
      </w:r>
      <w:r w:rsidR="0059237A" w:rsidRPr="001E6385">
        <w:rPr>
          <w:rFonts w:ascii="Arial" w:hAnsi="Arial" w:cs="Arial"/>
          <w:lang w:val="en-GB"/>
        </w:rPr>
        <w:t xml:space="preserve"> are</w:t>
      </w:r>
      <w:r w:rsidRPr="001E6385">
        <w:rPr>
          <w:rFonts w:ascii="Arial" w:hAnsi="Arial" w:cs="Arial"/>
          <w:lang w:val="en-GB"/>
        </w:rPr>
        <w:t xml:space="preserve"> more competitive and increase investor confidence, </w:t>
      </w:r>
      <w:r w:rsidR="0059237A" w:rsidRPr="001E6385">
        <w:rPr>
          <w:rFonts w:ascii="Arial" w:hAnsi="Arial" w:cs="Arial"/>
          <w:lang w:val="en-GB"/>
        </w:rPr>
        <w:t>which indicates</w:t>
      </w:r>
      <w:r w:rsidRPr="001E6385">
        <w:rPr>
          <w:rFonts w:ascii="Arial" w:hAnsi="Arial" w:cs="Arial"/>
          <w:lang w:val="en-GB"/>
        </w:rPr>
        <w:t xml:space="preserve"> </w:t>
      </w:r>
      <w:r w:rsidRPr="001E6385">
        <w:rPr>
          <w:rFonts w:ascii="Arial" w:hAnsi="Arial" w:cs="Arial"/>
          <w:i/>
          <w:iCs/>
          <w:lang w:val="en-GB"/>
        </w:rPr>
        <w:t xml:space="preserve">Project C </w:t>
      </w:r>
      <w:r w:rsidR="0059237A" w:rsidRPr="001E6385">
        <w:rPr>
          <w:rFonts w:ascii="Arial" w:hAnsi="Arial" w:cs="Arial"/>
          <w:i/>
          <w:iCs/>
          <w:lang w:val="en-GB"/>
        </w:rPr>
        <w:t>to be</w:t>
      </w:r>
      <w:r w:rsidRPr="001E6385">
        <w:rPr>
          <w:rFonts w:ascii="Arial" w:hAnsi="Arial" w:cs="Arial"/>
          <w:i/>
          <w:iCs/>
          <w:lang w:val="en-GB"/>
        </w:rPr>
        <w:t xml:space="preserve"> the most financially optimal</w:t>
      </w:r>
      <w:r w:rsidRPr="001E6385">
        <w:rPr>
          <w:rFonts w:ascii="Arial" w:hAnsi="Arial" w:cs="Arial"/>
          <w:lang w:val="en-GB"/>
        </w:rPr>
        <w:t>. Additional outcomes are supported by the profitability index (PI) and internal rate of return (IRR). The PI of 1.08 and IRR of 12.72% of Project C are higher than the PI of 1.03 and IRR of 11.33% of Project A and 0.76 and 0% of Project B, respectively, which proves its optimal capital efficiency and profitability. Altman et al. (2025) emphasise that the investments with a superior IRR and NPV contribute to the financial stability and value creation in the long run.</w:t>
      </w:r>
    </w:p>
    <w:p w14:paraId="613ADD94" w14:textId="77777777" w:rsidR="00A85B02" w:rsidRPr="001E6385" w:rsidRDefault="00A85B02" w:rsidP="001E6385">
      <w:pPr>
        <w:rPr>
          <w:rFonts w:ascii="Arial" w:hAnsi="Arial" w:cs="Arial"/>
          <w:lang w:val="en-GB"/>
        </w:rPr>
      </w:pPr>
    </w:p>
    <w:p w14:paraId="00000049" w14:textId="77777777" w:rsidR="00D8667D" w:rsidRPr="001E6385" w:rsidRDefault="008B59A6" w:rsidP="001E6385">
      <w:pPr>
        <w:pStyle w:val="Heading2"/>
      </w:pPr>
      <w:bookmarkStart w:id="46" w:name="_y2jgzodov279" w:colFirst="0" w:colLast="0"/>
      <w:bookmarkStart w:id="47" w:name="_Toc213742679"/>
      <w:bookmarkEnd w:id="46"/>
      <w:r w:rsidRPr="001E6385">
        <w:t>4.3 Comparative Analysis</w:t>
      </w:r>
      <w:bookmarkEnd w:id="47"/>
    </w:p>
    <w:p w14:paraId="0000004A" w14:textId="77777777" w:rsidR="00D8667D" w:rsidRPr="001E6385" w:rsidRDefault="008B59A6" w:rsidP="001E6385">
      <w:pPr>
        <w:rPr>
          <w:rFonts w:ascii="Arial" w:hAnsi="Arial" w:cs="Arial"/>
          <w:lang w:val="en-GB"/>
        </w:rPr>
      </w:pPr>
      <w:r w:rsidRPr="001E6385">
        <w:rPr>
          <w:rFonts w:ascii="Arial" w:hAnsi="Arial" w:cs="Arial"/>
          <w:lang w:val="en-GB"/>
        </w:rPr>
        <w:t>As seen in the comparative performance of the three projects, Project C performs better than the two alternatives in most financial indicators. It has the best NPV of 4.23 million, the largest IRR of 12.72% and the highest index of profitability of 1.08. These markers imply better profitability and the capacity for value creation. Project A, with an NPV of £1.32 million and an IRR of 11.33%, is fairly viable and has quicker liquidity recovery, whereas Project B has a poor financial performance with a negative NPV, and does not give any advantage in return.</w:t>
      </w:r>
    </w:p>
    <w:p w14:paraId="0000004B" w14:textId="77777777" w:rsidR="00D8667D" w:rsidRPr="001E6385" w:rsidRDefault="008B59A6" w:rsidP="001E6385">
      <w:pPr>
        <w:rPr>
          <w:rFonts w:ascii="Arial" w:hAnsi="Arial" w:cs="Arial"/>
          <w:lang w:val="en-GB"/>
        </w:rPr>
      </w:pPr>
      <w:r w:rsidRPr="001E6385">
        <w:rPr>
          <w:rFonts w:ascii="Arial" w:hAnsi="Arial" w:cs="Arial"/>
          <w:lang w:val="en-GB"/>
        </w:rPr>
        <w:t xml:space="preserve">Project C has larger inflows and greater variability in the cash flow risk, which indicates moderate risk exposure and greater reward potential. Project B is not worth investing in despite its steady inflows since the returns are low, whereas Project A has moderate stability and fair liquidity opportunities. According to </w:t>
      </w:r>
      <w:proofErr w:type="spellStart"/>
      <w:r w:rsidRPr="001E6385">
        <w:rPr>
          <w:rFonts w:ascii="Arial" w:hAnsi="Arial" w:cs="Arial"/>
          <w:lang w:val="en-GB"/>
        </w:rPr>
        <w:t>Adeodu</w:t>
      </w:r>
      <w:proofErr w:type="spellEnd"/>
      <w:r w:rsidRPr="001E6385">
        <w:rPr>
          <w:rFonts w:ascii="Arial" w:hAnsi="Arial" w:cs="Arial"/>
          <w:lang w:val="en-GB"/>
        </w:rPr>
        <w:t xml:space="preserve"> et al. (2021), lean investment models with a focus on operational efficiency are more likely to be profitable. Thus, the inflow pattern of Project C could be characterised by the strategic expansion to high-growth segments, which could be considered in accordance with the principles of lean capital deployment.</w:t>
      </w:r>
    </w:p>
    <w:p w14:paraId="0000004C" w14:textId="5076A8F1" w:rsidR="00D8667D" w:rsidRPr="001E6385" w:rsidRDefault="008B59A6" w:rsidP="001E6385">
      <w:pPr>
        <w:rPr>
          <w:rFonts w:ascii="Arial" w:hAnsi="Arial" w:cs="Arial"/>
          <w:lang w:val="en-GB"/>
        </w:rPr>
      </w:pPr>
      <w:r w:rsidRPr="001E6385">
        <w:rPr>
          <w:rFonts w:ascii="Arial" w:hAnsi="Arial" w:cs="Arial"/>
          <w:lang w:val="en-GB"/>
        </w:rPr>
        <w:t xml:space="preserve">Another important consideration is strategic alignment. Project C fits the long-term growth and innovation goals because it has an increasing cash flow dynamic, which </w:t>
      </w:r>
      <w:r w:rsidRPr="001E6385">
        <w:rPr>
          <w:rFonts w:ascii="Arial" w:hAnsi="Arial" w:cs="Arial"/>
          <w:lang w:val="en-GB"/>
        </w:rPr>
        <w:lastRenderedPageBreak/>
        <w:t>indicates growth potential. Candela and Ulises (2022) highlight</w:t>
      </w:r>
      <w:r w:rsidR="0059237A" w:rsidRPr="001E6385">
        <w:rPr>
          <w:rFonts w:ascii="Arial" w:hAnsi="Arial" w:cs="Arial"/>
          <w:lang w:val="en-GB"/>
        </w:rPr>
        <w:t>ed</w:t>
      </w:r>
      <w:r w:rsidRPr="001E6385">
        <w:rPr>
          <w:rFonts w:ascii="Arial" w:hAnsi="Arial" w:cs="Arial"/>
          <w:lang w:val="en-GB"/>
        </w:rPr>
        <w:t xml:space="preserve"> that effective supply chain and procurement operations can serve as a tool to promote the scalability of the project and its financial stability, which is also consistent with the growth-oriented orientation of Project C. Project A seems to be appropriate in terms of liquidity enhancement in the short term, but it does not ensure scalability to long-term competitiveness. Project B, on the other hand, can be a more developed business area with very little innovation or market growth opportunities.</w:t>
      </w:r>
    </w:p>
    <w:p w14:paraId="74BF3D52" w14:textId="77777777" w:rsidR="00A85B02" w:rsidRPr="001E6385" w:rsidRDefault="00A85B02" w:rsidP="001E6385">
      <w:pPr>
        <w:rPr>
          <w:rFonts w:ascii="Arial" w:hAnsi="Arial" w:cs="Arial"/>
          <w:lang w:val="en-GB"/>
        </w:rPr>
      </w:pPr>
    </w:p>
    <w:p w14:paraId="0000004D" w14:textId="77777777" w:rsidR="00D8667D" w:rsidRPr="001E6385" w:rsidRDefault="008B59A6" w:rsidP="001E6385">
      <w:pPr>
        <w:pStyle w:val="Heading2"/>
      </w:pPr>
      <w:bookmarkStart w:id="48" w:name="_1ugwg3709afo" w:colFirst="0" w:colLast="0"/>
      <w:bookmarkStart w:id="49" w:name="_Toc213742680"/>
      <w:bookmarkEnd w:id="48"/>
      <w:r w:rsidRPr="001E6385">
        <w:t>4.4 Capital Rationing Decision</w:t>
      </w:r>
      <w:bookmarkEnd w:id="49"/>
    </w:p>
    <w:p w14:paraId="2167A0E1" w14:textId="77777777" w:rsidR="0059237A" w:rsidRPr="001E6385" w:rsidRDefault="008B59A6" w:rsidP="001E6385">
      <w:pPr>
        <w:rPr>
          <w:rFonts w:ascii="Arial" w:hAnsi="Arial" w:cs="Arial"/>
          <w:lang w:val="en-GB"/>
        </w:rPr>
      </w:pPr>
      <w:r w:rsidRPr="001E6385">
        <w:rPr>
          <w:rFonts w:ascii="Arial" w:hAnsi="Arial" w:cs="Arial"/>
          <w:lang w:val="en-GB"/>
        </w:rPr>
        <w:t xml:space="preserve">Since the firm has a maximum investment capacity of £60 million, it is necessary to pursue a rational approach of capital rationing so as to achieve optimal education of value. According to the financial data, Project A would demand 40 million, Project B would demand 30 million, and Project C would demand 50 million. Considering that the capital limit cannot be surpassed by adding two projects together, it is only possible to undertake one project. This decision is, therefore, based on the determination of the project with the best NPV and PI. </w:t>
      </w:r>
    </w:p>
    <w:p w14:paraId="16EC8416" w14:textId="77777777" w:rsidR="0059237A" w:rsidRPr="001E6385" w:rsidRDefault="008B59A6" w:rsidP="001E6385">
      <w:pPr>
        <w:pStyle w:val="ListParagraph"/>
        <w:numPr>
          <w:ilvl w:val="0"/>
          <w:numId w:val="3"/>
        </w:numPr>
        <w:rPr>
          <w:rFonts w:ascii="Arial" w:hAnsi="Arial" w:cs="Arial"/>
          <w:lang w:val="en-GB"/>
        </w:rPr>
      </w:pPr>
      <w:r w:rsidRPr="001E6385">
        <w:rPr>
          <w:rFonts w:ascii="Arial" w:hAnsi="Arial" w:cs="Arial"/>
          <w:lang w:val="en-GB"/>
        </w:rPr>
        <w:t xml:space="preserve">The NPV and PI of </w:t>
      </w:r>
      <w:r w:rsidRPr="001E6385">
        <w:rPr>
          <w:rFonts w:ascii="Arial" w:hAnsi="Arial" w:cs="Arial"/>
          <w:i/>
          <w:iCs/>
          <w:lang w:val="en-GB"/>
        </w:rPr>
        <w:t>project A</w:t>
      </w:r>
      <w:r w:rsidRPr="001E6385">
        <w:rPr>
          <w:rFonts w:ascii="Arial" w:hAnsi="Arial" w:cs="Arial"/>
          <w:lang w:val="en-GB"/>
        </w:rPr>
        <w:t xml:space="preserve"> stand at </w:t>
      </w:r>
      <w:r w:rsidR="0059237A" w:rsidRPr="001E6385">
        <w:rPr>
          <w:rFonts w:ascii="Arial" w:hAnsi="Arial" w:cs="Arial"/>
          <w:lang w:val="en-GB"/>
        </w:rPr>
        <w:t>£</w:t>
      </w:r>
      <w:r w:rsidRPr="001E6385">
        <w:rPr>
          <w:rFonts w:ascii="Arial" w:hAnsi="Arial" w:cs="Arial"/>
          <w:lang w:val="en-GB"/>
        </w:rPr>
        <w:t>1.32 million and 1.03 respectively, which are positive but small</w:t>
      </w:r>
    </w:p>
    <w:p w14:paraId="0A5CB4BD" w14:textId="77777777" w:rsidR="0059237A" w:rsidRPr="001E6385" w:rsidRDefault="008B59A6" w:rsidP="001E6385">
      <w:pPr>
        <w:pStyle w:val="ListParagraph"/>
        <w:numPr>
          <w:ilvl w:val="0"/>
          <w:numId w:val="3"/>
        </w:numPr>
        <w:rPr>
          <w:rFonts w:ascii="Arial" w:hAnsi="Arial" w:cs="Arial"/>
          <w:lang w:val="en-GB"/>
        </w:rPr>
      </w:pPr>
      <w:r w:rsidRPr="001E6385">
        <w:rPr>
          <w:rFonts w:ascii="Arial" w:hAnsi="Arial" w:cs="Arial"/>
          <w:i/>
          <w:iCs/>
          <w:lang w:val="en-GB"/>
        </w:rPr>
        <w:t>Project B</w:t>
      </w:r>
      <w:r w:rsidRPr="001E6385">
        <w:rPr>
          <w:rFonts w:ascii="Arial" w:hAnsi="Arial" w:cs="Arial"/>
          <w:lang w:val="en-GB"/>
        </w:rPr>
        <w:t xml:space="preserve"> has a poor performance in terms of its NPV and PI, which are -£7.26 million and 0.76 respectively</w:t>
      </w:r>
    </w:p>
    <w:p w14:paraId="705C68F1" w14:textId="2432EB60" w:rsidR="0059237A" w:rsidRPr="001E6385" w:rsidRDefault="008B59A6" w:rsidP="001E6385">
      <w:pPr>
        <w:pStyle w:val="ListParagraph"/>
        <w:numPr>
          <w:ilvl w:val="0"/>
          <w:numId w:val="3"/>
        </w:numPr>
        <w:rPr>
          <w:rFonts w:ascii="Arial" w:hAnsi="Arial" w:cs="Arial"/>
          <w:lang w:val="en-GB"/>
        </w:rPr>
      </w:pPr>
      <w:r w:rsidRPr="001E6385">
        <w:rPr>
          <w:rFonts w:ascii="Arial" w:hAnsi="Arial" w:cs="Arial"/>
          <w:i/>
          <w:iCs/>
          <w:lang w:val="en-GB"/>
        </w:rPr>
        <w:t>Project C</w:t>
      </w:r>
      <w:r w:rsidRPr="001E6385">
        <w:rPr>
          <w:rFonts w:ascii="Arial" w:hAnsi="Arial" w:cs="Arial"/>
          <w:lang w:val="en-GB"/>
        </w:rPr>
        <w:t xml:space="preserve">, however, has the most pleasing results, having an NPV of </w:t>
      </w:r>
      <w:r w:rsidR="0059237A" w:rsidRPr="001E6385">
        <w:rPr>
          <w:rFonts w:ascii="Arial" w:hAnsi="Arial" w:cs="Arial"/>
          <w:lang w:val="en-GB"/>
        </w:rPr>
        <w:t>£</w:t>
      </w:r>
      <w:r w:rsidRPr="001E6385">
        <w:rPr>
          <w:rFonts w:ascii="Arial" w:hAnsi="Arial" w:cs="Arial"/>
          <w:lang w:val="en-GB"/>
        </w:rPr>
        <w:t>4.23</w:t>
      </w:r>
      <w:r w:rsidR="0059237A" w:rsidRPr="001E6385">
        <w:rPr>
          <w:rFonts w:ascii="Arial" w:hAnsi="Arial" w:cs="Arial"/>
          <w:lang w:val="en-GB"/>
        </w:rPr>
        <w:t xml:space="preserve"> </w:t>
      </w:r>
      <w:r w:rsidRPr="001E6385">
        <w:rPr>
          <w:rFonts w:ascii="Arial" w:hAnsi="Arial" w:cs="Arial"/>
          <w:lang w:val="en-GB"/>
        </w:rPr>
        <w:t>million and PI of 1.08.</w:t>
      </w:r>
    </w:p>
    <w:p w14:paraId="0000004E" w14:textId="218E6F9C" w:rsidR="00D8667D" w:rsidRPr="001E6385" w:rsidRDefault="008B59A6" w:rsidP="001E6385">
      <w:pPr>
        <w:rPr>
          <w:rFonts w:ascii="Arial" w:hAnsi="Arial" w:cs="Arial"/>
          <w:lang w:val="en-GB"/>
        </w:rPr>
      </w:pPr>
      <w:r w:rsidRPr="001E6385">
        <w:rPr>
          <w:rFonts w:ascii="Arial" w:hAnsi="Arial" w:cs="Arial"/>
          <w:lang w:val="en-GB"/>
        </w:rPr>
        <w:t>With this kind of capital constraint, Sewpersadh (2022) contends that it is best to pursue investments that can produce the highest net value per unit of capital to ensure the sustainability of profitability. As such, Project C turns out as the best investment option. It not only brings in the largest financial payoff, but it also strengthens the strategy of the firm to recover strategically because of increased value generation and cash flow.</w:t>
      </w:r>
    </w:p>
    <w:p w14:paraId="0104D5CD" w14:textId="77777777" w:rsidR="00A85B02" w:rsidRPr="001E6385" w:rsidRDefault="00A85B02" w:rsidP="001E6385">
      <w:pPr>
        <w:rPr>
          <w:rFonts w:ascii="Arial" w:hAnsi="Arial" w:cs="Arial"/>
          <w:lang w:val="en-GB"/>
        </w:rPr>
      </w:pPr>
    </w:p>
    <w:p w14:paraId="6B76D541" w14:textId="77777777" w:rsidR="00A85B02" w:rsidRPr="001E6385" w:rsidRDefault="00A85B02" w:rsidP="001E6385">
      <w:pPr>
        <w:rPr>
          <w:rFonts w:ascii="Arial" w:hAnsi="Arial" w:cs="Arial"/>
          <w:lang w:val="en-GB"/>
        </w:rPr>
      </w:pPr>
    </w:p>
    <w:p w14:paraId="5CAB9BF0" w14:textId="77777777" w:rsidR="00A85B02" w:rsidRPr="001E6385" w:rsidRDefault="00A85B02" w:rsidP="001E6385">
      <w:pPr>
        <w:rPr>
          <w:rFonts w:ascii="Arial" w:hAnsi="Arial" w:cs="Arial"/>
          <w:lang w:val="en-GB"/>
        </w:rPr>
      </w:pPr>
    </w:p>
    <w:p w14:paraId="0000004F" w14:textId="733C16B1" w:rsidR="00D8667D" w:rsidRPr="001E6385" w:rsidRDefault="008B59A6" w:rsidP="001E6385">
      <w:pPr>
        <w:pStyle w:val="Heading2"/>
      </w:pPr>
      <w:bookmarkStart w:id="50" w:name="_ptcbsx9ooe4x" w:colFirst="0" w:colLast="0"/>
      <w:bookmarkStart w:id="51" w:name="_Toc213742681"/>
      <w:bookmarkEnd w:id="50"/>
      <w:r w:rsidRPr="001E6385">
        <w:lastRenderedPageBreak/>
        <w:t>4.5 Recommendation</w:t>
      </w:r>
      <w:r w:rsidR="0059237A" w:rsidRPr="001E6385">
        <w:t>s</w:t>
      </w:r>
      <w:bookmarkEnd w:id="51"/>
    </w:p>
    <w:p w14:paraId="7C81BEAF" w14:textId="46524221" w:rsidR="00E35668" w:rsidRPr="001E6385" w:rsidRDefault="008B59A6" w:rsidP="001E6385">
      <w:pPr>
        <w:rPr>
          <w:rFonts w:ascii="Arial" w:hAnsi="Arial" w:cs="Arial"/>
          <w:lang w:val="en-GB"/>
        </w:rPr>
      </w:pPr>
      <w:r w:rsidRPr="001E6385">
        <w:rPr>
          <w:rFonts w:ascii="Arial" w:hAnsi="Arial" w:cs="Arial"/>
          <w:lang w:val="en-GB"/>
        </w:rPr>
        <w:t xml:space="preserve">It is preferable to choose Project C as the desired investment, considering the financial and strategic considerations. It gives the best NPV, IRR and the most preferred profitability index and an acceptable payback period. Project A can be used as a backup plan in case the availability of capital resources increases, whereas Project B cannot be accepted because of poor financial ratios and low returns. Due to the presence of Project C, the profitability is likely to increase, the financial stability is also likely to be reinforced, and the long-term growth is likely to be supported. </w:t>
      </w:r>
      <w:r w:rsidR="0059237A" w:rsidRPr="001E6385">
        <w:rPr>
          <w:rFonts w:ascii="Arial" w:hAnsi="Arial" w:cs="Arial"/>
          <w:lang w:val="en-GB"/>
        </w:rPr>
        <w:t xml:space="preserve">In accordance with the ideas of </w:t>
      </w:r>
      <w:r w:rsidRPr="001E6385">
        <w:rPr>
          <w:rFonts w:ascii="Arial" w:hAnsi="Arial" w:cs="Arial"/>
          <w:lang w:val="en-GB"/>
        </w:rPr>
        <w:t xml:space="preserve">Nyantika et al., (2022) controlled cash flow and working capital management are essential in order to maximise the performance of investments made in a company and reduce risk 2022. In the same </w:t>
      </w:r>
      <w:r w:rsidR="0059237A" w:rsidRPr="001E6385">
        <w:rPr>
          <w:rFonts w:ascii="Arial" w:hAnsi="Arial" w:cs="Arial"/>
          <w:lang w:val="en-GB"/>
        </w:rPr>
        <w:t>way</w:t>
      </w:r>
      <w:r w:rsidRPr="001E6385">
        <w:rPr>
          <w:rFonts w:ascii="Arial" w:hAnsi="Arial" w:cs="Arial"/>
          <w:lang w:val="en-GB"/>
        </w:rPr>
        <w:t xml:space="preserve">, transparent and digitally optimised financial activities </w:t>
      </w:r>
      <w:r w:rsidR="0059237A" w:rsidRPr="001E6385">
        <w:rPr>
          <w:rFonts w:ascii="Arial" w:hAnsi="Arial" w:cs="Arial"/>
          <w:lang w:val="en-GB"/>
        </w:rPr>
        <w:t xml:space="preserve">can </w:t>
      </w:r>
      <w:r w:rsidRPr="001E6385">
        <w:rPr>
          <w:rFonts w:ascii="Arial" w:hAnsi="Arial" w:cs="Arial"/>
          <w:lang w:val="en-GB"/>
        </w:rPr>
        <w:t xml:space="preserve">enhance the belief of the stakeholders and the accountability of capital. </w:t>
      </w:r>
      <w:r w:rsidR="0059237A" w:rsidRPr="001E6385">
        <w:rPr>
          <w:rFonts w:ascii="Arial" w:hAnsi="Arial" w:cs="Arial"/>
          <w:lang w:val="en-GB"/>
        </w:rPr>
        <w:t>A</w:t>
      </w:r>
      <w:r w:rsidRPr="001E6385">
        <w:rPr>
          <w:rFonts w:ascii="Arial" w:hAnsi="Arial" w:cs="Arial"/>
          <w:lang w:val="en-GB"/>
        </w:rPr>
        <w:t>lso</w:t>
      </w:r>
      <w:r w:rsidR="0059237A" w:rsidRPr="001E6385">
        <w:rPr>
          <w:rFonts w:ascii="Arial" w:hAnsi="Arial" w:cs="Arial"/>
          <w:lang w:val="en-GB"/>
        </w:rPr>
        <w:t xml:space="preserve">, </w:t>
      </w:r>
      <w:r w:rsidRPr="001E6385">
        <w:rPr>
          <w:rFonts w:ascii="Arial" w:hAnsi="Arial" w:cs="Arial"/>
          <w:lang w:val="en-GB"/>
        </w:rPr>
        <w:t>lean and organised capital placement leads to efficiency in operations, cost and sustainability</w:t>
      </w:r>
      <w:r w:rsidR="0059237A" w:rsidRPr="001E6385">
        <w:rPr>
          <w:rFonts w:ascii="Arial" w:hAnsi="Arial" w:cs="Arial"/>
          <w:lang w:val="en-GB"/>
        </w:rPr>
        <w:t xml:space="preserve"> and can help General Electronics to yield maximum profit out of the investment</w:t>
      </w:r>
      <w:r w:rsidRPr="001E6385">
        <w:rPr>
          <w:rFonts w:ascii="Arial" w:hAnsi="Arial" w:cs="Arial"/>
          <w:lang w:val="en-GB"/>
        </w:rPr>
        <w:t>.</w:t>
      </w:r>
    </w:p>
    <w:p w14:paraId="3E8A3EBF" w14:textId="77777777" w:rsidR="00A85B02" w:rsidRPr="001E6385" w:rsidRDefault="00A85B02" w:rsidP="001E6385">
      <w:pPr>
        <w:rPr>
          <w:rFonts w:ascii="Arial" w:hAnsi="Arial" w:cs="Arial"/>
          <w:lang w:val="en-GB"/>
        </w:rPr>
      </w:pPr>
    </w:p>
    <w:p w14:paraId="79E2C6DE" w14:textId="77777777" w:rsidR="00A85B02" w:rsidRPr="001E6385" w:rsidRDefault="00A85B02" w:rsidP="001E6385">
      <w:pPr>
        <w:rPr>
          <w:rFonts w:ascii="Arial" w:hAnsi="Arial" w:cs="Arial"/>
          <w:lang w:val="en-GB"/>
        </w:rPr>
      </w:pPr>
    </w:p>
    <w:p w14:paraId="58377820" w14:textId="77777777" w:rsidR="00A85B02" w:rsidRPr="001E6385" w:rsidRDefault="00A85B02" w:rsidP="001E6385">
      <w:pPr>
        <w:rPr>
          <w:rFonts w:ascii="Arial" w:hAnsi="Arial" w:cs="Arial"/>
          <w:lang w:val="en-GB"/>
        </w:rPr>
      </w:pPr>
    </w:p>
    <w:p w14:paraId="63085357" w14:textId="77777777" w:rsidR="00A85B02" w:rsidRPr="001E6385" w:rsidRDefault="00A85B02" w:rsidP="001E6385">
      <w:pPr>
        <w:rPr>
          <w:rFonts w:ascii="Arial" w:hAnsi="Arial" w:cs="Arial"/>
          <w:lang w:val="en-GB"/>
        </w:rPr>
      </w:pPr>
    </w:p>
    <w:p w14:paraId="51722A23" w14:textId="77777777" w:rsidR="00A85B02" w:rsidRPr="001E6385" w:rsidRDefault="00A85B02" w:rsidP="001E6385">
      <w:pPr>
        <w:rPr>
          <w:rFonts w:ascii="Arial" w:hAnsi="Arial" w:cs="Arial"/>
          <w:lang w:val="en-GB"/>
        </w:rPr>
      </w:pPr>
    </w:p>
    <w:p w14:paraId="23C77262" w14:textId="77777777" w:rsidR="00A85B02" w:rsidRPr="001E6385" w:rsidRDefault="00A85B02" w:rsidP="001E6385">
      <w:pPr>
        <w:rPr>
          <w:rFonts w:ascii="Arial" w:hAnsi="Arial" w:cs="Arial"/>
          <w:lang w:val="en-GB"/>
        </w:rPr>
      </w:pPr>
    </w:p>
    <w:p w14:paraId="357BE222" w14:textId="77777777" w:rsidR="00A85B02" w:rsidRPr="001E6385" w:rsidRDefault="00A85B02" w:rsidP="001E6385">
      <w:pPr>
        <w:rPr>
          <w:rFonts w:ascii="Arial" w:hAnsi="Arial" w:cs="Arial"/>
          <w:lang w:val="en-GB"/>
        </w:rPr>
      </w:pPr>
    </w:p>
    <w:p w14:paraId="6C9F0598" w14:textId="77777777" w:rsidR="00A85B02" w:rsidRPr="001E6385" w:rsidRDefault="00A85B02" w:rsidP="001E6385">
      <w:pPr>
        <w:rPr>
          <w:rFonts w:ascii="Arial" w:hAnsi="Arial" w:cs="Arial"/>
          <w:lang w:val="en-GB"/>
        </w:rPr>
      </w:pPr>
    </w:p>
    <w:p w14:paraId="2BA690DB" w14:textId="77777777" w:rsidR="00A85B02" w:rsidRPr="001E6385" w:rsidRDefault="00A85B02" w:rsidP="001E6385">
      <w:pPr>
        <w:rPr>
          <w:rFonts w:ascii="Arial" w:hAnsi="Arial" w:cs="Arial"/>
          <w:lang w:val="en-GB"/>
        </w:rPr>
      </w:pPr>
    </w:p>
    <w:p w14:paraId="300FE61F" w14:textId="77777777" w:rsidR="00A85B02" w:rsidRPr="001E6385" w:rsidRDefault="00A85B02" w:rsidP="001E6385">
      <w:pPr>
        <w:rPr>
          <w:rFonts w:ascii="Arial" w:hAnsi="Arial" w:cs="Arial"/>
          <w:lang w:val="en-GB"/>
        </w:rPr>
      </w:pPr>
    </w:p>
    <w:p w14:paraId="6CFBEE74" w14:textId="77777777" w:rsidR="00A85B02" w:rsidRPr="001E6385" w:rsidRDefault="00A85B02" w:rsidP="001E6385">
      <w:pPr>
        <w:rPr>
          <w:rFonts w:ascii="Arial" w:hAnsi="Arial" w:cs="Arial"/>
          <w:lang w:val="en-GB"/>
        </w:rPr>
      </w:pPr>
    </w:p>
    <w:p w14:paraId="20DA8A0D" w14:textId="77777777" w:rsidR="00A85B02" w:rsidRPr="001E6385" w:rsidRDefault="00A85B02" w:rsidP="001E6385">
      <w:pPr>
        <w:rPr>
          <w:rFonts w:ascii="Arial" w:hAnsi="Arial" w:cs="Arial"/>
          <w:lang w:val="en-GB"/>
        </w:rPr>
      </w:pPr>
    </w:p>
    <w:p w14:paraId="7AEECAE4" w14:textId="77777777" w:rsidR="00A85B02" w:rsidRPr="001E6385" w:rsidRDefault="00A85B02" w:rsidP="001E6385">
      <w:pPr>
        <w:rPr>
          <w:rFonts w:ascii="Arial" w:hAnsi="Arial" w:cs="Arial"/>
          <w:lang w:val="en-GB"/>
        </w:rPr>
      </w:pPr>
    </w:p>
    <w:p w14:paraId="35EA998B" w14:textId="77777777" w:rsidR="00A85B02" w:rsidRPr="001E6385" w:rsidRDefault="00A85B02" w:rsidP="001E6385">
      <w:pPr>
        <w:rPr>
          <w:rFonts w:ascii="Arial" w:hAnsi="Arial" w:cs="Arial"/>
          <w:lang w:val="en-GB"/>
        </w:rPr>
      </w:pPr>
    </w:p>
    <w:p w14:paraId="04114822" w14:textId="77777777" w:rsidR="00A85B02" w:rsidRPr="001E6385" w:rsidRDefault="00A85B02" w:rsidP="001E6385">
      <w:pPr>
        <w:rPr>
          <w:rFonts w:ascii="Arial" w:hAnsi="Arial" w:cs="Arial"/>
          <w:lang w:val="en-GB"/>
        </w:rPr>
      </w:pPr>
    </w:p>
    <w:p w14:paraId="260903A4" w14:textId="77777777" w:rsidR="00A85B02" w:rsidRPr="001E6385" w:rsidRDefault="00A85B02" w:rsidP="001E6385">
      <w:pPr>
        <w:rPr>
          <w:rFonts w:ascii="Arial" w:hAnsi="Arial" w:cs="Arial"/>
          <w:lang w:val="en-GB"/>
        </w:rPr>
      </w:pPr>
    </w:p>
    <w:p w14:paraId="42DD6266" w14:textId="77777777" w:rsidR="00A85B02" w:rsidRPr="001E6385" w:rsidRDefault="00A85B02" w:rsidP="001E6385">
      <w:pPr>
        <w:rPr>
          <w:rFonts w:ascii="Arial" w:hAnsi="Arial" w:cs="Arial"/>
          <w:lang w:val="en-GB"/>
        </w:rPr>
      </w:pPr>
    </w:p>
    <w:p w14:paraId="40B297DC" w14:textId="77777777" w:rsidR="00E35668" w:rsidRPr="001E6385" w:rsidRDefault="00E35668" w:rsidP="001E6385">
      <w:pPr>
        <w:pStyle w:val="Heading1"/>
      </w:pPr>
      <w:bookmarkStart w:id="52" w:name="_Toc213742682"/>
      <w:r w:rsidRPr="001E6385">
        <w:lastRenderedPageBreak/>
        <w:t>Conclusion</w:t>
      </w:r>
      <w:bookmarkEnd w:id="52"/>
    </w:p>
    <w:p w14:paraId="00000050" w14:textId="22251287" w:rsidR="00D8667D" w:rsidRPr="00543458" w:rsidRDefault="003F06F4" w:rsidP="001E6385">
      <w:pPr>
        <w:rPr>
          <w:rFonts w:ascii="Arial" w:hAnsi="Arial" w:cs="Arial"/>
          <w:lang w:val="en-GB"/>
        </w:rPr>
      </w:pPr>
      <w:r w:rsidRPr="001E6385">
        <w:rPr>
          <w:rFonts w:ascii="Arial" w:hAnsi="Arial" w:cs="Arial"/>
          <w:lang w:val="en-GB"/>
        </w:rPr>
        <w:t>Financial performance calculations of General Electronics have revealed initial decrease in net profit margin, depicting high costs and low demand. The same can be said about Return on Assets (ROA) and Return on Equity (ROE). As a means of improving liquidity, periodic audits can eliminate old stuff and free up cash tied up. At the same time, it is equally important to have a good financing strategy to support working capital improvements, which includes both short and long-term instruments. In general, reducing its working capital cycle, exercising strict liquidity management, and having a hybrid financing structure will enable General Electronics to recover its cash positions, regain investor confidence, and be placed in a position to recover sustainably worldwide.</w:t>
      </w:r>
      <w:r w:rsidR="00EA4CB6" w:rsidRPr="001E6385">
        <w:rPr>
          <w:rFonts w:ascii="Arial" w:hAnsi="Arial" w:cs="Arial"/>
          <w:lang w:val="en-GB"/>
        </w:rPr>
        <w:t xml:space="preserve"> In the last segment, investment appraisal and capital budgeting on the three projects have revealed Project C to show high efficiency in using capital and high prospects of increasing shareholder value.</w:t>
      </w:r>
      <w:r w:rsidR="00EA4CB6" w:rsidRPr="00543458">
        <w:rPr>
          <w:rFonts w:ascii="Arial" w:hAnsi="Arial" w:cs="Arial"/>
          <w:lang w:val="en-GB"/>
        </w:rPr>
        <w:t xml:space="preserve"> </w:t>
      </w:r>
      <w:r w:rsidR="008B59A6" w:rsidRPr="00543458">
        <w:rPr>
          <w:rFonts w:ascii="Arial" w:hAnsi="Arial" w:cs="Arial"/>
          <w:lang w:val="en-GB"/>
        </w:rPr>
        <w:br w:type="page"/>
      </w:r>
    </w:p>
    <w:p w14:paraId="00000051" w14:textId="77777777" w:rsidR="00D8667D" w:rsidRDefault="008B59A6" w:rsidP="00543458">
      <w:pPr>
        <w:pStyle w:val="Heading1"/>
      </w:pPr>
      <w:bookmarkStart w:id="53" w:name="_xhaaej9f7xs0" w:colFirst="0" w:colLast="0"/>
      <w:bookmarkStart w:id="54" w:name="_Toc213742683"/>
      <w:bookmarkEnd w:id="53"/>
      <w:r w:rsidRPr="00543458">
        <w:lastRenderedPageBreak/>
        <w:t>References</w:t>
      </w:r>
      <w:bookmarkEnd w:id="54"/>
    </w:p>
    <w:p w14:paraId="2C873FDD" w14:textId="77777777" w:rsidR="00A85B02" w:rsidRPr="00A85B02" w:rsidRDefault="00A85B02" w:rsidP="00A85B02">
      <w:pPr>
        <w:rPr>
          <w:lang w:val="en-GB"/>
        </w:rPr>
      </w:pPr>
    </w:p>
    <w:p w14:paraId="181DE123" w14:textId="77777777" w:rsidR="00BF0189" w:rsidRPr="00543458" w:rsidRDefault="00BF0189" w:rsidP="00A85B02">
      <w:pPr>
        <w:spacing w:after="160"/>
        <w:jc w:val="left"/>
        <w:rPr>
          <w:rFonts w:ascii="Arial" w:eastAsia="Calibri" w:hAnsi="Arial" w:cs="Arial"/>
          <w:kern w:val="2"/>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t xml:space="preserve">Abdillah, W., Usman, B. and </w:t>
      </w:r>
      <w:proofErr w:type="spellStart"/>
      <w:r w:rsidRPr="00543458">
        <w:rPr>
          <w:rFonts w:ascii="Arial" w:eastAsia="Calibri" w:hAnsi="Arial" w:cs="Arial"/>
          <w:color w:val="222222"/>
          <w:kern w:val="2"/>
          <w:shd w:val="clear" w:color="auto" w:fill="FFFFFF"/>
          <w:lang w:val="en-GB" w:eastAsia="en-US"/>
          <w14:ligatures w14:val="standardContextual"/>
        </w:rPr>
        <w:t>Hasworini</w:t>
      </w:r>
      <w:proofErr w:type="spellEnd"/>
      <w:r w:rsidRPr="00543458">
        <w:rPr>
          <w:rFonts w:ascii="Arial" w:eastAsia="Calibri" w:hAnsi="Arial" w:cs="Arial"/>
          <w:color w:val="222222"/>
          <w:kern w:val="2"/>
          <w:shd w:val="clear" w:color="auto" w:fill="FFFFFF"/>
          <w:lang w:val="en-GB" w:eastAsia="en-US"/>
          <w14:ligatures w14:val="standardContextual"/>
        </w:rPr>
        <w:t>, F., 2022. Turnaround Strategy of the Subscription Television Industry in Indonesia. </w:t>
      </w:r>
      <w:r w:rsidRPr="00543458">
        <w:rPr>
          <w:rFonts w:ascii="Arial" w:eastAsia="Calibri" w:hAnsi="Arial" w:cs="Arial"/>
          <w:i/>
          <w:iCs/>
          <w:color w:val="222222"/>
          <w:kern w:val="2"/>
          <w:shd w:val="clear" w:color="auto" w:fill="FFFFFF"/>
          <w:lang w:val="en-GB" w:eastAsia="en-US"/>
          <w14:ligatures w14:val="standardContextual"/>
        </w:rPr>
        <w:t>International Research Journal of Business Studies</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15</w:t>
      </w:r>
      <w:r w:rsidRPr="00543458">
        <w:rPr>
          <w:rFonts w:ascii="Arial" w:eastAsia="Calibri" w:hAnsi="Arial" w:cs="Arial"/>
          <w:color w:val="222222"/>
          <w:kern w:val="2"/>
          <w:shd w:val="clear" w:color="auto" w:fill="FFFFFF"/>
          <w:lang w:val="en-GB" w:eastAsia="en-US"/>
          <w14:ligatures w14:val="standardContextual"/>
        </w:rPr>
        <w:t xml:space="preserve">(3), pp.293-315. </w:t>
      </w:r>
      <w:hyperlink r:id="rId17" w:history="1">
        <w:r w:rsidRPr="00543458">
          <w:rPr>
            <w:rFonts w:ascii="Arial" w:eastAsia="Calibri" w:hAnsi="Arial" w:cs="Arial"/>
            <w:color w:val="0563C1"/>
            <w:kern w:val="2"/>
            <w:u w:val="single"/>
            <w:shd w:val="clear" w:color="auto" w:fill="FFFFFF"/>
            <w:lang w:val="en-GB" w:eastAsia="en-US"/>
            <w14:ligatures w14:val="standardContextual"/>
          </w:rPr>
          <w:t>https://irjbs.prasetiyamulya.ac.id/index.php/jurnalirjbs/article/view/291</w:t>
        </w:r>
      </w:hyperlink>
    </w:p>
    <w:p w14:paraId="4D52A79F" w14:textId="77777777" w:rsidR="00BF0189" w:rsidRPr="00543458" w:rsidRDefault="00BF0189" w:rsidP="00A85B02">
      <w:pPr>
        <w:spacing w:after="160"/>
        <w:jc w:val="left"/>
        <w:rPr>
          <w:rFonts w:ascii="Arial" w:eastAsia="Calibri" w:hAnsi="Arial" w:cs="Arial"/>
          <w:kern w:val="2"/>
          <w:lang w:val="en-GB" w:eastAsia="en-US"/>
          <w14:ligatures w14:val="standardContextual"/>
        </w:rPr>
      </w:pPr>
      <w:proofErr w:type="spellStart"/>
      <w:r w:rsidRPr="00543458">
        <w:rPr>
          <w:rFonts w:ascii="Arial" w:eastAsia="Calibri" w:hAnsi="Arial" w:cs="Arial"/>
          <w:color w:val="222222"/>
          <w:kern w:val="2"/>
          <w:shd w:val="clear" w:color="auto" w:fill="FFFFFF"/>
          <w:lang w:val="en-GB" w:eastAsia="en-US"/>
          <w14:ligatures w14:val="standardContextual"/>
        </w:rPr>
        <w:t>Adeodu</w:t>
      </w:r>
      <w:proofErr w:type="spellEnd"/>
      <w:r w:rsidRPr="00543458">
        <w:rPr>
          <w:rFonts w:ascii="Arial" w:eastAsia="Calibri" w:hAnsi="Arial" w:cs="Arial"/>
          <w:color w:val="222222"/>
          <w:kern w:val="2"/>
          <w:shd w:val="clear" w:color="auto" w:fill="FFFFFF"/>
          <w:lang w:val="en-GB" w:eastAsia="en-US"/>
          <w14:ligatures w14:val="standardContextual"/>
        </w:rPr>
        <w:t xml:space="preserve">, A., </w:t>
      </w:r>
      <w:proofErr w:type="spellStart"/>
      <w:r w:rsidRPr="00543458">
        <w:rPr>
          <w:rFonts w:ascii="Arial" w:eastAsia="Calibri" w:hAnsi="Arial" w:cs="Arial"/>
          <w:color w:val="222222"/>
          <w:kern w:val="2"/>
          <w:shd w:val="clear" w:color="auto" w:fill="FFFFFF"/>
          <w:lang w:val="en-GB" w:eastAsia="en-US"/>
          <w14:ligatures w14:val="standardContextual"/>
        </w:rPr>
        <w:t>Kanakana-Katumba</w:t>
      </w:r>
      <w:proofErr w:type="spellEnd"/>
      <w:r w:rsidRPr="00543458">
        <w:rPr>
          <w:rFonts w:ascii="Arial" w:eastAsia="Calibri" w:hAnsi="Arial" w:cs="Arial"/>
          <w:color w:val="222222"/>
          <w:kern w:val="2"/>
          <w:shd w:val="clear" w:color="auto" w:fill="FFFFFF"/>
          <w:lang w:val="en-GB" w:eastAsia="en-US"/>
          <w14:ligatures w14:val="standardContextual"/>
        </w:rPr>
        <w:t xml:space="preserve">, M.G. and </w:t>
      </w:r>
      <w:proofErr w:type="spellStart"/>
      <w:r w:rsidRPr="00543458">
        <w:rPr>
          <w:rFonts w:ascii="Arial" w:eastAsia="Calibri" w:hAnsi="Arial" w:cs="Arial"/>
          <w:color w:val="222222"/>
          <w:kern w:val="2"/>
          <w:shd w:val="clear" w:color="auto" w:fill="FFFFFF"/>
          <w:lang w:val="en-GB" w:eastAsia="en-US"/>
          <w14:ligatures w14:val="standardContextual"/>
        </w:rPr>
        <w:t>Rendani</w:t>
      </w:r>
      <w:proofErr w:type="spellEnd"/>
      <w:r w:rsidRPr="00543458">
        <w:rPr>
          <w:rFonts w:ascii="Arial" w:eastAsia="Calibri" w:hAnsi="Arial" w:cs="Arial"/>
          <w:color w:val="222222"/>
          <w:kern w:val="2"/>
          <w:shd w:val="clear" w:color="auto" w:fill="FFFFFF"/>
          <w:lang w:val="en-GB" w:eastAsia="en-US"/>
          <w14:ligatures w14:val="standardContextual"/>
        </w:rPr>
        <w:t>, M., 2021. Implementation of Lean Six Sigma for production process optimization in a paper production company. </w:t>
      </w:r>
      <w:r w:rsidRPr="00543458">
        <w:rPr>
          <w:rFonts w:ascii="Arial" w:eastAsia="Calibri" w:hAnsi="Arial" w:cs="Arial"/>
          <w:i/>
          <w:iCs/>
          <w:color w:val="222222"/>
          <w:kern w:val="2"/>
          <w:shd w:val="clear" w:color="auto" w:fill="FFFFFF"/>
          <w:lang w:val="en-GB" w:eastAsia="en-US"/>
          <w14:ligatures w14:val="standardContextual"/>
        </w:rPr>
        <w:t>Journal of Industrial Engineering and Management</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14</w:t>
      </w:r>
      <w:r w:rsidRPr="00543458">
        <w:rPr>
          <w:rFonts w:ascii="Arial" w:eastAsia="Calibri" w:hAnsi="Arial" w:cs="Arial"/>
          <w:color w:val="222222"/>
          <w:kern w:val="2"/>
          <w:shd w:val="clear" w:color="auto" w:fill="FFFFFF"/>
          <w:lang w:val="en-GB" w:eastAsia="en-US"/>
          <w14:ligatures w14:val="standardContextual"/>
        </w:rPr>
        <w:t xml:space="preserve">(3), pp.661-680. </w:t>
      </w:r>
      <w:hyperlink r:id="rId18" w:history="1">
        <w:r w:rsidRPr="00543458">
          <w:rPr>
            <w:rFonts w:ascii="Arial" w:eastAsia="Calibri" w:hAnsi="Arial" w:cs="Arial"/>
            <w:color w:val="0563C1"/>
            <w:kern w:val="2"/>
            <w:u w:val="single"/>
            <w:shd w:val="clear" w:color="auto" w:fill="FFFFFF"/>
            <w:lang w:val="en-GB" w:eastAsia="en-US"/>
            <w14:ligatures w14:val="standardContextual"/>
          </w:rPr>
          <w:t>http://jiem.org/index.php/jiem/article/view/3479</w:t>
        </w:r>
      </w:hyperlink>
    </w:p>
    <w:p w14:paraId="76F56988" w14:textId="77777777" w:rsidR="00BF0189" w:rsidRPr="00543458" w:rsidRDefault="00BF0189" w:rsidP="00A85B02">
      <w:pPr>
        <w:spacing w:after="160"/>
        <w:jc w:val="left"/>
        <w:rPr>
          <w:rFonts w:ascii="Arial" w:eastAsia="Calibri" w:hAnsi="Arial" w:cs="Arial"/>
          <w:kern w:val="2"/>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t xml:space="preserve">Altman, E.I., </w:t>
      </w:r>
      <w:proofErr w:type="spellStart"/>
      <w:r w:rsidRPr="00543458">
        <w:rPr>
          <w:rFonts w:ascii="Arial" w:eastAsia="Calibri" w:hAnsi="Arial" w:cs="Arial"/>
          <w:color w:val="222222"/>
          <w:kern w:val="2"/>
          <w:shd w:val="clear" w:color="auto" w:fill="FFFFFF"/>
          <w:lang w:val="en-GB" w:eastAsia="en-US"/>
          <w14:ligatures w14:val="standardContextual"/>
        </w:rPr>
        <w:t>Balzano</w:t>
      </w:r>
      <w:proofErr w:type="spellEnd"/>
      <w:r w:rsidRPr="00543458">
        <w:rPr>
          <w:rFonts w:ascii="Arial" w:eastAsia="Calibri" w:hAnsi="Arial" w:cs="Arial"/>
          <w:color w:val="222222"/>
          <w:kern w:val="2"/>
          <w:shd w:val="clear" w:color="auto" w:fill="FFFFFF"/>
          <w:lang w:val="en-GB" w:eastAsia="en-US"/>
          <w14:ligatures w14:val="standardContextual"/>
        </w:rPr>
        <w:t xml:space="preserve">, M., </w:t>
      </w:r>
      <w:proofErr w:type="spellStart"/>
      <w:r w:rsidRPr="00543458">
        <w:rPr>
          <w:rFonts w:ascii="Arial" w:eastAsia="Calibri" w:hAnsi="Arial" w:cs="Arial"/>
          <w:color w:val="222222"/>
          <w:kern w:val="2"/>
          <w:shd w:val="clear" w:color="auto" w:fill="FFFFFF"/>
          <w:lang w:val="en-GB" w:eastAsia="en-US"/>
          <w14:ligatures w14:val="standardContextual"/>
        </w:rPr>
        <w:t>Giannozzi</w:t>
      </w:r>
      <w:proofErr w:type="spellEnd"/>
      <w:r w:rsidRPr="00543458">
        <w:rPr>
          <w:rFonts w:ascii="Arial" w:eastAsia="Calibri" w:hAnsi="Arial" w:cs="Arial"/>
          <w:color w:val="222222"/>
          <w:kern w:val="2"/>
          <w:shd w:val="clear" w:color="auto" w:fill="FFFFFF"/>
          <w:lang w:val="en-GB" w:eastAsia="en-US"/>
          <w14:ligatures w14:val="standardContextual"/>
        </w:rPr>
        <w:t xml:space="preserve">, A., Liguori, E. and </w:t>
      </w:r>
      <w:proofErr w:type="spellStart"/>
      <w:r w:rsidRPr="00543458">
        <w:rPr>
          <w:rFonts w:ascii="Arial" w:eastAsia="Calibri" w:hAnsi="Arial" w:cs="Arial"/>
          <w:color w:val="222222"/>
          <w:kern w:val="2"/>
          <w:shd w:val="clear" w:color="auto" w:fill="FFFFFF"/>
          <w:lang w:val="en-GB" w:eastAsia="en-US"/>
          <w14:ligatures w14:val="standardContextual"/>
        </w:rPr>
        <w:t>Srhoj</w:t>
      </w:r>
      <w:proofErr w:type="spellEnd"/>
      <w:r w:rsidRPr="00543458">
        <w:rPr>
          <w:rFonts w:ascii="Arial" w:eastAsia="Calibri" w:hAnsi="Arial" w:cs="Arial"/>
          <w:color w:val="222222"/>
          <w:kern w:val="2"/>
          <w:shd w:val="clear" w:color="auto" w:fill="FFFFFF"/>
          <w:lang w:val="en-GB" w:eastAsia="en-US"/>
          <w14:ligatures w14:val="standardContextual"/>
        </w:rPr>
        <w:t>, S., 2025. Bouncing back to the surface: Factors determining SME recovery. </w:t>
      </w:r>
      <w:r w:rsidRPr="00543458">
        <w:rPr>
          <w:rFonts w:ascii="Arial" w:eastAsia="Calibri" w:hAnsi="Arial" w:cs="Arial"/>
          <w:i/>
          <w:iCs/>
          <w:color w:val="222222"/>
          <w:kern w:val="2"/>
          <w:shd w:val="clear" w:color="auto" w:fill="FFFFFF"/>
          <w:lang w:val="en-GB" w:eastAsia="en-US"/>
          <w14:ligatures w14:val="standardContextual"/>
        </w:rPr>
        <w:t>Journal of small business management</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63</w:t>
      </w:r>
      <w:r w:rsidRPr="00543458">
        <w:rPr>
          <w:rFonts w:ascii="Arial" w:eastAsia="Calibri" w:hAnsi="Arial" w:cs="Arial"/>
          <w:color w:val="222222"/>
          <w:kern w:val="2"/>
          <w:shd w:val="clear" w:color="auto" w:fill="FFFFFF"/>
          <w:lang w:val="en-GB" w:eastAsia="en-US"/>
          <w14:ligatures w14:val="standardContextual"/>
        </w:rPr>
        <w:t xml:space="preserve">(4), pp.1856-1883. </w:t>
      </w:r>
      <w:hyperlink r:id="rId19" w:history="1">
        <w:r w:rsidRPr="00543458">
          <w:rPr>
            <w:rFonts w:ascii="Arial" w:eastAsia="Calibri" w:hAnsi="Arial" w:cs="Arial"/>
            <w:color w:val="0563C1"/>
            <w:kern w:val="2"/>
            <w:u w:val="single"/>
            <w:shd w:val="clear" w:color="auto" w:fill="FFFFFF"/>
            <w:lang w:val="en-GB" w:eastAsia="en-US"/>
            <w14:ligatures w14:val="standardContextual"/>
          </w:rPr>
          <w:t>https://www.tandfonline.com/doi/abs/10.1080/00472778.2024.2415302</w:t>
        </w:r>
      </w:hyperlink>
    </w:p>
    <w:p w14:paraId="3FDE8064" w14:textId="77777777" w:rsidR="00BF0189" w:rsidRPr="00543458" w:rsidRDefault="00BF0189" w:rsidP="00A85B02">
      <w:pPr>
        <w:spacing w:after="160"/>
        <w:jc w:val="left"/>
        <w:rPr>
          <w:rFonts w:ascii="Arial" w:eastAsia="Calibri" w:hAnsi="Arial" w:cs="Arial"/>
          <w:kern w:val="2"/>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t>Altunbaş, Y., Khan, A. and Thornton, J., 2023. Do M&amp;As impact firm carbon intensity</w:t>
      </w:r>
      <w:proofErr w:type="gramStart"/>
      <w:r w:rsidRPr="00543458">
        <w:rPr>
          <w:rFonts w:ascii="Arial" w:eastAsia="Calibri" w:hAnsi="Arial" w:cs="Arial"/>
          <w:color w:val="222222"/>
          <w:kern w:val="2"/>
          <w:shd w:val="clear" w:color="auto" w:fill="FFFFFF"/>
          <w:lang w:val="en-GB" w:eastAsia="en-US"/>
          <w14:ligatures w14:val="standardContextual"/>
        </w:rPr>
        <w:t>?.</w:t>
      </w:r>
      <w:proofErr w:type="gramEnd"/>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Energy Economics</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128</w:t>
      </w:r>
      <w:r w:rsidRPr="00543458">
        <w:rPr>
          <w:rFonts w:ascii="Arial" w:eastAsia="Calibri" w:hAnsi="Arial" w:cs="Arial"/>
          <w:color w:val="222222"/>
          <w:kern w:val="2"/>
          <w:shd w:val="clear" w:color="auto" w:fill="FFFFFF"/>
          <w:lang w:val="en-GB" w:eastAsia="en-US"/>
          <w14:ligatures w14:val="standardContextual"/>
        </w:rPr>
        <w:t xml:space="preserve">, p.107197. </w:t>
      </w:r>
      <w:hyperlink r:id="rId20" w:history="1">
        <w:r w:rsidRPr="00543458">
          <w:rPr>
            <w:rFonts w:ascii="Arial" w:eastAsia="Calibri" w:hAnsi="Arial" w:cs="Arial"/>
            <w:color w:val="0563C1"/>
            <w:kern w:val="2"/>
            <w:u w:val="single"/>
            <w:shd w:val="clear" w:color="auto" w:fill="FFFFFF"/>
            <w:lang w:val="en-GB" w:eastAsia="en-US"/>
            <w14:ligatures w14:val="standardContextual"/>
          </w:rPr>
          <w:t>https://www.sciencedirect.com/science/article/pii/S0140988323006953</w:t>
        </w:r>
      </w:hyperlink>
    </w:p>
    <w:p w14:paraId="55F04B14" w14:textId="77777777" w:rsidR="00BF0189" w:rsidRPr="00543458" w:rsidRDefault="00BF0189" w:rsidP="00A85B02">
      <w:pPr>
        <w:spacing w:after="160"/>
        <w:jc w:val="left"/>
        <w:rPr>
          <w:rFonts w:ascii="Arial" w:eastAsia="Calibri" w:hAnsi="Arial" w:cs="Arial"/>
          <w:kern w:val="2"/>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t xml:space="preserve">Baliouskas, P., </w:t>
      </w:r>
      <w:proofErr w:type="spellStart"/>
      <w:r w:rsidRPr="00543458">
        <w:rPr>
          <w:rFonts w:ascii="Arial" w:eastAsia="Calibri" w:hAnsi="Arial" w:cs="Arial"/>
          <w:color w:val="222222"/>
          <w:kern w:val="2"/>
          <w:shd w:val="clear" w:color="auto" w:fill="FFFFFF"/>
          <w:lang w:val="en-GB" w:eastAsia="en-US"/>
          <w14:ligatures w14:val="standardContextual"/>
        </w:rPr>
        <w:t>Llopis</w:t>
      </w:r>
      <w:proofErr w:type="spellEnd"/>
      <w:r w:rsidRPr="00543458">
        <w:rPr>
          <w:rFonts w:ascii="Arial" w:eastAsia="Calibri" w:hAnsi="Arial" w:cs="Arial"/>
          <w:color w:val="222222"/>
          <w:kern w:val="2"/>
          <w:shd w:val="clear" w:color="auto" w:fill="FFFFFF"/>
          <w:lang w:val="en-GB" w:eastAsia="en-US"/>
          <w14:ligatures w14:val="standardContextual"/>
        </w:rPr>
        <w:t xml:space="preserve">, J., </w:t>
      </w:r>
      <w:proofErr w:type="spellStart"/>
      <w:r w:rsidRPr="00543458">
        <w:rPr>
          <w:rFonts w:ascii="Arial" w:eastAsia="Calibri" w:hAnsi="Arial" w:cs="Arial"/>
          <w:color w:val="222222"/>
          <w:kern w:val="2"/>
          <w:shd w:val="clear" w:color="auto" w:fill="FFFFFF"/>
          <w:lang w:val="en-GB" w:eastAsia="en-US"/>
          <w14:ligatures w14:val="standardContextual"/>
        </w:rPr>
        <w:t>Gasco</w:t>
      </w:r>
      <w:proofErr w:type="spellEnd"/>
      <w:r w:rsidRPr="00543458">
        <w:rPr>
          <w:rFonts w:ascii="Arial" w:eastAsia="Calibri" w:hAnsi="Arial" w:cs="Arial"/>
          <w:color w:val="222222"/>
          <w:kern w:val="2"/>
          <w:shd w:val="clear" w:color="auto" w:fill="FFFFFF"/>
          <w:lang w:val="en-GB" w:eastAsia="en-US"/>
          <w14:ligatures w14:val="standardContextual"/>
        </w:rPr>
        <w:t>, J. and Gonzalez, R., 2023. Implementing turnaround strategies as an entrepreneurial process. </w:t>
      </w:r>
      <w:r w:rsidRPr="00543458">
        <w:rPr>
          <w:rFonts w:ascii="Arial" w:eastAsia="Calibri" w:hAnsi="Arial" w:cs="Arial"/>
          <w:i/>
          <w:iCs/>
          <w:color w:val="222222"/>
          <w:kern w:val="2"/>
          <w:shd w:val="clear" w:color="auto" w:fill="FFFFFF"/>
          <w:lang w:val="en-GB" w:eastAsia="en-US"/>
          <w14:ligatures w14:val="standardContextual"/>
        </w:rPr>
        <w:t>International Entrepreneurship and Management Journal</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19</w:t>
      </w:r>
      <w:r w:rsidRPr="00543458">
        <w:rPr>
          <w:rFonts w:ascii="Arial" w:eastAsia="Calibri" w:hAnsi="Arial" w:cs="Arial"/>
          <w:color w:val="222222"/>
          <w:kern w:val="2"/>
          <w:shd w:val="clear" w:color="auto" w:fill="FFFFFF"/>
          <w:lang w:val="en-GB" w:eastAsia="en-US"/>
          <w14:ligatures w14:val="standardContextual"/>
        </w:rPr>
        <w:t xml:space="preserve">(4), pp.2037-2063. </w:t>
      </w:r>
      <w:hyperlink r:id="rId21" w:history="1">
        <w:r w:rsidRPr="00543458">
          <w:rPr>
            <w:rFonts w:ascii="Arial" w:eastAsia="Calibri" w:hAnsi="Arial" w:cs="Arial"/>
            <w:color w:val="0563C1"/>
            <w:kern w:val="2"/>
            <w:u w:val="single"/>
            <w:shd w:val="clear" w:color="auto" w:fill="FFFFFF"/>
            <w:lang w:val="en-GB" w:eastAsia="en-US"/>
            <w14:ligatures w14:val="standardContextual"/>
          </w:rPr>
          <w:t>https://link.springer.com/article/10.1007/s11365-022-00810-9</w:t>
        </w:r>
      </w:hyperlink>
    </w:p>
    <w:p w14:paraId="7E7D146E" w14:textId="77777777" w:rsidR="00BF0189" w:rsidRPr="00543458" w:rsidRDefault="00BF0189" w:rsidP="00A85B02">
      <w:pPr>
        <w:spacing w:after="160"/>
        <w:jc w:val="left"/>
        <w:rPr>
          <w:rFonts w:ascii="Arial" w:eastAsia="Calibri" w:hAnsi="Arial" w:cs="Arial"/>
          <w:kern w:val="2"/>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t>Barker III, V.L., Luger, J., Schmitt, A. and Xin, K.R., 2024. Corporate decline and turnarounds in times of digitalization. </w:t>
      </w:r>
      <w:r w:rsidRPr="00543458">
        <w:rPr>
          <w:rFonts w:ascii="Arial" w:eastAsia="Calibri" w:hAnsi="Arial" w:cs="Arial"/>
          <w:i/>
          <w:iCs/>
          <w:color w:val="222222"/>
          <w:kern w:val="2"/>
          <w:shd w:val="clear" w:color="auto" w:fill="FFFFFF"/>
          <w:lang w:val="en-GB" w:eastAsia="en-US"/>
          <w14:ligatures w14:val="standardContextual"/>
        </w:rPr>
        <w:t>Long Range Planning</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57</w:t>
      </w:r>
      <w:r w:rsidRPr="00543458">
        <w:rPr>
          <w:rFonts w:ascii="Arial" w:eastAsia="Calibri" w:hAnsi="Arial" w:cs="Arial"/>
          <w:color w:val="222222"/>
          <w:kern w:val="2"/>
          <w:shd w:val="clear" w:color="auto" w:fill="FFFFFF"/>
          <w:lang w:val="en-GB" w:eastAsia="en-US"/>
          <w14:ligatures w14:val="standardContextual"/>
        </w:rPr>
        <w:t xml:space="preserve">(1), p.102211. </w:t>
      </w:r>
      <w:hyperlink r:id="rId22" w:history="1">
        <w:r w:rsidRPr="00543458">
          <w:rPr>
            <w:rFonts w:ascii="Arial" w:eastAsia="Calibri" w:hAnsi="Arial" w:cs="Arial"/>
            <w:color w:val="0563C1"/>
            <w:kern w:val="2"/>
            <w:u w:val="single"/>
            <w:shd w:val="clear" w:color="auto" w:fill="FFFFFF"/>
            <w:lang w:val="en-GB" w:eastAsia="en-US"/>
            <w14:ligatures w14:val="standardContextual"/>
          </w:rPr>
          <w:t>https://www.sciencedirect.com/science/article/pii/S0024630122000309</w:t>
        </w:r>
      </w:hyperlink>
    </w:p>
    <w:p w14:paraId="1F85BBD2" w14:textId="77777777" w:rsidR="00BF0189" w:rsidRDefault="00BF0189" w:rsidP="00A85B02">
      <w:pPr>
        <w:spacing w:after="160"/>
        <w:jc w:val="left"/>
        <w:rPr>
          <w:rFonts w:ascii="Arial" w:eastAsia="Calibri" w:hAnsi="Arial" w:cs="Arial"/>
          <w:color w:val="0563C1"/>
          <w:kern w:val="2"/>
          <w:u w:val="single"/>
          <w:shd w:val="clear" w:color="auto" w:fill="FFFFFF"/>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t>Beekun, B. and De Carvalho, Z., 2021. Effect of strategic management strategies on performance of the manufacturing firms in Mexico. </w:t>
      </w:r>
      <w:r w:rsidRPr="00543458">
        <w:rPr>
          <w:rFonts w:ascii="Arial" w:eastAsia="Calibri" w:hAnsi="Arial" w:cs="Arial"/>
          <w:i/>
          <w:iCs/>
          <w:color w:val="222222"/>
          <w:kern w:val="2"/>
          <w:shd w:val="clear" w:color="auto" w:fill="FFFFFF"/>
          <w:lang w:val="en-GB" w:eastAsia="en-US"/>
          <w14:ligatures w14:val="standardContextual"/>
        </w:rPr>
        <w:t>Journal of Strategic Management</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5</w:t>
      </w:r>
      <w:r w:rsidRPr="00543458">
        <w:rPr>
          <w:rFonts w:ascii="Arial" w:eastAsia="Calibri" w:hAnsi="Arial" w:cs="Arial"/>
          <w:color w:val="222222"/>
          <w:kern w:val="2"/>
          <w:shd w:val="clear" w:color="auto" w:fill="FFFFFF"/>
          <w:lang w:val="en-GB" w:eastAsia="en-US"/>
          <w14:ligatures w14:val="standardContextual"/>
        </w:rPr>
        <w:t xml:space="preserve">(1), pp.30-39. </w:t>
      </w:r>
      <w:hyperlink r:id="rId23" w:history="1">
        <w:r w:rsidRPr="00543458">
          <w:rPr>
            <w:rFonts w:ascii="Arial" w:eastAsia="Calibri" w:hAnsi="Arial" w:cs="Arial"/>
            <w:color w:val="0563C1"/>
            <w:kern w:val="2"/>
            <w:u w:val="single"/>
            <w:shd w:val="clear" w:color="auto" w:fill="FFFFFF"/>
            <w:lang w:val="en-GB" w:eastAsia="en-US"/>
            <w14:ligatures w14:val="standardContextual"/>
          </w:rPr>
          <w:t>https://stratfordjournalpublishers.org/journals/index.php/journal-of-strategic-management/article/view/719</w:t>
        </w:r>
      </w:hyperlink>
    </w:p>
    <w:p w14:paraId="578BE2C3" w14:textId="77777777" w:rsidR="00A85B02" w:rsidRPr="00543458" w:rsidRDefault="00A85B02" w:rsidP="00A85B02">
      <w:pPr>
        <w:spacing w:after="160"/>
        <w:jc w:val="left"/>
        <w:rPr>
          <w:rFonts w:ascii="Arial" w:eastAsia="Calibri" w:hAnsi="Arial" w:cs="Arial"/>
          <w:kern w:val="2"/>
          <w:lang w:val="en-GB" w:eastAsia="en-US"/>
          <w14:ligatures w14:val="standardContextual"/>
        </w:rPr>
      </w:pPr>
    </w:p>
    <w:p w14:paraId="68832481" w14:textId="77777777" w:rsidR="00BF0189" w:rsidRPr="00543458" w:rsidRDefault="00BF0189" w:rsidP="00A85B02">
      <w:pPr>
        <w:spacing w:after="160"/>
        <w:jc w:val="left"/>
        <w:rPr>
          <w:rFonts w:ascii="Arial" w:eastAsia="Calibri" w:hAnsi="Arial" w:cs="Arial"/>
          <w:kern w:val="2"/>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lastRenderedPageBreak/>
        <w:t xml:space="preserve">Bukhori, I., </w:t>
      </w:r>
      <w:proofErr w:type="spellStart"/>
      <w:r w:rsidRPr="00543458">
        <w:rPr>
          <w:rFonts w:ascii="Arial" w:eastAsia="Calibri" w:hAnsi="Arial" w:cs="Arial"/>
          <w:color w:val="222222"/>
          <w:kern w:val="2"/>
          <w:shd w:val="clear" w:color="auto" w:fill="FFFFFF"/>
          <w:lang w:val="en-GB" w:eastAsia="en-US"/>
          <w14:ligatures w14:val="standardContextual"/>
        </w:rPr>
        <w:t>Kusumawati</w:t>
      </w:r>
      <w:proofErr w:type="spellEnd"/>
      <w:r w:rsidRPr="00543458">
        <w:rPr>
          <w:rFonts w:ascii="Arial" w:eastAsia="Calibri" w:hAnsi="Arial" w:cs="Arial"/>
          <w:color w:val="222222"/>
          <w:kern w:val="2"/>
          <w:shd w:val="clear" w:color="auto" w:fill="FFFFFF"/>
          <w:lang w:val="en-GB" w:eastAsia="en-US"/>
          <w14:ligatures w14:val="standardContextual"/>
        </w:rPr>
        <w:t xml:space="preserve">, R. and </w:t>
      </w:r>
      <w:proofErr w:type="spellStart"/>
      <w:r w:rsidRPr="00543458">
        <w:rPr>
          <w:rFonts w:ascii="Arial" w:eastAsia="Calibri" w:hAnsi="Arial" w:cs="Arial"/>
          <w:color w:val="222222"/>
          <w:kern w:val="2"/>
          <w:shd w:val="clear" w:color="auto" w:fill="FFFFFF"/>
          <w:lang w:val="en-GB" w:eastAsia="en-US"/>
          <w14:ligatures w14:val="standardContextual"/>
        </w:rPr>
        <w:t>Meilani</w:t>
      </w:r>
      <w:proofErr w:type="spellEnd"/>
      <w:r w:rsidRPr="00543458">
        <w:rPr>
          <w:rFonts w:ascii="Arial" w:eastAsia="Calibri" w:hAnsi="Arial" w:cs="Arial"/>
          <w:color w:val="222222"/>
          <w:kern w:val="2"/>
          <w:shd w:val="clear" w:color="auto" w:fill="FFFFFF"/>
          <w:lang w:val="en-GB" w:eastAsia="en-US"/>
          <w14:ligatures w14:val="standardContextual"/>
        </w:rPr>
        <w:t>, M., 2022. Prediction of financial distress in manufacturing companies: evidence from Indonesia. </w:t>
      </w:r>
      <w:r w:rsidRPr="00543458">
        <w:rPr>
          <w:rFonts w:ascii="Arial" w:eastAsia="Calibri" w:hAnsi="Arial" w:cs="Arial"/>
          <w:i/>
          <w:iCs/>
          <w:color w:val="222222"/>
          <w:kern w:val="2"/>
          <w:shd w:val="clear" w:color="auto" w:fill="FFFFFF"/>
          <w:lang w:val="en-GB" w:eastAsia="en-US"/>
          <w14:ligatures w14:val="standardContextual"/>
        </w:rPr>
        <w:t>Journal of Accounting and Investment</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23</w:t>
      </w:r>
      <w:r w:rsidRPr="00543458">
        <w:rPr>
          <w:rFonts w:ascii="Arial" w:eastAsia="Calibri" w:hAnsi="Arial" w:cs="Arial"/>
          <w:color w:val="222222"/>
          <w:kern w:val="2"/>
          <w:shd w:val="clear" w:color="auto" w:fill="FFFFFF"/>
          <w:lang w:val="en-GB" w:eastAsia="en-US"/>
          <w14:ligatures w14:val="standardContextual"/>
        </w:rPr>
        <w:t xml:space="preserve">(3), pp.588-605. </w:t>
      </w:r>
      <w:hyperlink r:id="rId24" w:history="1">
        <w:r w:rsidRPr="00543458">
          <w:rPr>
            <w:rFonts w:ascii="Arial" w:eastAsia="Calibri" w:hAnsi="Arial" w:cs="Arial"/>
            <w:color w:val="0563C1"/>
            <w:kern w:val="2"/>
            <w:u w:val="single"/>
            <w:shd w:val="clear" w:color="auto" w:fill="FFFFFF"/>
            <w:lang w:val="en-GB" w:eastAsia="en-US"/>
            <w14:ligatures w14:val="standardContextual"/>
          </w:rPr>
          <w:t>http://download.garuda.kemdikbud.go.id/article.php?article=2999187&amp;val=8104&amp;title=</w:t>
        </w:r>
      </w:hyperlink>
    </w:p>
    <w:p w14:paraId="0A1C5211" w14:textId="77777777" w:rsidR="00BF0189" w:rsidRPr="00543458" w:rsidRDefault="00BF0189" w:rsidP="00A85B02">
      <w:pPr>
        <w:spacing w:after="160"/>
        <w:jc w:val="left"/>
        <w:rPr>
          <w:rFonts w:ascii="Arial" w:eastAsia="Calibri" w:hAnsi="Arial" w:cs="Arial"/>
          <w:kern w:val="2"/>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t>Candela, A. and Ulises, F., 2022. E-procurement and performance of manufacturing firms in Buenos Aires, Argentina. </w:t>
      </w:r>
      <w:r w:rsidRPr="00543458">
        <w:rPr>
          <w:rFonts w:ascii="Arial" w:eastAsia="Calibri" w:hAnsi="Arial" w:cs="Arial"/>
          <w:i/>
          <w:iCs/>
          <w:color w:val="222222"/>
          <w:kern w:val="2"/>
          <w:shd w:val="clear" w:color="auto" w:fill="FFFFFF"/>
          <w:lang w:val="en-GB" w:eastAsia="en-US"/>
          <w14:ligatures w14:val="standardContextual"/>
        </w:rPr>
        <w:t>Journal of Procurement &amp; Supply Chain</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6</w:t>
      </w:r>
      <w:r w:rsidRPr="00543458">
        <w:rPr>
          <w:rFonts w:ascii="Arial" w:eastAsia="Calibri" w:hAnsi="Arial" w:cs="Arial"/>
          <w:color w:val="222222"/>
          <w:kern w:val="2"/>
          <w:shd w:val="clear" w:color="auto" w:fill="FFFFFF"/>
          <w:lang w:val="en-GB" w:eastAsia="en-US"/>
          <w14:ligatures w14:val="standardContextual"/>
        </w:rPr>
        <w:t xml:space="preserve">(1), pp.1-10. </w:t>
      </w:r>
      <w:hyperlink r:id="rId25" w:history="1">
        <w:r w:rsidRPr="00543458">
          <w:rPr>
            <w:rFonts w:ascii="Arial" w:eastAsia="Calibri" w:hAnsi="Arial" w:cs="Arial"/>
            <w:color w:val="0563C1"/>
            <w:kern w:val="2"/>
            <w:u w:val="single"/>
            <w:shd w:val="clear" w:color="auto" w:fill="FFFFFF"/>
            <w:lang w:val="en-GB" w:eastAsia="en-US"/>
            <w14:ligatures w14:val="standardContextual"/>
          </w:rPr>
          <w:t>https://stratfordjournalpublishers.org/journals/index.php/journal-of-procurement-supply/article/view/1038</w:t>
        </w:r>
      </w:hyperlink>
    </w:p>
    <w:p w14:paraId="7B850A8C" w14:textId="77777777" w:rsidR="00BF0189" w:rsidRPr="00543458" w:rsidRDefault="00BF0189" w:rsidP="00A85B02">
      <w:pPr>
        <w:spacing w:after="160"/>
        <w:jc w:val="left"/>
        <w:rPr>
          <w:rFonts w:ascii="Arial" w:eastAsia="Calibri" w:hAnsi="Arial" w:cs="Arial"/>
          <w:kern w:val="2"/>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t>Harrigan, K.R. and Wing, B.M., 2021. Corporate renewal and turnaround of troubled businesses: The private equity advantage. </w:t>
      </w:r>
      <w:r w:rsidRPr="00543458">
        <w:rPr>
          <w:rFonts w:ascii="Arial" w:eastAsia="Calibri" w:hAnsi="Arial" w:cs="Arial"/>
          <w:i/>
          <w:iCs/>
          <w:color w:val="222222"/>
          <w:kern w:val="2"/>
          <w:shd w:val="clear" w:color="auto" w:fill="FFFFFF"/>
          <w:lang w:val="en-GB" w:eastAsia="en-US"/>
          <w14:ligatures w14:val="standardContextual"/>
        </w:rPr>
        <w:t>Strategic Management Review</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2</w:t>
      </w:r>
      <w:r w:rsidRPr="00543458">
        <w:rPr>
          <w:rFonts w:ascii="Arial" w:eastAsia="Calibri" w:hAnsi="Arial" w:cs="Arial"/>
          <w:color w:val="222222"/>
          <w:kern w:val="2"/>
          <w:shd w:val="clear" w:color="auto" w:fill="FFFFFF"/>
          <w:lang w:val="en-GB" w:eastAsia="en-US"/>
          <w14:ligatures w14:val="standardContextual"/>
        </w:rPr>
        <w:t xml:space="preserve">(2), pp.363-90. </w:t>
      </w:r>
      <w:hyperlink r:id="rId26" w:history="1">
        <w:r w:rsidRPr="00543458">
          <w:rPr>
            <w:rFonts w:ascii="Arial" w:eastAsia="Calibri" w:hAnsi="Arial" w:cs="Arial"/>
            <w:color w:val="0563C1"/>
            <w:kern w:val="2"/>
            <w:u w:val="single"/>
            <w:shd w:val="clear" w:color="auto" w:fill="FFFFFF"/>
            <w:lang w:val="en-GB" w:eastAsia="en-US"/>
            <w14:ligatures w14:val="standardContextual"/>
          </w:rPr>
          <w:t>https://www.strategicmanagementreview.net/assets/articles/Harrigan%20and%20Wing%20Corporate%20Renewal%20SI.pdf</w:t>
        </w:r>
      </w:hyperlink>
    </w:p>
    <w:p w14:paraId="39F29BCA" w14:textId="77777777" w:rsidR="00BF0189" w:rsidRPr="00543458" w:rsidRDefault="00BF0189" w:rsidP="00A85B02">
      <w:pPr>
        <w:spacing w:after="160"/>
        <w:jc w:val="left"/>
        <w:rPr>
          <w:rFonts w:ascii="Arial" w:eastAsia="Calibri" w:hAnsi="Arial" w:cs="Arial"/>
          <w:kern w:val="2"/>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t>Hentry, K., Philomina, I.G. and Oommen, J.G., 2024. Thrive to revive: turnaround strategies of startups in India. </w:t>
      </w:r>
      <w:r w:rsidRPr="00543458">
        <w:rPr>
          <w:rFonts w:ascii="Arial" w:eastAsia="Calibri" w:hAnsi="Arial" w:cs="Arial"/>
          <w:i/>
          <w:iCs/>
          <w:color w:val="222222"/>
          <w:kern w:val="2"/>
          <w:shd w:val="clear" w:color="auto" w:fill="FFFFFF"/>
          <w:lang w:val="en-GB" w:eastAsia="en-US"/>
          <w14:ligatures w14:val="standardContextual"/>
        </w:rPr>
        <w:t>Access Journal</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5</w:t>
      </w:r>
      <w:r w:rsidRPr="00543458">
        <w:rPr>
          <w:rFonts w:ascii="Arial" w:eastAsia="Calibri" w:hAnsi="Arial" w:cs="Arial"/>
          <w:color w:val="222222"/>
          <w:kern w:val="2"/>
          <w:shd w:val="clear" w:color="auto" w:fill="FFFFFF"/>
          <w:lang w:val="en-GB" w:eastAsia="en-US"/>
          <w14:ligatures w14:val="standardContextual"/>
        </w:rPr>
        <w:t xml:space="preserve">(2), pp.341-356. </w:t>
      </w:r>
      <w:hyperlink r:id="rId27" w:history="1">
        <w:r w:rsidRPr="00543458">
          <w:rPr>
            <w:rFonts w:ascii="Arial" w:eastAsia="Calibri" w:hAnsi="Arial" w:cs="Arial"/>
            <w:color w:val="0563C1"/>
            <w:kern w:val="2"/>
            <w:u w:val="single"/>
            <w:shd w:val="clear" w:color="auto" w:fill="FFFFFF"/>
            <w:lang w:val="en-GB" w:eastAsia="en-US"/>
            <w14:ligatures w14:val="standardContextual"/>
          </w:rPr>
          <w:t>https://journal.access-bg.org/journalfiles/journal/issue-5-2-2024/thrive_to_revive-turnaround_strategies_of_startups_in_india.pdf</w:t>
        </w:r>
      </w:hyperlink>
    </w:p>
    <w:p w14:paraId="2B4F62AF" w14:textId="77777777" w:rsidR="00BF0189" w:rsidRPr="00543458" w:rsidRDefault="00BF0189" w:rsidP="00A85B02">
      <w:pPr>
        <w:spacing w:after="160"/>
        <w:jc w:val="left"/>
        <w:rPr>
          <w:rFonts w:ascii="Arial" w:eastAsia="Calibri" w:hAnsi="Arial" w:cs="Arial"/>
          <w:kern w:val="2"/>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t>Imhanzenobe, J., 2021. Achieving competitive advantage and financial sustainability through acquisition and restructuring strategies. </w:t>
      </w:r>
      <w:r w:rsidRPr="00543458">
        <w:rPr>
          <w:rFonts w:ascii="Arial" w:eastAsia="Calibri" w:hAnsi="Arial" w:cs="Arial"/>
          <w:i/>
          <w:iCs/>
          <w:color w:val="222222"/>
          <w:kern w:val="2"/>
          <w:shd w:val="clear" w:color="auto" w:fill="FFFFFF"/>
          <w:lang w:val="en-GB" w:eastAsia="en-US"/>
          <w14:ligatures w14:val="standardContextual"/>
        </w:rPr>
        <w:t>Journal of Accounting and Taxation</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13</w:t>
      </w:r>
      <w:r w:rsidRPr="00543458">
        <w:rPr>
          <w:rFonts w:ascii="Arial" w:eastAsia="Calibri" w:hAnsi="Arial" w:cs="Arial"/>
          <w:color w:val="222222"/>
          <w:kern w:val="2"/>
          <w:shd w:val="clear" w:color="auto" w:fill="FFFFFF"/>
          <w:lang w:val="en-GB" w:eastAsia="en-US"/>
          <w14:ligatures w14:val="standardContextual"/>
        </w:rPr>
        <w:t xml:space="preserve">(3), pp.217-225. </w:t>
      </w:r>
      <w:hyperlink r:id="rId28" w:history="1">
        <w:r w:rsidRPr="00543458">
          <w:rPr>
            <w:rFonts w:ascii="Arial" w:eastAsia="Calibri" w:hAnsi="Arial" w:cs="Arial"/>
            <w:color w:val="0563C1"/>
            <w:kern w:val="2"/>
            <w:u w:val="single"/>
            <w:shd w:val="clear" w:color="auto" w:fill="FFFFFF"/>
            <w:lang w:val="en-GB" w:eastAsia="en-US"/>
            <w14:ligatures w14:val="standardContextual"/>
          </w:rPr>
          <w:t>https://academicjournals.org/journal/JAT/article-full-text/DE2A83967798</w:t>
        </w:r>
      </w:hyperlink>
    </w:p>
    <w:p w14:paraId="1F89A64C" w14:textId="77777777" w:rsidR="00BF0189" w:rsidRPr="00543458" w:rsidRDefault="00BF0189" w:rsidP="00A85B02">
      <w:pPr>
        <w:spacing w:after="160"/>
        <w:jc w:val="left"/>
        <w:rPr>
          <w:rFonts w:ascii="Arial" w:eastAsia="Calibri" w:hAnsi="Arial" w:cs="Arial"/>
          <w:kern w:val="2"/>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t>Jamal, A.E.A. and Salisi, M.S., 2021. Retrenchment strategy and firm performance: evidence from Malaysian construction companies. </w:t>
      </w:r>
      <w:r w:rsidRPr="00543458">
        <w:rPr>
          <w:rFonts w:ascii="Arial" w:eastAsia="Calibri" w:hAnsi="Arial" w:cs="Arial"/>
          <w:i/>
          <w:iCs/>
          <w:color w:val="222222"/>
          <w:kern w:val="2"/>
          <w:shd w:val="clear" w:color="auto" w:fill="FFFFFF"/>
          <w:lang w:val="en-GB" w:eastAsia="en-US"/>
          <w14:ligatures w14:val="standardContextual"/>
        </w:rPr>
        <w:t>International Journal of Academic Research in Accounting Finance and Management Sciences</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11</w:t>
      </w:r>
      <w:r w:rsidRPr="00543458">
        <w:rPr>
          <w:rFonts w:ascii="Arial" w:eastAsia="Calibri" w:hAnsi="Arial" w:cs="Arial"/>
          <w:color w:val="222222"/>
          <w:kern w:val="2"/>
          <w:shd w:val="clear" w:color="auto" w:fill="FFFFFF"/>
          <w:lang w:val="en-GB" w:eastAsia="en-US"/>
          <w14:ligatures w14:val="standardContextual"/>
        </w:rPr>
        <w:t xml:space="preserve">(1), pp.120-138. </w:t>
      </w:r>
      <w:hyperlink r:id="rId29" w:history="1">
        <w:r w:rsidRPr="00543458">
          <w:rPr>
            <w:rFonts w:ascii="Arial" w:eastAsia="Calibri" w:hAnsi="Arial" w:cs="Arial"/>
            <w:color w:val="0563C1"/>
            <w:kern w:val="2"/>
            <w:u w:val="single"/>
            <w:shd w:val="clear" w:color="auto" w:fill="FFFFFF"/>
            <w:lang w:val="en-GB" w:eastAsia="en-US"/>
            <w14:ligatures w14:val="standardContextual"/>
          </w:rPr>
          <w:t>https://www.academia.edu/download/88826056/retrenchment-strategy-and-firm-performance-evidence-from-malaysian-construction-companies.pdf</w:t>
        </w:r>
      </w:hyperlink>
    </w:p>
    <w:p w14:paraId="7EBD7976" w14:textId="77777777" w:rsidR="00BF0189" w:rsidRDefault="00BF0189" w:rsidP="00A85B02">
      <w:pPr>
        <w:spacing w:after="160"/>
        <w:jc w:val="left"/>
        <w:rPr>
          <w:rFonts w:ascii="Arial" w:eastAsia="Calibri" w:hAnsi="Arial" w:cs="Arial"/>
          <w:color w:val="0563C1"/>
          <w:kern w:val="2"/>
          <w:u w:val="single"/>
          <w:shd w:val="clear" w:color="auto" w:fill="FFFFFF"/>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t>Kamal, S.S. and Awan, S.H., 2025. Engineering Financial Resilience: Structuring Turnaround and Maintenance Financing Using Derivatives and Structured Instruments. </w:t>
      </w:r>
      <w:r w:rsidRPr="00543458">
        <w:rPr>
          <w:rFonts w:ascii="Arial" w:eastAsia="Calibri" w:hAnsi="Arial" w:cs="Arial"/>
          <w:i/>
          <w:iCs/>
          <w:color w:val="222222"/>
          <w:kern w:val="2"/>
          <w:shd w:val="clear" w:color="auto" w:fill="FFFFFF"/>
          <w:lang w:val="en-GB" w:eastAsia="en-US"/>
          <w14:ligatures w14:val="standardContextual"/>
        </w:rPr>
        <w:t>Advance Journal of Econometrics and Finance</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3</w:t>
      </w:r>
      <w:r w:rsidRPr="00543458">
        <w:rPr>
          <w:rFonts w:ascii="Arial" w:eastAsia="Calibri" w:hAnsi="Arial" w:cs="Arial"/>
          <w:color w:val="222222"/>
          <w:kern w:val="2"/>
          <w:shd w:val="clear" w:color="auto" w:fill="FFFFFF"/>
          <w:lang w:val="en-GB" w:eastAsia="en-US"/>
          <w14:ligatures w14:val="standardContextual"/>
        </w:rPr>
        <w:t xml:space="preserve">(3), pp.143-153. </w:t>
      </w:r>
      <w:hyperlink r:id="rId30" w:history="1">
        <w:r w:rsidRPr="00543458">
          <w:rPr>
            <w:rFonts w:ascii="Arial" w:eastAsia="Calibri" w:hAnsi="Arial" w:cs="Arial"/>
            <w:color w:val="0563C1"/>
            <w:kern w:val="2"/>
            <w:u w:val="single"/>
            <w:shd w:val="clear" w:color="auto" w:fill="FFFFFF"/>
            <w:lang w:val="en-GB" w:eastAsia="en-US"/>
            <w14:ligatures w14:val="standardContextual"/>
          </w:rPr>
          <w:t>http://ajeaf.com/index.php/Journal/article/view/106</w:t>
        </w:r>
      </w:hyperlink>
    </w:p>
    <w:p w14:paraId="7E618144" w14:textId="77777777" w:rsidR="0004384D" w:rsidRPr="00543458" w:rsidRDefault="0004384D" w:rsidP="00A85B02">
      <w:pPr>
        <w:spacing w:after="160"/>
        <w:jc w:val="left"/>
        <w:rPr>
          <w:rFonts w:ascii="Arial" w:eastAsia="Calibri" w:hAnsi="Arial" w:cs="Arial"/>
          <w:kern w:val="2"/>
          <w:lang w:val="en-GB" w:eastAsia="en-US"/>
          <w14:ligatures w14:val="standardContextual"/>
        </w:rPr>
      </w:pPr>
    </w:p>
    <w:p w14:paraId="45E9AB7D" w14:textId="77777777" w:rsidR="00BF0189" w:rsidRPr="00543458" w:rsidRDefault="00BF0189" w:rsidP="00A85B02">
      <w:pPr>
        <w:spacing w:after="160"/>
        <w:jc w:val="left"/>
        <w:rPr>
          <w:rFonts w:ascii="Arial" w:eastAsia="Calibri" w:hAnsi="Arial" w:cs="Arial"/>
          <w:kern w:val="2"/>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t>Kim, J., Kim, J. and Wang, Y., 2021. Uncertainty risks and strategic reaction of restaurant firms amid COVID-19: Evidence from China. </w:t>
      </w:r>
      <w:r w:rsidRPr="00543458">
        <w:rPr>
          <w:rFonts w:ascii="Arial" w:eastAsia="Calibri" w:hAnsi="Arial" w:cs="Arial"/>
          <w:i/>
          <w:iCs/>
          <w:color w:val="222222"/>
          <w:kern w:val="2"/>
          <w:shd w:val="clear" w:color="auto" w:fill="FFFFFF"/>
          <w:lang w:val="en-GB" w:eastAsia="en-US"/>
          <w14:ligatures w14:val="standardContextual"/>
        </w:rPr>
        <w:t>International Journal of Hospitality Management</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92</w:t>
      </w:r>
      <w:r w:rsidRPr="00543458">
        <w:rPr>
          <w:rFonts w:ascii="Arial" w:eastAsia="Calibri" w:hAnsi="Arial" w:cs="Arial"/>
          <w:color w:val="222222"/>
          <w:kern w:val="2"/>
          <w:shd w:val="clear" w:color="auto" w:fill="FFFFFF"/>
          <w:lang w:val="en-GB" w:eastAsia="en-US"/>
          <w14:ligatures w14:val="standardContextual"/>
        </w:rPr>
        <w:t xml:space="preserve">, p.102752. </w:t>
      </w:r>
      <w:hyperlink r:id="rId31" w:history="1">
        <w:r w:rsidRPr="00543458">
          <w:rPr>
            <w:rFonts w:ascii="Arial" w:eastAsia="Calibri" w:hAnsi="Arial" w:cs="Arial"/>
            <w:color w:val="0563C1"/>
            <w:kern w:val="2"/>
            <w:u w:val="single"/>
            <w:shd w:val="clear" w:color="auto" w:fill="FFFFFF"/>
            <w:lang w:val="en-GB" w:eastAsia="en-US"/>
            <w14:ligatures w14:val="standardContextual"/>
          </w:rPr>
          <w:t>https://www.sciencedirect.com/science/article/pii/S0278431920303042</w:t>
        </w:r>
      </w:hyperlink>
    </w:p>
    <w:p w14:paraId="3064AB69" w14:textId="77777777" w:rsidR="00BF0189" w:rsidRPr="00543458" w:rsidRDefault="00BF0189" w:rsidP="00A85B02">
      <w:pPr>
        <w:spacing w:after="160"/>
        <w:jc w:val="left"/>
        <w:rPr>
          <w:rFonts w:ascii="Arial" w:eastAsia="Calibri" w:hAnsi="Arial" w:cs="Arial"/>
          <w:kern w:val="2"/>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t>Kinyua, F. and Kihara, A., 2021. Influence of organization restructuring on performance of selected media firms in Kenya. </w:t>
      </w:r>
      <w:r w:rsidRPr="00543458">
        <w:rPr>
          <w:rFonts w:ascii="Arial" w:eastAsia="Calibri" w:hAnsi="Arial" w:cs="Arial"/>
          <w:i/>
          <w:iCs/>
          <w:color w:val="222222"/>
          <w:kern w:val="2"/>
          <w:shd w:val="clear" w:color="auto" w:fill="FFFFFF"/>
          <w:lang w:val="en-GB" w:eastAsia="en-US"/>
          <w14:ligatures w14:val="standardContextual"/>
        </w:rPr>
        <w:t>Journal of Business and Strategic Management</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6</w:t>
      </w:r>
      <w:r w:rsidRPr="00543458">
        <w:rPr>
          <w:rFonts w:ascii="Arial" w:eastAsia="Calibri" w:hAnsi="Arial" w:cs="Arial"/>
          <w:color w:val="222222"/>
          <w:kern w:val="2"/>
          <w:shd w:val="clear" w:color="auto" w:fill="FFFFFF"/>
          <w:lang w:val="en-GB" w:eastAsia="en-US"/>
          <w14:ligatures w14:val="standardContextual"/>
        </w:rPr>
        <w:t xml:space="preserve">(3), pp.82-101. </w:t>
      </w:r>
      <w:hyperlink r:id="rId32" w:history="1">
        <w:r w:rsidRPr="00543458">
          <w:rPr>
            <w:rFonts w:ascii="Arial" w:eastAsia="Calibri" w:hAnsi="Arial" w:cs="Arial"/>
            <w:color w:val="0563C1"/>
            <w:kern w:val="2"/>
            <w:u w:val="single"/>
            <w:shd w:val="clear" w:color="auto" w:fill="FFFFFF"/>
            <w:lang w:val="en-GB" w:eastAsia="en-US"/>
            <w14:ligatures w14:val="standardContextual"/>
          </w:rPr>
          <w:t>https://www.academia.edu/download/76647641/935.pdf</w:t>
        </w:r>
      </w:hyperlink>
    </w:p>
    <w:p w14:paraId="21109C2F" w14:textId="77777777" w:rsidR="00BF0189" w:rsidRPr="00543458" w:rsidRDefault="00BF0189" w:rsidP="00A85B02">
      <w:pPr>
        <w:spacing w:after="160"/>
        <w:jc w:val="left"/>
        <w:rPr>
          <w:rFonts w:ascii="Arial" w:eastAsia="Calibri" w:hAnsi="Arial" w:cs="Arial"/>
          <w:kern w:val="2"/>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t>Nyantika, R.B., Nyangau, A. and Onwong’a, M., 2022. Effect of working capital management practices on financial performance of listed agricultural firms in Nairobi Securities Exchange. A moderating role of government policies. </w:t>
      </w:r>
      <w:r w:rsidRPr="00543458">
        <w:rPr>
          <w:rFonts w:ascii="Arial" w:eastAsia="Calibri" w:hAnsi="Arial" w:cs="Arial"/>
          <w:i/>
          <w:iCs/>
          <w:color w:val="222222"/>
          <w:kern w:val="2"/>
          <w:shd w:val="clear" w:color="auto" w:fill="FFFFFF"/>
          <w:lang w:val="en-GB" w:eastAsia="en-US"/>
          <w14:ligatures w14:val="standardContextual"/>
        </w:rPr>
        <w:t>International Academic Journal of Economics and Finance, 3 (8), 1</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25</w:t>
      </w:r>
      <w:r w:rsidRPr="00543458">
        <w:rPr>
          <w:rFonts w:ascii="Arial" w:eastAsia="Calibri" w:hAnsi="Arial" w:cs="Arial"/>
          <w:color w:val="222222"/>
          <w:kern w:val="2"/>
          <w:shd w:val="clear" w:color="auto" w:fill="FFFFFF"/>
          <w:lang w:val="en-GB" w:eastAsia="en-US"/>
          <w14:ligatures w14:val="standardContextual"/>
        </w:rPr>
        <w:t xml:space="preserve">, p.2. </w:t>
      </w:r>
      <w:hyperlink r:id="rId33" w:history="1">
        <w:r w:rsidRPr="00543458">
          <w:rPr>
            <w:rFonts w:ascii="Arial" w:eastAsia="Calibri" w:hAnsi="Arial" w:cs="Arial"/>
            <w:color w:val="0563C1"/>
            <w:kern w:val="2"/>
            <w:u w:val="single"/>
            <w:shd w:val="clear" w:color="auto" w:fill="FFFFFF"/>
            <w:lang w:val="en-GB" w:eastAsia="en-US"/>
            <w14:ligatures w14:val="standardContextual"/>
          </w:rPr>
          <w:t>https://iajournals.org/articles/iajef_v3_i8_1_25.pdf</w:t>
        </w:r>
      </w:hyperlink>
    </w:p>
    <w:p w14:paraId="15448407" w14:textId="77777777" w:rsidR="00BF0189" w:rsidRPr="00543458" w:rsidRDefault="00BF0189" w:rsidP="00A85B02">
      <w:pPr>
        <w:spacing w:after="160"/>
        <w:jc w:val="left"/>
        <w:rPr>
          <w:rFonts w:ascii="Arial" w:eastAsia="Calibri" w:hAnsi="Arial" w:cs="Arial"/>
          <w:kern w:val="2"/>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t>Nyatsumba, K. and Pooe, D., 2022. Turbulences associated with the implementation of turnaround strategies at Kenya Airways. </w:t>
      </w:r>
      <w:r w:rsidRPr="00543458">
        <w:rPr>
          <w:rFonts w:ascii="Arial" w:eastAsia="Calibri" w:hAnsi="Arial" w:cs="Arial"/>
          <w:i/>
          <w:iCs/>
          <w:color w:val="222222"/>
          <w:kern w:val="2"/>
          <w:shd w:val="clear" w:color="auto" w:fill="FFFFFF"/>
          <w:lang w:val="en-GB" w:eastAsia="en-US"/>
          <w14:ligatures w14:val="standardContextual"/>
        </w:rPr>
        <w:t>Africa’s Public Service Delivery and Performance Review</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10</w:t>
      </w:r>
      <w:r w:rsidRPr="00543458">
        <w:rPr>
          <w:rFonts w:ascii="Arial" w:eastAsia="Calibri" w:hAnsi="Arial" w:cs="Arial"/>
          <w:color w:val="222222"/>
          <w:kern w:val="2"/>
          <w:shd w:val="clear" w:color="auto" w:fill="FFFFFF"/>
          <w:lang w:val="en-GB" w:eastAsia="en-US"/>
          <w14:ligatures w14:val="standardContextual"/>
        </w:rPr>
        <w:t xml:space="preserve">(1), p.571. </w:t>
      </w:r>
      <w:hyperlink r:id="rId34" w:history="1">
        <w:r w:rsidRPr="00543458">
          <w:rPr>
            <w:rFonts w:ascii="Arial" w:eastAsia="Calibri" w:hAnsi="Arial" w:cs="Arial"/>
            <w:color w:val="0563C1"/>
            <w:kern w:val="2"/>
            <w:u w:val="single"/>
            <w:shd w:val="clear" w:color="auto" w:fill="FFFFFF"/>
            <w:lang w:val="en-GB" w:eastAsia="en-US"/>
            <w14:ligatures w14:val="standardContextual"/>
          </w:rPr>
          <w:t>https://journals.co.za/doi/abs/10.4102/apsdpr.v10i1.571</w:t>
        </w:r>
      </w:hyperlink>
    </w:p>
    <w:p w14:paraId="0089C8EE" w14:textId="77777777" w:rsidR="00BF0189" w:rsidRPr="00543458" w:rsidRDefault="00BF0189" w:rsidP="00A85B02">
      <w:pPr>
        <w:spacing w:after="160"/>
        <w:jc w:val="left"/>
        <w:rPr>
          <w:rFonts w:ascii="Arial" w:eastAsia="Calibri" w:hAnsi="Arial" w:cs="Arial"/>
          <w:kern w:val="2"/>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t>Nyatsumba, K.M. and David Pooe, R.I., 2023. Failure to implement a turnaround strategy at South African Airways: Reflections from strategic players. </w:t>
      </w:r>
      <w:r w:rsidRPr="00543458">
        <w:rPr>
          <w:rFonts w:ascii="Arial" w:eastAsia="Calibri" w:hAnsi="Arial" w:cs="Arial"/>
          <w:i/>
          <w:iCs/>
          <w:color w:val="222222"/>
          <w:kern w:val="2"/>
          <w:shd w:val="clear" w:color="auto" w:fill="FFFFFF"/>
          <w:lang w:val="en-GB" w:eastAsia="en-US"/>
          <w14:ligatures w14:val="standardContextual"/>
        </w:rPr>
        <w:t>Development Southern Africa</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40</w:t>
      </w:r>
      <w:r w:rsidRPr="00543458">
        <w:rPr>
          <w:rFonts w:ascii="Arial" w:eastAsia="Calibri" w:hAnsi="Arial" w:cs="Arial"/>
          <w:color w:val="222222"/>
          <w:kern w:val="2"/>
          <w:shd w:val="clear" w:color="auto" w:fill="FFFFFF"/>
          <w:lang w:val="en-GB" w:eastAsia="en-US"/>
          <w14:ligatures w14:val="standardContextual"/>
        </w:rPr>
        <w:t xml:space="preserve">(1), pp.76-90. </w:t>
      </w:r>
      <w:hyperlink r:id="rId35" w:history="1">
        <w:r w:rsidRPr="00543458">
          <w:rPr>
            <w:rFonts w:ascii="Arial" w:eastAsia="Calibri" w:hAnsi="Arial" w:cs="Arial"/>
            <w:color w:val="0563C1"/>
            <w:kern w:val="2"/>
            <w:u w:val="single"/>
            <w:shd w:val="clear" w:color="auto" w:fill="FFFFFF"/>
            <w:lang w:val="en-GB" w:eastAsia="en-US"/>
            <w14:ligatures w14:val="standardContextual"/>
          </w:rPr>
          <w:t>https://www.tandfonline.com/doi/abs/10.1080/0376835X.2021.1965865</w:t>
        </w:r>
      </w:hyperlink>
    </w:p>
    <w:p w14:paraId="40EDF168" w14:textId="6B55D9A8" w:rsidR="00BF0189" w:rsidRPr="00543458" w:rsidRDefault="00BF0189" w:rsidP="00A85B02">
      <w:pPr>
        <w:spacing w:after="160"/>
        <w:jc w:val="left"/>
        <w:rPr>
          <w:rFonts w:ascii="Arial" w:eastAsia="Calibri" w:hAnsi="Arial" w:cs="Arial"/>
          <w:kern w:val="2"/>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t>Oduor, B.A., Kilika, J.M. and Muchemi, A.W., 2021. Accomplishing organisational turnaround through a repositioning strategy in a manufacturing context in Kenya. </w:t>
      </w:r>
      <w:r w:rsidRPr="00543458">
        <w:rPr>
          <w:rFonts w:ascii="Arial" w:eastAsia="Calibri" w:hAnsi="Arial" w:cs="Arial"/>
          <w:i/>
          <w:iCs/>
          <w:color w:val="222222"/>
          <w:kern w:val="2"/>
          <w:shd w:val="clear" w:color="auto" w:fill="FFFFFF"/>
          <w:lang w:val="en-GB" w:eastAsia="en-US"/>
          <w14:ligatures w14:val="standardContextual"/>
        </w:rPr>
        <w:t>Journal of Business</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9</w:t>
      </w:r>
      <w:r w:rsidR="00A85B02">
        <w:rPr>
          <w:rFonts w:ascii="Arial" w:eastAsia="Calibri" w:hAnsi="Arial" w:cs="Arial"/>
          <w:color w:val="222222"/>
          <w:kern w:val="2"/>
          <w:shd w:val="clear" w:color="auto" w:fill="FFFFFF"/>
          <w:lang w:val="en-GB" w:eastAsia="en-US"/>
          <w14:ligatures w14:val="standardContextual"/>
        </w:rPr>
        <w:t>(4), pp.165-180.</w:t>
      </w:r>
      <w:r w:rsidR="00A85B02" w:rsidRPr="00A85B02">
        <w:t xml:space="preserve"> </w:t>
      </w:r>
      <w:hyperlink r:id="rId36" w:history="1">
        <w:r w:rsidR="00A85B02" w:rsidRPr="00543458">
          <w:rPr>
            <w:rFonts w:ascii="Arial" w:eastAsia="Calibri" w:hAnsi="Arial" w:cs="Arial"/>
            <w:color w:val="0563C1"/>
            <w:kern w:val="2"/>
            <w:u w:val="single"/>
            <w:shd w:val="clear" w:color="auto" w:fill="FFFFFF"/>
            <w:lang w:val="en-GB" w:eastAsia="en-US"/>
            <w14:ligatures w14:val="standardContextual"/>
          </w:rPr>
          <w:t>https://www.academia.edu/download/85603881/jbms-9-4-3.pdf</w:t>
        </w:r>
      </w:hyperlink>
    </w:p>
    <w:p w14:paraId="0352FD4D" w14:textId="77777777" w:rsidR="00BF0189" w:rsidRDefault="00BF0189" w:rsidP="00A85B02">
      <w:pPr>
        <w:spacing w:after="160"/>
        <w:jc w:val="left"/>
        <w:rPr>
          <w:rFonts w:ascii="Arial" w:eastAsia="Calibri" w:hAnsi="Arial" w:cs="Arial"/>
          <w:color w:val="0563C1"/>
          <w:kern w:val="2"/>
          <w:u w:val="single"/>
          <w:shd w:val="clear" w:color="auto" w:fill="FFFFFF"/>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t>Okeke, O.C., Okere, W., Dafyak, C.F. and Abiahu, M.F.C., 2022. Inventory management and financial sustainability: insight from quoted manufacturing firms in Nigeria. </w:t>
      </w:r>
      <w:r w:rsidRPr="00543458">
        <w:rPr>
          <w:rFonts w:ascii="Arial" w:eastAsia="Calibri" w:hAnsi="Arial" w:cs="Arial"/>
          <w:i/>
          <w:iCs/>
          <w:color w:val="222222"/>
          <w:kern w:val="2"/>
          <w:shd w:val="clear" w:color="auto" w:fill="FFFFFF"/>
          <w:lang w:val="en-GB" w:eastAsia="en-US"/>
          <w14:ligatures w14:val="standardContextual"/>
        </w:rPr>
        <w:t>International Journal of Managerial and Financial Accounting</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14</w:t>
      </w:r>
      <w:r w:rsidRPr="00543458">
        <w:rPr>
          <w:rFonts w:ascii="Arial" w:eastAsia="Calibri" w:hAnsi="Arial" w:cs="Arial"/>
          <w:color w:val="222222"/>
          <w:kern w:val="2"/>
          <w:shd w:val="clear" w:color="auto" w:fill="FFFFFF"/>
          <w:lang w:val="en-GB" w:eastAsia="en-US"/>
          <w14:ligatures w14:val="standardContextual"/>
        </w:rPr>
        <w:t xml:space="preserve">(1), pp.84-97. </w:t>
      </w:r>
      <w:hyperlink r:id="rId37" w:history="1">
        <w:r w:rsidRPr="00543458">
          <w:rPr>
            <w:rFonts w:ascii="Arial" w:eastAsia="Calibri" w:hAnsi="Arial" w:cs="Arial"/>
            <w:color w:val="0563C1"/>
            <w:kern w:val="2"/>
            <w:u w:val="single"/>
            <w:shd w:val="clear" w:color="auto" w:fill="FFFFFF"/>
            <w:lang w:val="en-GB" w:eastAsia="en-US"/>
            <w14:ligatures w14:val="standardContextual"/>
          </w:rPr>
          <w:t>https://www.inderscienceonline.com/doi/abs/10.1504/IJMFA.2022.120939</w:t>
        </w:r>
      </w:hyperlink>
    </w:p>
    <w:p w14:paraId="79A5E06E" w14:textId="77777777" w:rsidR="00A85B02" w:rsidRPr="00543458" w:rsidRDefault="00A85B02" w:rsidP="00A85B02">
      <w:pPr>
        <w:spacing w:after="160"/>
        <w:jc w:val="left"/>
        <w:rPr>
          <w:rFonts w:ascii="Arial" w:eastAsia="Calibri" w:hAnsi="Arial" w:cs="Arial"/>
          <w:kern w:val="2"/>
          <w:lang w:val="en-GB" w:eastAsia="en-US"/>
          <w14:ligatures w14:val="standardContextual"/>
        </w:rPr>
      </w:pPr>
    </w:p>
    <w:p w14:paraId="21CC1BBC" w14:textId="77777777" w:rsidR="00BF0189" w:rsidRPr="00543458" w:rsidRDefault="00BF0189" w:rsidP="00A85B02">
      <w:pPr>
        <w:spacing w:after="160"/>
        <w:jc w:val="left"/>
        <w:rPr>
          <w:rFonts w:ascii="Arial" w:eastAsia="Calibri" w:hAnsi="Arial" w:cs="Arial"/>
          <w:kern w:val="2"/>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t>Oliveira Saraiva, G., Ferreira, J.J. and Alves, M.C., 2024. Turnaround, decline, and strategic posture of SME: Empirical evidence. </w:t>
      </w:r>
      <w:r w:rsidRPr="00543458">
        <w:rPr>
          <w:rFonts w:ascii="Arial" w:eastAsia="Calibri" w:hAnsi="Arial" w:cs="Arial"/>
          <w:i/>
          <w:iCs/>
          <w:color w:val="222222"/>
          <w:kern w:val="2"/>
          <w:shd w:val="clear" w:color="auto" w:fill="FFFFFF"/>
          <w:lang w:val="en-GB" w:eastAsia="en-US"/>
          <w14:ligatures w14:val="standardContextual"/>
        </w:rPr>
        <w:t>Journal of the Knowledge Economy</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15</w:t>
      </w:r>
      <w:r w:rsidRPr="00543458">
        <w:rPr>
          <w:rFonts w:ascii="Arial" w:eastAsia="Calibri" w:hAnsi="Arial" w:cs="Arial"/>
          <w:color w:val="222222"/>
          <w:kern w:val="2"/>
          <w:shd w:val="clear" w:color="auto" w:fill="FFFFFF"/>
          <w:lang w:val="en-GB" w:eastAsia="en-US"/>
          <w14:ligatures w14:val="standardContextual"/>
        </w:rPr>
        <w:t xml:space="preserve">(4), pp.17972-18002. </w:t>
      </w:r>
      <w:hyperlink r:id="rId38" w:history="1">
        <w:r w:rsidRPr="00543458">
          <w:rPr>
            <w:rFonts w:ascii="Arial" w:eastAsia="Calibri" w:hAnsi="Arial" w:cs="Arial"/>
            <w:color w:val="0563C1"/>
            <w:kern w:val="2"/>
            <w:u w:val="single"/>
            <w:shd w:val="clear" w:color="auto" w:fill="FFFFFF"/>
            <w:lang w:val="en-GB" w:eastAsia="en-US"/>
            <w14:ligatures w14:val="standardContextual"/>
          </w:rPr>
          <w:t>https://link.springer.com/article/10.1007/s13132-024-01734-1</w:t>
        </w:r>
      </w:hyperlink>
    </w:p>
    <w:p w14:paraId="2E50CDF2" w14:textId="77777777" w:rsidR="00BF0189" w:rsidRPr="00543458" w:rsidRDefault="00BF0189" w:rsidP="00A85B02">
      <w:pPr>
        <w:spacing w:after="160"/>
        <w:jc w:val="left"/>
        <w:rPr>
          <w:rFonts w:ascii="Arial" w:eastAsia="Calibri" w:hAnsi="Arial" w:cs="Arial"/>
          <w:kern w:val="2"/>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t>Rico, M. and Puig, F., 2021. Successful turnarounds in bankrupt firms? Assessing retrenchment in the most severe form of crisis. </w:t>
      </w:r>
      <w:r w:rsidRPr="00543458">
        <w:rPr>
          <w:rFonts w:ascii="Arial" w:eastAsia="Calibri" w:hAnsi="Arial" w:cs="Arial"/>
          <w:i/>
          <w:iCs/>
          <w:color w:val="222222"/>
          <w:kern w:val="2"/>
          <w:shd w:val="clear" w:color="auto" w:fill="FFFFFF"/>
          <w:lang w:val="en-GB" w:eastAsia="en-US"/>
          <w14:ligatures w14:val="standardContextual"/>
        </w:rPr>
        <w:t>BRQ Business Research Quarterly</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24</w:t>
      </w:r>
      <w:r w:rsidRPr="00543458">
        <w:rPr>
          <w:rFonts w:ascii="Arial" w:eastAsia="Calibri" w:hAnsi="Arial" w:cs="Arial"/>
          <w:color w:val="222222"/>
          <w:kern w:val="2"/>
          <w:shd w:val="clear" w:color="auto" w:fill="FFFFFF"/>
          <w:lang w:val="en-GB" w:eastAsia="en-US"/>
          <w14:ligatures w14:val="standardContextual"/>
        </w:rPr>
        <w:t xml:space="preserve">(2), pp.114-128. </w:t>
      </w:r>
      <w:hyperlink r:id="rId39" w:history="1">
        <w:r w:rsidRPr="00543458">
          <w:rPr>
            <w:rFonts w:ascii="Arial" w:eastAsia="Calibri" w:hAnsi="Arial" w:cs="Arial"/>
            <w:color w:val="0563C1"/>
            <w:kern w:val="2"/>
            <w:u w:val="single"/>
            <w:shd w:val="clear" w:color="auto" w:fill="FFFFFF"/>
            <w:lang w:val="en-GB" w:eastAsia="en-US"/>
            <w14:ligatures w14:val="standardContextual"/>
          </w:rPr>
          <w:t>https://journals.sagepub.com/doi/abs/10.1177/2340944421994117</w:t>
        </w:r>
      </w:hyperlink>
    </w:p>
    <w:p w14:paraId="6CF994CD" w14:textId="77777777" w:rsidR="00BF0189" w:rsidRPr="00543458" w:rsidRDefault="00BF0189" w:rsidP="00A85B02">
      <w:pPr>
        <w:spacing w:after="160"/>
        <w:jc w:val="left"/>
        <w:rPr>
          <w:rFonts w:ascii="Arial" w:eastAsia="Calibri" w:hAnsi="Arial" w:cs="Arial"/>
          <w:kern w:val="2"/>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t>Rico, M., Pandit, N.R. and Puig, F., 2021. SME insolvency, bankruptcy, and survival: an examination of retrenchment strategies. </w:t>
      </w:r>
      <w:r w:rsidRPr="00543458">
        <w:rPr>
          <w:rFonts w:ascii="Arial" w:eastAsia="Calibri" w:hAnsi="Arial" w:cs="Arial"/>
          <w:i/>
          <w:iCs/>
          <w:color w:val="222222"/>
          <w:kern w:val="2"/>
          <w:shd w:val="clear" w:color="auto" w:fill="FFFFFF"/>
          <w:lang w:val="en-GB" w:eastAsia="en-US"/>
          <w14:ligatures w14:val="standardContextual"/>
        </w:rPr>
        <w:t>Small Business Economics</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57</w:t>
      </w:r>
      <w:r w:rsidRPr="00543458">
        <w:rPr>
          <w:rFonts w:ascii="Arial" w:eastAsia="Calibri" w:hAnsi="Arial" w:cs="Arial"/>
          <w:color w:val="222222"/>
          <w:kern w:val="2"/>
          <w:shd w:val="clear" w:color="auto" w:fill="FFFFFF"/>
          <w:lang w:val="en-GB" w:eastAsia="en-US"/>
          <w14:ligatures w14:val="standardContextual"/>
        </w:rPr>
        <w:t xml:space="preserve">(1), pp.111-126. </w:t>
      </w:r>
      <w:hyperlink r:id="rId40" w:history="1">
        <w:r w:rsidRPr="00543458">
          <w:rPr>
            <w:rFonts w:ascii="Arial" w:eastAsia="Calibri" w:hAnsi="Arial" w:cs="Arial"/>
            <w:color w:val="0563C1"/>
            <w:kern w:val="2"/>
            <w:u w:val="single"/>
            <w:shd w:val="clear" w:color="auto" w:fill="FFFFFF"/>
            <w:lang w:val="en-GB" w:eastAsia="en-US"/>
            <w14:ligatures w14:val="standardContextual"/>
          </w:rPr>
          <w:t>https://link.springer.com/article/10.1007/s11187-019-00293-z</w:t>
        </w:r>
      </w:hyperlink>
    </w:p>
    <w:p w14:paraId="3DCE7F26" w14:textId="77777777" w:rsidR="00BF0189" w:rsidRPr="00543458" w:rsidRDefault="00BF0189" w:rsidP="00A85B02">
      <w:pPr>
        <w:spacing w:after="160"/>
        <w:jc w:val="left"/>
        <w:rPr>
          <w:rFonts w:ascii="Arial" w:eastAsia="Calibri" w:hAnsi="Arial" w:cs="Arial"/>
          <w:kern w:val="2"/>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t>Rivera-Prieto, J.C., Santana, M. and López-Cabrales, Á., 2025. Turnaround and human resource strategies during the COVID-19 crisis. </w:t>
      </w:r>
      <w:r w:rsidRPr="00543458">
        <w:rPr>
          <w:rFonts w:ascii="Arial" w:eastAsia="Calibri" w:hAnsi="Arial" w:cs="Arial"/>
          <w:i/>
          <w:iCs/>
          <w:color w:val="222222"/>
          <w:kern w:val="2"/>
          <w:shd w:val="clear" w:color="auto" w:fill="FFFFFF"/>
          <w:lang w:val="en-GB" w:eastAsia="en-US"/>
          <w14:ligatures w14:val="standardContextual"/>
        </w:rPr>
        <w:t>BRQ Business Research Quarterly</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28</w:t>
      </w:r>
      <w:r w:rsidRPr="00543458">
        <w:rPr>
          <w:rFonts w:ascii="Arial" w:eastAsia="Calibri" w:hAnsi="Arial" w:cs="Arial"/>
          <w:color w:val="222222"/>
          <w:kern w:val="2"/>
          <w:shd w:val="clear" w:color="auto" w:fill="FFFFFF"/>
          <w:lang w:val="en-GB" w:eastAsia="en-US"/>
          <w14:ligatures w14:val="standardContextual"/>
        </w:rPr>
        <w:t xml:space="preserve">(1), pp.37-58. </w:t>
      </w:r>
      <w:hyperlink r:id="rId41" w:history="1">
        <w:r w:rsidRPr="00543458">
          <w:rPr>
            <w:rFonts w:ascii="Arial" w:eastAsia="Calibri" w:hAnsi="Arial" w:cs="Arial"/>
            <w:color w:val="0563C1"/>
            <w:kern w:val="2"/>
            <w:u w:val="single"/>
            <w:shd w:val="clear" w:color="auto" w:fill="FFFFFF"/>
            <w:lang w:val="en-GB" w:eastAsia="en-US"/>
            <w14:ligatures w14:val="standardContextual"/>
          </w:rPr>
          <w:t>https://journals.sagepub.com/doi/abs/10.1177/23409444221120053</w:t>
        </w:r>
      </w:hyperlink>
    </w:p>
    <w:p w14:paraId="35F0A641" w14:textId="77777777" w:rsidR="00BF0189" w:rsidRPr="00543458" w:rsidRDefault="00BF0189" w:rsidP="00A85B02">
      <w:pPr>
        <w:spacing w:after="160"/>
        <w:jc w:val="left"/>
        <w:rPr>
          <w:rFonts w:ascii="Arial" w:eastAsia="Calibri" w:hAnsi="Arial" w:cs="Arial"/>
          <w:kern w:val="2"/>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t>Sewpersadh, N.S., 2022. An econometric analysis of financial distress determinants from an emerging economy governance perspective. </w:t>
      </w:r>
      <w:r w:rsidRPr="00543458">
        <w:rPr>
          <w:rFonts w:ascii="Arial" w:eastAsia="Calibri" w:hAnsi="Arial" w:cs="Arial"/>
          <w:i/>
          <w:iCs/>
          <w:color w:val="222222"/>
          <w:kern w:val="2"/>
          <w:shd w:val="clear" w:color="auto" w:fill="FFFFFF"/>
          <w:lang w:val="en-GB" w:eastAsia="en-US"/>
          <w14:ligatures w14:val="standardContextual"/>
        </w:rPr>
        <w:t>Cogent Economics &amp; Finance</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10</w:t>
      </w:r>
      <w:r w:rsidRPr="00543458">
        <w:rPr>
          <w:rFonts w:ascii="Arial" w:eastAsia="Calibri" w:hAnsi="Arial" w:cs="Arial"/>
          <w:color w:val="222222"/>
          <w:kern w:val="2"/>
          <w:shd w:val="clear" w:color="auto" w:fill="FFFFFF"/>
          <w:lang w:val="en-GB" w:eastAsia="en-US"/>
          <w14:ligatures w14:val="standardContextual"/>
        </w:rPr>
        <w:t xml:space="preserve">(1), p.1978706. </w:t>
      </w:r>
      <w:hyperlink r:id="rId42" w:history="1">
        <w:r w:rsidRPr="00543458">
          <w:rPr>
            <w:rFonts w:ascii="Arial" w:eastAsia="Calibri" w:hAnsi="Arial" w:cs="Arial"/>
            <w:color w:val="0563C1"/>
            <w:kern w:val="2"/>
            <w:u w:val="single"/>
            <w:shd w:val="clear" w:color="auto" w:fill="FFFFFF"/>
            <w:lang w:val="en-GB" w:eastAsia="en-US"/>
            <w14:ligatures w14:val="standardContextual"/>
          </w:rPr>
          <w:t>https://www.tandfonline.com/doi/abs/10.1080/23322039.2021.1978706</w:t>
        </w:r>
      </w:hyperlink>
    </w:p>
    <w:p w14:paraId="6C26D018" w14:textId="77777777" w:rsidR="00BF0189" w:rsidRPr="00543458" w:rsidRDefault="00BF0189" w:rsidP="00A85B02">
      <w:pPr>
        <w:spacing w:after="160"/>
        <w:jc w:val="left"/>
        <w:rPr>
          <w:rFonts w:ascii="Arial" w:eastAsia="Calibri" w:hAnsi="Arial" w:cs="Arial"/>
          <w:kern w:val="2"/>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t xml:space="preserve">Tanui, P.J., Omare, D. and Omondi, M.A., 2021. Asset Structure, Corporate Governance, Capital Structure and Financial Performance of Construction and Manufacturing Firms Listed In Kenya. </w:t>
      </w:r>
      <w:hyperlink r:id="rId43" w:history="1">
        <w:r w:rsidRPr="00543458">
          <w:rPr>
            <w:rFonts w:ascii="Arial" w:eastAsia="Calibri" w:hAnsi="Arial" w:cs="Arial"/>
            <w:color w:val="0563C1"/>
            <w:kern w:val="2"/>
            <w:u w:val="single"/>
            <w:shd w:val="clear" w:color="auto" w:fill="FFFFFF"/>
            <w:lang w:val="en-GB" w:eastAsia="en-US"/>
            <w14:ligatures w14:val="standardContextual"/>
          </w:rPr>
          <w:t>http://erepository.kafuco.ac.ke/handle/123456789/131</w:t>
        </w:r>
      </w:hyperlink>
    </w:p>
    <w:p w14:paraId="280A29AC" w14:textId="77777777" w:rsidR="00BF0189" w:rsidRPr="00543458" w:rsidRDefault="00BF0189" w:rsidP="00A85B02">
      <w:pPr>
        <w:spacing w:after="160"/>
        <w:jc w:val="left"/>
        <w:rPr>
          <w:rFonts w:ascii="Arial" w:eastAsia="Calibri" w:hAnsi="Arial" w:cs="Arial"/>
          <w:kern w:val="2"/>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t>Tron, A., Dallocchio, M., Ferri, S. and Colantoni, F., 2023. Corporate governance and financial distress: lessons learned from an unconventional approach. </w:t>
      </w:r>
      <w:r w:rsidRPr="00543458">
        <w:rPr>
          <w:rFonts w:ascii="Arial" w:eastAsia="Calibri" w:hAnsi="Arial" w:cs="Arial"/>
          <w:i/>
          <w:iCs/>
          <w:color w:val="222222"/>
          <w:kern w:val="2"/>
          <w:shd w:val="clear" w:color="auto" w:fill="FFFFFF"/>
          <w:lang w:val="en-GB" w:eastAsia="en-US"/>
          <w14:ligatures w14:val="standardContextual"/>
        </w:rPr>
        <w:t>Journal of Management and Governance</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27</w:t>
      </w:r>
      <w:r w:rsidRPr="00543458">
        <w:rPr>
          <w:rFonts w:ascii="Arial" w:eastAsia="Calibri" w:hAnsi="Arial" w:cs="Arial"/>
          <w:color w:val="222222"/>
          <w:kern w:val="2"/>
          <w:shd w:val="clear" w:color="auto" w:fill="FFFFFF"/>
          <w:lang w:val="en-GB" w:eastAsia="en-US"/>
          <w14:ligatures w14:val="standardContextual"/>
        </w:rPr>
        <w:t xml:space="preserve">(2), pp.425-456. </w:t>
      </w:r>
      <w:hyperlink r:id="rId44" w:history="1">
        <w:r w:rsidRPr="00543458">
          <w:rPr>
            <w:rFonts w:ascii="Arial" w:eastAsia="Calibri" w:hAnsi="Arial" w:cs="Arial"/>
            <w:color w:val="0563C1"/>
            <w:kern w:val="2"/>
            <w:u w:val="single"/>
            <w:shd w:val="clear" w:color="auto" w:fill="FFFFFF"/>
            <w:lang w:val="en-GB" w:eastAsia="en-US"/>
            <w14:ligatures w14:val="standardContextual"/>
          </w:rPr>
          <w:t>https://link.springer.com/article/10.1007/s10997-022-09643-8</w:t>
        </w:r>
      </w:hyperlink>
    </w:p>
    <w:p w14:paraId="28ED7631" w14:textId="77777777" w:rsidR="00BF0189" w:rsidRPr="00543458" w:rsidRDefault="00BF0189" w:rsidP="00A85B02">
      <w:pPr>
        <w:spacing w:after="160"/>
        <w:jc w:val="left"/>
        <w:rPr>
          <w:rFonts w:ascii="Arial" w:eastAsia="Calibri" w:hAnsi="Arial" w:cs="Arial"/>
          <w:kern w:val="2"/>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t xml:space="preserve">Walela, E., Omagwa, J. and Muathe, S., 2022. Financial Risk, Firm Size and Financial Distress: Turbulent Times for Firms Listed at the Nairobi Securities </w:t>
      </w:r>
      <w:r w:rsidRPr="00543458">
        <w:rPr>
          <w:rFonts w:ascii="Arial" w:eastAsia="Calibri" w:hAnsi="Arial" w:cs="Arial"/>
          <w:color w:val="222222"/>
          <w:kern w:val="2"/>
          <w:shd w:val="clear" w:color="auto" w:fill="FFFFFF"/>
          <w:lang w:val="en-GB" w:eastAsia="en-US"/>
          <w14:ligatures w14:val="standardContextual"/>
        </w:rPr>
        <w:lastRenderedPageBreak/>
        <w:t>Exchange, Kenya. </w:t>
      </w:r>
      <w:r w:rsidRPr="00543458">
        <w:rPr>
          <w:rFonts w:ascii="Arial" w:eastAsia="Calibri" w:hAnsi="Arial" w:cs="Arial"/>
          <w:i/>
          <w:iCs/>
          <w:color w:val="222222"/>
          <w:kern w:val="2"/>
          <w:shd w:val="clear" w:color="auto" w:fill="FFFFFF"/>
          <w:lang w:val="en-GB" w:eastAsia="en-US"/>
          <w14:ligatures w14:val="standardContextual"/>
        </w:rPr>
        <w:t>Advanced Journal of Social Science</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10</w:t>
      </w:r>
      <w:r w:rsidRPr="00543458">
        <w:rPr>
          <w:rFonts w:ascii="Arial" w:eastAsia="Calibri" w:hAnsi="Arial" w:cs="Arial"/>
          <w:color w:val="222222"/>
          <w:kern w:val="2"/>
          <w:shd w:val="clear" w:color="auto" w:fill="FFFFFF"/>
          <w:lang w:val="en-GB" w:eastAsia="en-US"/>
          <w14:ligatures w14:val="standardContextual"/>
        </w:rPr>
        <w:t xml:space="preserve">(1), pp.88-102. </w:t>
      </w:r>
      <w:hyperlink r:id="rId45" w:history="1">
        <w:r w:rsidRPr="00543458">
          <w:rPr>
            <w:rFonts w:ascii="Arial" w:eastAsia="Calibri" w:hAnsi="Arial" w:cs="Arial"/>
            <w:color w:val="0563C1"/>
            <w:kern w:val="2"/>
            <w:u w:val="single"/>
            <w:shd w:val="clear" w:color="auto" w:fill="FFFFFF"/>
            <w:lang w:val="en-GB" w:eastAsia="en-US"/>
            <w14:ligatures w14:val="standardContextual"/>
          </w:rPr>
          <w:t>https://journals.aijr.org/index.php/ajss/article/view/4350</w:t>
        </w:r>
      </w:hyperlink>
    </w:p>
    <w:p w14:paraId="00000052" w14:textId="3E53C00E" w:rsidR="00D8667D" w:rsidRPr="00543458" w:rsidRDefault="00BF0189" w:rsidP="00A85B02">
      <w:pPr>
        <w:spacing w:after="160"/>
        <w:jc w:val="left"/>
        <w:rPr>
          <w:rFonts w:ascii="Arial" w:eastAsia="Calibri" w:hAnsi="Arial" w:cs="Arial"/>
          <w:kern w:val="2"/>
          <w:lang w:val="en-GB" w:eastAsia="en-US"/>
          <w14:ligatures w14:val="standardContextual"/>
        </w:rPr>
      </w:pPr>
      <w:r w:rsidRPr="00543458">
        <w:rPr>
          <w:rFonts w:ascii="Arial" w:eastAsia="Calibri" w:hAnsi="Arial" w:cs="Arial"/>
          <w:color w:val="222222"/>
          <w:kern w:val="2"/>
          <w:shd w:val="clear" w:color="auto" w:fill="FFFFFF"/>
          <w:lang w:val="en-GB" w:eastAsia="en-US"/>
          <w14:ligatures w14:val="standardContextual"/>
        </w:rPr>
        <w:t>Xu, G., Dong, W. and Hu, S., 2022. Is political connection a panacea for corporate turnaround?—</w:t>
      </w:r>
      <w:proofErr w:type="gramStart"/>
      <w:r w:rsidRPr="00543458">
        <w:rPr>
          <w:rFonts w:ascii="Arial" w:eastAsia="Calibri" w:hAnsi="Arial" w:cs="Arial"/>
          <w:color w:val="222222"/>
          <w:kern w:val="2"/>
          <w:shd w:val="clear" w:color="auto" w:fill="FFFFFF"/>
          <w:lang w:val="en-GB" w:eastAsia="en-US"/>
          <w14:ligatures w14:val="standardContextual"/>
        </w:rPr>
        <w:t>An</w:t>
      </w:r>
      <w:proofErr w:type="gramEnd"/>
      <w:r w:rsidRPr="00543458">
        <w:rPr>
          <w:rFonts w:ascii="Arial" w:eastAsia="Calibri" w:hAnsi="Arial" w:cs="Arial"/>
          <w:color w:val="222222"/>
          <w:kern w:val="2"/>
          <w:shd w:val="clear" w:color="auto" w:fill="FFFFFF"/>
          <w:lang w:val="en-GB" w:eastAsia="en-US"/>
          <w14:ligatures w14:val="standardContextual"/>
        </w:rPr>
        <w:t xml:space="preserve"> analysis based on the resource-based view during the global financial crisis. </w:t>
      </w:r>
      <w:r w:rsidRPr="00543458">
        <w:rPr>
          <w:rFonts w:ascii="Arial" w:eastAsia="Calibri" w:hAnsi="Arial" w:cs="Arial"/>
          <w:i/>
          <w:iCs/>
          <w:color w:val="222222"/>
          <w:kern w:val="2"/>
          <w:shd w:val="clear" w:color="auto" w:fill="FFFFFF"/>
          <w:lang w:val="en-GB" w:eastAsia="en-US"/>
          <w14:ligatures w14:val="standardContextual"/>
        </w:rPr>
        <w:t>Asia-Pacific Journal of Accounting &amp; Economics</w:t>
      </w:r>
      <w:r w:rsidRPr="00543458">
        <w:rPr>
          <w:rFonts w:ascii="Arial" w:eastAsia="Calibri" w:hAnsi="Arial" w:cs="Arial"/>
          <w:color w:val="222222"/>
          <w:kern w:val="2"/>
          <w:shd w:val="clear" w:color="auto" w:fill="FFFFFF"/>
          <w:lang w:val="en-GB" w:eastAsia="en-US"/>
          <w14:ligatures w14:val="standardContextual"/>
        </w:rPr>
        <w:t>, </w:t>
      </w:r>
      <w:r w:rsidRPr="00543458">
        <w:rPr>
          <w:rFonts w:ascii="Arial" w:eastAsia="Calibri" w:hAnsi="Arial" w:cs="Arial"/>
          <w:i/>
          <w:iCs/>
          <w:color w:val="222222"/>
          <w:kern w:val="2"/>
          <w:shd w:val="clear" w:color="auto" w:fill="FFFFFF"/>
          <w:lang w:val="en-GB" w:eastAsia="en-US"/>
          <w14:ligatures w14:val="standardContextual"/>
        </w:rPr>
        <w:t>29</w:t>
      </w:r>
      <w:r w:rsidRPr="00543458">
        <w:rPr>
          <w:rFonts w:ascii="Arial" w:eastAsia="Calibri" w:hAnsi="Arial" w:cs="Arial"/>
          <w:color w:val="222222"/>
          <w:kern w:val="2"/>
          <w:shd w:val="clear" w:color="auto" w:fill="FFFFFF"/>
          <w:lang w:val="en-GB" w:eastAsia="en-US"/>
          <w14:ligatures w14:val="standardContextual"/>
        </w:rPr>
        <w:t xml:space="preserve">(3), pp.743-760. </w:t>
      </w:r>
      <w:hyperlink r:id="rId46" w:history="1">
        <w:r w:rsidRPr="00543458">
          <w:rPr>
            <w:rFonts w:ascii="Arial" w:eastAsia="Calibri" w:hAnsi="Arial" w:cs="Arial"/>
            <w:color w:val="0563C1"/>
            <w:kern w:val="2"/>
            <w:u w:val="single"/>
            <w:shd w:val="clear" w:color="auto" w:fill="FFFFFF"/>
            <w:lang w:val="en-GB" w:eastAsia="en-US"/>
            <w14:ligatures w14:val="standardContextual"/>
          </w:rPr>
          <w:t>https://www.tandfonline.com/doi/abs/10.1080/16081625.2020.1789480</w:t>
        </w:r>
      </w:hyperlink>
      <w:r w:rsidRPr="00543458">
        <w:rPr>
          <w:rFonts w:ascii="Arial" w:hAnsi="Arial" w:cs="Arial"/>
          <w:lang w:val="en-GB"/>
        </w:rPr>
        <w:br w:type="page"/>
      </w:r>
    </w:p>
    <w:p w14:paraId="00000053" w14:textId="77777777" w:rsidR="00D8667D" w:rsidRPr="00543458" w:rsidRDefault="008B59A6" w:rsidP="00543458">
      <w:pPr>
        <w:pStyle w:val="Heading1"/>
      </w:pPr>
      <w:bookmarkStart w:id="55" w:name="_pq7xnjk59si9" w:colFirst="0" w:colLast="0"/>
      <w:bookmarkStart w:id="56" w:name="_Toc213742684"/>
      <w:bookmarkEnd w:id="55"/>
      <w:r w:rsidRPr="00543458">
        <w:lastRenderedPageBreak/>
        <w:t>Appendices</w:t>
      </w:r>
      <w:bookmarkEnd w:id="56"/>
    </w:p>
    <w:p w14:paraId="1C1B1AE9" w14:textId="4EA97038" w:rsidR="008A78CA" w:rsidRPr="00543458" w:rsidRDefault="008B59A6" w:rsidP="00543458">
      <w:pPr>
        <w:pStyle w:val="Heading2"/>
      </w:pPr>
      <w:bookmarkStart w:id="57" w:name="_bczsxm50dg63" w:colFirst="0" w:colLast="0"/>
      <w:bookmarkStart w:id="58" w:name="_Toc213742685"/>
      <w:bookmarkEnd w:id="57"/>
      <w:r w:rsidRPr="00543458">
        <w:t>Appendix 1: Ratio tables and graphs</w:t>
      </w:r>
      <w:bookmarkEnd w:id="58"/>
    </w:p>
    <w:p w14:paraId="0D2569BC" w14:textId="512D0E71" w:rsidR="00425D56" w:rsidRPr="00543458" w:rsidRDefault="00425D56" w:rsidP="00543458">
      <w:pPr>
        <w:jc w:val="center"/>
        <w:rPr>
          <w:rFonts w:ascii="Arial" w:hAnsi="Arial" w:cs="Arial"/>
          <w:lang w:val="en-GB"/>
        </w:rPr>
      </w:pPr>
    </w:p>
    <w:p w14:paraId="2156B4C3" w14:textId="14F38379" w:rsidR="00A4621A" w:rsidRPr="00543458" w:rsidRDefault="00A4621A" w:rsidP="00543458">
      <w:pPr>
        <w:jc w:val="center"/>
        <w:rPr>
          <w:rFonts w:ascii="Arial" w:hAnsi="Arial" w:cs="Arial"/>
          <w:lang w:val="en-GB"/>
        </w:rPr>
      </w:pPr>
      <w:r w:rsidRPr="00543458">
        <w:rPr>
          <w:rFonts w:ascii="Arial" w:hAnsi="Arial" w:cs="Arial"/>
          <w:noProof/>
          <w:lang w:val="en-IN" w:eastAsia="en-IN"/>
        </w:rPr>
        <w:drawing>
          <wp:inline distT="0" distB="0" distL="0" distR="0" wp14:anchorId="21CD58B4" wp14:editId="12C69BEB">
            <wp:extent cx="6181725" cy="5105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184620" cy="5107791"/>
                    </a:xfrm>
                    <a:prstGeom prst="rect">
                      <a:avLst/>
                    </a:prstGeom>
                  </pic:spPr>
                </pic:pic>
              </a:graphicData>
            </a:graphic>
          </wp:inline>
        </w:drawing>
      </w:r>
    </w:p>
    <w:p w14:paraId="5D077E44" w14:textId="77777777" w:rsidR="00A4621A" w:rsidRPr="00543458" w:rsidRDefault="00A4621A" w:rsidP="00543458">
      <w:pPr>
        <w:jc w:val="center"/>
        <w:rPr>
          <w:rFonts w:ascii="Arial" w:hAnsi="Arial" w:cs="Arial"/>
          <w:lang w:val="en-GB"/>
        </w:rPr>
      </w:pPr>
    </w:p>
    <w:p w14:paraId="3329DAA0" w14:textId="346ABE6F" w:rsidR="00397A32" w:rsidRPr="00543458" w:rsidRDefault="00A4621A" w:rsidP="00543458">
      <w:pPr>
        <w:jc w:val="center"/>
        <w:rPr>
          <w:rFonts w:ascii="Arial" w:hAnsi="Arial" w:cs="Arial"/>
          <w:lang w:val="en-GB"/>
        </w:rPr>
      </w:pPr>
      <w:r w:rsidRPr="00543458">
        <w:rPr>
          <w:rFonts w:ascii="Arial" w:hAnsi="Arial" w:cs="Arial"/>
          <w:noProof/>
          <w:lang w:val="en-IN" w:eastAsia="en-IN"/>
        </w:rPr>
        <w:lastRenderedPageBreak/>
        <w:drawing>
          <wp:inline distT="0" distB="0" distL="0" distR="0" wp14:anchorId="68B1C0D1" wp14:editId="74673D2F">
            <wp:extent cx="6162511" cy="5467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164979" cy="5469540"/>
                    </a:xfrm>
                    <a:prstGeom prst="rect">
                      <a:avLst/>
                    </a:prstGeom>
                  </pic:spPr>
                </pic:pic>
              </a:graphicData>
            </a:graphic>
          </wp:inline>
        </w:drawing>
      </w:r>
    </w:p>
    <w:p w14:paraId="7E188229" w14:textId="25B75173" w:rsidR="00797FA5" w:rsidRPr="00543458" w:rsidRDefault="00797FA5" w:rsidP="00543458">
      <w:pPr>
        <w:jc w:val="center"/>
        <w:rPr>
          <w:rFonts w:ascii="Arial" w:hAnsi="Arial" w:cs="Arial"/>
          <w:lang w:val="en-GB"/>
        </w:rPr>
      </w:pPr>
      <w:r w:rsidRPr="00543458">
        <w:rPr>
          <w:rFonts w:ascii="Arial" w:hAnsi="Arial" w:cs="Arial"/>
          <w:noProof/>
          <w:lang w:val="en-IN" w:eastAsia="en-IN"/>
        </w:rPr>
        <w:lastRenderedPageBreak/>
        <w:drawing>
          <wp:inline distT="0" distB="0" distL="0" distR="0" wp14:anchorId="17388F44" wp14:editId="3EE0DF86">
            <wp:extent cx="5886784" cy="54578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893775" cy="5464307"/>
                    </a:xfrm>
                    <a:prstGeom prst="rect">
                      <a:avLst/>
                    </a:prstGeom>
                  </pic:spPr>
                </pic:pic>
              </a:graphicData>
            </a:graphic>
          </wp:inline>
        </w:drawing>
      </w:r>
    </w:p>
    <w:p w14:paraId="756E7A3B" w14:textId="53EBF2B7" w:rsidR="00397A32" w:rsidRPr="00543458" w:rsidRDefault="00891DEA" w:rsidP="00543458">
      <w:pPr>
        <w:jc w:val="center"/>
        <w:rPr>
          <w:rFonts w:ascii="Arial" w:hAnsi="Arial" w:cs="Arial"/>
          <w:lang w:val="en-GB"/>
        </w:rPr>
      </w:pPr>
      <w:r w:rsidRPr="00543458">
        <w:rPr>
          <w:rFonts w:ascii="Arial" w:hAnsi="Arial" w:cs="Arial"/>
          <w:noProof/>
          <w:lang w:val="en-IN" w:eastAsia="en-IN"/>
        </w:rPr>
        <w:lastRenderedPageBreak/>
        <w:drawing>
          <wp:inline distT="0" distB="0" distL="0" distR="0" wp14:anchorId="4F7318E2" wp14:editId="76E6D220">
            <wp:extent cx="6108700" cy="495300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114111" cy="4957387"/>
                    </a:xfrm>
                    <a:prstGeom prst="rect">
                      <a:avLst/>
                    </a:prstGeom>
                  </pic:spPr>
                </pic:pic>
              </a:graphicData>
            </a:graphic>
          </wp:inline>
        </w:drawing>
      </w:r>
    </w:p>
    <w:p w14:paraId="2143D0BD" w14:textId="77777777" w:rsidR="00397A32" w:rsidRPr="00543458" w:rsidRDefault="00397A32" w:rsidP="00543458">
      <w:pPr>
        <w:jc w:val="center"/>
        <w:rPr>
          <w:rFonts w:ascii="Arial" w:hAnsi="Arial" w:cs="Arial"/>
          <w:lang w:val="en-GB"/>
        </w:rPr>
      </w:pPr>
      <w:r w:rsidRPr="00543458">
        <w:rPr>
          <w:rFonts w:ascii="Arial" w:hAnsi="Arial" w:cs="Arial"/>
          <w:noProof/>
          <w:lang w:val="en-IN" w:eastAsia="en-IN"/>
        </w:rPr>
        <w:drawing>
          <wp:inline distT="0" distB="0" distL="0" distR="0" wp14:anchorId="738EFA42" wp14:editId="3DBDA923">
            <wp:extent cx="5400675" cy="3736340"/>
            <wp:effectExtent l="19050" t="19050" r="28575" b="16510"/>
            <wp:docPr id="1369692917"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692917" name="Picture 1" descr="A screenshot of a graph&#10;&#10;AI-generated content may be incorrect."/>
                    <pic:cNvPicPr/>
                  </pic:nvPicPr>
                  <pic:blipFill rotWithShape="1">
                    <a:blip r:embed="rId51"/>
                    <a:srcRect r="5012"/>
                    <a:stretch/>
                  </pic:blipFill>
                  <pic:spPr bwMode="auto">
                    <a:xfrm>
                      <a:off x="0" y="0"/>
                      <a:ext cx="5431450" cy="3757631"/>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3980DA3" w14:textId="6D17EAFA" w:rsidR="00397A32" w:rsidRPr="00543458" w:rsidRDefault="00A4621A" w:rsidP="00543458">
      <w:pPr>
        <w:jc w:val="center"/>
        <w:rPr>
          <w:rFonts w:ascii="Arial" w:hAnsi="Arial" w:cs="Arial"/>
          <w:lang w:val="en-GB"/>
        </w:rPr>
      </w:pPr>
      <w:r w:rsidRPr="00543458">
        <w:rPr>
          <w:rFonts w:ascii="Arial" w:hAnsi="Arial" w:cs="Arial"/>
          <w:noProof/>
          <w:lang w:val="en-IN" w:eastAsia="en-IN"/>
        </w:rPr>
        <w:lastRenderedPageBreak/>
        <w:drawing>
          <wp:inline distT="0" distB="0" distL="0" distR="0" wp14:anchorId="499E70B5" wp14:editId="5B0060AB">
            <wp:extent cx="6248273" cy="544830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267015" cy="5464642"/>
                    </a:xfrm>
                    <a:prstGeom prst="rect">
                      <a:avLst/>
                    </a:prstGeom>
                  </pic:spPr>
                </pic:pic>
              </a:graphicData>
            </a:graphic>
          </wp:inline>
        </w:drawing>
      </w:r>
    </w:p>
    <w:p w14:paraId="00000055" w14:textId="624CCFDA" w:rsidR="00D8667D" w:rsidRPr="00543458" w:rsidRDefault="00397A32" w:rsidP="00543458">
      <w:pPr>
        <w:jc w:val="center"/>
        <w:rPr>
          <w:rFonts w:ascii="Arial" w:hAnsi="Arial" w:cs="Arial"/>
          <w:lang w:val="en-GB"/>
        </w:rPr>
      </w:pPr>
      <w:r w:rsidRPr="00543458">
        <w:rPr>
          <w:rFonts w:ascii="Arial" w:hAnsi="Arial" w:cs="Arial"/>
          <w:lang w:val="en-GB"/>
        </w:rPr>
        <w:t xml:space="preserve">(Source: </w:t>
      </w:r>
      <w:r w:rsidR="00891DEA" w:rsidRPr="00543458">
        <w:rPr>
          <w:rFonts w:ascii="Arial" w:hAnsi="Arial" w:cs="Arial"/>
          <w:lang w:val="en-GB"/>
        </w:rPr>
        <w:t>Refer to</w:t>
      </w:r>
      <w:r w:rsidRPr="00543458">
        <w:rPr>
          <w:rFonts w:ascii="Arial" w:hAnsi="Arial" w:cs="Arial"/>
          <w:lang w:val="en-GB"/>
        </w:rPr>
        <w:t xml:space="preserve"> Excel)</w:t>
      </w:r>
      <w:r w:rsidRPr="00543458">
        <w:rPr>
          <w:rFonts w:ascii="Arial" w:hAnsi="Arial" w:cs="Arial"/>
          <w:lang w:val="en-GB"/>
        </w:rPr>
        <w:br w:type="page"/>
      </w:r>
    </w:p>
    <w:p w14:paraId="00000056" w14:textId="77777777" w:rsidR="00D8667D" w:rsidRPr="00543458" w:rsidRDefault="008B59A6" w:rsidP="00543458">
      <w:pPr>
        <w:pStyle w:val="Heading2"/>
      </w:pPr>
      <w:bookmarkStart w:id="59" w:name="_rh7s0kiok1wc" w:colFirst="0" w:colLast="0"/>
      <w:bookmarkStart w:id="60" w:name="_Toc213742686"/>
      <w:bookmarkEnd w:id="59"/>
      <w:r w:rsidRPr="00543458">
        <w:lastRenderedPageBreak/>
        <w:t>Appendix 2: Investment appraisal calculations</w:t>
      </w:r>
      <w:bookmarkEnd w:id="60"/>
    </w:p>
    <w:p w14:paraId="55EC621B" w14:textId="3455996A" w:rsidR="006C63EB" w:rsidRPr="00543458" w:rsidRDefault="00933EAC" w:rsidP="00543458">
      <w:pPr>
        <w:jc w:val="center"/>
        <w:rPr>
          <w:rFonts w:ascii="Arial" w:hAnsi="Arial" w:cs="Arial"/>
          <w:lang w:val="en-GB"/>
        </w:rPr>
      </w:pPr>
      <w:r w:rsidRPr="00933EAC">
        <w:rPr>
          <w:rFonts w:ascii="Arial" w:hAnsi="Arial" w:cs="Arial"/>
          <w:noProof/>
          <w:lang w:val="en-IN" w:eastAsia="en-IN"/>
        </w:rPr>
        <w:drawing>
          <wp:inline distT="0" distB="0" distL="0" distR="0" wp14:anchorId="52EB4356" wp14:editId="0EA2C033">
            <wp:extent cx="5731510" cy="3460750"/>
            <wp:effectExtent l="12700" t="12700" r="8890" b="19050"/>
            <wp:docPr id="177688853" name="Picture 1" descr="A spreadsheet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88853" name="Picture 1" descr="A spreadsheet with numbers and letters&#10;&#10;AI-generated content may be incorrect."/>
                    <pic:cNvPicPr/>
                  </pic:nvPicPr>
                  <pic:blipFill>
                    <a:blip r:embed="rId53"/>
                    <a:stretch>
                      <a:fillRect/>
                    </a:stretch>
                  </pic:blipFill>
                  <pic:spPr>
                    <a:xfrm>
                      <a:off x="0" y="0"/>
                      <a:ext cx="5731510" cy="3460750"/>
                    </a:xfrm>
                    <a:prstGeom prst="rect">
                      <a:avLst/>
                    </a:prstGeom>
                    <a:ln>
                      <a:solidFill>
                        <a:schemeClr val="tx1"/>
                      </a:solidFill>
                    </a:ln>
                  </pic:spPr>
                </pic:pic>
              </a:graphicData>
            </a:graphic>
          </wp:inline>
        </w:drawing>
      </w:r>
    </w:p>
    <w:p w14:paraId="7200E85C" w14:textId="050587BA" w:rsidR="006C63EB" w:rsidRPr="00543458" w:rsidRDefault="00933EAC" w:rsidP="00543458">
      <w:pPr>
        <w:jc w:val="center"/>
        <w:rPr>
          <w:rFonts w:ascii="Arial" w:hAnsi="Arial" w:cs="Arial"/>
          <w:lang w:val="en-GB"/>
        </w:rPr>
      </w:pPr>
      <w:r w:rsidRPr="00933EAC">
        <w:rPr>
          <w:rFonts w:ascii="Arial" w:hAnsi="Arial" w:cs="Arial"/>
          <w:noProof/>
          <w:lang w:val="en-IN" w:eastAsia="en-IN"/>
        </w:rPr>
        <w:drawing>
          <wp:inline distT="0" distB="0" distL="0" distR="0" wp14:anchorId="40348AA4" wp14:editId="5C2AE54E">
            <wp:extent cx="5731510" cy="3462020"/>
            <wp:effectExtent l="12700" t="12700" r="8890" b="17780"/>
            <wp:docPr id="799723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723879" name=""/>
                    <pic:cNvPicPr/>
                  </pic:nvPicPr>
                  <pic:blipFill>
                    <a:blip r:embed="rId54"/>
                    <a:stretch>
                      <a:fillRect/>
                    </a:stretch>
                  </pic:blipFill>
                  <pic:spPr>
                    <a:xfrm>
                      <a:off x="0" y="0"/>
                      <a:ext cx="5731510" cy="3462020"/>
                    </a:xfrm>
                    <a:prstGeom prst="rect">
                      <a:avLst/>
                    </a:prstGeom>
                    <a:ln>
                      <a:solidFill>
                        <a:schemeClr val="tx1"/>
                      </a:solidFill>
                    </a:ln>
                  </pic:spPr>
                </pic:pic>
              </a:graphicData>
            </a:graphic>
          </wp:inline>
        </w:drawing>
      </w:r>
    </w:p>
    <w:p w14:paraId="03359250" w14:textId="634EFA69" w:rsidR="006C63EB" w:rsidRDefault="00933EAC" w:rsidP="00543458">
      <w:pPr>
        <w:jc w:val="center"/>
        <w:rPr>
          <w:rFonts w:ascii="Arial" w:hAnsi="Arial" w:cs="Arial"/>
          <w:lang w:val="en-GB"/>
        </w:rPr>
      </w:pPr>
      <w:r w:rsidRPr="00933EAC">
        <w:rPr>
          <w:rFonts w:ascii="Arial" w:hAnsi="Arial" w:cs="Arial"/>
          <w:noProof/>
          <w:lang w:val="en-IN" w:eastAsia="en-IN"/>
        </w:rPr>
        <w:lastRenderedPageBreak/>
        <w:drawing>
          <wp:inline distT="0" distB="0" distL="0" distR="0" wp14:anchorId="4833067D" wp14:editId="1675F2A9">
            <wp:extent cx="5731510" cy="3495040"/>
            <wp:effectExtent l="12700" t="12700" r="8890" b="10160"/>
            <wp:docPr id="2115086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086534" name=""/>
                    <pic:cNvPicPr/>
                  </pic:nvPicPr>
                  <pic:blipFill>
                    <a:blip r:embed="rId55"/>
                    <a:stretch>
                      <a:fillRect/>
                    </a:stretch>
                  </pic:blipFill>
                  <pic:spPr>
                    <a:xfrm>
                      <a:off x="0" y="0"/>
                      <a:ext cx="5731510" cy="3495040"/>
                    </a:xfrm>
                    <a:prstGeom prst="rect">
                      <a:avLst/>
                    </a:prstGeom>
                    <a:ln>
                      <a:solidFill>
                        <a:schemeClr val="tx1"/>
                      </a:solidFill>
                    </a:ln>
                  </pic:spPr>
                </pic:pic>
              </a:graphicData>
            </a:graphic>
          </wp:inline>
        </w:drawing>
      </w:r>
    </w:p>
    <w:p w14:paraId="0454B189" w14:textId="77777777" w:rsidR="006F189F" w:rsidRPr="00543458" w:rsidRDefault="006F189F" w:rsidP="006F189F">
      <w:pPr>
        <w:jc w:val="center"/>
        <w:rPr>
          <w:rFonts w:ascii="Arial" w:hAnsi="Arial" w:cs="Arial"/>
          <w:lang w:val="en-GB"/>
        </w:rPr>
      </w:pPr>
      <w:r w:rsidRPr="00543458">
        <w:rPr>
          <w:rFonts w:ascii="Arial" w:hAnsi="Arial" w:cs="Arial"/>
          <w:lang w:val="en-GB"/>
        </w:rPr>
        <w:t>(Source: Refer to Excel)</w:t>
      </w:r>
    </w:p>
    <w:p w14:paraId="67E98308" w14:textId="77777777" w:rsidR="006F189F" w:rsidRPr="00FB6E76" w:rsidRDefault="006F189F" w:rsidP="00543458">
      <w:pPr>
        <w:jc w:val="center"/>
        <w:rPr>
          <w:rFonts w:ascii="Arial" w:hAnsi="Arial" w:cs="Arial"/>
          <w:lang w:val="en-GB"/>
        </w:rPr>
      </w:pPr>
    </w:p>
    <w:p w14:paraId="50CFF93A" w14:textId="059B4DD6" w:rsidR="00C228DF" w:rsidRPr="00FB6E76" w:rsidRDefault="00C228DF" w:rsidP="00C228DF">
      <w:pPr>
        <w:rPr>
          <w:rFonts w:ascii="Arial" w:hAnsi="Arial" w:cs="Arial"/>
          <w:b/>
          <w:bCs/>
          <w:lang w:val="en-GB"/>
        </w:rPr>
      </w:pPr>
      <w:r w:rsidRPr="00FB6E76">
        <w:rPr>
          <w:rFonts w:ascii="Arial" w:hAnsi="Arial" w:cs="Arial"/>
          <w:b/>
          <w:bCs/>
          <w:lang w:val="en-GB"/>
        </w:rPr>
        <w:t>1. Payback Period (PBP)</w:t>
      </w:r>
    </w:p>
    <w:p w14:paraId="6A05DAA9" w14:textId="0DD02800" w:rsidR="00C228DF" w:rsidRPr="00FB6E76" w:rsidRDefault="00C228DF" w:rsidP="00C228DF">
      <w:pPr>
        <w:rPr>
          <w:rFonts w:ascii="Arial" w:hAnsi="Arial" w:cs="Arial"/>
          <w:lang w:val="en-GB"/>
        </w:rPr>
      </w:pPr>
      <w:r w:rsidRPr="00FB6E76">
        <w:rPr>
          <w:rFonts w:ascii="Arial" w:hAnsi="Arial" w:cs="Arial"/>
          <w:lang w:val="en-GB"/>
        </w:rPr>
        <w:t>The Payback Period is the time required for cumulative cash inflows to equal the initial investment.</w:t>
      </w:r>
    </w:p>
    <w:p w14:paraId="7DA263E0" w14:textId="77777777" w:rsidR="00C228DF" w:rsidRPr="00FB6E76" w:rsidRDefault="00C228DF" w:rsidP="00C228DF">
      <w:pPr>
        <w:rPr>
          <w:rFonts w:ascii="Arial" w:hAnsi="Arial" w:cs="Arial"/>
          <w:lang w:val="en-GB"/>
        </w:rPr>
      </w:pPr>
      <w:r w:rsidRPr="00FB6E76">
        <w:rPr>
          <w:rFonts w:ascii="Arial" w:hAnsi="Arial" w:cs="Arial"/>
          <w:lang w:val="en-GB"/>
        </w:rPr>
        <w:t>Project A: Initial investment £40,000.</w:t>
      </w:r>
    </w:p>
    <w:p w14:paraId="59DE8A73" w14:textId="77777777" w:rsidR="00C228DF" w:rsidRPr="00FB6E76" w:rsidRDefault="00C228DF" w:rsidP="00C228DF">
      <w:pPr>
        <w:rPr>
          <w:rFonts w:ascii="Arial" w:hAnsi="Arial" w:cs="Arial"/>
          <w:lang w:val="en-GB"/>
        </w:rPr>
      </w:pPr>
      <w:r w:rsidRPr="00FB6E76">
        <w:rPr>
          <w:rFonts w:ascii="Arial" w:hAnsi="Arial" w:cs="Arial"/>
          <w:lang w:val="en-GB"/>
        </w:rPr>
        <w:t>Cumulative cash flow by year: Year 1 = –30,000, Year 2 = –18,000, Year 3 = –4,000, Year 4 = 6,000.</w:t>
      </w:r>
    </w:p>
    <w:p w14:paraId="49724434" w14:textId="77777777" w:rsidR="00C228DF" w:rsidRPr="00FB6E76" w:rsidRDefault="00C228DF" w:rsidP="00C228DF">
      <w:pPr>
        <w:rPr>
          <w:rFonts w:ascii="Arial" w:hAnsi="Arial" w:cs="Arial"/>
          <w:lang w:val="en-GB"/>
        </w:rPr>
      </w:pPr>
      <w:r w:rsidRPr="00FB6E76">
        <w:rPr>
          <w:rFonts w:ascii="Arial" w:hAnsi="Arial" w:cs="Arial"/>
          <w:lang w:val="en-GB"/>
        </w:rPr>
        <w:t>Payback occurs during Year 4.</w:t>
      </w:r>
    </w:p>
    <w:p w14:paraId="46A95B8F" w14:textId="38897EBF" w:rsidR="00C228DF" w:rsidRPr="00FB6E76" w:rsidRDefault="00C228DF" w:rsidP="00C228DF">
      <w:pPr>
        <w:rPr>
          <w:rFonts w:ascii="Arial" w:hAnsi="Arial" w:cs="Arial"/>
          <w:lang w:val="en-GB"/>
        </w:rPr>
      </w:pPr>
      <w:r w:rsidRPr="00FB6E76">
        <w:rPr>
          <w:rFonts w:ascii="Arial" w:hAnsi="Arial" w:cs="Arial"/>
          <w:lang w:val="en-GB"/>
        </w:rPr>
        <w:t>PBP = 3 + (4,000 / 10,000) = 3.4 years ≈ 4 years.</w:t>
      </w:r>
    </w:p>
    <w:p w14:paraId="6A2A63C0" w14:textId="77777777" w:rsidR="00C228DF" w:rsidRPr="00FB6E76" w:rsidRDefault="00C228DF" w:rsidP="00C228DF">
      <w:pPr>
        <w:rPr>
          <w:rFonts w:ascii="Arial" w:hAnsi="Arial" w:cs="Arial"/>
          <w:lang w:val="en-GB"/>
        </w:rPr>
      </w:pPr>
      <w:r w:rsidRPr="00FB6E76">
        <w:rPr>
          <w:rFonts w:ascii="Arial" w:hAnsi="Arial" w:cs="Arial"/>
          <w:lang w:val="en-GB"/>
        </w:rPr>
        <w:t>Project B: Initial investment £30,000.</w:t>
      </w:r>
    </w:p>
    <w:p w14:paraId="77419EAE" w14:textId="77777777" w:rsidR="00C228DF" w:rsidRPr="00FB6E76" w:rsidRDefault="00C228DF" w:rsidP="00C228DF">
      <w:pPr>
        <w:rPr>
          <w:rFonts w:ascii="Arial" w:hAnsi="Arial" w:cs="Arial"/>
          <w:lang w:val="en-GB"/>
        </w:rPr>
      </w:pPr>
      <w:r w:rsidRPr="00FB6E76">
        <w:rPr>
          <w:rFonts w:ascii="Arial" w:hAnsi="Arial" w:cs="Arial"/>
          <w:lang w:val="en-GB"/>
        </w:rPr>
        <w:t>Cumulative cash flow by year: Year 5 = 0.</w:t>
      </w:r>
    </w:p>
    <w:p w14:paraId="37DEF0A0" w14:textId="5E9FEE65" w:rsidR="00C228DF" w:rsidRPr="00FB6E76" w:rsidRDefault="00C228DF" w:rsidP="00C228DF">
      <w:pPr>
        <w:rPr>
          <w:rFonts w:ascii="Arial" w:hAnsi="Arial" w:cs="Arial"/>
          <w:lang w:val="en-GB"/>
        </w:rPr>
      </w:pPr>
      <w:r w:rsidRPr="00FB6E76">
        <w:rPr>
          <w:rFonts w:ascii="Arial" w:hAnsi="Arial" w:cs="Arial"/>
          <w:lang w:val="en-GB"/>
        </w:rPr>
        <w:t>PBP = 5 years.</w:t>
      </w:r>
    </w:p>
    <w:p w14:paraId="7EC1FA72" w14:textId="77777777" w:rsidR="00C228DF" w:rsidRPr="00FB6E76" w:rsidRDefault="00C228DF" w:rsidP="00C228DF">
      <w:pPr>
        <w:rPr>
          <w:rFonts w:ascii="Arial" w:hAnsi="Arial" w:cs="Arial"/>
          <w:lang w:val="en-GB"/>
        </w:rPr>
      </w:pPr>
      <w:r w:rsidRPr="00FB6E76">
        <w:rPr>
          <w:rFonts w:ascii="Arial" w:hAnsi="Arial" w:cs="Arial"/>
          <w:lang w:val="en-GB"/>
        </w:rPr>
        <w:t>Project C: Initial investment £50,000.</w:t>
      </w:r>
    </w:p>
    <w:p w14:paraId="72B1DCD3" w14:textId="77777777" w:rsidR="00C228DF" w:rsidRPr="00FB6E76" w:rsidRDefault="00C228DF" w:rsidP="00C228DF">
      <w:pPr>
        <w:rPr>
          <w:rFonts w:ascii="Arial" w:hAnsi="Arial" w:cs="Arial"/>
          <w:lang w:val="en-GB"/>
        </w:rPr>
      </w:pPr>
      <w:r w:rsidRPr="00FB6E76">
        <w:rPr>
          <w:rFonts w:ascii="Arial" w:hAnsi="Arial" w:cs="Arial"/>
          <w:lang w:val="en-GB"/>
        </w:rPr>
        <w:t>Cumulative cash flow by year: Year 4 = –15,000, Year 5 = 25,000.</w:t>
      </w:r>
    </w:p>
    <w:p w14:paraId="18CC5D9F" w14:textId="1BDF3FD1" w:rsidR="00C228DF" w:rsidRPr="00FB6E76" w:rsidRDefault="00C228DF" w:rsidP="00C228DF">
      <w:pPr>
        <w:rPr>
          <w:rFonts w:ascii="Arial" w:hAnsi="Arial" w:cs="Arial"/>
          <w:lang w:val="en-GB"/>
        </w:rPr>
      </w:pPr>
      <w:r w:rsidRPr="00FB6E76">
        <w:rPr>
          <w:rFonts w:ascii="Arial" w:hAnsi="Arial" w:cs="Arial"/>
          <w:lang w:val="en-GB"/>
        </w:rPr>
        <w:t>PBP = 4 + (15,000 / 15,000) = 5 years.</w:t>
      </w:r>
    </w:p>
    <w:p w14:paraId="219C8DA6" w14:textId="3C336CBC" w:rsidR="00C228DF" w:rsidRPr="00FB6E76" w:rsidRDefault="00C228DF" w:rsidP="00C228DF">
      <w:pPr>
        <w:rPr>
          <w:rFonts w:ascii="Arial" w:hAnsi="Arial" w:cs="Arial"/>
          <w:b/>
          <w:bCs/>
          <w:lang w:val="en-GB"/>
        </w:rPr>
      </w:pPr>
      <w:r w:rsidRPr="00FB6E76">
        <w:rPr>
          <w:rFonts w:ascii="Arial" w:hAnsi="Arial" w:cs="Arial"/>
          <w:b/>
          <w:bCs/>
          <w:lang w:val="en-GB"/>
        </w:rPr>
        <w:t>2. Accounting Rate of Return (ARR)</w:t>
      </w:r>
    </w:p>
    <w:p w14:paraId="3BD6EA95" w14:textId="17C6AEFA" w:rsidR="00C228DF" w:rsidRPr="00FB6E76" w:rsidRDefault="00C228DF" w:rsidP="00C228DF">
      <w:pPr>
        <w:rPr>
          <w:rFonts w:ascii="Arial" w:hAnsi="Arial" w:cs="Arial"/>
          <w:lang w:val="en-GB"/>
        </w:rPr>
      </w:pPr>
      <w:r w:rsidRPr="00FB6E76">
        <w:rPr>
          <w:rFonts w:ascii="Arial" w:hAnsi="Arial" w:cs="Arial"/>
          <w:lang w:val="en-GB"/>
        </w:rPr>
        <w:t>ARR measures profitability based on average annual accounting profit relative to initial investment.</w:t>
      </w:r>
    </w:p>
    <w:p w14:paraId="3EF21764" w14:textId="77777777" w:rsidR="00C228DF" w:rsidRPr="00FB6E76" w:rsidRDefault="00C228DF" w:rsidP="00C228DF">
      <w:pPr>
        <w:rPr>
          <w:rFonts w:ascii="Arial" w:hAnsi="Arial" w:cs="Arial"/>
          <w:lang w:val="en-GB"/>
        </w:rPr>
      </w:pPr>
      <w:r w:rsidRPr="00FB6E76">
        <w:rPr>
          <w:rFonts w:ascii="Arial" w:hAnsi="Arial" w:cs="Arial"/>
          <w:lang w:val="en-GB"/>
        </w:rPr>
        <w:t>Project A: Average annual profit = £18,800. ARR = 18,800 / 40,000 × 100 = 47%</w:t>
      </w:r>
    </w:p>
    <w:p w14:paraId="6878392F" w14:textId="77777777" w:rsidR="00C228DF" w:rsidRPr="00FB6E76" w:rsidRDefault="00C228DF" w:rsidP="00C228DF">
      <w:pPr>
        <w:rPr>
          <w:rFonts w:ascii="Arial" w:hAnsi="Arial" w:cs="Arial"/>
          <w:lang w:val="en-GB"/>
        </w:rPr>
      </w:pPr>
      <w:r w:rsidRPr="00FB6E76">
        <w:rPr>
          <w:rFonts w:ascii="Arial" w:hAnsi="Arial" w:cs="Arial"/>
          <w:lang w:val="en-GB"/>
        </w:rPr>
        <w:lastRenderedPageBreak/>
        <w:t>Project B: Average annual profit = £12,000. ARR = 12,000 / 30,000 × 100 = 40%</w:t>
      </w:r>
    </w:p>
    <w:p w14:paraId="360328F0" w14:textId="69C72441" w:rsidR="00C228DF" w:rsidRPr="00FB6E76" w:rsidRDefault="00C228DF" w:rsidP="00C228DF">
      <w:pPr>
        <w:rPr>
          <w:rFonts w:ascii="Arial" w:hAnsi="Arial" w:cs="Arial"/>
          <w:lang w:val="en-GB"/>
        </w:rPr>
      </w:pPr>
      <w:r w:rsidRPr="00FB6E76">
        <w:rPr>
          <w:rFonts w:ascii="Arial" w:hAnsi="Arial" w:cs="Arial"/>
          <w:lang w:val="en-GB"/>
        </w:rPr>
        <w:t>Project C: Average annual profit = £25,000. ARR = 25,000 / 50,000 × 100 = 50%</w:t>
      </w:r>
    </w:p>
    <w:p w14:paraId="4E56C449" w14:textId="169E9825" w:rsidR="00C228DF" w:rsidRPr="00FB6E76" w:rsidRDefault="00C228DF" w:rsidP="00C228DF">
      <w:pPr>
        <w:rPr>
          <w:rFonts w:ascii="Arial" w:hAnsi="Arial" w:cs="Arial"/>
          <w:b/>
          <w:bCs/>
          <w:lang w:val="en-GB"/>
        </w:rPr>
      </w:pPr>
      <w:r w:rsidRPr="00FB6E76">
        <w:rPr>
          <w:rFonts w:ascii="Arial" w:hAnsi="Arial" w:cs="Arial"/>
          <w:b/>
          <w:bCs/>
          <w:lang w:val="en-GB"/>
        </w:rPr>
        <w:t>3. Net Present Value (NPV)</w:t>
      </w:r>
    </w:p>
    <w:p w14:paraId="488615F9" w14:textId="385E598F" w:rsidR="00C228DF" w:rsidRPr="00FB6E76" w:rsidRDefault="00C228DF" w:rsidP="00C228DF">
      <w:pPr>
        <w:rPr>
          <w:rFonts w:ascii="Arial" w:hAnsi="Arial" w:cs="Arial"/>
          <w:lang w:val="en-GB"/>
        </w:rPr>
      </w:pPr>
      <w:r w:rsidRPr="00FB6E76">
        <w:rPr>
          <w:rFonts w:ascii="Arial" w:hAnsi="Arial" w:cs="Arial"/>
          <w:lang w:val="en-GB"/>
        </w:rPr>
        <w:t>NPV discounts future cash inflows at 10% cost of capital and subtracts the initial investment.</w:t>
      </w:r>
    </w:p>
    <w:p w14:paraId="5B05C1B4" w14:textId="77777777" w:rsidR="00C228DF" w:rsidRPr="00FB6E76" w:rsidRDefault="00C228DF" w:rsidP="00C228DF">
      <w:pPr>
        <w:rPr>
          <w:rFonts w:ascii="Arial" w:hAnsi="Arial" w:cs="Arial"/>
          <w:lang w:val="en-GB"/>
        </w:rPr>
      </w:pPr>
      <w:r w:rsidRPr="00FB6E76">
        <w:rPr>
          <w:rFonts w:ascii="Arial" w:hAnsi="Arial" w:cs="Arial"/>
          <w:lang w:val="en-GB"/>
        </w:rPr>
        <w:t>Project A: Discounted inflows = 9,091 + 9,917 + 10,518 + 6,830 + 4,967 = 41,323</w:t>
      </w:r>
    </w:p>
    <w:p w14:paraId="1AF7558B" w14:textId="5D3F8B12" w:rsidR="00C228DF" w:rsidRPr="00FB6E76" w:rsidRDefault="00C228DF" w:rsidP="00C228DF">
      <w:pPr>
        <w:rPr>
          <w:rFonts w:ascii="Arial" w:hAnsi="Arial" w:cs="Arial"/>
          <w:lang w:val="en-GB"/>
        </w:rPr>
      </w:pPr>
      <w:r w:rsidRPr="00FB6E76">
        <w:rPr>
          <w:rFonts w:ascii="Arial" w:hAnsi="Arial" w:cs="Arial"/>
          <w:lang w:val="en-GB"/>
        </w:rPr>
        <w:t>NPV = 41,323 – 40,000 = £1,324</w:t>
      </w:r>
    </w:p>
    <w:p w14:paraId="1D997A22" w14:textId="77777777" w:rsidR="00C228DF" w:rsidRPr="00FB6E76" w:rsidRDefault="00C228DF" w:rsidP="00C228DF">
      <w:pPr>
        <w:rPr>
          <w:rFonts w:ascii="Arial" w:hAnsi="Arial" w:cs="Arial"/>
          <w:lang w:val="en-GB"/>
        </w:rPr>
      </w:pPr>
      <w:r w:rsidRPr="00FB6E76">
        <w:rPr>
          <w:rFonts w:ascii="Arial" w:hAnsi="Arial" w:cs="Arial"/>
          <w:lang w:val="en-GB"/>
        </w:rPr>
        <w:t>Project B: Discounted inflows = 5,455 + 4,959 + 4,508 + 4,098 + 3,726 = 22,746</w:t>
      </w:r>
    </w:p>
    <w:p w14:paraId="298B8657" w14:textId="47AC4EF8" w:rsidR="00C228DF" w:rsidRPr="00FB6E76" w:rsidRDefault="00C228DF" w:rsidP="00C228DF">
      <w:pPr>
        <w:rPr>
          <w:rFonts w:ascii="Arial" w:hAnsi="Arial" w:cs="Arial"/>
          <w:lang w:val="en-GB"/>
        </w:rPr>
      </w:pPr>
      <w:r w:rsidRPr="00FB6E76">
        <w:rPr>
          <w:rFonts w:ascii="Arial" w:hAnsi="Arial" w:cs="Arial"/>
          <w:lang w:val="en-GB"/>
        </w:rPr>
        <w:t>NPV = 22,746 – 30,000 = –£7,254</w:t>
      </w:r>
    </w:p>
    <w:p w14:paraId="68AD8EE5" w14:textId="77777777" w:rsidR="00C228DF" w:rsidRPr="00FB6E76" w:rsidRDefault="00C228DF" w:rsidP="00C228DF">
      <w:pPr>
        <w:rPr>
          <w:rFonts w:ascii="Arial" w:hAnsi="Arial" w:cs="Arial"/>
          <w:lang w:val="en-GB"/>
        </w:rPr>
      </w:pPr>
      <w:r w:rsidRPr="00FB6E76">
        <w:rPr>
          <w:rFonts w:ascii="Arial" w:hAnsi="Arial" w:cs="Arial"/>
          <w:lang w:val="en-GB"/>
        </w:rPr>
        <w:t>Project C: Discounted inflows = 4,545 + 8,264 + 15,026 + 17,075 + 9,314 = 54,224</w:t>
      </w:r>
    </w:p>
    <w:p w14:paraId="4330D919" w14:textId="4AC376AB" w:rsidR="00C228DF" w:rsidRPr="00FB6E76" w:rsidRDefault="00C228DF" w:rsidP="00C228DF">
      <w:pPr>
        <w:rPr>
          <w:rFonts w:ascii="Arial" w:hAnsi="Arial" w:cs="Arial"/>
          <w:lang w:val="en-GB"/>
        </w:rPr>
      </w:pPr>
      <w:r w:rsidRPr="00FB6E76">
        <w:rPr>
          <w:rFonts w:ascii="Arial" w:hAnsi="Arial" w:cs="Arial"/>
          <w:lang w:val="en-GB"/>
        </w:rPr>
        <w:t>NPV = 54,224 – 50,000 = £4,224</w:t>
      </w:r>
    </w:p>
    <w:p w14:paraId="21705039" w14:textId="5EADC09F" w:rsidR="00C228DF" w:rsidRPr="00FB6E76" w:rsidRDefault="00C228DF" w:rsidP="00C228DF">
      <w:pPr>
        <w:rPr>
          <w:rFonts w:ascii="Arial" w:hAnsi="Arial" w:cs="Arial"/>
          <w:b/>
          <w:bCs/>
          <w:lang w:val="en-GB"/>
        </w:rPr>
      </w:pPr>
      <w:r w:rsidRPr="00FB6E76">
        <w:rPr>
          <w:rFonts w:ascii="Arial" w:hAnsi="Arial" w:cs="Arial"/>
          <w:b/>
          <w:bCs/>
          <w:lang w:val="en-GB"/>
        </w:rPr>
        <w:t>4. Profitability Index (PI)</w:t>
      </w:r>
    </w:p>
    <w:p w14:paraId="7A6B5720" w14:textId="65ADFC1D" w:rsidR="00C228DF" w:rsidRPr="00FB6E76" w:rsidRDefault="00C228DF" w:rsidP="00C228DF">
      <w:pPr>
        <w:rPr>
          <w:rFonts w:ascii="Arial" w:hAnsi="Arial" w:cs="Arial"/>
          <w:lang w:val="en-GB"/>
        </w:rPr>
      </w:pPr>
      <w:r w:rsidRPr="00FB6E76">
        <w:rPr>
          <w:rFonts w:ascii="Arial" w:hAnsi="Arial" w:cs="Arial"/>
          <w:lang w:val="en-GB"/>
        </w:rPr>
        <w:t>PI = Present value of inflows / Initial investment.</w:t>
      </w:r>
    </w:p>
    <w:p w14:paraId="02FA5273" w14:textId="77777777" w:rsidR="00C228DF" w:rsidRPr="00FB6E76" w:rsidRDefault="00C228DF" w:rsidP="00C228DF">
      <w:pPr>
        <w:rPr>
          <w:rFonts w:ascii="Arial" w:hAnsi="Arial" w:cs="Arial"/>
          <w:lang w:val="en-GB"/>
        </w:rPr>
      </w:pPr>
      <w:r w:rsidRPr="00FB6E76">
        <w:rPr>
          <w:rFonts w:ascii="Arial" w:hAnsi="Arial" w:cs="Arial"/>
          <w:lang w:val="en-GB"/>
        </w:rPr>
        <w:t>Project A: PI = 41,323 / 40,000 = 1.033</w:t>
      </w:r>
    </w:p>
    <w:p w14:paraId="5839C7F0" w14:textId="77777777" w:rsidR="00C228DF" w:rsidRPr="00FB6E76" w:rsidRDefault="00C228DF" w:rsidP="00C228DF">
      <w:pPr>
        <w:rPr>
          <w:rFonts w:ascii="Arial" w:hAnsi="Arial" w:cs="Arial"/>
          <w:lang w:val="en-GB"/>
        </w:rPr>
      </w:pPr>
      <w:r w:rsidRPr="00FB6E76">
        <w:rPr>
          <w:rFonts w:ascii="Arial" w:hAnsi="Arial" w:cs="Arial"/>
          <w:lang w:val="en-GB"/>
        </w:rPr>
        <w:t>Project B: PI = 22,746 / 30,000 = 0.758</w:t>
      </w:r>
    </w:p>
    <w:p w14:paraId="2354277C" w14:textId="70180CBF" w:rsidR="00C228DF" w:rsidRPr="00FB6E76" w:rsidRDefault="00C228DF" w:rsidP="00C228DF">
      <w:pPr>
        <w:rPr>
          <w:rFonts w:ascii="Arial" w:hAnsi="Arial" w:cs="Arial"/>
          <w:lang w:val="en-GB"/>
        </w:rPr>
      </w:pPr>
      <w:r w:rsidRPr="00FB6E76">
        <w:rPr>
          <w:rFonts w:ascii="Arial" w:hAnsi="Arial" w:cs="Arial"/>
          <w:lang w:val="en-GB"/>
        </w:rPr>
        <w:t>Project C: PI = 54,224 / 50,000 = 1.084</w:t>
      </w:r>
    </w:p>
    <w:p w14:paraId="13339486" w14:textId="47750A46" w:rsidR="00C228DF" w:rsidRPr="00FB6E76" w:rsidRDefault="00C228DF" w:rsidP="00C228DF">
      <w:pPr>
        <w:rPr>
          <w:rFonts w:ascii="Arial" w:hAnsi="Arial" w:cs="Arial"/>
          <w:lang w:val="en-GB"/>
        </w:rPr>
      </w:pPr>
      <w:r w:rsidRPr="00FB6E76">
        <w:rPr>
          <w:rFonts w:ascii="Arial" w:hAnsi="Arial" w:cs="Arial"/>
          <w:lang w:val="en-GB"/>
        </w:rPr>
        <w:t>PI &gt; 1 indicates a financially viable project.</w:t>
      </w:r>
    </w:p>
    <w:p w14:paraId="69855425" w14:textId="2F8975B2" w:rsidR="00C228DF" w:rsidRPr="00FB6E76" w:rsidRDefault="00C228DF" w:rsidP="00C228DF">
      <w:pPr>
        <w:rPr>
          <w:rFonts w:ascii="Arial" w:hAnsi="Arial" w:cs="Arial"/>
          <w:b/>
          <w:bCs/>
          <w:lang w:val="en-GB"/>
        </w:rPr>
      </w:pPr>
      <w:r w:rsidRPr="00FB6E76">
        <w:rPr>
          <w:rFonts w:ascii="Arial" w:hAnsi="Arial" w:cs="Arial"/>
          <w:b/>
          <w:bCs/>
          <w:lang w:val="en-GB"/>
        </w:rPr>
        <w:t>5. Internal Rate of Return (IRR)</w:t>
      </w:r>
    </w:p>
    <w:p w14:paraId="26427E19" w14:textId="38339FE2" w:rsidR="00C228DF" w:rsidRPr="00FB6E76" w:rsidRDefault="00C228DF" w:rsidP="00C228DF">
      <w:pPr>
        <w:rPr>
          <w:rFonts w:ascii="Arial" w:hAnsi="Arial" w:cs="Arial"/>
          <w:lang w:val="en-GB"/>
        </w:rPr>
      </w:pPr>
      <w:r w:rsidRPr="00FB6E76">
        <w:rPr>
          <w:rFonts w:ascii="Arial" w:hAnsi="Arial" w:cs="Arial"/>
          <w:lang w:val="en-GB"/>
        </w:rPr>
        <w:t>IRR is the discount rate that makes NPV = 0.</w:t>
      </w:r>
    </w:p>
    <w:p w14:paraId="5FEC4DFC" w14:textId="77777777" w:rsidR="00C228DF" w:rsidRPr="00FB6E76" w:rsidRDefault="00C228DF" w:rsidP="00C228DF">
      <w:pPr>
        <w:rPr>
          <w:rFonts w:ascii="Arial" w:hAnsi="Arial" w:cs="Arial"/>
          <w:lang w:val="en-GB"/>
        </w:rPr>
      </w:pPr>
      <w:r w:rsidRPr="00FB6E76">
        <w:rPr>
          <w:rFonts w:ascii="Arial" w:hAnsi="Arial" w:cs="Arial"/>
          <w:lang w:val="en-GB"/>
        </w:rPr>
        <w:t>Project A: IRR ≈ 11.33% (above 10% cost of capital → modest profitability)</w:t>
      </w:r>
    </w:p>
    <w:p w14:paraId="0778B2A3" w14:textId="77777777" w:rsidR="00C228DF" w:rsidRPr="00FB6E76" w:rsidRDefault="00C228DF" w:rsidP="00C228DF">
      <w:pPr>
        <w:rPr>
          <w:rFonts w:ascii="Arial" w:hAnsi="Arial" w:cs="Arial"/>
          <w:lang w:val="en-GB"/>
        </w:rPr>
      </w:pPr>
      <w:r w:rsidRPr="00FB6E76">
        <w:rPr>
          <w:rFonts w:ascii="Arial" w:hAnsi="Arial" w:cs="Arial"/>
          <w:lang w:val="en-GB"/>
        </w:rPr>
        <w:t>Project B: IRR = 0% (not viable)</w:t>
      </w:r>
    </w:p>
    <w:p w14:paraId="4318A862" w14:textId="5B21BBEF" w:rsidR="00C228DF" w:rsidRPr="00FB6E76" w:rsidRDefault="00C228DF" w:rsidP="00C228DF">
      <w:pPr>
        <w:rPr>
          <w:rFonts w:ascii="Arial" w:hAnsi="Arial" w:cs="Arial"/>
          <w:lang w:val="en-GB"/>
        </w:rPr>
      </w:pPr>
      <w:r w:rsidRPr="00FB6E76">
        <w:rPr>
          <w:rFonts w:ascii="Arial" w:hAnsi="Arial" w:cs="Arial"/>
          <w:lang w:val="en-GB"/>
        </w:rPr>
        <w:t>Project C: IRR ≈ 12.72% (strong profitability)</w:t>
      </w:r>
    </w:p>
    <w:p w14:paraId="470614A2" w14:textId="219EE19C" w:rsidR="00C228DF" w:rsidRPr="00FB6E76" w:rsidRDefault="00C228DF" w:rsidP="00C228DF">
      <w:pPr>
        <w:rPr>
          <w:rFonts w:ascii="Arial" w:hAnsi="Arial" w:cs="Arial"/>
          <w:lang w:val="en-GB"/>
        </w:rPr>
      </w:pPr>
      <w:r w:rsidRPr="00FB6E76">
        <w:rPr>
          <w:rFonts w:ascii="Arial" w:hAnsi="Arial" w:cs="Arial"/>
          <w:lang w:val="en-GB"/>
        </w:rPr>
        <w:t xml:space="preserve">Summary Table </w:t>
      </w:r>
    </w:p>
    <w:p w14:paraId="4F526A62" w14:textId="77777777" w:rsidR="00C228DF" w:rsidRPr="00FB6E76" w:rsidRDefault="00C228DF" w:rsidP="00C228DF">
      <w:pPr>
        <w:rPr>
          <w:rFonts w:ascii="Arial" w:hAnsi="Arial" w:cs="Arial"/>
          <w:lang w:val="en-GB"/>
        </w:rPr>
      </w:pPr>
      <w:r w:rsidRPr="00FB6E76">
        <w:rPr>
          <w:rFonts w:ascii="Arial" w:hAnsi="Arial" w:cs="Arial"/>
          <w:lang w:val="en-GB"/>
        </w:rPr>
        <w:t>Project A: PBP = 4 years, ARR = 47%, NPV = £1,324, PI = 1.033, IRR = 11.33%</w:t>
      </w:r>
    </w:p>
    <w:p w14:paraId="27C82225" w14:textId="77777777" w:rsidR="00C228DF" w:rsidRPr="00FB6E76" w:rsidRDefault="00C228DF" w:rsidP="00C228DF">
      <w:pPr>
        <w:rPr>
          <w:rFonts w:ascii="Arial" w:hAnsi="Arial" w:cs="Arial"/>
          <w:lang w:val="en-GB"/>
        </w:rPr>
      </w:pPr>
      <w:r w:rsidRPr="00FB6E76">
        <w:rPr>
          <w:rFonts w:ascii="Arial" w:hAnsi="Arial" w:cs="Arial"/>
          <w:lang w:val="en-GB"/>
        </w:rPr>
        <w:t>Project B: PBP = 5 years, ARR = 40%, NPV = –£7,254, PI = 0.758, IRR = 0%</w:t>
      </w:r>
    </w:p>
    <w:p w14:paraId="5189B455" w14:textId="43D2B889" w:rsidR="00C228DF" w:rsidRPr="00C228DF" w:rsidRDefault="00C228DF" w:rsidP="00C228DF">
      <w:pPr>
        <w:rPr>
          <w:rFonts w:ascii="Arial" w:hAnsi="Arial" w:cs="Arial"/>
          <w:color w:val="EE0000"/>
          <w:lang w:val="en-GB"/>
        </w:rPr>
      </w:pPr>
      <w:r w:rsidRPr="00FB6E76">
        <w:rPr>
          <w:rFonts w:ascii="Arial" w:hAnsi="Arial" w:cs="Arial"/>
          <w:lang w:val="en-GB"/>
        </w:rPr>
        <w:t>Project C: PBP = 5 years, ARR = 50%, NPV = £4,224, PI = 1.084, IRR = 12.72%</w:t>
      </w:r>
    </w:p>
    <w:sectPr w:rsidR="00C228DF" w:rsidRPr="00C228DF" w:rsidSect="00397A32">
      <w:headerReference w:type="even" r:id="rId56"/>
      <w:headerReference w:type="default" r:id="rId57"/>
      <w:footerReference w:type="even" r:id="rId58"/>
      <w:footerReference w:type="default" r:id="rId59"/>
      <w:headerReference w:type="first" r:id="rId6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9A316D" w14:textId="77777777" w:rsidR="009F1BAD" w:rsidRDefault="009F1BAD" w:rsidP="00BF0189">
      <w:pPr>
        <w:spacing w:line="240" w:lineRule="auto"/>
      </w:pPr>
      <w:r>
        <w:separator/>
      </w:r>
    </w:p>
  </w:endnote>
  <w:endnote w:type="continuationSeparator" w:id="0">
    <w:p w14:paraId="53CE82DF" w14:textId="77777777" w:rsidR="009F1BAD" w:rsidRDefault="009F1BAD" w:rsidP="00BF01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6A73FEE4-FCE6-4F57-A14B-366090AC3BF5}"/>
    <w:embedBold r:id="rId2" w:fontKey="{DBCEB337-C6E4-4C02-83F4-496D1023C194}"/>
    <w:embedItalic r:id="rId3" w:fontKey="{2D5F8AD6-7558-4BF2-99B4-67B87F81DF41}"/>
  </w:font>
  <w:font w:name="Cambria">
    <w:panose1 w:val="02040503050406030204"/>
    <w:charset w:val="00"/>
    <w:family w:val="roman"/>
    <w:pitch w:val="variable"/>
    <w:sig w:usb0="E00006FF" w:usb1="420024FF" w:usb2="02000000" w:usb3="00000000" w:csb0="0000019F" w:csb1="00000000"/>
    <w:embedRegular r:id="rId4" w:fontKey="{CC6B9FAD-8C50-4F5F-BE14-D2A5AB9C0C9B}"/>
    <w:embedBold r:id="rId5" w:fontKey="{11B5955E-BA27-46A9-8643-47EED7606575}"/>
    <w:embedBoldItalic r:id="rId6" w:fontKey="{A1BC395D-6D03-4D1F-9891-3299BCBEE93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350257694"/>
      <w:docPartObj>
        <w:docPartGallery w:val="Page Numbers (Bottom of Page)"/>
        <w:docPartUnique/>
      </w:docPartObj>
    </w:sdtPr>
    <w:sdtEndPr>
      <w:rPr>
        <w:rStyle w:val="PageNumber"/>
      </w:rPr>
    </w:sdtEndPr>
    <w:sdtContent>
      <w:p w14:paraId="3076CBB2" w14:textId="77777777" w:rsidR="0004384D" w:rsidRDefault="0004384D" w:rsidP="000438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7147C0" w14:textId="77777777" w:rsidR="0004384D" w:rsidRDefault="0004384D" w:rsidP="00397A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454018204"/>
      <w:docPartObj>
        <w:docPartGallery w:val="Page Numbers (Bottom of Page)"/>
        <w:docPartUnique/>
      </w:docPartObj>
    </w:sdtPr>
    <w:sdtEndPr>
      <w:rPr>
        <w:rStyle w:val="PageNumber"/>
      </w:rPr>
    </w:sdtEndPr>
    <w:sdtContent>
      <w:p w14:paraId="3393C4E1" w14:textId="77777777" w:rsidR="0004384D" w:rsidRDefault="0004384D" w:rsidP="000438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DF4D89">
          <w:rPr>
            <w:rStyle w:val="PageNumber"/>
            <w:noProof/>
          </w:rPr>
          <w:t>1</w:t>
        </w:r>
        <w:r>
          <w:rPr>
            <w:rStyle w:val="PageNumber"/>
          </w:rPr>
          <w:fldChar w:fldCharType="end"/>
        </w:r>
      </w:p>
    </w:sdtContent>
  </w:sdt>
  <w:p w14:paraId="46F4C534" w14:textId="77777777" w:rsidR="0004384D" w:rsidRDefault="0004384D" w:rsidP="00397A32">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2C46CE" w14:textId="77777777" w:rsidR="0004384D" w:rsidRDefault="0004384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87201362"/>
      <w:docPartObj>
        <w:docPartGallery w:val="Page Numbers (Bottom of Page)"/>
        <w:docPartUnique/>
      </w:docPartObj>
    </w:sdtPr>
    <w:sdtEndPr>
      <w:rPr>
        <w:rStyle w:val="PageNumber"/>
      </w:rPr>
    </w:sdtEndPr>
    <w:sdtContent>
      <w:p w14:paraId="7EBBBB66" w14:textId="48E1341E" w:rsidR="0004384D" w:rsidRDefault="0004384D" w:rsidP="000438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CC415A" w14:textId="77777777" w:rsidR="0004384D" w:rsidRDefault="0004384D" w:rsidP="00397A32">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334070096"/>
      <w:docPartObj>
        <w:docPartGallery w:val="Page Numbers (Bottom of Page)"/>
        <w:docPartUnique/>
      </w:docPartObj>
    </w:sdtPr>
    <w:sdtEndPr>
      <w:rPr>
        <w:rStyle w:val="PageNumber"/>
      </w:rPr>
    </w:sdtEndPr>
    <w:sdtContent>
      <w:p w14:paraId="0F6B2626" w14:textId="1665BE89" w:rsidR="0004384D" w:rsidRDefault="0004384D" w:rsidP="000438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DF4D89">
          <w:rPr>
            <w:rStyle w:val="PageNumber"/>
            <w:noProof/>
          </w:rPr>
          <w:t>21</w:t>
        </w:r>
        <w:r>
          <w:rPr>
            <w:rStyle w:val="PageNumber"/>
          </w:rPr>
          <w:fldChar w:fldCharType="end"/>
        </w:r>
      </w:p>
    </w:sdtContent>
  </w:sdt>
  <w:p w14:paraId="066154FE" w14:textId="77777777" w:rsidR="0004384D" w:rsidRDefault="0004384D" w:rsidP="00397A3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87E4F0" w14:textId="77777777" w:rsidR="009F1BAD" w:rsidRDefault="009F1BAD" w:rsidP="00BF0189">
      <w:pPr>
        <w:spacing w:line="240" w:lineRule="auto"/>
      </w:pPr>
      <w:r>
        <w:separator/>
      </w:r>
    </w:p>
  </w:footnote>
  <w:footnote w:type="continuationSeparator" w:id="0">
    <w:p w14:paraId="1A1769CA" w14:textId="77777777" w:rsidR="009F1BAD" w:rsidRDefault="009F1BAD" w:rsidP="00BF018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8FFEBF" w14:textId="77777777" w:rsidR="0004384D" w:rsidRDefault="000438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AF63E" w14:textId="77777777" w:rsidR="0004384D" w:rsidRDefault="0004384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EDE09F" w14:textId="77777777" w:rsidR="0004384D" w:rsidRDefault="0004384D">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3642C0" w14:textId="77777777" w:rsidR="0004384D" w:rsidRDefault="0004384D">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D69484" w14:textId="77777777" w:rsidR="0004384D" w:rsidRDefault="0004384D">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7C6596" w14:textId="77777777" w:rsidR="0004384D" w:rsidRDefault="0004384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06646F"/>
    <w:multiLevelType w:val="hybridMultilevel"/>
    <w:tmpl w:val="918AC1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507B540F"/>
    <w:multiLevelType w:val="hybridMultilevel"/>
    <w:tmpl w:val="194AA1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721C624B"/>
    <w:multiLevelType w:val="hybridMultilevel"/>
    <w:tmpl w:val="C17C48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67D"/>
    <w:rsid w:val="0004384D"/>
    <w:rsid w:val="00047BB7"/>
    <w:rsid w:val="000E75DF"/>
    <w:rsid w:val="00101DF8"/>
    <w:rsid w:val="0010388A"/>
    <w:rsid w:val="001C0C76"/>
    <w:rsid w:val="001E6385"/>
    <w:rsid w:val="002C6503"/>
    <w:rsid w:val="00305AE8"/>
    <w:rsid w:val="00330188"/>
    <w:rsid w:val="00397A32"/>
    <w:rsid w:val="003D3CB6"/>
    <w:rsid w:val="003F06F4"/>
    <w:rsid w:val="003F4D67"/>
    <w:rsid w:val="00425D56"/>
    <w:rsid w:val="0044450A"/>
    <w:rsid w:val="00543458"/>
    <w:rsid w:val="0057536E"/>
    <w:rsid w:val="0059237A"/>
    <w:rsid w:val="006C63EB"/>
    <w:rsid w:val="006F189F"/>
    <w:rsid w:val="006F636C"/>
    <w:rsid w:val="00791137"/>
    <w:rsid w:val="00797FA5"/>
    <w:rsid w:val="0082355D"/>
    <w:rsid w:val="00891DEA"/>
    <w:rsid w:val="008A78CA"/>
    <w:rsid w:val="008B59A6"/>
    <w:rsid w:val="008D2A1C"/>
    <w:rsid w:val="00933EAC"/>
    <w:rsid w:val="009F1BAD"/>
    <w:rsid w:val="00A4621A"/>
    <w:rsid w:val="00A46D57"/>
    <w:rsid w:val="00A85B02"/>
    <w:rsid w:val="00A94E19"/>
    <w:rsid w:val="00BC45F8"/>
    <w:rsid w:val="00BF0189"/>
    <w:rsid w:val="00C228DF"/>
    <w:rsid w:val="00D07A2B"/>
    <w:rsid w:val="00D8667D"/>
    <w:rsid w:val="00DF4D89"/>
    <w:rsid w:val="00E35668"/>
    <w:rsid w:val="00E4140B"/>
    <w:rsid w:val="00E5111B"/>
    <w:rsid w:val="00E66B02"/>
    <w:rsid w:val="00EA4CB6"/>
    <w:rsid w:val="00F93B1B"/>
    <w:rsid w:val="00FB6E7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4A3803"/>
  <w15:docId w15:val="{E7B8B150-63C0-A94A-88A3-FCEF8CCAB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3F06F4"/>
    <w:pPr>
      <w:keepNext/>
      <w:keepLines/>
      <w:outlineLvl w:val="0"/>
    </w:pPr>
    <w:rPr>
      <w:rFonts w:ascii="Arial" w:hAnsi="Arial" w:cs="Arial"/>
      <w:b/>
      <w:bCs/>
      <w:lang w:val="en-GB"/>
    </w:rPr>
  </w:style>
  <w:style w:type="paragraph" w:styleId="Heading2">
    <w:name w:val="heading 2"/>
    <w:basedOn w:val="Normal"/>
    <w:next w:val="Normal"/>
    <w:uiPriority w:val="9"/>
    <w:unhideWhenUsed/>
    <w:qFormat/>
    <w:rsid w:val="003F06F4"/>
    <w:pPr>
      <w:keepNext/>
      <w:keepLines/>
      <w:outlineLvl w:val="1"/>
    </w:pPr>
    <w:rPr>
      <w:rFonts w:ascii="Arial" w:hAnsi="Arial" w:cs="Arial"/>
      <w:b/>
      <w:bCs/>
      <w:lang w:val="en-GB"/>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BF0189"/>
    <w:pPr>
      <w:tabs>
        <w:tab w:val="center" w:pos="4680"/>
        <w:tab w:val="right" w:pos="9360"/>
      </w:tabs>
      <w:spacing w:line="240" w:lineRule="auto"/>
    </w:pPr>
  </w:style>
  <w:style w:type="character" w:customStyle="1" w:styleId="HeaderChar">
    <w:name w:val="Header Char"/>
    <w:basedOn w:val="DefaultParagraphFont"/>
    <w:link w:val="Header"/>
    <w:uiPriority w:val="99"/>
    <w:rsid w:val="00BF0189"/>
  </w:style>
  <w:style w:type="paragraph" w:styleId="Footer">
    <w:name w:val="footer"/>
    <w:basedOn w:val="Normal"/>
    <w:link w:val="FooterChar"/>
    <w:uiPriority w:val="99"/>
    <w:unhideWhenUsed/>
    <w:rsid w:val="00BF0189"/>
    <w:pPr>
      <w:tabs>
        <w:tab w:val="center" w:pos="4680"/>
        <w:tab w:val="right" w:pos="9360"/>
      </w:tabs>
      <w:spacing w:line="240" w:lineRule="auto"/>
    </w:pPr>
  </w:style>
  <w:style w:type="character" w:customStyle="1" w:styleId="FooterChar">
    <w:name w:val="Footer Char"/>
    <w:basedOn w:val="DefaultParagraphFont"/>
    <w:link w:val="Footer"/>
    <w:uiPriority w:val="99"/>
    <w:rsid w:val="00BF0189"/>
  </w:style>
  <w:style w:type="paragraph" w:styleId="Revision">
    <w:name w:val="Revision"/>
    <w:hidden/>
    <w:uiPriority w:val="99"/>
    <w:semiHidden/>
    <w:rsid w:val="008A78CA"/>
    <w:pPr>
      <w:spacing w:line="240" w:lineRule="auto"/>
      <w:jc w:val="left"/>
    </w:pPr>
  </w:style>
  <w:style w:type="paragraph" w:styleId="TOCHeading">
    <w:name w:val="TOC Heading"/>
    <w:basedOn w:val="Heading1"/>
    <w:next w:val="Normal"/>
    <w:uiPriority w:val="39"/>
    <w:unhideWhenUsed/>
    <w:qFormat/>
    <w:rsid w:val="00397A32"/>
    <w:pPr>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en-US"/>
    </w:rPr>
  </w:style>
  <w:style w:type="paragraph" w:styleId="TOC1">
    <w:name w:val="toc 1"/>
    <w:basedOn w:val="Normal"/>
    <w:next w:val="Normal"/>
    <w:autoRedefine/>
    <w:uiPriority w:val="39"/>
    <w:unhideWhenUsed/>
    <w:rsid w:val="00397A32"/>
    <w:pPr>
      <w:spacing w:before="120"/>
      <w:jc w:val="left"/>
    </w:pPr>
    <w:rPr>
      <w:rFonts w:asciiTheme="minorHAnsi" w:hAnsiTheme="minorHAnsi"/>
      <w:b/>
      <w:bCs/>
      <w:i/>
      <w:iCs/>
    </w:rPr>
  </w:style>
  <w:style w:type="paragraph" w:styleId="TOC2">
    <w:name w:val="toc 2"/>
    <w:basedOn w:val="Normal"/>
    <w:next w:val="Normal"/>
    <w:autoRedefine/>
    <w:uiPriority w:val="39"/>
    <w:unhideWhenUsed/>
    <w:rsid w:val="00397A32"/>
    <w:pPr>
      <w:spacing w:before="120"/>
      <w:ind w:left="240"/>
      <w:jc w:val="left"/>
    </w:pPr>
    <w:rPr>
      <w:rFonts w:asciiTheme="minorHAnsi" w:hAnsiTheme="minorHAnsi"/>
      <w:b/>
      <w:bCs/>
      <w:sz w:val="22"/>
      <w:szCs w:val="22"/>
    </w:rPr>
  </w:style>
  <w:style w:type="character" w:styleId="Hyperlink">
    <w:name w:val="Hyperlink"/>
    <w:basedOn w:val="DefaultParagraphFont"/>
    <w:uiPriority w:val="99"/>
    <w:unhideWhenUsed/>
    <w:rsid w:val="00397A32"/>
    <w:rPr>
      <w:color w:val="0000FF" w:themeColor="hyperlink"/>
      <w:u w:val="single"/>
    </w:rPr>
  </w:style>
  <w:style w:type="paragraph" w:styleId="TOC3">
    <w:name w:val="toc 3"/>
    <w:basedOn w:val="Normal"/>
    <w:next w:val="Normal"/>
    <w:autoRedefine/>
    <w:uiPriority w:val="39"/>
    <w:semiHidden/>
    <w:unhideWhenUsed/>
    <w:rsid w:val="00397A32"/>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397A32"/>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397A32"/>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397A32"/>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397A32"/>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397A32"/>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397A32"/>
    <w:pPr>
      <w:ind w:left="1920"/>
      <w:jc w:val="left"/>
    </w:pPr>
    <w:rPr>
      <w:rFonts w:asciiTheme="minorHAnsi" w:hAnsiTheme="minorHAnsi"/>
      <w:sz w:val="20"/>
      <w:szCs w:val="20"/>
    </w:rPr>
  </w:style>
  <w:style w:type="character" w:styleId="PageNumber">
    <w:name w:val="page number"/>
    <w:basedOn w:val="DefaultParagraphFont"/>
    <w:uiPriority w:val="99"/>
    <w:semiHidden/>
    <w:unhideWhenUsed/>
    <w:rsid w:val="00397A32"/>
  </w:style>
  <w:style w:type="paragraph" w:styleId="ListParagraph">
    <w:name w:val="List Paragraph"/>
    <w:basedOn w:val="Normal"/>
    <w:uiPriority w:val="34"/>
    <w:qFormat/>
    <w:rsid w:val="0057536E"/>
    <w:pPr>
      <w:ind w:left="720"/>
      <w:contextualSpacing/>
    </w:pPr>
  </w:style>
  <w:style w:type="table" w:styleId="TableGrid">
    <w:name w:val="Table Grid"/>
    <w:basedOn w:val="TableNormal"/>
    <w:uiPriority w:val="39"/>
    <w:rsid w:val="00C228D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802213">
      <w:bodyDiv w:val="1"/>
      <w:marLeft w:val="0"/>
      <w:marRight w:val="0"/>
      <w:marTop w:val="0"/>
      <w:marBottom w:val="0"/>
      <w:divBdr>
        <w:top w:val="none" w:sz="0" w:space="0" w:color="auto"/>
        <w:left w:val="none" w:sz="0" w:space="0" w:color="auto"/>
        <w:bottom w:val="none" w:sz="0" w:space="0" w:color="auto"/>
        <w:right w:val="none" w:sz="0" w:space="0" w:color="auto"/>
      </w:divBdr>
    </w:div>
    <w:div w:id="557014027">
      <w:bodyDiv w:val="1"/>
      <w:marLeft w:val="0"/>
      <w:marRight w:val="0"/>
      <w:marTop w:val="0"/>
      <w:marBottom w:val="0"/>
      <w:divBdr>
        <w:top w:val="none" w:sz="0" w:space="0" w:color="auto"/>
        <w:left w:val="none" w:sz="0" w:space="0" w:color="auto"/>
        <w:bottom w:val="none" w:sz="0" w:space="0" w:color="auto"/>
        <w:right w:val="none" w:sz="0" w:space="0" w:color="auto"/>
      </w:divBdr>
    </w:div>
    <w:div w:id="926883630">
      <w:bodyDiv w:val="1"/>
      <w:marLeft w:val="0"/>
      <w:marRight w:val="0"/>
      <w:marTop w:val="0"/>
      <w:marBottom w:val="0"/>
      <w:divBdr>
        <w:top w:val="none" w:sz="0" w:space="0" w:color="auto"/>
        <w:left w:val="none" w:sz="0" w:space="0" w:color="auto"/>
        <w:bottom w:val="none" w:sz="0" w:space="0" w:color="auto"/>
        <w:right w:val="none" w:sz="0" w:space="0" w:color="auto"/>
      </w:divBdr>
    </w:div>
    <w:div w:id="1068531227">
      <w:bodyDiv w:val="1"/>
      <w:marLeft w:val="0"/>
      <w:marRight w:val="0"/>
      <w:marTop w:val="0"/>
      <w:marBottom w:val="0"/>
      <w:divBdr>
        <w:top w:val="none" w:sz="0" w:space="0" w:color="auto"/>
        <w:left w:val="none" w:sz="0" w:space="0" w:color="auto"/>
        <w:bottom w:val="none" w:sz="0" w:space="0" w:color="auto"/>
        <w:right w:val="none" w:sz="0" w:space="0" w:color="auto"/>
      </w:divBdr>
    </w:div>
    <w:div w:id="1523321942">
      <w:bodyDiv w:val="1"/>
      <w:marLeft w:val="0"/>
      <w:marRight w:val="0"/>
      <w:marTop w:val="0"/>
      <w:marBottom w:val="0"/>
      <w:divBdr>
        <w:top w:val="none" w:sz="0" w:space="0" w:color="auto"/>
        <w:left w:val="none" w:sz="0" w:space="0" w:color="auto"/>
        <w:bottom w:val="none" w:sz="0" w:space="0" w:color="auto"/>
        <w:right w:val="none" w:sz="0" w:space="0" w:color="auto"/>
      </w:divBdr>
    </w:div>
    <w:div w:id="1551575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jiem.org/index.php/jiem/article/view/3479" TargetMode="External"/><Relationship Id="rId26" Type="http://schemas.openxmlformats.org/officeDocument/2006/relationships/hyperlink" Target="https://www.strategicmanagementreview.net/assets/articles/Harrigan%20and%20Wing%20Corporate%20Renewal%20SI.pdf" TargetMode="External"/><Relationship Id="rId39" Type="http://schemas.openxmlformats.org/officeDocument/2006/relationships/hyperlink" Target="https://journals.sagepub.com/doi/abs/10.1177/2340944421994117" TargetMode="External"/><Relationship Id="rId21" Type="http://schemas.openxmlformats.org/officeDocument/2006/relationships/hyperlink" Target="https://link.springer.com/article/10.1007/s11365-022-00810-9" TargetMode="External"/><Relationship Id="rId34" Type="http://schemas.openxmlformats.org/officeDocument/2006/relationships/hyperlink" Target="https://journals.co.za/doi/abs/10.4102/apsdpr.v10i1.571" TargetMode="External"/><Relationship Id="rId42" Type="http://schemas.openxmlformats.org/officeDocument/2006/relationships/hyperlink" Target="https://www.tandfonline.com/doi/abs/10.1080/23322039.2021.1978706" TargetMode="External"/><Relationship Id="rId47" Type="http://schemas.openxmlformats.org/officeDocument/2006/relationships/image" Target="media/image4.png"/><Relationship Id="rId50" Type="http://schemas.openxmlformats.org/officeDocument/2006/relationships/image" Target="media/image7.png"/><Relationship Id="rId55" Type="http://schemas.openxmlformats.org/officeDocument/2006/relationships/image" Target="media/image1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www.sciencedirect.com/science/article/pii/S0140988323006953" TargetMode="External"/><Relationship Id="rId29" Type="http://schemas.openxmlformats.org/officeDocument/2006/relationships/hyperlink" Target="https://www.academia.edu/download/88826056/retrenchment-strategy-and-firm-performance-evidence-from-malaysian-construction-companies.pdf" TargetMode="External"/><Relationship Id="rId41" Type="http://schemas.openxmlformats.org/officeDocument/2006/relationships/hyperlink" Target="https://journals.sagepub.com/doi/abs/10.1177/23409444221120053" TargetMode="External"/><Relationship Id="rId54" Type="http://schemas.openxmlformats.org/officeDocument/2006/relationships/image" Target="media/image11.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download.garuda.kemdikbud.go.id/article.php?article=2999187&amp;val=8104&amp;title=" TargetMode="External"/><Relationship Id="rId32" Type="http://schemas.openxmlformats.org/officeDocument/2006/relationships/hyperlink" Target="https://www.academia.edu/download/76647641/935.pdf" TargetMode="External"/><Relationship Id="rId37" Type="http://schemas.openxmlformats.org/officeDocument/2006/relationships/hyperlink" Target="https://www.inderscienceonline.com/doi/abs/10.1504/IJMFA.2022.120939" TargetMode="External"/><Relationship Id="rId40" Type="http://schemas.openxmlformats.org/officeDocument/2006/relationships/hyperlink" Target="https://link.springer.com/article/10.1007/s11187-019-00293-z" TargetMode="External"/><Relationship Id="rId45" Type="http://schemas.openxmlformats.org/officeDocument/2006/relationships/hyperlink" Target="https://journals.aijr.org/index.php/ajss/article/view/4350" TargetMode="External"/><Relationship Id="rId53" Type="http://schemas.openxmlformats.org/officeDocument/2006/relationships/image" Target="media/image10.png"/><Relationship Id="rId58"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stratfordjournalpublishers.org/journals/index.php/journal-of-strategic-management/article/view/719" TargetMode="External"/><Relationship Id="rId28" Type="http://schemas.openxmlformats.org/officeDocument/2006/relationships/hyperlink" Target="https://academicjournals.org/journal/JAT/article-full-text/DE2A83967798" TargetMode="External"/><Relationship Id="rId36" Type="http://schemas.openxmlformats.org/officeDocument/2006/relationships/hyperlink" Target="https://www.academia.edu/download/85603881/jbms-9-4-3.pdf" TargetMode="External"/><Relationship Id="rId49" Type="http://schemas.openxmlformats.org/officeDocument/2006/relationships/image" Target="media/image6.png"/><Relationship Id="rId57" Type="http://schemas.openxmlformats.org/officeDocument/2006/relationships/header" Target="header5.xml"/><Relationship Id="rId61"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www.tandfonline.com/doi/abs/10.1080/00472778.2024.2415302" TargetMode="External"/><Relationship Id="rId31" Type="http://schemas.openxmlformats.org/officeDocument/2006/relationships/hyperlink" Target="https://www.sciencedirect.com/science/article/pii/S0278431920303042" TargetMode="External"/><Relationship Id="rId44" Type="http://schemas.openxmlformats.org/officeDocument/2006/relationships/hyperlink" Target="https://link.springer.com/article/10.1007/s10997-022-09643-8" TargetMode="External"/><Relationship Id="rId52" Type="http://schemas.openxmlformats.org/officeDocument/2006/relationships/image" Target="media/image9.png"/><Relationship Id="rId60"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ww.sciencedirect.com/science/article/pii/S0024630122000309" TargetMode="External"/><Relationship Id="rId27" Type="http://schemas.openxmlformats.org/officeDocument/2006/relationships/hyperlink" Target="https://journal.access-bg.org/journalfiles/journal/issue-5-2-2024/thrive_to_revive-turnaround_strategies_of_startups_in_india.pdf" TargetMode="External"/><Relationship Id="rId30" Type="http://schemas.openxmlformats.org/officeDocument/2006/relationships/hyperlink" Target="http://ajeaf.com/index.php/Journal/article/view/106" TargetMode="External"/><Relationship Id="rId35" Type="http://schemas.openxmlformats.org/officeDocument/2006/relationships/hyperlink" Target="https://www.tandfonline.com/doi/abs/10.1080/0376835X.2021.1965865" TargetMode="External"/><Relationship Id="rId43" Type="http://schemas.openxmlformats.org/officeDocument/2006/relationships/hyperlink" Target="http://erepository.kafuco.ac.ke/handle/123456789/131" TargetMode="External"/><Relationship Id="rId48" Type="http://schemas.openxmlformats.org/officeDocument/2006/relationships/image" Target="media/image5.png"/><Relationship Id="rId56" Type="http://schemas.openxmlformats.org/officeDocument/2006/relationships/header" Target="header4.xml"/><Relationship Id="rId8" Type="http://schemas.openxmlformats.org/officeDocument/2006/relationships/image" Target="media/image1.png"/><Relationship Id="rId51" Type="http://schemas.openxmlformats.org/officeDocument/2006/relationships/image" Target="media/image8.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irjbs.prasetiyamulya.ac.id/index.php/jurnalirjbs/article/view/291" TargetMode="External"/><Relationship Id="rId25" Type="http://schemas.openxmlformats.org/officeDocument/2006/relationships/hyperlink" Target="https://stratfordjournalpublishers.org/journals/index.php/journal-of-procurement-supply/article/view/1038" TargetMode="External"/><Relationship Id="rId33" Type="http://schemas.openxmlformats.org/officeDocument/2006/relationships/hyperlink" Target="https://iajournals.org/articles/iajef_v3_i8_1_25.pdf" TargetMode="External"/><Relationship Id="rId38" Type="http://schemas.openxmlformats.org/officeDocument/2006/relationships/hyperlink" Target="https://link.springer.com/article/10.1007/s13132-024-01734-1" TargetMode="External"/><Relationship Id="rId46" Type="http://schemas.openxmlformats.org/officeDocument/2006/relationships/hyperlink" Target="https://www.tandfonline.com/doi/abs/10.1080/16081625.2020.1789480" TargetMode="External"/><Relationship Id="rId59" Type="http://schemas.openxmlformats.org/officeDocument/2006/relationships/footer" Target="footer5.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CAE51-3BC5-4CDA-82FC-02274A9B1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35</Pages>
  <Words>7664</Words>
  <Characters>43687</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2025-11-20T17:46:00Z</dcterms:created>
  <dcterms:modified xsi:type="dcterms:W3CDTF">2025-11-21T18:54:00Z</dcterms:modified>
</cp:coreProperties>
</file>