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3C7D2AFB" w:rsidP="3C7D2AFB" w:rsidRDefault="3C7D2AFB" w14:paraId="10F100D0" w14:textId="63E87984">
      <w:pPr>
        <w:spacing w:line="360" w:lineRule="auto"/>
        <w:jc w:val="center"/>
      </w:pPr>
    </w:p>
    <w:p w:rsidR="3C7D2AFB" w:rsidP="3C7D2AFB" w:rsidRDefault="3C7D2AFB" w14:paraId="7C8BB382" w14:textId="093984D2">
      <w:pPr>
        <w:pStyle w:val="a"/>
        <w:bidi w:val="0"/>
        <w:spacing w:before="0" w:beforeAutospacing="off" w:after="160" w:afterAutospacing="off" w:line="360" w:lineRule="auto"/>
        <w:ind w:left="0" w:right="0"/>
        <w:jc w:val="center"/>
        <w:rPr>
          <w:rFonts w:ascii="Calibri" w:hAnsi="Calibri" w:eastAsia="Calibri" w:cs="Calibri"/>
          <w:noProof w:val="0"/>
          <w:color w:val="000000" w:themeColor="text1" w:themeTint="FF" w:themeShade="FF"/>
          <w:sz w:val="24"/>
          <w:szCs w:val="24"/>
          <w:lang w:val="en-US"/>
        </w:rPr>
      </w:pPr>
      <w:r w:rsidRPr="3C7D2AFB" w:rsidR="3C7D2AFB">
        <w:rPr>
          <w:rFonts w:ascii="Calibri" w:hAnsi="Calibri" w:eastAsia="Calibri" w:cs="Calibri"/>
          <w:noProof w:val="0"/>
          <w:color w:val="000000" w:themeColor="text1" w:themeTint="FF" w:themeShade="FF"/>
          <w:sz w:val="24"/>
          <w:szCs w:val="24"/>
          <w:lang w:val="en-US"/>
        </w:rPr>
        <w:t>Master</w:t>
      </w:r>
      <w:r w:rsidRPr="3C7D2AFB" w:rsidR="3C7D2AFB">
        <w:rPr>
          <w:rFonts w:ascii="Calibri" w:hAnsi="Calibri" w:eastAsia="Calibri" w:cs="Calibri"/>
          <w:noProof w:val="0"/>
          <w:color w:val="000000" w:themeColor="text1" w:themeTint="FF" w:themeShade="FF"/>
          <w:sz w:val="24"/>
          <w:szCs w:val="24"/>
          <w:lang w:val="en-US"/>
        </w:rPr>
        <w:t xml:space="preserve"> of Business Administration: Human Resource Management </w:t>
      </w:r>
      <w:r>
        <w:br/>
      </w:r>
      <w:r w:rsidRPr="3C7D2AFB" w:rsidR="3C7D2AFB">
        <w:rPr>
          <w:rFonts w:ascii="Calibri" w:hAnsi="Calibri" w:eastAsia="Calibri" w:cs="Calibri"/>
          <w:noProof w:val="0"/>
          <w:color w:val="000000" w:themeColor="text1" w:themeTint="FF" w:themeShade="FF"/>
          <w:sz w:val="24"/>
          <w:szCs w:val="24"/>
          <w:lang w:val="en-US"/>
        </w:rPr>
        <w:t xml:space="preserve"> Module Assignment Submission </w:t>
      </w:r>
      <w:r>
        <w:br/>
      </w:r>
      <w:r>
        <w:br/>
      </w:r>
    </w:p>
    <w:tbl>
      <w:tblPr>
        <w:tblStyle w:val="a1"/>
        <w:tblW w:w="0" w:type="auto"/>
        <w:tblLayout w:type="fixed"/>
        <w:tblLook w:val="01E0" w:firstRow="1" w:lastRow="1" w:firstColumn="1" w:lastColumn="1" w:noHBand="0" w:noVBand="0"/>
      </w:tblPr>
      <w:tblGrid>
        <w:gridCol w:w="3386"/>
        <w:gridCol w:w="5974"/>
      </w:tblGrid>
      <w:tr w:rsidR="3C7D2AFB" w:rsidTr="3C7D2AFB" w14:paraId="640858B2">
        <w:tc>
          <w:tcPr>
            <w:tcW w:w="3386" w:type="dxa"/>
            <w:tcBorders>
              <w:top w:val="single" w:sz="8"/>
              <w:left w:val="single" w:sz="8"/>
              <w:bottom w:val="single" w:sz="8"/>
              <w:right w:val="single" w:sz="8"/>
            </w:tcBorders>
            <w:shd w:val="clear" w:color="auto" w:fill="D9D9D9" w:themeFill="background1" w:themeFillShade="D9"/>
            <w:tcMar/>
            <w:vAlign w:val="top"/>
          </w:tcPr>
          <w:p w:rsidR="3C7D2AFB" w:rsidP="3C7D2AFB" w:rsidRDefault="3C7D2AFB" w14:paraId="5E680D6C" w14:textId="0ED82A5C">
            <w:pPr>
              <w:spacing w:line="360" w:lineRule="auto"/>
            </w:pPr>
            <w:r w:rsidRPr="3C7D2AFB" w:rsidR="3C7D2AFB">
              <w:rPr>
                <w:rFonts w:ascii="Calibri" w:hAnsi="Calibri" w:eastAsia="Calibri" w:cs="Calibri"/>
                <w:sz w:val="24"/>
                <w:szCs w:val="24"/>
              </w:rPr>
              <w:t>Student Name:</w:t>
            </w:r>
          </w:p>
        </w:tc>
        <w:tc>
          <w:tcPr>
            <w:tcW w:w="5974" w:type="dxa"/>
            <w:tcBorders>
              <w:top w:val="single" w:sz="8"/>
              <w:left w:val="single" w:sz="8"/>
              <w:bottom w:val="single" w:sz="8"/>
              <w:right w:val="single" w:sz="8"/>
            </w:tcBorders>
            <w:tcMar/>
            <w:vAlign w:val="top"/>
          </w:tcPr>
          <w:p w:rsidR="3C7D2AFB" w:rsidP="3C7D2AFB" w:rsidRDefault="3C7D2AFB" w14:paraId="34380D15" w14:textId="0411E593">
            <w:pPr>
              <w:spacing w:line="360" w:lineRule="auto"/>
            </w:pPr>
            <w:r w:rsidRPr="3C7D2AFB" w:rsidR="3C7D2AFB">
              <w:rPr>
                <w:rFonts w:ascii="Calibri" w:hAnsi="Calibri" w:eastAsia="Calibri" w:cs="Calibri"/>
                <w:sz w:val="24"/>
                <w:szCs w:val="24"/>
              </w:rPr>
              <w:t>Yoana Georgieva</w:t>
            </w:r>
          </w:p>
        </w:tc>
      </w:tr>
      <w:tr w:rsidR="3C7D2AFB" w:rsidTr="3C7D2AFB" w14:paraId="39683657">
        <w:tc>
          <w:tcPr>
            <w:tcW w:w="3386" w:type="dxa"/>
            <w:tcBorders>
              <w:top w:val="single" w:sz="8"/>
              <w:left w:val="single" w:sz="8"/>
              <w:bottom w:val="single" w:sz="8"/>
              <w:right w:val="single" w:sz="8"/>
            </w:tcBorders>
            <w:shd w:val="clear" w:color="auto" w:fill="D9D9D9" w:themeFill="background1" w:themeFillShade="D9"/>
            <w:tcMar/>
            <w:vAlign w:val="top"/>
          </w:tcPr>
          <w:p w:rsidR="3C7D2AFB" w:rsidP="3C7D2AFB" w:rsidRDefault="3C7D2AFB" w14:paraId="2CCAA6E7" w14:textId="41517C1B">
            <w:pPr>
              <w:spacing w:line="360" w:lineRule="auto"/>
            </w:pPr>
            <w:r w:rsidRPr="3C7D2AFB" w:rsidR="3C7D2AFB">
              <w:rPr>
                <w:rFonts w:ascii="Calibri" w:hAnsi="Calibri" w:eastAsia="Calibri" w:cs="Calibri"/>
                <w:sz w:val="24"/>
                <w:szCs w:val="24"/>
              </w:rPr>
              <w:t>Student Number:</w:t>
            </w:r>
          </w:p>
        </w:tc>
        <w:tc>
          <w:tcPr>
            <w:tcW w:w="5974" w:type="dxa"/>
            <w:tcBorders>
              <w:top w:val="single" w:sz="8"/>
              <w:left w:val="single" w:sz="8"/>
              <w:bottom w:val="single" w:sz="8"/>
              <w:right w:val="single" w:sz="8"/>
            </w:tcBorders>
            <w:tcMar/>
            <w:vAlign w:val="top"/>
          </w:tcPr>
          <w:p w:rsidR="3C7D2AFB" w:rsidP="3C7D2AFB" w:rsidRDefault="3C7D2AFB" w14:paraId="5CAD125E" w14:textId="4068C728">
            <w:pPr>
              <w:spacing w:line="360" w:lineRule="auto"/>
            </w:pPr>
            <w:r w:rsidRPr="3C7D2AFB" w:rsidR="3C7D2AFB">
              <w:rPr>
                <w:rFonts w:ascii="Calibri" w:hAnsi="Calibri" w:eastAsia="Calibri" w:cs="Calibri"/>
                <w:sz w:val="24"/>
                <w:szCs w:val="24"/>
              </w:rPr>
              <w:t>1714886</w:t>
            </w:r>
          </w:p>
        </w:tc>
      </w:tr>
      <w:tr w:rsidR="3C7D2AFB" w:rsidTr="3C7D2AFB" w14:paraId="0C17B9A3">
        <w:tc>
          <w:tcPr>
            <w:tcW w:w="3386" w:type="dxa"/>
            <w:tcBorders>
              <w:top w:val="single" w:sz="8"/>
              <w:left w:val="single" w:sz="8"/>
              <w:bottom w:val="single" w:sz="8"/>
              <w:right w:val="single" w:sz="8"/>
            </w:tcBorders>
            <w:shd w:val="clear" w:color="auto" w:fill="D9D9D9" w:themeFill="background1" w:themeFillShade="D9"/>
            <w:tcMar/>
            <w:vAlign w:val="top"/>
          </w:tcPr>
          <w:p w:rsidR="3C7D2AFB" w:rsidP="3C7D2AFB" w:rsidRDefault="3C7D2AFB" w14:paraId="6DADD878" w14:textId="3C156478">
            <w:pPr>
              <w:spacing w:line="360" w:lineRule="auto"/>
            </w:pPr>
            <w:r w:rsidRPr="3C7D2AFB" w:rsidR="3C7D2AFB">
              <w:rPr>
                <w:rFonts w:ascii="Calibri" w:hAnsi="Calibri" w:eastAsia="Calibri" w:cs="Calibri"/>
                <w:sz w:val="24"/>
                <w:szCs w:val="24"/>
              </w:rPr>
              <w:t>Module No:</w:t>
            </w:r>
          </w:p>
        </w:tc>
        <w:tc>
          <w:tcPr>
            <w:tcW w:w="5974" w:type="dxa"/>
            <w:tcBorders>
              <w:top w:val="single" w:sz="8"/>
              <w:left w:val="single" w:sz="8"/>
              <w:bottom w:val="single" w:sz="8"/>
              <w:right w:val="single" w:sz="8"/>
            </w:tcBorders>
            <w:tcMar/>
            <w:vAlign w:val="top"/>
          </w:tcPr>
          <w:p w:rsidR="3C7D2AFB" w:rsidP="3C7D2AFB" w:rsidRDefault="3C7D2AFB" w14:paraId="664DE704" w14:textId="65C4C314">
            <w:pPr>
              <w:spacing w:line="360" w:lineRule="auto"/>
            </w:pPr>
            <w:r w:rsidRPr="3C7D2AFB" w:rsidR="3C7D2AFB">
              <w:rPr>
                <w:rFonts w:ascii="Calibri" w:hAnsi="Calibri" w:eastAsia="Calibri" w:cs="Calibri"/>
                <w:color w:val="FF0000"/>
                <w:sz w:val="24"/>
                <w:szCs w:val="24"/>
              </w:rPr>
              <w:t xml:space="preserve"> LCMB7000</w:t>
            </w:r>
          </w:p>
        </w:tc>
      </w:tr>
      <w:tr w:rsidR="3C7D2AFB" w:rsidTr="3C7D2AFB" w14:paraId="38B4BA1C">
        <w:trPr>
          <w:trHeight w:val="420"/>
        </w:trPr>
        <w:tc>
          <w:tcPr>
            <w:tcW w:w="3386" w:type="dxa"/>
            <w:tcBorders>
              <w:top w:val="single" w:sz="8"/>
              <w:left w:val="single" w:sz="8"/>
              <w:bottom w:val="single" w:sz="8"/>
              <w:right w:val="single" w:sz="8"/>
            </w:tcBorders>
            <w:shd w:val="clear" w:color="auto" w:fill="D9D9D9" w:themeFill="background1" w:themeFillShade="D9"/>
            <w:tcMar/>
            <w:vAlign w:val="top"/>
          </w:tcPr>
          <w:p w:rsidR="3C7D2AFB" w:rsidP="3C7D2AFB" w:rsidRDefault="3C7D2AFB" w14:paraId="1C5DDED4" w14:textId="73DF60CF">
            <w:pPr>
              <w:spacing w:line="360" w:lineRule="auto"/>
            </w:pPr>
            <w:r w:rsidRPr="3C7D2AFB" w:rsidR="3C7D2AFB">
              <w:rPr>
                <w:rFonts w:ascii="Calibri" w:hAnsi="Calibri" w:eastAsia="Calibri" w:cs="Calibri"/>
                <w:sz w:val="24"/>
                <w:szCs w:val="24"/>
              </w:rPr>
              <w:t>Module Title:</w:t>
            </w:r>
          </w:p>
        </w:tc>
        <w:tc>
          <w:tcPr>
            <w:tcW w:w="5974" w:type="dxa"/>
            <w:tcBorders>
              <w:top w:val="single" w:sz="8"/>
              <w:left w:val="single" w:sz="8"/>
              <w:bottom w:val="single" w:sz="8"/>
              <w:right w:val="single" w:sz="8"/>
            </w:tcBorders>
            <w:tcMar/>
            <w:vAlign w:val="top"/>
          </w:tcPr>
          <w:p w:rsidR="3C7D2AFB" w:rsidP="3C7D2AFB" w:rsidRDefault="3C7D2AFB" w14:paraId="7E9F93AA" w14:textId="160A9632">
            <w:pPr>
              <w:spacing w:line="360" w:lineRule="auto"/>
            </w:pPr>
            <w:r w:rsidRPr="3C7D2AFB" w:rsidR="3C7D2AFB">
              <w:rPr>
                <w:rFonts w:ascii="Calibri" w:hAnsi="Calibri" w:eastAsia="Calibri" w:cs="Calibri"/>
                <w:color w:val="FF0000"/>
                <w:sz w:val="24"/>
                <w:szCs w:val="24"/>
              </w:rPr>
              <w:t xml:space="preserve"> Human Resource Management </w:t>
            </w:r>
          </w:p>
        </w:tc>
      </w:tr>
      <w:tr w:rsidR="3C7D2AFB" w:rsidTr="3C7D2AFB" w14:paraId="68AB61B8">
        <w:trPr>
          <w:trHeight w:val="420"/>
        </w:trPr>
        <w:tc>
          <w:tcPr>
            <w:tcW w:w="3386" w:type="dxa"/>
            <w:tcBorders>
              <w:top w:val="single" w:sz="8"/>
              <w:left w:val="single" w:sz="8"/>
              <w:bottom w:val="single" w:sz="8"/>
              <w:right w:val="single" w:sz="8"/>
            </w:tcBorders>
            <w:shd w:val="clear" w:color="auto" w:fill="D9D9D9" w:themeFill="background1" w:themeFillShade="D9"/>
            <w:tcMar/>
            <w:vAlign w:val="top"/>
          </w:tcPr>
          <w:p w:rsidR="3C7D2AFB" w:rsidP="3C7D2AFB" w:rsidRDefault="3C7D2AFB" w14:paraId="59975390" w14:textId="74B64911">
            <w:pPr>
              <w:spacing w:line="360" w:lineRule="auto"/>
            </w:pPr>
            <w:r w:rsidRPr="3C7D2AFB" w:rsidR="3C7D2AFB">
              <w:rPr>
                <w:rFonts w:ascii="Calibri" w:hAnsi="Calibri" w:eastAsia="Calibri" w:cs="Calibri"/>
                <w:sz w:val="24"/>
                <w:szCs w:val="24"/>
              </w:rPr>
              <w:t>Lecturer:</w:t>
            </w:r>
          </w:p>
        </w:tc>
        <w:tc>
          <w:tcPr>
            <w:tcW w:w="5974" w:type="dxa"/>
            <w:tcBorders>
              <w:top w:val="single" w:sz="8"/>
              <w:left w:val="single" w:sz="8"/>
              <w:bottom w:val="single" w:sz="8"/>
              <w:right w:val="single" w:sz="8"/>
            </w:tcBorders>
            <w:tcMar/>
            <w:vAlign w:val="top"/>
          </w:tcPr>
          <w:p w:rsidR="3C7D2AFB" w:rsidP="3C7D2AFB" w:rsidRDefault="3C7D2AFB" w14:paraId="31752F7B" w14:textId="5D61060F">
            <w:pPr>
              <w:pStyle w:val="a"/>
            </w:pPr>
            <w:r w:rsidRPr="3C7D2AFB" w:rsidR="3C7D2AFB">
              <w:rPr>
                <w:rFonts w:ascii="Calibri" w:hAnsi="Calibri" w:eastAsia="Calibri" w:cs="Calibri"/>
                <w:color w:val="FF0000"/>
                <w:sz w:val="24"/>
                <w:szCs w:val="24"/>
              </w:rPr>
              <w:t xml:space="preserve"> </w:t>
            </w:r>
            <w:r w:rsidRPr="3C7D2AFB" w:rsidR="3C7D2AFB">
              <w:rPr>
                <w:rFonts w:ascii="Calibri" w:hAnsi="Calibri" w:eastAsia="Calibri" w:cs="Calibri"/>
                <w:noProof w:val="0"/>
                <w:sz w:val="22"/>
                <w:szCs w:val="22"/>
                <w:lang w:val="en-US"/>
              </w:rPr>
              <w:t>Dr Gladius Kulothungan</w:t>
            </w:r>
          </w:p>
        </w:tc>
      </w:tr>
    </w:tbl>
    <w:p w:rsidR="3C7D2AFB" w:rsidP="3C7D2AFB" w:rsidRDefault="3C7D2AFB" w14:paraId="5C442106" w14:textId="30174D1C">
      <w:pPr>
        <w:spacing w:line="360" w:lineRule="auto"/>
        <w:jc w:val="center"/>
      </w:pPr>
      <w:r w:rsidRPr="3C7D2AFB" w:rsidR="3C7D2AFB">
        <w:rPr>
          <w:rFonts w:ascii="Calibri" w:hAnsi="Calibri" w:eastAsia="Calibri" w:cs="Calibri"/>
          <w:noProof w:val="0"/>
          <w:color w:val="FF0000"/>
          <w:sz w:val="24"/>
          <w:szCs w:val="24"/>
          <w:lang w:val="en-US"/>
        </w:rPr>
        <w:t xml:space="preserve"> </w:t>
      </w:r>
    </w:p>
    <w:p w:rsidR="3C7D2AFB" w:rsidP="3C7D2AFB" w:rsidRDefault="3C7D2AFB" w14:paraId="016145FC" w14:textId="31386411">
      <w:pPr>
        <w:spacing w:line="360" w:lineRule="auto"/>
        <w:jc w:val="center"/>
      </w:pPr>
      <w:r w:rsidRPr="3C7D2AFB" w:rsidR="3C7D2AFB">
        <w:rPr>
          <w:rFonts w:ascii="Calibri" w:hAnsi="Calibri" w:eastAsia="Calibri" w:cs="Calibri"/>
          <w:b w:val="1"/>
          <w:bCs w:val="1"/>
          <w:noProof w:val="0"/>
          <w:color w:val="000000" w:themeColor="text1" w:themeTint="FF" w:themeShade="FF"/>
          <w:sz w:val="24"/>
          <w:szCs w:val="24"/>
          <w:lang w:val="en-US"/>
        </w:rPr>
        <w:t>Statement of Confirmation of Authenticity</w:t>
      </w:r>
    </w:p>
    <w:p w:rsidR="3C7D2AFB" w:rsidP="3C7D2AFB" w:rsidRDefault="3C7D2AFB" w14:paraId="4BEF233A" w14:textId="54968289">
      <w:pPr>
        <w:spacing w:line="360" w:lineRule="auto"/>
        <w:jc w:val="center"/>
      </w:pPr>
      <w:r w:rsidRPr="3C7D2AFB" w:rsidR="3C7D2AFB">
        <w:rPr>
          <w:rFonts w:ascii="Calibri" w:hAnsi="Calibri" w:eastAsia="Calibri" w:cs="Calibri"/>
          <w:noProof w:val="0"/>
          <w:color w:val="000000" w:themeColor="text1" w:themeTint="FF" w:themeShade="FF"/>
          <w:sz w:val="24"/>
          <w:szCs w:val="24"/>
          <w:lang w:val="en-US"/>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rsidR="3C7D2AFB" w:rsidP="3C7D2AFB" w:rsidRDefault="3C7D2AFB" w14:paraId="02B4F187" w14:textId="2390782E">
      <w:pPr>
        <w:spacing w:line="360" w:lineRule="auto"/>
        <w:jc w:val="center"/>
      </w:pPr>
      <w:r w:rsidRPr="3C7D2AFB" w:rsidR="3C7D2AFB">
        <w:rPr>
          <w:rFonts w:ascii="Calibri" w:hAnsi="Calibri" w:eastAsia="Calibri" w:cs="Calibri"/>
          <w:noProof w:val="0"/>
          <w:color w:val="000000" w:themeColor="text1" w:themeTint="FF" w:themeShade="FF"/>
          <w:sz w:val="24"/>
          <w:szCs w:val="24"/>
          <w:lang w:val="en-US"/>
        </w:rPr>
        <w:t>Attention is drawn to the plagiarism and unfair practice policies of both the University and of ILM.</w:t>
      </w:r>
    </w:p>
    <w:p w:rsidR="3C7D2AFB" w:rsidP="3C7D2AFB" w:rsidRDefault="3C7D2AFB" w14:paraId="380536C4" w14:textId="6D202DDF">
      <w:pPr>
        <w:spacing w:line="257" w:lineRule="auto"/>
        <w:jc w:val="center"/>
        <w:rPr>
          <w:rFonts w:ascii="Calibri" w:hAnsi="Calibri" w:eastAsia="Calibri" w:cs="Calibri"/>
          <w:noProof w:val="0"/>
          <w:sz w:val="22"/>
          <w:szCs w:val="22"/>
          <w:lang w:val="en-US"/>
        </w:rPr>
      </w:pPr>
    </w:p>
    <w:p w:rsidR="3C7D2AFB" w:rsidP="3C7D2AFB" w:rsidRDefault="3C7D2AFB" w14:paraId="16CC899D" w14:textId="1ADBACEB">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29601F0A" w14:textId="0FBF3FF0">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26B6FAAD" w14:textId="6DF0A98E">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416192C2" w14:textId="2A600104">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508C1D05" w14:textId="19B87CEF">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16788FFF" w14:textId="19BBCD8B">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042E1811" w14:textId="0855D3BE">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0A025A41" w14:textId="721E03A7">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0596767A" w14:textId="27BDF1E4">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5F7152C0" w14:textId="1F7A9A80">
      <w:pPr>
        <w:pStyle w:val="a"/>
        <w:spacing w:beforeAutospacing="on" w:after="0" w:line="240" w:lineRule="auto"/>
        <w:jc w:val="center"/>
        <w:rPr>
          <w:rFonts w:eastAsia="Calibri" w:cs="Calibri" w:cstheme="minorAscii"/>
          <w:b w:val="1"/>
          <w:bCs w:val="1"/>
          <w:color w:val="000000" w:themeColor="text1" w:themeTint="FF" w:themeShade="FF"/>
        </w:rPr>
      </w:pPr>
    </w:p>
    <w:p w:rsidR="3C7D2AFB" w:rsidP="3C7D2AFB" w:rsidRDefault="3C7D2AFB" w14:paraId="09A8EB9E" w14:textId="633E8CF1">
      <w:pPr>
        <w:pStyle w:val="a"/>
        <w:spacing w:beforeAutospacing="on" w:after="0" w:line="240" w:lineRule="auto"/>
        <w:jc w:val="center"/>
        <w:rPr>
          <w:rFonts w:eastAsia="Calibri" w:cs="Calibri" w:cstheme="minorAscii"/>
          <w:b w:val="1"/>
          <w:bCs w:val="1"/>
          <w:color w:val="000000" w:themeColor="text1" w:themeTint="FF" w:themeShade="FF"/>
        </w:rPr>
      </w:pPr>
    </w:p>
    <w:p w:rsidRPr="00F21DD2" w:rsidR="00DA5E73" w:rsidP="00F21DD2" w:rsidRDefault="00DA5E73" w14:paraId="27E9E84A" w14:textId="58579450">
      <w:pPr>
        <w:spacing w:beforeAutospacing="1" w:after="0" w:line="240" w:lineRule="auto"/>
        <w:rPr>
          <w:rFonts w:eastAsia="Calibri" w:cstheme="minorHAnsi"/>
          <w:color w:val="000000" w:themeColor="text1"/>
        </w:rPr>
      </w:pPr>
    </w:p>
    <w:p w:rsidRPr="00F21DD2" w:rsidR="00DA5E73" w:rsidP="00F21DD2" w:rsidRDefault="00DA5E73" w14:paraId="1F395EF8" w14:textId="1DC6221B">
      <w:pPr>
        <w:spacing w:beforeAutospacing="1" w:after="0" w:line="240" w:lineRule="auto"/>
        <w:rPr>
          <w:rFonts w:eastAsia="Calibri" w:cstheme="minorHAnsi"/>
          <w:color w:val="000000" w:themeColor="text1"/>
        </w:rPr>
      </w:pPr>
    </w:p>
    <w:p w:rsidRPr="00F21DD2" w:rsidR="00DA5E73" w:rsidP="00F21DD2" w:rsidRDefault="00DA5E73" w14:paraId="43159955" w14:textId="3BC7D591">
      <w:pPr>
        <w:spacing w:beforeAutospacing="1" w:after="0" w:line="240" w:lineRule="auto"/>
        <w:rPr>
          <w:rFonts w:eastAsia="Calibri" w:cstheme="minorHAnsi"/>
          <w:color w:val="000000" w:themeColor="text1"/>
        </w:rPr>
      </w:pPr>
    </w:p>
    <w:p w:rsidRPr="00F21DD2" w:rsidR="00DA5E73" w:rsidP="00F21DD2" w:rsidRDefault="00DA5E73" w14:paraId="29B38440" w14:textId="7EFE6E17">
      <w:pPr>
        <w:spacing w:beforeAutospacing="1" w:after="0" w:line="240" w:lineRule="auto"/>
        <w:rPr>
          <w:rFonts w:eastAsia="Calibri" w:cstheme="minorHAnsi"/>
          <w:color w:val="000000" w:themeColor="text1"/>
        </w:rPr>
      </w:pPr>
    </w:p>
    <w:p w:rsidRPr="00F21DD2" w:rsidR="00DA5E73" w:rsidP="00F21DD2" w:rsidRDefault="00DA5E73" w14:paraId="68D78EDC" w14:textId="5270E689">
      <w:pPr>
        <w:spacing w:beforeAutospacing="1" w:after="0" w:line="240" w:lineRule="auto"/>
        <w:rPr>
          <w:rFonts w:eastAsia="Calibri" w:cstheme="minorHAnsi"/>
          <w:color w:val="000000" w:themeColor="text1"/>
        </w:rPr>
      </w:pPr>
    </w:p>
    <w:p w:rsidRPr="00F21DD2" w:rsidR="00DA5E73" w:rsidP="00F21DD2" w:rsidRDefault="00282ACF" w14:paraId="65B6D136" w14:textId="04D46D8F">
      <w:pPr>
        <w:spacing w:beforeAutospacing="1" w:after="0" w:line="240" w:lineRule="auto"/>
        <w:rPr>
          <w:rFonts w:eastAsia="Calibri" w:cstheme="minorHAnsi"/>
          <w:color w:val="000000" w:themeColor="text1"/>
        </w:rPr>
      </w:pPr>
      <w:r w:rsidRPr="00F21DD2">
        <w:rPr>
          <w:rFonts w:cstheme="minorHAnsi"/>
        </w:rPr>
        <w:br w:type="page"/>
      </w:r>
    </w:p>
    <w:sdt>
      <w:sdtPr>
        <w:id w:val="2087585846"/>
        <w:docPartObj>
          <w:docPartGallery w:val="Table of Contents"/>
          <w:docPartUnique/>
        </w:docPartObj>
      </w:sdtPr>
      <w:sdtContent>
        <w:p w:rsidR="00543825" w:rsidP="3C7D2AFB" w:rsidRDefault="00543825" w14:paraId="1857C528" w14:textId="13BFF079" w14:noSpellErr="1">
          <w:pPr>
            <w:pStyle w:val="aa"/>
            <w:rPr>
              <w:b w:val="1"/>
              <w:bCs w:val="1"/>
              <w:color w:val="auto"/>
            </w:rPr>
          </w:pPr>
          <w:r w:rsidRPr="3C7D2AFB" w:rsidR="00543825">
            <w:rPr>
              <w:b w:val="1"/>
              <w:bCs w:val="1"/>
              <w:color w:val="auto"/>
            </w:rPr>
            <w:t>Table of Content</w:t>
          </w:r>
        </w:p>
        <w:p w:rsidRPr="00543825" w:rsidR="00543825" w:rsidP="00543825" w:rsidRDefault="00543825" w14:paraId="45791F35" w14:textId="77777777" w14:noSpellErr="1">
          <w:pPr>
            <w:rPr>
              <w:lang w:val="en-GB" w:eastAsia="en-GB"/>
            </w:rPr>
          </w:pPr>
        </w:p>
        <w:p w:rsidR="00543825" w:rsidP="3C7D2AFB" w:rsidRDefault="00543825" w14:paraId="747C8C14" w14:textId="051C6BC9">
          <w:pPr>
            <w:pStyle w:val="11"/>
            <w:tabs>
              <w:tab w:val="right" w:leader="dot" w:pos="9360"/>
            </w:tabs>
            <w:rPr>
              <w:noProof/>
              <w:lang w:val="en-GB" w:eastAsia="en-GB"/>
            </w:rPr>
          </w:pPr>
          <w:r>
            <w:fldChar w:fldCharType="begin"/>
          </w:r>
          <w:r>
            <w:instrText xml:space="preserve">TOC \o "1-3" \h \z \u</w:instrText>
          </w:r>
          <w:r>
            <w:fldChar w:fldCharType="separate"/>
          </w:r>
          <w:hyperlink w:anchor="_Toc1530068142">
            <w:r w:rsidRPr="3C7D2AFB" w:rsidR="3C7D2AFB">
              <w:rPr>
                <w:rStyle w:val="a3"/>
              </w:rPr>
              <w:t>Introduction</w:t>
            </w:r>
            <w:r>
              <w:tab/>
            </w:r>
            <w:r>
              <w:fldChar w:fldCharType="begin"/>
            </w:r>
            <w:r>
              <w:instrText xml:space="preserve">PAGEREF _Toc1530068142 \h</w:instrText>
            </w:r>
            <w:r>
              <w:fldChar w:fldCharType="separate"/>
            </w:r>
            <w:r w:rsidRPr="3C7D2AFB" w:rsidR="3C7D2AFB">
              <w:rPr>
                <w:rStyle w:val="a3"/>
              </w:rPr>
              <w:t>2</w:t>
            </w:r>
            <w:r>
              <w:fldChar w:fldCharType="end"/>
            </w:r>
          </w:hyperlink>
        </w:p>
        <w:p w:rsidR="00543825" w:rsidP="3C7D2AFB" w:rsidRDefault="00543825" w14:paraId="6916E009" w14:textId="59C51ABF">
          <w:pPr>
            <w:pStyle w:val="11"/>
            <w:tabs>
              <w:tab w:val="right" w:leader="dot" w:pos="9360"/>
            </w:tabs>
            <w:rPr>
              <w:noProof/>
              <w:lang w:val="en-GB" w:eastAsia="en-GB"/>
            </w:rPr>
          </w:pPr>
          <w:hyperlink w:anchor="_Toc1452623636">
            <w:r w:rsidRPr="3C7D2AFB" w:rsidR="3C7D2AFB">
              <w:rPr>
                <w:rStyle w:val="a3"/>
              </w:rPr>
              <w:t>“The emerging changes in labor market conditions in a post Covid-19”</w:t>
            </w:r>
            <w:r>
              <w:tab/>
            </w:r>
            <w:r>
              <w:fldChar w:fldCharType="begin"/>
            </w:r>
            <w:r>
              <w:instrText xml:space="preserve">PAGEREF _Toc1452623636 \h</w:instrText>
            </w:r>
            <w:r>
              <w:fldChar w:fldCharType="separate"/>
            </w:r>
            <w:r w:rsidRPr="3C7D2AFB" w:rsidR="3C7D2AFB">
              <w:rPr>
                <w:rStyle w:val="a3"/>
              </w:rPr>
              <w:t>3</w:t>
            </w:r>
            <w:r>
              <w:fldChar w:fldCharType="end"/>
            </w:r>
          </w:hyperlink>
        </w:p>
        <w:p w:rsidR="00543825" w:rsidP="3C7D2AFB" w:rsidRDefault="00543825" w14:paraId="2D9DB461" w14:textId="47D381C5">
          <w:pPr>
            <w:pStyle w:val="21"/>
            <w:tabs>
              <w:tab w:val="right" w:leader="dot" w:pos="9360"/>
            </w:tabs>
            <w:rPr>
              <w:noProof/>
              <w:lang w:val="en-GB" w:eastAsia="en-GB"/>
            </w:rPr>
          </w:pPr>
          <w:hyperlink w:anchor="_Toc144532331">
            <w:r w:rsidRPr="3C7D2AFB" w:rsidR="3C7D2AFB">
              <w:rPr>
                <w:rStyle w:val="a3"/>
              </w:rPr>
              <w:t>Covid-19 Impact on the Labour Market of 3 Local Economies</w:t>
            </w:r>
            <w:r>
              <w:tab/>
            </w:r>
            <w:r>
              <w:fldChar w:fldCharType="begin"/>
            </w:r>
            <w:r>
              <w:instrText xml:space="preserve">PAGEREF _Toc144532331 \h</w:instrText>
            </w:r>
            <w:r>
              <w:fldChar w:fldCharType="separate"/>
            </w:r>
            <w:r w:rsidRPr="3C7D2AFB" w:rsidR="3C7D2AFB">
              <w:rPr>
                <w:rStyle w:val="a3"/>
              </w:rPr>
              <w:t>4</w:t>
            </w:r>
            <w:r>
              <w:fldChar w:fldCharType="end"/>
            </w:r>
          </w:hyperlink>
        </w:p>
        <w:p w:rsidR="00543825" w:rsidP="3C7D2AFB" w:rsidRDefault="00543825" w14:paraId="161DB16D" w14:textId="10E2D671">
          <w:pPr>
            <w:pStyle w:val="11"/>
            <w:tabs>
              <w:tab w:val="right" w:leader="dot" w:pos="9360"/>
            </w:tabs>
            <w:rPr>
              <w:noProof/>
              <w:lang w:val="en-GB" w:eastAsia="en-GB"/>
            </w:rPr>
          </w:pPr>
          <w:hyperlink w:anchor="_Toc1660273576">
            <w:r w:rsidRPr="3C7D2AFB" w:rsidR="3C7D2AFB">
              <w:rPr>
                <w:rStyle w:val="a3"/>
              </w:rPr>
              <w:t>“The emerging changes in labor market conditions in a post Brexit environment in the UK”</w:t>
            </w:r>
            <w:r>
              <w:tab/>
            </w:r>
            <w:r>
              <w:fldChar w:fldCharType="begin"/>
            </w:r>
            <w:r>
              <w:instrText xml:space="preserve">PAGEREF _Toc1660273576 \h</w:instrText>
            </w:r>
            <w:r>
              <w:fldChar w:fldCharType="separate"/>
            </w:r>
            <w:r w:rsidRPr="3C7D2AFB" w:rsidR="3C7D2AFB">
              <w:rPr>
                <w:rStyle w:val="a3"/>
              </w:rPr>
              <w:t>6</w:t>
            </w:r>
            <w:r>
              <w:fldChar w:fldCharType="end"/>
            </w:r>
          </w:hyperlink>
        </w:p>
        <w:p w:rsidR="00543825" w:rsidP="3C7D2AFB" w:rsidRDefault="00543825" w14:paraId="0C2C6151" w14:textId="0EBB52BD">
          <w:pPr>
            <w:pStyle w:val="21"/>
            <w:tabs>
              <w:tab w:val="right" w:leader="dot" w:pos="9360"/>
            </w:tabs>
            <w:rPr>
              <w:noProof/>
              <w:lang w:val="en-GB" w:eastAsia="en-GB"/>
            </w:rPr>
          </w:pPr>
          <w:hyperlink w:anchor="_Toc528274434">
            <w:r w:rsidRPr="3C7D2AFB" w:rsidR="3C7D2AFB">
              <w:rPr>
                <w:rStyle w:val="a3"/>
              </w:rPr>
              <w:t>Overall Employment</w:t>
            </w:r>
            <w:r>
              <w:tab/>
            </w:r>
            <w:r>
              <w:fldChar w:fldCharType="begin"/>
            </w:r>
            <w:r>
              <w:instrText xml:space="preserve">PAGEREF _Toc528274434 \h</w:instrText>
            </w:r>
            <w:r>
              <w:fldChar w:fldCharType="separate"/>
            </w:r>
            <w:r w:rsidRPr="3C7D2AFB" w:rsidR="3C7D2AFB">
              <w:rPr>
                <w:rStyle w:val="a3"/>
              </w:rPr>
              <w:t>7</w:t>
            </w:r>
            <w:r>
              <w:fldChar w:fldCharType="end"/>
            </w:r>
          </w:hyperlink>
        </w:p>
        <w:p w:rsidR="00543825" w:rsidP="3C7D2AFB" w:rsidRDefault="00543825" w14:paraId="1D9E152D" w14:textId="57B7E6E8">
          <w:pPr>
            <w:pStyle w:val="21"/>
            <w:tabs>
              <w:tab w:val="right" w:leader="dot" w:pos="9360"/>
            </w:tabs>
            <w:rPr>
              <w:noProof/>
              <w:lang w:val="en-GB" w:eastAsia="en-GB"/>
            </w:rPr>
          </w:pPr>
          <w:hyperlink w:anchor="_Toc1152716521">
            <w:r w:rsidRPr="3C7D2AFB" w:rsidR="3C7D2AFB">
              <w:rPr>
                <w:rStyle w:val="a3"/>
              </w:rPr>
              <w:t>Impact on Recruitment</w:t>
            </w:r>
            <w:r>
              <w:tab/>
            </w:r>
            <w:r>
              <w:fldChar w:fldCharType="begin"/>
            </w:r>
            <w:r>
              <w:instrText xml:space="preserve">PAGEREF _Toc1152716521 \h</w:instrText>
            </w:r>
            <w:r>
              <w:fldChar w:fldCharType="separate"/>
            </w:r>
            <w:r w:rsidRPr="3C7D2AFB" w:rsidR="3C7D2AFB">
              <w:rPr>
                <w:rStyle w:val="a3"/>
              </w:rPr>
              <w:t>7</w:t>
            </w:r>
            <w:r>
              <w:fldChar w:fldCharType="end"/>
            </w:r>
          </w:hyperlink>
        </w:p>
        <w:p w:rsidR="00543825" w:rsidP="3C7D2AFB" w:rsidRDefault="00543825" w14:paraId="549F3464" w14:textId="35B4B1B8">
          <w:pPr>
            <w:pStyle w:val="21"/>
            <w:tabs>
              <w:tab w:val="right" w:leader="dot" w:pos="9360"/>
            </w:tabs>
            <w:rPr>
              <w:noProof/>
              <w:lang w:val="en-GB" w:eastAsia="en-GB"/>
            </w:rPr>
          </w:pPr>
          <w:hyperlink w:anchor="_Toc2098064530">
            <w:r w:rsidRPr="3C7D2AFB" w:rsidR="3C7D2AFB">
              <w:rPr>
                <w:rStyle w:val="a3"/>
              </w:rPr>
              <w:t>Using EU Migrant Labours</w:t>
            </w:r>
            <w:r>
              <w:tab/>
            </w:r>
            <w:r>
              <w:fldChar w:fldCharType="begin"/>
            </w:r>
            <w:r>
              <w:instrText xml:space="preserve">PAGEREF _Toc2098064530 \h</w:instrText>
            </w:r>
            <w:r>
              <w:fldChar w:fldCharType="separate"/>
            </w:r>
            <w:r w:rsidRPr="3C7D2AFB" w:rsidR="3C7D2AFB">
              <w:rPr>
                <w:rStyle w:val="a3"/>
              </w:rPr>
              <w:t>8</w:t>
            </w:r>
            <w:r>
              <w:fldChar w:fldCharType="end"/>
            </w:r>
          </w:hyperlink>
        </w:p>
        <w:p w:rsidR="00543825" w:rsidP="3C7D2AFB" w:rsidRDefault="00543825" w14:paraId="7AA9C062" w14:textId="4C317303">
          <w:pPr>
            <w:pStyle w:val="21"/>
            <w:tabs>
              <w:tab w:val="right" w:leader="dot" w:pos="9360"/>
            </w:tabs>
            <w:rPr>
              <w:noProof/>
              <w:lang w:val="en-GB" w:eastAsia="en-GB"/>
            </w:rPr>
          </w:pPr>
          <w:hyperlink w:anchor="_Toc2051972295">
            <w:r w:rsidRPr="3C7D2AFB" w:rsidR="3C7D2AFB">
              <w:rPr>
                <w:rStyle w:val="a3"/>
              </w:rPr>
              <w:t>Addressing Difficulties related to Recruitment</w:t>
            </w:r>
            <w:r>
              <w:tab/>
            </w:r>
            <w:r>
              <w:fldChar w:fldCharType="begin"/>
            </w:r>
            <w:r>
              <w:instrText xml:space="preserve">PAGEREF _Toc2051972295 \h</w:instrText>
            </w:r>
            <w:r>
              <w:fldChar w:fldCharType="separate"/>
            </w:r>
            <w:r w:rsidRPr="3C7D2AFB" w:rsidR="3C7D2AFB">
              <w:rPr>
                <w:rStyle w:val="a3"/>
              </w:rPr>
              <w:t>9</w:t>
            </w:r>
            <w:r>
              <w:fldChar w:fldCharType="end"/>
            </w:r>
          </w:hyperlink>
        </w:p>
        <w:p w:rsidR="00543825" w:rsidP="3C7D2AFB" w:rsidRDefault="00543825" w14:paraId="5D466A8F" w14:textId="59D715ED">
          <w:pPr>
            <w:pStyle w:val="21"/>
            <w:tabs>
              <w:tab w:val="right" w:leader="dot" w:pos="9360"/>
            </w:tabs>
            <w:rPr>
              <w:noProof/>
              <w:lang w:val="en-GB" w:eastAsia="en-GB"/>
            </w:rPr>
          </w:pPr>
          <w:hyperlink w:anchor="_Toc2133473837">
            <w:r w:rsidRPr="3C7D2AFB" w:rsidR="3C7D2AFB">
              <w:rPr>
                <w:rStyle w:val="a3"/>
              </w:rPr>
              <w:t>Labour Development and Planning</w:t>
            </w:r>
            <w:r>
              <w:tab/>
            </w:r>
            <w:r>
              <w:fldChar w:fldCharType="begin"/>
            </w:r>
            <w:r>
              <w:instrText xml:space="preserve">PAGEREF _Toc2133473837 \h</w:instrText>
            </w:r>
            <w:r>
              <w:fldChar w:fldCharType="separate"/>
            </w:r>
            <w:r w:rsidRPr="3C7D2AFB" w:rsidR="3C7D2AFB">
              <w:rPr>
                <w:rStyle w:val="a3"/>
              </w:rPr>
              <w:t>9</w:t>
            </w:r>
            <w:r>
              <w:fldChar w:fldCharType="end"/>
            </w:r>
          </w:hyperlink>
        </w:p>
        <w:p w:rsidR="00543825" w:rsidP="3C7D2AFB" w:rsidRDefault="00543825" w14:paraId="7172CCA2" w14:textId="3DAAEC19">
          <w:pPr>
            <w:pStyle w:val="11"/>
            <w:tabs>
              <w:tab w:val="right" w:leader="dot" w:pos="9360"/>
            </w:tabs>
            <w:rPr>
              <w:noProof/>
              <w:lang w:val="en-GB" w:eastAsia="en-GB"/>
            </w:rPr>
          </w:pPr>
          <w:hyperlink w:anchor="_Toc367415553">
            <w:r w:rsidRPr="3C7D2AFB" w:rsidR="3C7D2AFB">
              <w:rPr>
                <w:rStyle w:val="a3"/>
              </w:rPr>
              <w:t>“How Resourcing in an Organisation is Impacted after Covid and Brexit”</w:t>
            </w:r>
            <w:r>
              <w:tab/>
            </w:r>
            <w:r>
              <w:fldChar w:fldCharType="begin"/>
            </w:r>
            <w:r>
              <w:instrText xml:space="preserve">PAGEREF _Toc367415553 \h</w:instrText>
            </w:r>
            <w:r>
              <w:fldChar w:fldCharType="separate"/>
            </w:r>
            <w:r w:rsidRPr="3C7D2AFB" w:rsidR="3C7D2AFB">
              <w:rPr>
                <w:rStyle w:val="a3"/>
              </w:rPr>
              <w:t>10</w:t>
            </w:r>
            <w:r>
              <w:fldChar w:fldCharType="end"/>
            </w:r>
          </w:hyperlink>
        </w:p>
        <w:p w:rsidR="00543825" w:rsidP="3C7D2AFB" w:rsidRDefault="00543825" w14:paraId="5C215724" w14:textId="4E25510B">
          <w:pPr>
            <w:pStyle w:val="21"/>
            <w:tabs>
              <w:tab w:val="right" w:leader="dot" w:pos="9360"/>
            </w:tabs>
            <w:rPr>
              <w:noProof/>
              <w:lang w:val="en-GB" w:eastAsia="en-GB"/>
            </w:rPr>
          </w:pPr>
          <w:hyperlink w:anchor="_Toc1400409394">
            <w:r w:rsidRPr="3C7D2AFB" w:rsidR="3C7D2AFB">
              <w:rPr>
                <w:rStyle w:val="a3"/>
              </w:rPr>
              <w:t>Working in a more Agile Manner</w:t>
            </w:r>
            <w:r>
              <w:tab/>
            </w:r>
            <w:r>
              <w:fldChar w:fldCharType="begin"/>
            </w:r>
            <w:r>
              <w:instrText xml:space="preserve">PAGEREF _Toc1400409394 \h</w:instrText>
            </w:r>
            <w:r>
              <w:fldChar w:fldCharType="separate"/>
            </w:r>
            <w:r w:rsidRPr="3C7D2AFB" w:rsidR="3C7D2AFB">
              <w:rPr>
                <w:rStyle w:val="a3"/>
              </w:rPr>
              <w:t>10</w:t>
            </w:r>
            <w:r>
              <w:fldChar w:fldCharType="end"/>
            </w:r>
          </w:hyperlink>
        </w:p>
        <w:p w:rsidR="00543825" w:rsidP="3C7D2AFB" w:rsidRDefault="00543825" w14:paraId="0618D653" w14:textId="66C96134">
          <w:pPr>
            <w:pStyle w:val="21"/>
            <w:tabs>
              <w:tab w:val="right" w:leader="dot" w:pos="9360"/>
            </w:tabs>
            <w:rPr>
              <w:noProof/>
              <w:lang w:val="en-GB" w:eastAsia="en-GB"/>
            </w:rPr>
          </w:pPr>
          <w:hyperlink w:anchor="_Toc1527160905">
            <w:r w:rsidRPr="3C7D2AFB" w:rsidR="3C7D2AFB">
              <w:rPr>
                <w:rStyle w:val="a3"/>
              </w:rPr>
              <w:t>Altering Management and Leadership Capabilities</w:t>
            </w:r>
            <w:r>
              <w:tab/>
            </w:r>
            <w:r>
              <w:fldChar w:fldCharType="begin"/>
            </w:r>
            <w:r>
              <w:instrText xml:space="preserve">PAGEREF _Toc1527160905 \h</w:instrText>
            </w:r>
            <w:r>
              <w:fldChar w:fldCharType="separate"/>
            </w:r>
            <w:r w:rsidRPr="3C7D2AFB" w:rsidR="3C7D2AFB">
              <w:rPr>
                <w:rStyle w:val="a3"/>
              </w:rPr>
              <w:t>10</w:t>
            </w:r>
            <w:r>
              <w:fldChar w:fldCharType="end"/>
            </w:r>
          </w:hyperlink>
        </w:p>
        <w:p w:rsidR="00543825" w:rsidP="3C7D2AFB" w:rsidRDefault="00543825" w14:paraId="01E2E441" w14:textId="3323B78F">
          <w:pPr>
            <w:pStyle w:val="31"/>
            <w:tabs>
              <w:tab w:val="right" w:leader="dot" w:pos="9360"/>
            </w:tabs>
            <w:rPr>
              <w:noProof/>
              <w:lang w:val="en-GB" w:eastAsia="en-GB"/>
            </w:rPr>
          </w:pPr>
          <w:hyperlink w:anchor="_Toc224494888">
            <w:r w:rsidRPr="3C7D2AFB" w:rsidR="3C7D2AFB">
              <w:rPr>
                <w:rStyle w:val="a3"/>
              </w:rPr>
              <w:t>Market Strength</w:t>
            </w:r>
            <w:r>
              <w:tab/>
            </w:r>
            <w:r>
              <w:fldChar w:fldCharType="begin"/>
            </w:r>
            <w:r>
              <w:instrText xml:space="preserve">PAGEREF _Toc224494888 \h</w:instrText>
            </w:r>
            <w:r>
              <w:fldChar w:fldCharType="separate"/>
            </w:r>
            <w:r w:rsidRPr="3C7D2AFB" w:rsidR="3C7D2AFB">
              <w:rPr>
                <w:rStyle w:val="a3"/>
              </w:rPr>
              <w:t>11</w:t>
            </w:r>
            <w:r>
              <w:fldChar w:fldCharType="end"/>
            </w:r>
          </w:hyperlink>
        </w:p>
        <w:p w:rsidR="00543825" w:rsidP="3C7D2AFB" w:rsidRDefault="00543825" w14:paraId="785B4AA1" w14:textId="5E1E299D">
          <w:pPr>
            <w:pStyle w:val="31"/>
            <w:tabs>
              <w:tab w:val="right" w:leader="dot" w:pos="9360"/>
            </w:tabs>
            <w:rPr>
              <w:noProof/>
              <w:lang w:val="en-GB" w:eastAsia="en-GB"/>
            </w:rPr>
          </w:pPr>
          <w:hyperlink w:anchor="_Toc1130435711">
            <w:r w:rsidRPr="3C7D2AFB" w:rsidR="3C7D2AFB">
              <w:rPr>
                <w:rStyle w:val="a3"/>
              </w:rPr>
              <w:t>Free Labour Movement</w:t>
            </w:r>
            <w:r>
              <w:tab/>
            </w:r>
            <w:r>
              <w:fldChar w:fldCharType="begin"/>
            </w:r>
            <w:r>
              <w:instrText xml:space="preserve">PAGEREF _Toc1130435711 \h</w:instrText>
            </w:r>
            <w:r>
              <w:fldChar w:fldCharType="separate"/>
            </w:r>
            <w:r w:rsidRPr="3C7D2AFB" w:rsidR="3C7D2AFB">
              <w:rPr>
                <w:rStyle w:val="a3"/>
              </w:rPr>
              <w:t>11</w:t>
            </w:r>
            <w:r>
              <w:fldChar w:fldCharType="end"/>
            </w:r>
          </w:hyperlink>
        </w:p>
        <w:p w:rsidR="00543825" w:rsidP="3C7D2AFB" w:rsidRDefault="00543825" w14:paraId="614B0B75" w14:textId="32F70BBD">
          <w:pPr>
            <w:pStyle w:val="11"/>
            <w:tabs>
              <w:tab w:val="right" w:leader="dot" w:pos="9360"/>
            </w:tabs>
            <w:rPr>
              <w:noProof/>
              <w:lang w:val="en-GB" w:eastAsia="en-GB"/>
            </w:rPr>
          </w:pPr>
          <w:hyperlink w:anchor="_Toc1672003989">
            <w:r w:rsidRPr="3C7D2AFB" w:rsidR="3C7D2AFB">
              <w:rPr>
                <w:rStyle w:val="a3"/>
              </w:rPr>
              <w:t>“Changes needed in the human resourcing strategies in the current scenario”</w:t>
            </w:r>
            <w:r>
              <w:tab/>
            </w:r>
            <w:r>
              <w:fldChar w:fldCharType="begin"/>
            </w:r>
            <w:r>
              <w:instrText xml:space="preserve">PAGEREF _Toc1672003989 \h</w:instrText>
            </w:r>
            <w:r>
              <w:fldChar w:fldCharType="separate"/>
            </w:r>
            <w:r w:rsidRPr="3C7D2AFB" w:rsidR="3C7D2AFB">
              <w:rPr>
                <w:rStyle w:val="a3"/>
              </w:rPr>
              <w:t>11</w:t>
            </w:r>
            <w:r>
              <w:fldChar w:fldCharType="end"/>
            </w:r>
          </w:hyperlink>
        </w:p>
        <w:p w:rsidR="00543825" w:rsidP="3C7D2AFB" w:rsidRDefault="00543825" w14:paraId="170379EC" w14:textId="50EAC08C">
          <w:pPr>
            <w:pStyle w:val="21"/>
            <w:tabs>
              <w:tab w:val="right" w:leader="dot" w:pos="9360"/>
            </w:tabs>
            <w:rPr>
              <w:noProof/>
              <w:lang w:val="en-GB" w:eastAsia="en-GB"/>
            </w:rPr>
          </w:pPr>
          <w:hyperlink w:anchor="_Toc1713848273">
            <w:r w:rsidRPr="3C7D2AFB" w:rsidR="3C7D2AFB">
              <w:rPr>
                <w:rStyle w:val="a3"/>
              </w:rPr>
              <w:t>Digital Front Door</w:t>
            </w:r>
            <w:r>
              <w:tab/>
            </w:r>
            <w:r>
              <w:fldChar w:fldCharType="begin"/>
            </w:r>
            <w:r>
              <w:instrText xml:space="preserve">PAGEREF _Toc1713848273 \h</w:instrText>
            </w:r>
            <w:r>
              <w:fldChar w:fldCharType="separate"/>
            </w:r>
            <w:r w:rsidRPr="3C7D2AFB" w:rsidR="3C7D2AFB">
              <w:rPr>
                <w:rStyle w:val="a3"/>
              </w:rPr>
              <w:t>11</w:t>
            </w:r>
            <w:r>
              <w:fldChar w:fldCharType="end"/>
            </w:r>
          </w:hyperlink>
        </w:p>
        <w:p w:rsidR="00543825" w:rsidP="3C7D2AFB" w:rsidRDefault="00543825" w14:paraId="7B691438" w14:textId="75966C74">
          <w:pPr>
            <w:pStyle w:val="21"/>
            <w:tabs>
              <w:tab w:val="right" w:leader="dot" w:pos="9360"/>
            </w:tabs>
            <w:rPr>
              <w:noProof/>
              <w:lang w:val="en-GB" w:eastAsia="en-GB"/>
            </w:rPr>
          </w:pPr>
          <w:hyperlink w:anchor="_Toc2110393445">
            <w:r w:rsidRPr="3C7D2AFB" w:rsidR="3C7D2AFB">
              <w:rPr>
                <w:rStyle w:val="a3"/>
              </w:rPr>
              <w:t>Clean and Dirty Sites</w:t>
            </w:r>
            <w:r>
              <w:tab/>
            </w:r>
            <w:r>
              <w:fldChar w:fldCharType="begin"/>
            </w:r>
            <w:r>
              <w:instrText xml:space="preserve">PAGEREF _Toc2110393445 \h</w:instrText>
            </w:r>
            <w:r>
              <w:fldChar w:fldCharType="separate"/>
            </w:r>
            <w:r w:rsidRPr="3C7D2AFB" w:rsidR="3C7D2AFB">
              <w:rPr>
                <w:rStyle w:val="a3"/>
              </w:rPr>
              <w:t>12</w:t>
            </w:r>
            <w:r>
              <w:fldChar w:fldCharType="end"/>
            </w:r>
          </w:hyperlink>
        </w:p>
        <w:p w:rsidR="00543825" w:rsidP="3C7D2AFB" w:rsidRDefault="00543825" w14:paraId="09399F1C" w14:textId="72A0C91F">
          <w:pPr>
            <w:pStyle w:val="11"/>
            <w:tabs>
              <w:tab w:val="right" w:leader="dot" w:pos="9360"/>
            </w:tabs>
            <w:rPr>
              <w:noProof/>
              <w:lang w:val="en-GB" w:eastAsia="en-GB"/>
            </w:rPr>
          </w:pPr>
          <w:hyperlink w:anchor="_Toc1104097484">
            <w:r w:rsidRPr="3C7D2AFB" w:rsidR="3C7D2AFB">
              <w:rPr>
                <w:rStyle w:val="a3"/>
              </w:rPr>
              <w:t>Conclusion</w:t>
            </w:r>
            <w:r>
              <w:tab/>
            </w:r>
            <w:r>
              <w:fldChar w:fldCharType="begin"/>
            </w:r>
            <w:r>
              <w:instrText xml:space="preserve">PAGEREF _Toc1104097484 \h</w:instrText>
            </w:r>
            <w:r>
              <w:fldChar w:fldCharType="separate"/>
            </w:r>
            <w:r w:rsidRPr="3C7D2AFB" w:rsidR="3C7D2AFB">
              <w:rPr>
                <w:rStyle w:val="a3"/>
              </w:rPr>
              <w:t>12</w:t>
            </w:r>
            <w:r>
              <w:fldChar w:fldCharType="end"/>
            </w:r>
          </w:hyperlink>
        </w:p>
        <w:p w:rsidR="00543825" w:rsidP="3C7D2AFB" w:rsidRDefault="00543825" w14:paraId="0299A4E8" w14:textId="47BF48A7">
          <w:pPr>
            <w:pStyle w:val="11"/>
            <w:tabs>
              <w:tab w:val="right" w:leader="dot" w:pos="9360"/>
            </w:tabs>
            <w:rPr>
              <w:noProof/>
              <w:lang w:val="en-GB" w:eastAsia="en-GB"/>
            </w:rPr>
          </w:pPr>
          <w:hyperlink w:anchor="_Toc357595391">
            <w:r w:rsidRPr="3C7D2AFB" w:rsidR="3C7D2AFB">
              <w:rPr>
                <w:rStyle w:val="a3"/>
              </w:rPr>
              <w:t>References</w:t>
            </w:r>
            <w:r>
              <w:tab/>
            </w:r>
            <w:r>
              <w:fldChar w:fldCharType="begin"/>
            </w:r>
            <w:r>
              <w:instrText xml:space="preserve">PAGEREF _Toc357595391 \h</w:instrText>
            </w:r>
            <w:r>
              <w:fldChar w:fldCharType="separate"/>
            </w:r>
            <w:r w:rsidRPr="3C7D2AFB" w:rsidR="3C7D2AFB">
              <w:rPr>
                <w:rStyle w:val="a3"/>
              </w:rPr>
              <w:t>12</w:t>
            </w:r>
            <w:r>
              <w:fldChar w:fldCharType="end"/>
            </w:r>
          </w:hyperlink>
          <w:r>
            <w:fldChar w:fldCharType="end"/>
          </w:r>
        </w:p>
      </w:sdtContent>
    </w:sdt>
    <w:p w:rsidR="00543825" w:rsidRDefault="00543825" w14:paraId="7A333DC2" w14:textId="35591450" w14:noSpellErr="1"/>
    <w:p w:rsidRPr="00F21DD2" w:rsidR="00DA5E73" w:rsidP="00F21DD2" w:rsidRDefault="00DA5E73" w14:paraId="4F687C9D" w14:textId="328AF7F8">
      <w:pPr>
        <w:tabs>
          <w:tab w:val="right" w:leader="dot" w:pos="9350"/>
        </w:tabs>
        <w:spacing w:after="0" w:line="240" w:lineRule="auto"/>
        <w:rPr>
          <w:rFonts w:eastAsia="Calibri" w:cstheme="minorHAnsi"/>
          <w:color w:val="000000" w:themeColor="text1"/>
        </w:rPr>
      </w:pPr>
    </w:p>
    <w:p w:rsidRPr="00F21DD2" w:rsidR="00DA5E73" w:rsidP="00F21DD2" w:rsidRDefault="00DA5E73" w14:paraId="0FBCEDFC" w14:textId="03511828">
      <w:pPr>
        <w:spacing w:beforeAutospacing="1" w:after="0" w:line="240" w:lineRule="auto"/>
        <w:rPr>
          <w:rFonts w:eastAsia="Calibri" w:cstheme="minorHAnsi"/>
          <w:color w:val="000000" w:themeColor="text1"/>
        </w:rPr>
      </w:pPr>
    </w:p>
    <w:p w:rsidRPr="00F21DD2" w:rsidR="00DA5E73" w:rsidP="00F21DD2" w:rsidRDefault="00282ACF" w14:paraId="77A0FE52" w14:textId="12C7AAED">
      <w:pPr>
        <w:spacing w:beforeAutospacing="1" w:after="0" w:line="240" w:lineRule="auto"/>
        <w:rPr>
          <w:rFonts w:eastAsia="Calibri" w:cstheme="minorHAnsi"/>
          <w:color w:val="000000" w:themeColor="text1"/>
        </w:rPr>
      </w:pPr>
      <w:r w:rsidRPr="00F21DD2">
        <w:rPr>
          <w:rFonts w:cstheme="minorHAnsi"/>
        </w:rPr>
        <w:br w:type="page"/>
      </w:r>
      <w:bookmarkStart w:name="_GoBack" w:id="0"/>
      <w:bookmarkEnd w:id="0"/>
    </w:p>
    <w:p w:rsidRPr="00F21DD2" w:rsidR="00DA5E73" w:rsidP="3C7D2AFB" w:rsidRDefault="0C1954C3" w14:paraId="6770C4A0" w14:textId="4A6A4DE7"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1530068142" w:id="72388680"/>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Introduction</w:t>
      </w:r>
      <w:bookmarkEnd w:id="72388680"/>
    </w:p>
    <w:p w:rsidR="3C7D2AFB" w:rsidRDefault="3C7D2AFB" w14:paraId="162B3B71" w14:textId="3D1ABBFB">
      <w:r w:rsidRPr="3C7D2AFB" w:rsidR="3C7D2AFB">
        <w:rPr>
          <w:rFonts w:ascii="Calibri" w:hAnsi="Calibri" w:eastAsia="Calibri" w:cs="Calibri"/>
          <w:noProof w:val="0"/>
          <w:sz w:val="22"/>
          <w:szCs w:val="22"/>
          <w:lang w:val="en-US"/>
        </w:rPr>
        <w:t>Brexit in 2019 was the core of the centre, and firms in the UK were busy progressing contingency intentions for UK businesses following the exit of the UK. Later in 2020, as the coronavirus appeared, the attention of business was distracted, and numerous of those functioning on Brexit were diverted to dealing with the immediate and pervasive pandemic's impact. As the outlook of a "V-shaped recovery" shuns away, various business owners now fund themselves struggling with the tentative economy's re-opening, whilst moreover being a few weeks away from a most delicate alteration in terms of trading with the European Union (Fana et al., 2020). The transition period of the UK with the EU now concludes in 2020 on December 31. With the deliberate development in negotiation, there is presently a probability that no agreement related to trade will be acquired or the deal will be restricted in scope. As both the EU commissioner and the government of the UK have stated, whether there are future relations in place or not, there could be substantial changes to the means the EU and the UK trade.</w:t>
      </w:r>
    </w:p>
    <w:p w:rsidR="3C7D2AFB" w:rsidP="3C7D2AFB" w:rsidRDefault="3C7D2AFB" w14:paraId="1D0ECA37" w14:textId="0B8B5BAD">
      <w:pPr>
        <w:pStyle w:val="a"/>
        <w:spacing w:beforeAutospacing="on" w:after="0" w:line="240" w:lineRule="auto"/>
        <w:rPr>
          <w:rFonts w:eastAsia="Calibri" w:cs="Calibri" w:cstheme="minorAscii"/>
          <w:color w:val="000000" w:themeColor="text1" w:themeTint="FF" w:themeShade="FF"/>
        </w:rPr>
      </w:pPr>
    </w:p>
    <w:p w:rsidRPr="00F21DD2" w:rsidR="00DA5E73" w:rsidP="00F21DD2" w:rsidRDefault="00DA5E73" w14:paraId="1AF39E1A" w14:textId="529F509E">
      <w:pPr>
        <w:spacing w:beforeAutospacing="1" w:after="0" w:line="240" w:lineRule="auto"/>
        <w:rPr>
          <w:rFonts w:eastAsia="Calibri" w:cstheme="minorHAnsi"/>
          <w:color w:val="000000" w:themeColor="text1"/>
        </w:rPr>
      </w:pPr>
    </w:p>
    <w:p w:rsidRPr="00F21DD2" w:rsidR="00DA5E73" w:rsidP="3C7D2AFB" w:rsidRDefault="0C1954C3" w14:paraId="2102E947" w14:textId="01DB286B"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1452623636" w:id="1795580019"/>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“The emerging changes in labor market conditions in a post Covid-19”</w:t>
      </w:r>
      <w:bookmarkEnd w:id="1795580019"/>
    </w:p>
    <w:p w:rsidRPr="00F21DD2" w:rsidR="00DA5E73" w:rsidP="3C7D2AFB" w:rsidRDefault="0C1954C3" w14:paraId="6DEE87A4" w14:textId="0F412B3E">
      <w:pPr>
        <w:pStyle w:val="a"/>
      </w:pPr>
    </w:p>
    <w:p w:rsidRPr="00F21DD2" w:rsidR="00DA5E73" w:rsidP="00F21DD2" w:rsidRDefault="0C1954C3" w14:paraId="31F6B276" w14:textId="4498AFCF">
      <w:pPr>
        <w:spacing w:beforeAutospacing="1" w:after="0" w:line="240" w:lineRule="auto"/>
      </w:pPr>
      <w:r w:rsidRPr="3C7D2AFB" w:rsidR="3C7D2AFB">
        <w:rPr>
          <w:rFonts w:ascii="Calibri" w:hAnsi="Calibri" w:eastAsia="Calibri" w:cs="Calibri"/>
          <w:noProof w:val="0"/>
          <w:sz w:val="22"/>
          <w:szCs w:val="22"/>
          <w:lang w:val="en-US"/>
        </w:rPr>
        <w:t>The outbreak of Covid-19 has had the most soothing effect on the labour market of the UK. As the covid-19 was at its peak in the middle of 2020, 33% of suitable employment were furloughed. Until Jan 2021, the labour market had increased to 6%, which is the greatest since 2016 and still not as massive as this could have been without the support of the UK's government.</w:t>
      </w:r>
    </w:p>
    <w:p w:rsidRPr="00F21DD2" w:rsidR="00DA5E73" w:rsidP="3C7D2AFB" w:rsidRDefault="0C1954C3" w14:paraId="18248AA8" w14:textId="23F54527">
      <w:pPr>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00F21DD2" w:rsidRDefault="00DA5E73" w14:paraId="62044A90" w14:textId="1E9ADC83">
      <w:pPr>
        <w:spacing w:beforeAutospacing="1" w:after="0" w:line="240" w:lineRule="auto"/>
        <w:rPr>
          <w:rFonts w:eastAsia="Calibri" w:cstheme="minorHAnsi"/>
          <w:color w:val="000000" w:themeColor="text1"/>
        </w:rPr>
      </w:pPr>
    </w:p>
    <w:p w:rsidRPr="00F21DD2" w:rsidR="00DA5E73" w:rsidP="3C7D2AFB" w:rsidRDefault="0C1954C3" w14:paraId="215D1F7D" w14:textId="0424D7BA">
      <w:pPr>
        <w:pStyle w:val="a"/>
        <w:spacing w:beforeAutospacing="1" w:line="240" w:lineRule="auto"/>
        <w:rPr>
          <w:rFonts w:ascii="Calibri" w:hAnsi="Calibri" w:eastAsia="Calibri" w:cs="Calibri" w:asciiTheme="minorAscii" w:hAnsiTheme="minorAscii" w:cstheme="minorAscii"/>
          <w:i w:val="1"/>
          <w:iCs w:val="1"/>
          <w:color w:val="000000" w:themeColor="text1" w:themeTint="FF" w:themeShade="FF"/>
          <w:sz w:val="22"/>
          <w:szCs w:val="22"/>
        </w:rPr>
      </w:pPr>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Local Effects have been Different and are a Reason for Concern</w:t>
      </w:r>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 xml:space="preserve"> </w:t>
      </w:r>
      <w:r w:rsidRPr="3C7D2AFB" w:rsidR="3C7D2AFB">
        <w:rPr>
          <w:rFonts w:ascii="Calibri" w:hAnsi="Calibri" w:eastAsia="Calibri" w:cs="Calibri"/>
          <w:noProof w:val="0"/>
          <w:sz w:val="22"/>
          <w:szCs w:val="22"/>
          <w:lang w:val="en-US"/>
        </w:rPr>
        <w:t xml:space="preserve">The local economic performance throughout covid-19 has really been a basis for vital concerns yet hides the non-similar spatial covid-19 impacts, which could have decisive long-term results for a few national economies, as stated by (Demena et al., 2022). This </w:t>
      </w:r>
      <w:proofErr w:type="gramStart"/>
      <w:r w:rsidRPr="3C7D2AFB" w:rsidR="3C7D2AFB">
        <w:rPr>
          <w:rFonts w:ascii="Calibri" w:hAnsi="Calibri" w:eastAsia="Calibri" w:cs="Calibri"/>
          <w:noProof w:val="0"/>
          <w:sz w:val="22"/>
          <w:szCs w:val="22"/>
          <w:lang w:val="en-US"/>
        </w:rPr>
        <w:t>particular long</w:t>
      </w:r>
      <w:proofErr w:type="gramEnd"/>
      <w:r w:rsidRPr="3C7D2AFB" w:rsidR="3C7D2AFB">
        <w:rPr>
          <w:rFonts w:ascii="Calibri" w:hAnsi="Calibri" w:eastAsia="Calibri" w:cs="Calibri"/>
          <w:noProof w:val="0"/>
          <w:sz w:val="22"/>
          <w:szCs w:val="22"/>
          <w:lang w:val="en-US"/>
        </w:rPr>
        <w:t xml:space="preserve"> read discovers the potential routes and distinct experiences for Covid-19 recovery in the three national areas of authority with few of the most effective take-up rates of "Coronavirus Job Retention Scheme" in the UK: North London, West Sussex, and Cumbria. The researchers' analysis shows some hazards of possible long-lasting effects on the labour market and GVA. We then discuss local and national-level measures that might support national areas to allow the development of quality, well-paid and secured jobs via the recovery. </w:t>
      </w:r>
    </w:p>
    <w:p w:rsidRPr="00F21DD2" w:rsidR="00DA5E73" w:rsidP="3C7D2AFB" w:rsidRDefault="0C1954C3" w14:paraId="69FFCBE2" w14:textId="09E1381E">
      <w:pPr>
        <w:spacing w:beforeAutospacing="1" w:line="240" w:lineRule="auto"/>
      </w:pPr>
      <w:r w:rsidRPr="3C7D2AFB" w:rsidR="3C7D2AFB">
        <w:rPr>
          <w:rFonts w:ascii="Calibri" w:hAnsi="Calibri" w:eastAsia="Calibri" w:cs="Calibri"/>
          <w:noProof w:val="0"/>
          <w:sz w:val="22"/>
          <w:szCs w:val="22"/>
          <w:lang w:val="en-US"/>
        </w:rPr>
        <w:t xml:space="preserve">2020 has seen the most significant reduction rate in the labour market in the last 100 years, according to the new analysis of "Cambridge Econometrics", which was double the reduction that resulted from the financial crisis between 2008 and 2009. Compared to the quick decline in the labour market, jobs have been comparatively supple. The decrease in labour throughout Covid-19 has, to date, reached just 1/5 of that experienced throughout early 1991. </w:t>
      </w:r>
    </w:p>
    <w:p w:rsidRPr="00F21DD2" w:rsidR="00DA5E73" w:rsidP="3C7D2AFB" w:rsidRDefault="0C1954C3" w14:paraId="78171335" w14:textId="35CF217E">
      <w:pPr>
        <w:spacing w:beforeAutospacing="1" w:line="240" w:lineRule="auto"/>
      </w:pPr>
      <w:r w:rsidRPr="3C7D2AFB" w:rsidR="3C7D2AFB">
        <w:rPr>
          <w:rFonts w:ascii="Calibri" w:hAnsi="Calibri" w:eastAsia="Calibri" w:cs="Calibri"/>
          <w:noProof w:val="0"/>
          <w:sz w:val="22"/>
          <w:szCs w:val="22"/>
          <w:lang w:val="en-US"/>
        </w:rPr>
        <w:t>The "Coronavirus Job Retention Scheme" merged with loans and grants for businesses has facilitated managers competent to retain employees, further helped by a rapid return to general activities in simmer. The predictions of "Cambridge Econometrics" really support this, predicting jobs to return to levels of pre-covid till 2023, one year before the recovery of GVA (Crowley et al., 2021). This could make the recovery of the post-covid market of labour one of the greatest, similarly to the improvement from the recession in the mid-70s.</w:t>
      </w:r>
    </w:p>
    <w:p w:rsidRPr="00F21DD2" w:rsidR="00DA5E73" w:rsidP="3C7D2AFB" w:rsidRDefault="0C1954C3" w14:paraId="5134A255" w14:textId="48C16ABD">
      <w:pPr>
        <w:pStyle w:val="a"/>
      </w:pPr>
    </w:p>
    <w:p w:rsidRPr="00F21DD2" w:rsidR="00DA5E73" w:rsidP="3C7D2AFB" w:rsidRDefault="0C1954C3" w14:paraId="1AA27399" w14:textId="2BD38730">
      <w:pPr>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00F21DD2" w:rsidRDefault="00DA5E73" w14:paraId="22F83E96" w14:textId="4ED950C1">
      <w:pPr>
        <w:spacing w:beforeAutospacing="1" w:after="0" w:line="240" w:lineRule="auto"/>
        <w:rPr>
          <w:rFonts w:eastAsia="Calibri" w:cstheme="minorHAnsi"/>
          <w:color w:val="000000" w:themeColor="text1"/>
        </w:rPr>
      </w:pPr>
    </w:p>
    <w:p w:rsidR="00DA5E73" w:rsidP="00F21DD2" w:rsidRDefault="0C1954C3" w14:paraId="77A86101" w14:textId="0063D237">
      <w:pPr>
        <w:spacing w:beforeAutospacing="1" w:after="0" w:line="240" w:lineRule="auto"/>
        <w:rPr>
          <w:rFonts w:eastAsia="Calibri" w:cstheme="minorHAnsi"/>
          <w:color w:val="000000" w:themeColor="text1"/>
        </w:rPr>
      </w:pPr>
      <w:r w:rsidRPr="00F21DD2">
        <w:rPr>
          <w:rFonts w:cstheme="minorHAnsi"/>
          <w:noProof/>
          <w:lang w:val="en-GB" w:eastAsia="en-GB"/>
        </w:rPr>
        <w:drawing>
          <wp:inline distT="0" distB="0" distL="0" distR="0" wp14:anchorId="5C947AB0" wp14:editId="357F5721">
            <wp:extent cx="4572000" cy="2600325"/>
            <wp:effectExtent l="0" t="0" r="0" b="0"/>
            <wp:docPr id="1556087878" name="Картина 1556087878"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rsidRPr="00F21DD2" w:rsidR="00F21DD2" w:rsidP="00F21DD2" w:rsidRDefault="00F21DD2" w14:paraId="10843D8F" w14:textId="3C3A458E">
      <w:pPr>
        <w:spacing w:beforeAutospacing="1" w:after="0" w:line="240" w:lineRule="auto"/>
        <w:rPr>
          <w:rFonts w:eastAsia="Calibri" w:cstheme="minorHAnsi"/>
          <w:color w:val="000000" w:themeColor="text1"/>
        </w:rPr>
      </w:pPr>
      <w:r w:rsidRPr="00F21DD2">
        <w:rPr>
          <w:rFonts w:eastAsia="Calibri" w:cstheme="minorHAnsi"/>
          <w:b/>
          <w:bCs/>
          <w:color w:val="000000" w:themeColor="text1"/>
        </w:rPr>
        <w:t>“Figure 1: Job recoveries’ Comparison following former crises”</w:t>
      </w:r>
    </w:p>
    <w:p w:rsidRPr="00F21DD2" w:rsidR="00DA5E73" w:rsidP="00F21DD2" w:rsidRDefault="00DA5E73" w14:paraId="6491DB52" w14:textId="58912829">
      <w:pPr>
        <w:spacing w:beforeAutospacing="1" w:after="0" w:line="240" w:lineRule="auto"/>
        <w:rPr>
          <w:rFonts w:eastAsia="Calibri" w:cstheme="minorHAnsi"/>
          <w:color w:val="000000" w:themeColor="text1"/>
        </w:rPr>
      </w:pPr>
    </w:p>
    <w:p w:rsidRPr="00F21DD2" w:rsidR="00DA5E73" w:rsidP="00F21DD2" w:rsidRDefault="0C1954C3" w14:paraId="5734A956" w14:textId="41366625">
      <w:pPr>
        <w:spacing w:beforeAutospacing="1" w:after="0" w:line="240" w:lineRule="auto"/>
      </w:pPr>
      <w:r w:rsidRPr="3C7D2AFB" w:rsidR="3C7D2AFB">
        <w:rPr>
          <w:rFonts w:ascii="Calibri" w:hAnsi="Calibri" w:eastAsia="Calibri" w:cs="Calibri"/>
          <w:noProof w:val="0"/>
          <w:sz w:val="22"/>
          <w:szCs w:val="22"/>
          <w:lang w:val="en-US"/>
        </w:rPr>
        <w:t xml:space="preserve">Even though Covid-19 has impacted the whole economy to a certain degree, the effects and possibility of recovery differ across sectors. Impermanent furlough statistics for "lockdown" beginning from January 2021 designate that 69% of jobs in the food and health sector, 53% in entertainment and arts, and 49% in the retail industry were laid off definitely making these worst affected areas. </w:t>
      </w:r>
      <w:proofErr w:type="spellStart"/>
      <w:proofErr w:type="spellEnd"/>
    </w:p>
    <w:p w:rsidRPr="00F21DD2" w:rsidR="00DA5E73" w:rsidP="00F21DD2" w:rsidRDefault="0C1954C3" w14:paraId="6BD3B7E4" w14:textId="4744DC7A">
      <w:pPr>
        <w:spacing w:beforeAutospacing="1" w:after="0" w:line="240" w:lineRule="auto"/>
      </w:pPr>
      <w:r w:rsidRPr="3C7D2AFB" w:rsidR="3C7D2AFB">
        <w:rPr>
          <w:rFonts w:ascii="Calibri" w:hAnsi="Calibri" w:eastAsia="Calibri" w:cs="Calibri"/>
          <w:noProof w:val="0"/>
          <w:sz w:val="22"/>
          <w:szCs w:val="22"/>
          <w:lang w:val="en-US"/>
        </w:rPr>
        <w:t>Equally, other areas have been less dependent on unemployment, and few have also progressed their personnel. Public and health administration made an extra 375,000 vocations in 2020, primarily to oversee and manage the Covid-19's response (Byme et al., 2020). Other sectors have developed due to progressed requirements, such as finance, IT services, distribution, and real estate.</w:t>
      </w:r>
    </w:p>
    <w:p w:rsidRPr="00F21DD2" w:rsidR="00DA5E73" w:rsidP="3C7D2AFB" w:rsidRDefault="0C1954C3" w14:paraId="5AE6A1B9" w14:textId="739C934C">
      <w:pPr>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00F21DD2" w:rsidRDefault="00DA5E73" w14:paraId="024248A7" w14:textId="7FAAC03F">
      <w:pPr>
        <w:spacing w:beforeAutospacing="1" w:after="0" w:line="240" w:lineRule="auto"/>
        <w:rPr>
          <w:rFonts w:eastAsia="Calibri" w:cstheme="minorHAnsi"/>
          <w:color w:val="000000" w:themeColor="text1"/>
        </w:rPr>
      </w:pPr>
    </w:p>
    <w:p w:rsidRPr="00F21DD2" w:rsidR="00DA5E73" w:rsidP="3C7D2AFB" w:rsidRDefault="0C1954C3" w14:paraId="1F6BECA3" w14:textId="705B85BD"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144532331" w:id="1047777212"/>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Covid-19 Impact on the Labour Market of 3 Local Economies</w:t>
      </w:r>
      <w:bookmarkEnd w:id="1047777212"/>
    </w:p>
    <w:p w:rsidR="3C7D2AFB" w:rsidP="3C7D2AFB" w:rsidRDefault="3C7D2AFB" w14:paraId="56A19679" w14:textId="6499C48C">
      <w:pPr>
        <w:pStyle w:val="a"/>
      </w:pPr>
    </w:p>
    <w:p w:rsidR="3C7D2AFB" w:rsidRDefault="3C7D2AFB" w14:paraId="3E0B9650" w14:textId="5C7395DE">
      <w:r w:rsidRPr="3C7D2AFB" w:rsidR="3C7D2AFB">
        <w:rPr>
          <w:rFonts w:ascii="Calibri" w:hAnsi="Calibri" w:eastAsia="Calibri" w:cs="Calibri"/>
          <w:noProof w:val="0"/>
          <w:sz w:val="22"/>
          <w:szCs w:val="22"/>
          <w:lang w:val="en-US"/>
        </w:rPr>
        <w:t>The long and short-term effects of coronavirus on diverse situations will be greatly co-related to the sector mix of their national cutback. To portray this, we can observe three remarkably various areas that have experienced the most unprecedented take-up employment rates in the UK, i.e., Haringey, Crawley, and Eden. In all these places, the national sector mix inclines toward several sectors that were significantly affected by limitations and greatly dependent on employment, as could be viewed in the table provided below:</w:t>
      </w:r>
    </w:p>
    <w:p w:rsidR="3C7D2AFB" w:rsidP="3C7D2AFB" w:rsidRDefault="3C7D2AFB" w14:paraId="0A1E1A7E" w14:textId="74597A2D">
      <w:pPr>
        <w:pStyle w:val="a"/>
        <w:spacing w:beforeAutospacing="on" w:after="0" w:line="240" w:lineRule="auto"/>
        <w:rPr>
          <w:rFonts w:eastAsia="Calibri" w:cs="Calibri" w:cstheme="minorAscii"/>
          <w:color w:val="000000" w:themeColor="text1" w:themeTint="FF" w:themeShade="FF"/>
        </w:rPr>
      </w:pPr>
    </w:p>
    <w:p w:rsidR="00F21DD2" w:rsidP="00F21DD2" w:rsidRDefault="0C1954C3" w14:paraId="6291C828" w14:textId="77777777">
      <w:pPr>
        <w:spacing w:beforeAutospacing="1" w:after="0" w:line="240" w:lineRule="auto"/>
        <w:rPr>
          <w:rStyle w:val="a4"/>
          <w:rFonts w:eastAsia="Calibri" w:cstheme="minorHAnsi"/>
          <w:color w:val="000000" w:themeColor="text1"/>
        </w:rPr>
      </w:pPr>
      <w:r w:rsidRPr="00F21DD2">
        <w:rPr>
          <w:rFonts w:cstheme="minorHAnsi"/>
          <w:noProof/>
          <w:lang w:val="en-GB" w:eastAsia="en-GB"/>
        </w:rPr>
        <w:drawing>
          <wp:inline distT="0" distB="0" distL="0" distR="0" wp14:anchorId="5BF32DEC" wp14:editId="7C0C7DDB">
            <wp:extent cx="4572000" cy="2286000"/>
            <wp:effectExtent l="0" t="0" r="0" b="0"/>
            <wp:docPr id="1" name="Картина 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rsidRPr="00F21DD2" w:rsidR="00DA5E73" w:rsidP="00F21DD2" w:rsidRDefault="0C1954C3" w14:paraId="64F27B48" w14:textId="2829B1AB">
      <w:pPr>
        <w:spacing w:beforeAutospacing="1" w:after="0" w:line="240" w:lineRule="auto"/>
        <w:rPr>
          <w:rFonts w:eastAsia="Calibri" w:cstheme="minorHAnsi"/>
          <w:color w:val="000000" w:themeColor="text1"/>
        </w:rPr>
      </w:pPr>
      <w:r w:rsidRPr="00F21DD2">
        <w:rPr>
          <w:rStyle w:val="a4"/>
          <w:rFonts w:eastAsia="Calibri" w:cstheme="minorHAnsi"/>
          <w:color w:val="000000" w:themeColor="text1"/>
        </w:rPr>
        <w:t>“Table 1: Top sector workforce shares pre-Covid-19”</w:t>
      </w:r>
    </w:p>
    <w:p w:rsidRPr="00F21DD2" w:rsidR="00DA5E73" w:rsidP="00F21DD2" w:rsidRDefault="00DA5E73" w14:paraId="31B4C95B" w14:textId="45CAF2B7">
      <w:pPr>
        <w:spacing w:beforeAutospacing="1" w:after="0" w:line="240" w:lineRule="auto"/>
        <w:ind w:firstLine="720"/>
        <w:rPr>
          <w:rFonts w:eastAsia="Calibri" w:cstheme="minorHAnsi"/>
          <w:color w:val="000000" w:themeColor="text1"/>
        </w:rPr>
      </w:pPr>
    </w:p>
    <w:p w:rsidR="3C7D2AFB" w:rsidRDefault="3C7D2AFB" w14:paraId="39A460D0" w14:textId="64C47A2A">
      <w:r w:rsidRPr="3C7D2AFB" w:rsidR="3C7D2AFB">
        <w:rPr>
          <w:rFonts w:ascii="Calibri" w:hAnsi="Calibri" w:eastAsia="Calibri" w:cs="Calibri"/>
          <w:noProof w:val="0"/>
          <w:sz w:val="22"/>
          <w:szCs w:val="22"/>
          <w:lang w:val="en-US"/>
        </w:rPr>
        <w:t>The latest prediction reports of Cambridge Econometrics predict that every one of the above-described areas will surely experience a labour market reduction rate more excellent than the average of the UK throughout 2020 (Haringey is forecasted to experience an actual terms reduction of 10.4%, Eden 13.4% and Crawley 15%).</w:t>
      </w:r>
    </w:p>
    <w:p w:rsidR="3C7D2AFB" w:rsidP="3C7D2AFB" w:rsidRDefault="3C7D2AFB" w14:paraId="2115A00E" w14:textId="53D15364">
      <w:pPr>
        <w:pStyle w:val="a"/>
        <w:spacing w:beforeAutospacing="on" w:after="0" w:line="240" w:lineRule="auto"/>
        <w:rPr>
          <w:rFonts w:eastAsia="Calibri" w:cs="Calibri" w:cstheme="minorAscii"/>
          <w:color w:val="000000" w:themeColor="text1" w:themeTint="FF" w:themeShade="FF"/>
        </w:rPr>
      </w:pPr>
    </w:p>
    <w:p w:rsidRPr="00F21DD2" w:rsidR="00DA5E73" w:rsidP="00F21DD2" w:rsidRDefault="00DA5E73" w14:paraId="67FAEBCA" w14:textId="54CF537B">
      <w:pPr>
        <w:spacing w:beforeAutospacing="1" w:after="0" w:line="240" w:lineRule="auto"/>
        <w:rPr>
          <w:rFonts w:eastAsia="Calibri" w:cstheme="minorHAnsi"/>
          <w:color w:val="000000" w:themeColor="text1"/>
        </w:rPr>
      </w:pPr>
    </w:p>
    <w:p w:rsidR="00DA5E73" w:rsidP="00F21DD2" w:rsidRDefault="0C1954C3" w14:paraId="2F02DFC1" w14:textId="3005A330">
      <w:pPr>
        <w:spacing w:beforeAutospacing="1" w:after="0" w:line="240" w:lineRule="auto"/>
        <w:rPr>
          <w:rFonts w:eastAsia="Calibri" w:cstheme="minorHAnsi"/>
          <w:color w:val="000000" w:themeColor="text1"/>
        </w:rPr>
      </w:pPr>
      <w:r w:rsidRPr="00F21DD2">
        <w:rPr>
          <w:rFonts w:cstheme="minorHAnsi"/>
          <w:noProof/>
          <w:lang w:val="en-GB" w:eastAsia="en-GB"/>
        </w:rPr>
        <w:drawing>
          <wp:inline distT="0" distB="0" distL="0" distR="0" wp14:anchorId="4C29B57B" wp14:editId="4B22472C">
            <wp:extent cx="5311140" cy="1981200"/>
            <wp:effectExtent l="0" t="0" r="3810" b="0"/>
            <wp:docPr id="2" name="Картина 2"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311140" cy="1981200"/>
                    </a:xfrm>
                    <a:prstGeom prst="rect">
                      <a:avLst/>
                    </a:prstGeom>
                  </pic:spPr>
                </pic:pic>
              </a:graphicData>
            </a:graphic>
          </wp:inline>
        </w:drawing>
      </w:r>
    </w:p>
    <w:p w:rsidRPr="00F21DD2" w:rsidR="00F21DD2" w:rsidP="00F21DD2" w:rsidRDefault="00F21DD2" w14:paraId="64FF1863" w14:textId="77777777">
      <w:pPr>
        <w:spacing w:beforeAutospacing="1" w:after="0" w:line="240" w:lineRule="auto"/>
        <w:rPr>
          <w:rFonts w:eastAsia="Calibri" w:cstheme="minorHAnsi"/>
          <w:color w:val="000000" w:themeColor="text1"/>
        </w:rPr>
      </w:pPr>
      <w:r w:rsidRPr="00F21DD2">
        <w:rPr>
          <w:rStyle w:val="a4"/>
          <w:rFonts w:eastAsia="Calibri" w:cstheme="minorHAnsi"/>
          <w:color w:val="000000" w:themeColor="text1"/>
        </w:rPr>
        <w:t>“Figure 3: Labour Market take-up rate 2020-21 as proportion of all eligible jobs”</w:t>
      </w:r>
    </w:p>
    <w:p w:rsidRPr="00F21DD2" w:rsidR="00F21DD2" w:rsidP="00F21DD2" w:rsidRDefault="00F21DD2" w14:paraId="63523D1B" w14:textId="77777777">
      <w:pPr>
        <w:spacing w:beforeAutospacing="1" w:after="0" w:line="240" w:lineRule="auto"/>
        <w:ind w:firstLine="720"/>
        <w:rPr>
          <w:rFonts w:eastAsia="Calibri" w:cstheme="minorHAnsi"/>
          <w:color w:val="000000" w:themeColor="text1"/>
        </w:rPr>
      </w:pPr>
    </w:p>
    <w:p w:rsidRPr="00F21DD2" w:rsidR="00DA5E73" w:rsidP="00F21DD2" w:rsidRDefault="0C1954C3" w14:paraId="647CA434" w14:textId="4A05CF25">
      <w:pPr>
        <w:spacing w:beforeAutospacing="1" w:after="0" w:line="240" w:lineRule="auto"/>
      </w:pPr>
      <w:r w:rsidRPr="3C7D2AFB" w:rsidR="3C7D2AFB">
        <w:rPr>
          <w:rFonts w:ascii="Calibri" w:hAnsi="Calibri" w:eastAsia="Calibri" w:cs="Calibri"/>
          <w:noProof w:val="0"/>
          <w:sz w:val="22"/>
          <w:szCs w:val="22"/>
          <w:lang w:val="en-US"/>
        </w:rPr>
        <w:t>Predictions for the future years display labour market and job recovery rates for every one of the above-described locations, with Haringey designating a potential to demonstrate the finest resilience of an average UK. On the other hand, Eden and Crawley are forecasted to experience vital losses in the labour market and differing recoveries (Anderton et al., 2021).</w:t>
      </w:r>
    </w:p>
    <w:p w:rsidRPr="00F21DD2" w:rsidR="00DA5E73" w:rsidP="3C7D2AFB" w:rsidRDefault="0C1954C3" w14:paraId="366DD310" w14:textId="0B6D2E0C">
      <w:pPr>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00F21DD2" w:rsidRDefault="00DA5E73" w14:paraId="4E5653AC" w14:textId="229BC7FC">
      <w:pPr>
        <w:spacing w:beforeAutospacing="1" w:after="0" w:line="240" w:lineRule="auto"/>
        <w:rPr>
          <w:rFonts w:eastAsia="Calibri" w:cstheme="minorHAnsi"/>
          <w:color w:val="000000" w:themeColor="text1"/>
        </w:rPr>
      </w:pPr>
    </w:p>
    <w:p w:rsidR="00DA5E73" w:rsidP="00F21DD2" w:rsidRDefault="0C1954C3" w14:paraId="71BFE13F" w14:textId="7E1E0045">
      <w:pPr>
        <w:spacing w:beforeAutospacing="1" w:after="0" w:line="240" w:lineRule="auto"/>
        <w:rPr>
          <w:rFonts w:eastAsia="Calibri" w:cstheme="minorHAnsi"/>
          <w:color w:val="000000" w:themeColor="text1"/>
        </w:rPr>
      </w:pPr>
      <w:r w:rsidRPr="00F21DD2">
        <w:rPr>
          <w:rFonts w:cstheme="minorHAnsi"/>
          <w:noProof/>
          <w:lang w:val="en-GB" w:eastAsia="en-GB"/>
        </w:rPr>
        <w:drawing>
          <wp:inline distT="0" distB="0" distL="0" distR="0" wp14:anchorId="37020DB0" wp14:editId="2E18F339">
            <wp:extent cx="5760720" cy="2369820"/>
            <wp:effectExtent l="0" t="0" r="0" b="0"/>
            <wp:docPr id="3" name="Картина 3"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60720" cy="2369820"/>
                    </a:xfrm>
                    <a:prstGeom prst="rect">
                      <a:avLst/>
                    </a:prstGeom>
                  </pic:spPr>
                </pic:pic>
              </a:graphicData>
            </a:graphic>
          </wp:inline>
        </w:drawing>
      </w:r>
    </w:p>
    <w:p w:rsidRPr="00F21DD2" w:rsidR="00F21DD2" w:rsidP="00F21DD2" w:rsidRDefault="00F21DD2" w14:paraId="14322D71" w14:textId="77777777">
      <w:pPr>
        <w:spacing w:beforeAutospacing="1" w:after="0" w:line="240" w:lineRule="auto"/>
        <w:rPr>
          <w:rFonts w:eastAsia="Calibri" w:cstheme="minorHAnsi"/>
          <w:color w:val="000000" w:themeColor="text1"/>
        </w:rPr>
      </w:pPr>
      <w:r w:rsidRPr="00F21DD2">
        <w:rPr>
          <w:rStyle w:val="a4"/>
          <w:rFonts w:eastAsia="Calibri" w:cstheme="minorHAnsi"/>
          <w:color w:val="000000" w:themeColor="text1"/>
        </w:rPr>
        <w:t>“Figure 4: Projected jobs recovery to 2025 (baseline 2019)”</w:t>
      </w:r>
    </w:p>
    <w:p w:rsidRPr="00F21DD2" w:rsidR="00F21DD2" w:rsidP="00F21DD2" w:rsidRDefault="00F21DD2" w14:paraId="5FFD51A6" w14:textId="77777777">
      <w:pPr>
        <w:spacing w:beforeAutospacing="1" w:after="0" w:line="240" w:lineRule="auto"/>
        <w:rPr>
          <w:rFonts w:eastAsia="Calibri" w:cstheme="minorHAnsi"/>
          <w:color w:val="000000" w:themeColor="text1"/>
        </w:rPr>
      </w:pPr>
    </w:p>
    <w:p w:rsidRPr="00F21DD2" w:rsidR="00DA5E73" w:rsidP="00F21DD2" w:rsidRDefault="00DA5E73" w14:paraId="2A516AC3" w14:textId="0F70D7E0">
      <w:pPr>
        <w:spacing w:beforeAutospacing="1" w:after="0" w:line="240" w:lineRule="auto"/>
        <w:rPr>
          <w:rFonts w:eastAsia="Calibri" w:cstheme="minorHAnsi"/>
          <w:color w:val="000000" w:themeColor="text1"/>
        </w:rPr>
      </w:pPr>
    </w:p>
    <w:p w:rsidRPr="00F21DD2" w:rsidR="00DA5E73" w:rsidP="3C7D2AFB" w:rsidRDefault="0C1954C3" w14:paraId="636ECB3A" w14:textId="127FCDEF"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1660273576" w:id="2100052291"/>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“The emerging changes in labor market conditions in a post Brexit environment in the UK”</w:t>
      </w:r>
      <w:bookmarkEnd w:id="2100052291"/>
    </w:p>
    <w:p w:rsidR="3C7D2AFB" w:rsidP="3C7D2AFB" w:rsidRDefault="3C7D2AFB" w14:paraId="41BEC00C" w14:textId="12CA5DA4">
      <w:pPr>
        <w:pStyle w:val="a"/>
      </w:pPr>
    </w:p>
    <w:p w:rsidR="3C7D2AFB" w:rsidRDefault="3C7D2AFB" w14:paraId="55506B21" w14:textId="6E5510B0">
      <w:r w:rsidRPr="3C7D2AFB" w:rsidR="3C7D2AFB">
        <w:rPr>
          <w:rFonts w:ascii="Calibri" w:hAnsi="Calibri" w:eastAsia="Calibri" w:cs="Calibri"/>
          <w:noProof w:val="0"/>
          <w:sz w:val="22"/>
          <w:szCs w:val="22"/>
          <w:lang w:val="en-US"/>
        </w:rPr>
        <w:t>Since the vote of the EU referendum in 2016 June, the outlook of the labour market of CIPD and the surveys of "Resource and Talent Planning" have thoroughly viewed the Brexit's impact on the trends of the labour market and the expectations and perspectives of the labour market as per to the research of (Teague and Donaghey, 2018). The following process is accumulated from the present analysis and data to aid managers to stay cautious of impending alteration as well as sustain their capability to magnetise and hire individuals who are most significant to their requirements.</w:t>
      </w:r>
    </w:p>
    <w:p w:rsidR="3C7D2AFB" w:rsidP="3C7D2AFB" w:rsidRDefault="3C7D2AFB" w14:paraId="6072A163" w14:textId="00155562">
      <w:pPr>
        <w:pStyle w:val="a"/>
        <w:spacing w:beforeAutospacing="on" w:after="0" w:line="240" w:lineRule="auto"/>
        <w:rPr>
          <w:rFonts w:eastAsia="Calibri" w:cs="Calibri" w:cstheme="minorAscii"/>
          <w:color w:val="000000" w:themeColor="text1" w:themeTint="FF" w:themeShade="FF"/>
        </w:rPr>
      </w:pPr>
    </w:p>
    <w:p w:rsidRPr="00F21DD2" w:rsidR="00DA5E73" w:rsidP="3C7D2AFB" w:rsidRDefault="0C1954C3" w14:paraId="35B01CCD" w14:textId="05F33D65"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528274434" w:id="800989084"/>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Overall Employment</w:t>
      </w:r>
      <w:bookmarkEnd w:id="800989084"/>
    </w:p>
    <w:p w:rsidRPr="00F21DD2" w:rsidR="00DA5E73" w:rsidP="00F21DD2" w:rsidRDefault="0C1954C3" w14:paraId="05C137E7" w14:textId="4063002E">
      <w:pPr>
        <w:spacing w:beforeAutospacing="1" w:after="0" w:line="240" w:lineRule="auto"/>
        <w:rPr>
          <w:rFonts w:eastAsia="Calibri" w:cstheme="minorHAnsi"/>
          <w:color w:val="000000" w:themeColor="text1"/>
        </w:rPr>
      </w:pPr>
      <w:r w:rsidR="0C1954C3">
        <w:drawing>
          <wp:inline wp14:editId="465F6CF9" wp14:anchorId="629BF5A7">
            <wp:extent cx="3657600" cy="1857375"/>
            <wp:effectExtent l="0" t="0" r="0" b="0"/>
            <wp:docPr id="4" name="Картина 4" title="Inserting image..."/>
            <wp:cNvGraphicFramePr>
              <a:graphicFrameLocks noChangeAspect="1"/>
            </wp:cNvGraphicFramePr>
            <a:graphic>
              <a:graphicData uri="http://schemas.openxmlformats.org/drawingml/2006/picture">
                <pic:pic>
                  <pic:nvPicPr>
                    <pic:cNvPr id="0" name="Картина 4"/>
                    <pic:cNvPicPr/>
                  </pic:nvPicPr>
                  <pic:blipFill>
                    <a:blip r:embed="Re6bf71e833864a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57600" cy="1857375"/>
                    </a:xfrm>
                    <a:prstGeom prst="rect">
                      <a:avLst/>
                    </a:prstGeom>
                  </pic:spPr>
                </pic:pic>
              </a:graphicData>
            </a:graphic>
          </wp:inline>
        </w:drawing>
      </w:r>
    </w:p>
    <w:p w:rsidRPr="00F21DD2" w:rsidR="00DA5E73" w:rsidP="3C7D2AFB" w:rsidRDefault="0C1954C3" w14:paraId="57F01F96" w14:textId="4D8318B9">
      <w:pPr>
        <w:spacing w:beforeAutospacing="1" w:after="0" w:line="240" w:lineRule="auto"/>
      </w:pPr>
      <w:r w:rsidRPr="3C7D2AFB" w:rsidR="3C7D2AFB">
        <w:rPr>
          <w:rFonts w:ascii="Calibri" w:hAnsi="Calibri" w:eastAsia="Calibri" w:cs="Calibri"/>
          <w:noProof w:val="0"/>
          <w:sz w:val="22"/>
          <w:szCs w:val="22"/>
          <w:lang w:val="en-US"/>
        </w:rPr>
        <w:t>Despite immediate concerns related to the impact of Brexit on the labour market, the levels of the labour market have continued to progress comparatively harshly since the referendum to leave the EU in 2016. Whilst the growth of employment slowed in mid-2019, the labour market stays tight, and the amount of job vacancies is yet high.</w:t>
      </w:r>
    </w:p>
    <w:p w:rsidRPr="00F21DD2" w:rsidR="00DA5E73" w:rsidP="3C7D2AFB" w:rsidRDefault="0C1954C3" w14:paraId="6CE42437" w14:textId="154F4E90">
      <w:pPr>
        <w:tabs>
          <w:tab w:val="left" w:pos="2112"/>
        </w:tabs>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00F21DD2" w:rsidRDefault="00DA5E73" w14:paraId="23CD0459" w14:textId="60DDB396">
      <w:pPr>
        <w:tabs>
          <w:tab w:val="left" w:pos="2112"/>
        </w:tabs>
        <w:spacing w:beforeAutospacing="1" w:after="0" w:line="240" w:lineRule="auto"/>
        <w:rPr>
          <w:rFonts w:eastAsia="Calibri" w:cstheme="minorHAnsi"/>
          <w:color w:val="000000" w:themeColor="text1"/>
        </w:rPr>
      </w:pPr>
    </w:p>
    <w:p w:rsidRPr="00F21DD2" w:rsidR="00DA5E73" w:rsidP="3C7D2AFB" w:rsidRDefault="0C1954C3" w14:paraId="7321F2E0" w14:textId="385D3A23"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1152716521" w:id="1889835575"/>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Impact on Recruitment</w:t>
      </w:r>
      <w:bookmarkEnd w:id="1889835575"/>
    </w:p>
    <w:p w:rsidRPr="00F21DD2" w:rsidR="00DA5E73" w:rsidP="00F21DD2" w:rsidRDefault="0C1954C3" w14:paraId="3A62E8DC" w14:textId="1DF65C6C">
      <w:pPr>
        <w:tabs>
          <w:tab w:val="left" w:pos="2112"/>
        </w:tabs>
        <w:spacing w:beforeAutospacing="1" w:after="0" w:line="240" w:lineRule="auto"/>
        <w:rPr>
          <w:rFonts w:eastAsia="Calibri" w:cstheme="minorHAnsi"/>
          <w:color w:val="000000" w:themeColor="text1"/>
        </w:rPr>
      </w:pPr>
      <w:r w:rsidR="0C1954C3">
        <w:drawing>
          <wp:inline wp14:editId="3389BCDA" wp14:anchorId="2DF7AD7F">
            <wp:extent cx="3838575" cy="2352675"/>
            <wp:effectExtent l="0" t="0" r="0" b="0"/>
            <wp:docPr id="5" name="Картина 5" title="Inserting image..."/>
            <wp:cNvGraphicFramePr>
              <a:graphicFrameLocks noChangeAspect="1"/>
            </wp:cNvGraphicFramePr>
            <a:graphic>
              <a:graphicData uri="http://schemas.openxmlformats.org/drawingml/2006/picture">
                <pic:pic>
                  <pic:nvPicPr>
                    <pic:cNvPr id="0" name="Картина 5"/>
                    <pic:cNvPicPr/>
                  </pic:nvPicPr>
                  <pic:blipFill>
                    <a:blip r:embed="R0f6aa776db3a47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38575" cy="2352675"/>
                    </a:xfrm>
                    <a:prstGeom prst="rect">
                      <a:avLst/>
                    </a:prstGeom>
                  </pic:spPr>
                </pic:pic>
              </a:graphicData>
            </a:graphic>
          </wp:inline>
        </w:drawing>
      </w:r>
    </w:p>
    <w:p w:rsidR="3C7D2AFB" w:rsidRDefault="3C7D2AFB" w14:paraId="02FB3A58" w14:textId="11FEA744">
      <w:r w:rsidRPr="3C7D2AFB" w:rsidR="3C7D2AFB">
        <w:rPr>
          <w:rFonts w:ascii="Calibri" w:hAnsi="Calibri" w:eastAsia="Calibri" w:cs="Calibri"/>
          <w:noProof w:val="0"/>
          <w:sz w:val="22"/>
          <w:szCs w:val="22"/>
          <w:lang w:val="en-US"/>
        </w:rPr>
        <w:t xml:space="preserve">Consequently, the organisational share reporting the complexities in recruitment has significantly increased for numerous employers. This is partial as the increase in the degree of citizens of the EU that have come to England for job purposes has not really risen in line with the actual growth of employment in current years. </w:t>
      </w:r>
    </w:p>
    <w:p w:rsidR="3C7D2AFB" w:rsidRDefault="3C7D2AFB" w14:paraId="39208664" w14:textId="3307B318">
      <w:r w:rsidRPr="3C7D2AFB" w:rsidR="3C7D2AFB">
        <w:rPr>
          <w:rFonts w:ascii="Calibri" w:hAnsi="Calibri" w:eastAsia="Calibri" w:cs="Calibri"/>
          <w:noProof w:val="0"/>
          <w:sz w:val="22"/>
          <w:szCs w:val="22"/>
          <w:lang w:val="en-US"/>
        </w:rPr>
        <w:t>As per the report of "Labour Market Outlook," the share of the reporting of an organisation of the labour market raised from 57% in 2017 to 62% in 2019. In response, many firms are increasing their wages, specifically for fresh beginners and core employees. As per the report of LMO in 2009, 58% of employers in the private sector reported increasing their wages to aid offset the complexities of recruitment (Ridgway, 2019). Hence, the tight labour market was putting more force on the salaries of numerous labourers. This is curious why investment related to employment in skills has really continued to reduce over a certain period.</w:t>
      </w:r>
    </w:p>
    <w:p w:rsidR="3C7D2AFB" w:rsidP="3C7D2AFB" w:rsidRDefault="3C7D2AFB" w14:paraId="50E1FC50" w14:textId="06819488">
      <w:pPr>
        <w:pStyle w:val="a"/>
        <w:tabs>
          <w:tab w:val="left" w:leader="none" w:pos="2232"/>
        </w:tabs>
        <w:spacing w:beforeAutospacing="on" w:after="0" w:line="240" w:lineRule="auto"/>
        <w:rPr>
          <w:rFonts w:eastAsia="Calibri" w:cs="Calibri" w:cstheme="minorAscii"/>
          <w:color w:val="000000" w:themeColor="text1" w:themeTint="FF" w:themeShade="FF"/>
        </w:rPr>
      </w:pPr>
    </w:p>
    <w:p w:rsidRPr="00F21DD2" w:rsidR="00DA5E73" w:rsidP="00F21DD2" w:rsidRDefault="00DA5E73" w14:paraId="1540B3F2" w14:textId="4ED5062D">
      <w:pPr>
        <w:tabs>
          <w:tab w:val="left" w:pos="2232"/>
        </w:tabs>
        <w:spacing w:beforeAutospacing="1" w:after="0" w:line="240" w:lineRule="auto"/>
        <w:rPr>
          <w:rFonts w:eastAsia="Calibri" w:cstheme="minorHAnsi"/>
          <w:color w:val="000000" w:themeColor="text1"/>
        </w:rPr>
      </w:pPr>
    </w:p>
    <w:p w:rsidRPr="00F21DD2" w:rsidR="00DA5E73" w:rsidP="3C7D2AFB" w:rsidRDefault="0C1954C3" w14:paraId="3AD917E0" w14:textId="22AA7055"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2098064530" w:id="1686129362"/>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Using EU Migrant Labours</w:t>
      </w:r>
      <w:bookmarkEnd w:id="1686129362"/>
    </w:p>
    <w:p w:rsidRPr="00F21DD2" w:rsidR="00DA5E73" w:rsidP="3C7D2AFB" w:rsidRDefault="0C1954C3" w14:paraId="636EAF33" w14:textId="57BFF82A">
      <w:pPr>
        <w:pStyle w:val="a"/>
      </w:pPr>
    </w:p>
    <w:p w:rsidRPr="00F21DD2" w:rsidR="00DA5E73" w:rsidP="3C7D2AFB" w:rsidRDefault="0C1954C3" w14:paraId="6FF4E737" w14:textId="5C0DC204">
      <w:pPr>
        <w:spacing w:beforeAutospacing="1" w:after="0" w:line="240" w:lineRule="auto"/>
      </w:pPr>
      <w:r w:rsidRPr="3C7D2AFB" w:rsidR="3C7D2AFB">
        <w:rPr>
          <w:rFonts w:ascii="Calibri" w:hAnsi="Calibri" w:eastAsia="Calibri" w:cs="Calibri"/>
          <w:noProof w:val="0"/>
          <w:sz w:val="22"/>
          <w:szCs w:val="22"/>
          <w:lang w:val="en-US"/>
        </w:rPr>
        <w:t xml:space="preserve">Offered the reducing supplying of labour and skills, Brexit has not really reduced the interest of employers in employing the labours of the EU. At the start of 2018, a few 2/3rd of companies stated that they would continue to operate the nationals of the EU. The universal reason offered by managers as to why they use labourers from the EU is that they do not think of nationality during hiring but simply decide on the suitable labour for the position job (Portes, 2022). For unskilled or semi-skilled roles, the core reason offered was that managers might not find local candidates to fill those particular vacancies. </w:t>
      </w:r>
    </w:p>
    <w:p w:rsidRPr="00F21DD2" w:rsidR="00DA5E73" w:rsidP="3C7D2AFB" w:rsidRDefault="0C1954C3" w14:paraId="02C366AA" w14:textId="0778D19D">
      <w:pPr>
        <w:spacing w:beforeAutospacing="1" w:after="0" w:line="240" w:lineRule="auto"/>
      </w:pPr>
      <w:r w:rsidRPr="3C7D2AFB" w:rsidR="3C7D2AFB">
        <w:rPr>
          <w:rFonts w:ascii="Calibri" w:hAnsi="Calibri" w:eastAsia="Calibri" w:cs="Calibri"/>
          <w:noProof w:val="0"/>
          <w:sz w:val="22"/>
          <w:szCs w:val="22"/>
          <w:lang w:val="en-US"/>
        </w:rPr>
        <w:t>Ahead of the initiation of new restrictions on migrations in 2021, managers will require to make sure that they have made the essential preparations to guarantee that they continue to have availability to the core skills that their company demands.</w:t>
      </w:r>
    </w:p>
    <w:p w:rsidRPr="00F21DD2" w:rsidR="00DA5E73" w:rsidP="3C7D2AFB" w:rsidRDefault="0C1954C3" w14:paraId="7F69B681" w14:textId="64EC1912">
      <w:pPr>
        <w:tabs>
          <w:tab w:val="left" w:pos="2232"/>
        </w:tabs>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00F21DD2" w:rsidRDefault="00DA5E73" w14:paraId="1AAB9190" w14:textId="08A27519">
      <w:pPr>
        <w:tabs>
          <w:tab w:val="left" w:pos="2232"/>
        </w:tabs>
        <w:spacing w:beforeAutospacing="1" w:after="0" w:line="240" w:lineRule="auto"/>
        <w:rPr>
          <w:rFonts w:eastAsia="Calibri" w:cstheme="minorHAnsi"/>
          <w:color w:val="000000" w:themeColor="text1"/>
        </w:rPr>
      </w:pPr>
    </w:p>
    <w:p w:rsidRPr="00F21DD2" w:rsidR="00DA5E73" w:rsidP="3C7D2AFB" w:rsidRDefault="0C1954C3" w14:paraId="7AB815BA" w14:textId="38E03566"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2051972295" w:id="329891099"/>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Addressing Difficulties related to Recruitment</w:t>
      </w:r>
      <w:bookmarkEnd w:id="329891099"/>
    </w:p>
    <w:p w:rsidR="3C7D2AFB" w:rsidP="3C7D2AFB" w:rsidRDefault="3C7D2AFB" w14:paraId="2C0F3CEC" w14:textId="4793DF1D">
      <w:pPr>
        <w:pStyle w:val="a"/>
      </w:pPr>
    </w:p>
    <w:p w:rsidR="3C7D2AFB" w:rsidRDefault="3C7D2AFB" w14:paraId="6D71D13B" w14:textId="2E997608">
      <w:r w:rsidRPr="3C7D2AFB" w:rsidR="3C7D2AFB">
        <w:rPr>
          <w:rFonts w:ascii="Calibri" w:hAnsi="Calibri" w:eastAsia="Calibri" w:cs="Calibri"/>
          <w:noProof w:val="0"/>
          <w:sz w:val="22"/>
          <w:szCs w:val="22"/>
          <w:lang w:val="en-US"/>
        </w:rPr>
        <w:t>Additionally to increasing wages to retain labour, managers can initiate extra inclusive recruitment practices and construct their labour offer by enhancing their business or non-financial advantages. These will not just address complexities related to hiring for a more extended period but also make their firm extra attractive as a manager for a more extended period. Similarly, gauges, for example, the stipulation of straightforward and flexible development of career, will aid companies in both retaining and recruiting the skills and labour they require.</w:t>
      </w:r>
    </w:p>
    <w:p w:rsidR="3C7D2AFB" w:rsidP="3C7D2AFB" w:rsidRDefault="3C7D2AFB" w14:paraId="642CD2FF" w14:textId="3D0D95D0">
      <w:pPr>
        <w:pStyle w:val="a"/>
        <w:tabs>
          <w:tab w:val="left" w:leader="none" w:pos="2232"/>
        </w:tabs>
        <w:spacing w:beforeAutospacing="on" w:after="0" w:line="240" w:lineRule="auto"/>
        <w:rPr>
          <w:rFonts w:eastAsia="Calibri" w:cs="Calibri" w:cstheme="minorAscii"/>
          <w:color w:val="000000" w:themeColor="text1" w:themeTint="FF" w:themeShade="FF"/>
        </w:rPr>
      </w:pPr>
    </w:p>
    <w:p w:rsidRPr="00F21DD2" w:rsidR="00DA5E73" w:rsidP="3C7D2AFB" w:rsidRDefault="0C1954C3" w14:paraId="01E97289" w14:textId="460E5A43"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2133473837" w:id="1787242252"/>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Labour Development and Planning</w:t>
      </w:r>
      <w:bookmarkEnd w:id="1787242252"/>
    </w:p>
    <w:p w:rsidRPr="00F21DD2" w:rsidR="00DA5E73" w:rsidP="00F21DD2" w:rsidRDefault="0C1954C3" w14:paraId="618DC3C3" w14:textId="4F5A4841">
      <w:pPr>
        <w:tabs>
          <w:tab w:val="left" w:pos="2232"/>
        </w:tabs>
        <w:spacing w:beforeAutospacing="1" w:after="0" w:line="240" w:lineRule="auto"/>
        <w:rPr>
          <w:rFonts w:eastAsia="Calibri" w:cstheme="minorHAnsi"/>
          <w:color w:val="000000" w:themeColor="text1"/>
        </w:rPr>
      </w:pPr>
      <w:r w:rsidRPr="00F21DD2">
        <w:rPr>
          <w:rFonts w:cstheme="minorHAnsi"/>
          <w:noProof/>
          <w:lang w:val="en-GB" w:eastAsia="en-GB"/>
        </w:rPr>
        <w:drawing>
          <wp:inline distT="0" distB="0" distL="0" distR="0" wp14:anchorId="3E18B903" wp14:editId="76F5CAC1">
            <wp:extent cx="4105275" cy="2105025"/>
            <wp:effectExtent l="0" t="0" r="0" b="0"/>
            <wp:docPr id="6" name="Картина 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105275" cy="2105025"/>
                    </a:xfrm>
                    <a:prstGeom prst="rect">
                      <a:avLst/>
                    </a:prstGeom>
                  </pic:spPr>
                </pic:pic>
              </a:graphicData>
            </a:graphic>
          </wp:inline>
        </w:drawing>
      </w:r>
    </w:p>
    <w:p w:rsidRPr="00F21DD2" w:rsidR="00DA5E73" w:rsidP="00F21DD2" w:rsidRDefault="00DA5E73" w14:paraId="599CFF90" w14:textId="77F7E0AE">
      <w:pPr>
        <w:spacing w:beforeAutospacing="1" w:after="0" w:line="240" w:lineRule="auto"/>
        <w:rPr>
          <w:rFonts w:eastAsia="Calibri" w:cstheme="minorHAnsi"/>
          <w:color w:val="000000" w:themeColor="text1"/>
        </w:rPr>
      </w:pPr>
    </w:p>
    <w:p w:rsidR="3C7D2AFB" w:rsidRDefault="3C7D2AFB" w14:paraId="089B1937" w14:textId="31D5C124">
      <w:r w:rsidRPr="3C7D2AFB" w:rsidR="3C7D2AFB">
        <w:rPr>
          <w:rFonts w:ascii="Calibri" w:hAnsi="Calibri" w:eastAsia="Calibri" w:cs="Calibri"/>
          <w:noProof w:val="0"/>
          <w:sz w:val="22"/>
          <w:szCs w:val="22"/>
          <w:lang w:val="en-US"/>
        </w:rPr>
        <w:t xml:space="preserve">The need for accessible labour and skills, potentially aggravated by more reductions after Brexit once free movement comes to a conclusion, means labour development and planning must become necessary. To be competent to reply in an offered time, managers must assign the finest urgency to commence strategic planning of the workforce that will aid recognise the knowledge and skills needed in the future and present. As a result, this will help narrow down the concentration of the required development and learning. Statistics from the start of 2018 displayed that whilst 71% of managers have a devoted budget for training, growth in this particular area was somewhat slow. Around 57% stated that leaving the European Union did not affect their skills and training development investment, whilst 23% said that it had really caused them to decrease it (Javorcik et al., 2020). This shows that few managers are actually dialling back on training and development; at the time, they must be investing considerably to lessen against the actual hazard of the present scarcity of skills in the labour market, which is worsening post-Brexit. </w:t>
      </w:r>
    </w:p>
    <w:p w:rsidR="3C7D2AFB" w:rsidRDefault="3C7D2AFB" w14:paraId="7575D88D" w14:textId="78C7FC8F">
      <w:r w:rsidRPr="3C7D2AFB" w:rsidR="3C7D2AFB">
        <w:rPr>
          <w:rFonts w:ascii="Calibri" w:hAnsi="Calibri" w:eastAsia="Calibri" w:cs="Calibri"/>
          <w:noProof w:val="0"/>
          <w:sz w:val="22"/>
          <w:szCs w:val="22"/>
          <w:lang w:val="en-US"/>
        </w:rPr>
        <w:t>Fascinatingly, firms involving nations of the EU were vitally more likely than managers that do not recruit nationals of the EU to invest in development and aim to recruit from a wider variety of disadvantaged or under-represented groups, for example, aged labours or those from minority cultural backgrounds. This indeed signifies that firms that involve migrants of the EU were generally doing so as a part of broader attempts to look for labours they need and to construct skills of labours, not because the firms were not competent to invest in labours born in the UK or thinking to reduce expenses.</w:t>
      </w:r>
    </w:p>
    <w:p w:rsidR="3C7D2AFB" w:rsidP="3C7D2AFB" w:rsidRDefault="3C7D2AFB" w14:paraId="19F3BA15" w14:textId="766B55AA">
      <w:pPr>
        <w:pStyle w:val="a"/>
        <w:tabs>
          <w:tab w:val="left" w:leader="none" w:pos="6264"/>
        </w:tabs>
        <w:spacing w:beforeAutospacing="on" w:after="0" w:line="240" w:lineRule="auto"/>
        <w:rPr>
          <w:rFonts w:eastAsia="Calibri" w:cs="Calibri" w:cstheme="minorAscii"/>
          <w:color w:val="000000" w:themeColor="text1" w:themeTint="FF" w:themeShade="FF"/>
        </w:rPr>
      </w:pPr>
    </w:p>
    <w:p w:rsidRPr="00F21DD2" w:rsidR="00DA5E73" w:rsidP="00F21DD2" w:rsidRDefault="00DA5E73" w14:paraId="5FDF56CC" w14:textId="23BF0CA2">
      <w:pPr>
        <w:tabs>
          <w:tab w:val="left" w:pos="6264"/>
        </w:tabs>
        <w:spacing w:beforeAutospacing="1" w:after="0" w:line="240" w:lineRule="auto"/>
        <w:rPr>
          <w:rFonts w:eastAsia="Calibri" w:cstheme="minorHAnsi"/>
          <w:color w:val="000000" w:themeColor="text1"/>
        </w:rPr>
      </w:pPr>
    </w:p>
    <w:p w:rsidRPr="00F21DD2" w:rsidR="00DA5E73" w:rsidP="3C7D2AFB" w:rsidRDefault="0C1954C3" w14:paraId="36916C4C" w14:textId="261429E9"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367415553" w:id="1604607297"/>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“How Resourcing in an Organisation is Impacted after Covid and Brexit”</w:t>
      </w:r>
      <w:bookmarkEnd w:id="1604607297"/>
    </w:p>
    <w:p w:rsidR="3C7D2AFB" w:rsidP="3C7D2AFB" w:rsidRDefault="3C7D2AFB" w14:paraId="7BAD1ECC" w14:textId="41BB074E">
      <w:pPr>
        <w:pStyle w:val="a"/>
      </w:pPr>
    </w:p>
    <w:p w:rsidR="3C7D2AFB" w:rsidRDefault="3C7D2AFB" w14:paraId="14E6F41A" w14:textId="7F4721A0">
      <w:r w:rsidRPr="3C7D2AFB" w:rsidR="3C7D2AFB">
        <w:rPr>
          <w:rFonts w:ascii="Calibri" w:hAnsi="Calibri" w:eastAsia="Calibri" w:cs="Calibri"/>
          <w:noProof w:val="0"/>
          <w:sz w:val="22"/>
          <w:szCs w:val="22"/>
          <w:lang w:val="en-US"/>
        </w:rPr>
        <w:t>The world's response to Covid-19 has really resulted in the quickest healthcare sector transformation. Working remotely or from home has become a new norm, and we all have gone from digitising the relations between patients and hospitals to the connections between caretakers and managers. We have constantly been catapulting forward, quick-progressing trends, for example, innovation, digitalisation, and automation (Demena et al., 2022). Hospitals are now at a crossroads: those who capitalise on the opportunities post-covid will find themselves in the most satisfactory position to recruit their labour and magnetise labour when the condition stabilises. In comparison, those caretakers who fail to alter will indeed be left behind, exposing their HR to enhanced hazards related to downturns, dealing with layoffs, and financial distress.</w:t>
      </w:r>
    </w:p>
    <w:p w:rsidR="3C7D2AFB" w:rsidP="3C7D2AFB" w:rsidRDefault="3C7D2AFB" w14:paraId="4AC4C63A" w14:textId="2FD3DBC7">
      <w:pPr>
        <w:pStyle w:val="a"/>
        <w:spacing w:beforeAutospacing="on" w:after="0" w:line="240" w:lineRule="auto"/>
        <w:rPr>
          <w:rFonts w:eastAsia="Calibri" w:cs="Calibri" w:cstheme="minorAscii"/>
          <w:color w:val="000000" w:themeColor="text1" w:themeTint="FF" w:themeShade="FF"/>
        </w:rPr>
      </w:pPr>
    </w:p>
    <w:p w:rsidRPr="00F21DD2" w:rsidR="00DA5E73" w:rsidP="3C7D2AFB" w:rsidRDefault="0C1954C3" w14:paraId="2060D582" w14:textId="625B06C2"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1400409394" w:id="750269761"/>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Working in a more Agile Manner</w:t>
      </w:r>
      <w:bookmarkEnd w:id="750269761"/>
    </w:p>
    <w:p w:rsidRPr="00F21DD2" w:rsidR="00DA5E73" w:rsidP="3C7D2AFB" w:rsidRDefault="0C1954C3" w14:paraId="1DAE3862" w14:textId="431A0DB9">
      <w:pPr>
        <w:pStyle w:val="a"/>
      </w:pPr>
    </w:p>
    <w:p w:rsidRPr="00F21DD2" w:rsidR="00DA5E73" w:rsidP="00F21DD2" w:rsidRDefault="0C1954C3" w14:paraId="33F87AB4" w14:textId="0C79F6A5">
      <w:pPr>
        <w:spacing w:beforeAutospacing="1" w:after="0" w:line="240" w:lineRule="auto"/>
      </w:pPr>
      <w:r w:rsidRPr="3C7D2AFB" w:rsidR="3C7D2AFB">
        <w:rPr>
          <w:rFonts w:ascii="Calibri" w:hAnsi="Calibri" w:eastAsia="Calibri" w:cs="Calibri"/>
          <w:noProof w:val="0"/>
          <w:sz w:val="22"/>
          <w:szCs w:val="22"/>
          <w:lang w:val="en-US"/>
        </w:rPr>
        <w:t>For HR, this is unparalleled to have a vast group of labour globally begin to work from home at once. The extended occasions have shown how quickly healthcare sectors can adapt, though, and have displayed that they can rush and perform more agilely than one has considered. HR in hospitals now have been gifted with an enhanced notion of what cannot and can be performed outside their hospitals' classical procedures. The coronavirus is pressurising both the scale and the pace of innovation in the workplace. Numerous HRs are now looking for less costly, faster, and simpler means to function.</w:t>
      </w:r>
    </w:p>
    <w:p w:rsidRPr="00F21DD2" w:rsidR="00DA5E73" w:rsidP="3C7D2AFB" w:rsidRDefault="0C1954C3" w14:paraId="7EF4235F" w14:textId="3FD47D2D">
      <w:pPr>
        <w:spacing w:beforeAutospacing="on" w:after="0" w:line="240" w:lineRule="auto"/>
        <w:rPr>
          <w:rFonts w:eastAsia="Calibri" w:cs="Calibri" w:cstheme="minorAscii"/>
          <w:color w:val="000000" w:themeColor="text1"/>
        </w:rPr>
      </w:pPr>
      <w:r w:rsidRPr="3C7D2AFB" w:rsidR="0C1954C3">
        <w:rPr>
          <w:rFonts w:eastAsia="Calibri" w:cs="Calibri" w:cstheme="minorAscii"/>
          <w:color w:val="000000" w:themeColor="text1" w:themeTint="FF" w:themeShade="FF"/>
        </w:rPr>
        <w:t xml:space="preserve"> </w:t>
      </w:r>
    </w:p>
    <w:p w:rsidRPr="00F21DD2" w:rsidR="00DA5E73" w:rsidP="3C7D2AFB" w:rsidRDefault="0C1954C3" w14:paraId="19103030" w14:textId="591F3BE2"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1527160905" w:id="1170779749"/>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Altering Management and Leadership Capabilities</w:t>
      </w:r>
      <w:bookmarkEnd w:id="1170779749"/>
    </w:p>
    <w:p w:rsidR="3C7D2AFB" w:rsidP="3C7D2AFB" w:rsidRDefault="3C7D2AFB" w14:paraId="2819A371" w14:textId="7A2CFDA8">
      <w:pPr>
        <w:pStyle w:val="a"/>
      </w:pPr>
    </w:p>
    <w:p w:rsidR="3C7D2AFB" w:rsidRDefault="3C7D2AFB" w14:paraId="6452EA92" w14:textId="6CE1DAA2">
      <w:r w:rsidRPr="3C7D2AFB" w:rsidR="3C7D2AFB">
        <w:rPr>
          <w:rFonts w:ascii="Calibri" w:hAnsi="Calibri" w:eastAsia="Calibri" w:cs="Calibri"/>
          <w:noProof w:val="0"/>
          <w:sz w:val="22"/>
          <w:szCs w:val="22"/>
          <w:lang w:val="en-US"/>
        </w:rPr>
        <w:t xml:space="preserve">(Crowley et al., 2021) stated that the crisis of Covid-19 has seen severe shockwaves via economies and labours, but possibly its most pleasing effect has been the humans themselves, namely uncertainty and fear. A core part of this has been the factuality HR has a new routine, one in which everybody can rapidly come to the hospital to work. There is no proof that HR is dealing with business owners on a global level, modifying tactics to sustain. In tandem with sharpening digital skills and an enhanced structure, it is essential for HR that they make their labours and employees concentrate on empathy as disruption and transformation become the new norm. </w:t>
      </w:r>
    </w:p>
    <w:p w:rsidR="3C7D2AFB" w:rsidRDefault="3C7D2AFB" w14:paraId="649BB233" w14:textId="537ED7D6">
      <w:r w:rsidRPr="3C7D2AFB" w:rsidR="3C7D2AFB">
        <w:rPr>
          <w:rFonts w:ascii="Calibri" w:hAnsi="Calibri" w:eastAsia="Calibri" w:cs="Calibri"/>
          <w:noProof w:val="0"/>
          <w:sz w:val="22"/>
          <w:szCs w:val="22"/>
          <w:lang w:val="en-US"/>
        </w:rPr>
        <w:t>There are numerous instances of "might" and "could" when this comes to highlighting the Brexit's impact on HR over the future years. Still, HR managers understand that Brexit is far more than just a political alteration (Fana et al., 2020). The exit of the UK from the EU will have a substantial effect on the future planning of organisations. HR leaders must already plan, scope, and examine Brexit's procedures and processes that could eventually impact.</w:t>
      </w:r>
    </w:p>
    <w:p w:rsidR="3C7D2AFB" w:rsidP="3C7D2AFB" w:rsidRDefault="3C7D2AFB" w14:paraId="05B67B3C" w14:textId="556CFA8D">
      <w:pPr>
        <w:pStyle w:val="a"/>
        <w:tabs>
          <w:tab w:val="right" w:leader="none" w:pos="9360"/>
        </w:tabs>
        <w:spacing w:beforeAutospacing="on" w:after="0" w:line="240" w:lineRule="auto"/>
        <w:rPr>
          <w:rFonts w:eastAsia="Calibri" w:cs="Calibri" w:cstheme="minorAscii"/>
          <w:color w:val="000000" w:themeColor="text1" w:themeTint="FF" w:themeShade="FF"/>
        </w:rPr>
      </w:pPr>
    </w:p>
    <w:p w:rsidRPr="00F21DD2" w:rsidR="00DA5E73" w:rsidP="00F21DD2" w:rsidRDefault="0C1954C3" w14:paraId="7CDFB14C" w14:textId="5458E231">
      <w:pPr>
        <w:tabs>
          <w:tab w:val="right" w:pos="9360"/>
        </w:tabs>
        <w:spacing w:beforeAutospacing="1" w:after="0" w:line="240" w:lineRule="auto"/>
        <w:rPr>
          <w:rFonts w:eastAsia="Calibri" w:cstheme="minorHAnsi"/>
          <w:color w:val="000000" w:themeColor="text1"/>
        </w:rPr>
      </w:pPr>
      <w:r w:rsidRPr="3C7D2AFB" w:rsidR="0C1954C3">
        <w:rPr>
          <w:rFonts w:eastAsia="Calibri" w:cs="Calibri" w:cstheme="minorAscii"/>
          <w:i w:val="1"/>
          <w:iCs w:val="1"/>
          <w:color w:val="000000" w:themeColor="text1" w:themeTint="FF" w:themeShade="FF"/>
        </w:rPr>
        <w:t xml:space="preserve">Impact of Brexit on HR Strategies </w:t>
      </w:r>
    </w:p>
    <w:p w:rsidR="3C7D2AFB" w:rsidP="3C7D2AFB" w:rsidRDefault="3C7D2AFB" w14:paraId="6635CAC0" w14:textId="469CCE0D">
      <w:pPr>
        <w:pStyle w:val="a"/>
        <w:tabs>
          <w:tab w:val="right" w:leader="none" w:pos="9360"/>
        </w:tabs>
        <w:spacing w:beforeAutospacing="on" w:after="0" w:line="240" w:lineRule="auto"/>
        <w:rPr>
          <w:rFonts w:eastAsia="Calibri" w:cs="Calibri" w:cstheme="minorAscii"/>
          <w:i w:val="1"/>
          <w:iCs w:val="1"/>
          <w:color w:val="000000" w:themeColor="text1" w:themeTint="FF" w:themeShade="FF"/>
        </w:rPr>
      </w:pPr>
    </w:p>
    <w:p w:rsidR="3C7D2AFB" w:rsidRDefault="3C7D2AFB" w14:paraId="75D397CC" w14:textId="3A1780B4">
      <w:r w:rsidRPr="3C7D2AFB" w:rsidR="3C7D2AFB">
        <w:rPr>
          <w:rFonts w:ascii="Calibri" w:hAnsi="Calibri" w:eastAsia="Calibri" w:cs="Calibri"/>
          <w:noProof w:val="0"/>
          <w:sz w:val="22"/>
          <w:szCs w:val="22"/>
          <w:lang w:val="en-US"/>
        </w:rPr>
        <w:t>Acknowledging how to plan and assess Brexit's impact on HR and broader business planning of organisation needs recognition of how Britain's EU membership affects the strategies of HR in the first place. Brexit has impacted plans of HR and beyond within the companies vitally in 2 significant areas:</w:t>
      </w:r>
    </w:p>
    <w:p w:rsidR="3C7D2AFB" w:rsidP="3C7D2AFB" w:rsidRDefault="3C7D2AFB" w14:paraId="7F8F54AC" w14:textId="01B92006">
      <w:pPr>
        <w:pStyle w:val="a"/>
        <w:tabs>
          <w:tab w:val="right" w:leader="none" w:pos="9360"/>
        </w:tabs>
        <w:spacing w:beforeAutospacing="on" w:after="0" w:line="240" w:lineRule="auto"/>
        <w:rPr>
          <w:rFonts w:eastAsia="Calibri" w:cs="Calibri" w:cstheme="minorAscii"/>
          <w:color w:val="000000" w:themeColor="text1" w:themeTint="FF" w:themeShade="FF"/>
        </w:rPr>
      </w:pPr>
    </w:p>
    <w:p w:rsidRPr="00F21DD2" w:rsidR="00DA5E73" w:rsidP="3C7D2AFB" w:rsidRDefault="0C1954C3" w14:paraId="3789ABB4" w14:textId="650298F0" w14:noSpellErr="1">
      <w:pPr>
        <w:pStyle w:val="3"/>
        <w:tabs>
          <w:tab w:val="right" w:pos="9360"/>
        </w:tabs>
        <w:spacing w:beforeAutospacing="on" w:line="240" w:lineRule="auto"/>
        <w:rPr>
          <w:rFonts w:ascii="Calibri" w:hAnsi="Calibri" w:eastAsia="Calibri" w:cs="Calibri" w:asciiTheme="minorAscii" w:hAnsiTheme="minorAscii" w:cstheme="minorAscii"/>
          <w:color w:val="000000" w:themeColor="text1"/>
          <w:sz w:val="22"/>
          <w:szCs w:val="22"/>
        </w:rPr>
      </w:pPr>
      <w:bookmarkStart w:name="_Toc224494888" w:id="1901043315"/>
      <w:r w:rsidRPr="3C7D2AFB" w:rsidR="0C1954C3">
        <w:rPr>
          <w:rFonts w:ascii="Calibri" w:hAnsi="Calibri" w:eastAsia="Calibri" w:cs="Calibri" w:asciiTheme="minorAscii" w:hAnsiTheme="minorAscii" w:cstheme="minorAscii"/>
          <w:color w:val="000000" w:themeColor="text1" w:themeTint="FF" w:themeShade="FF"/>
          <w:sz w:val="22"/>
          <w:szCs w:val="22"/>
        </w:rPr>
        <w:t>Market Strength</w:t>
      </w:r>
      <w:bookmarkEnd w:id="1901043315"/>
    </w:p>
    <w:p w:rsidR="3C7D2AFB" w:rsidP="3C7D2AFB" w:rsidRDefault="3C7D2AFB" w14:paraId="115215A7" w14:textId="417D731B">
      <w:pPr>
        <w:pStyle w:val="a"/>
        <w:tabs>
          <w:tab w:val="right" w:leader="none" w:pos="9360"/>
        </w:tabs>
      </w:pPr>
    </w:p>
    <w:p w:rsidR="3C7D2AFB" w:rsidRDefault="3C7D2AFB" w14:paraId="2C7E1B76" w14:textId="2A2D3132">
      <w:r w:rsidRPr="3C7D2AFB" w:rsidR="3C7D2AFB">
        <w:rPr>
          <w:rFonts w:ascii="Calibri" w:hAnsi="Calibri" w:eastAsia="Calibri" w:cs="Calibri"/>
          <w:noProof w:val="0"/>
          <w:sz w:val="22"/>
          <w:szCs w:val="22"/>
          <w:lang w:val="en-US"/>
        </w:rPr>
        <w:t>Free talent's movement crossways borders from a vital location positions Britain as an exciting base for labour availability</w:t>
      </w:r>
    </w:p>
    <w:p w:rsidR="3C7D2AFB" w:rsidP="3C7D2AFB" w:rsidRDefault="3C7D2AFB" w14:paraId="0D9BE0DA" w14:textId="56FFBDF6">
      <w:pPr>
        <w:pStyle w:val="a"/>
        <w:tabs>
          <w:tab w:val="right" w:leader="none" w:pos="9360"/>
        </w:tabs>
        <w:spacing w:beforeAutospacing="on" w:after="0" w:line="240" w:lineRule="auto"/>
        <w:rPr>
          <w:rFonts w:eastAsia="Calibri" w:cs="Calibri" w:cstheme="minorAscii"/>
          <w:color w:val="000000" w:themeColor="text1" w:themeTint="FF" w:themeShade="FF"/>
        </w:rPr>
      </w:pPr>
    </w:p>
    <w:p w:rsidRPr="00F21DD2" w:rsidR="00DA5E73" w:rsidP="3C7D2AFB" w:rsidRDefault="0C1954C3" w14:paraId="055432AD" w14:textId="7EBBEBBD" w14:noSpellErr="1">
      <w:pPr>
        <w:pStyle w:val="3"/>
        <w:tabs>
          <w:tab w:val="right" w:pos="9360"/>
        </w:tabs>
        <w:spacing w:beforeAutospacing="on" w:line="240" w:lineRule="auto"/>
        <w:rPr>
          <w:rFonts w:ascii="Calibri" w:hAnsi="Calibri" w:eastAsia="Calibri" w:cs="Calibri" w:asciiTheme="minorAscii" w:hAnsiTheme="minorAscii" w:cstheme="minorAscii"/>
          <w:color w:val="000000" w:themeColor="text1"/>
          <w:sz w:val="22"/>
          <w:szCs w:val="22"/>
        </w:rPr>
      </w:pPr>
      <w:bookmarkStart w:name="_Toc1130435711" w:id="1439018026"/>
      <w:r w:rsidRPr="3C7D2AFB" w:rsidR="0C1954C3">
        <w:rPr>
          <w:rFonts w:ascii="Calibri" w:hAnsi="Calibri" w:eastAsia="Calibri" w:cs="Calibri" w:asciiTheme="minorAscii" w:hAnsiTheme="minorAscii" w:cstheme="minorAscii"/>
          <w:color w:val="000000" w:themeColor="text1" w:themeTint="FF" w:themeShade="FF"/>
          <w:sz w:val="22"/>
          <w:szCs w:val="22"/>
        </w:rPr>
        <w:t>Free Labour Movement</w:t>
      </w:r>
      <w:bookmarkEnd w:id="1439018026"/>
    </w:p>
    <w:p w:rsidR="3C7D2AFB" w:rsidP="3C7D2AFB" w:rsidRDefault="3C7D2AFB" w14:paraId="5A15ED12" w14:textId="776D86D8">
      <w:pPr>
        <w:pStyle w:val="a"/>
        <w:tabs>
          <w:tab w:val="right" w:leader="none" w:pos="9360"/>
        </w:tabs>
      </w:pPr>
    </w:p>
    <w:p w:rsidR="3C7D2AFB" w:rsidRDefault="3C7D2AFB" w14:paraId="4DDEDB69" w14:textId="521ED440">
      <w:r w:rsidRPr="3C7D2AFB" w:rsidR="3C7D2AFB">
        <w:rPr>
          <w:rFonts w:ascii="Calibri" w:hAnsi="Calibri" w:eastAsia="Calibri" w:cs="Calibri"/>
          <w:noProof w:val="0"/>
          <w:sz w:val="22"/>
          <w:szCs w:val="22"/>
          <w:lang w:val="en-US"/>
        </w:rPr>
        <w:t>The labour market of the UK could endorse the transition of unskilled and skilled labours among states, offering them availability to a pool of professional labour from different forms.</w:t>
      </w:r>
    </w:p>
    <w:p w:rsidR="3C7D2AFB" w:rsidP="3C7D2AFB" w:rsidRDefault="3C7D2AFB" w14:paraId="7393CE76" w14:textId="33831F25">
      <w:pPr>
        <w:pStyle w:val="a"/>
        <w:tabs>
          <w:tab w:val="right" w:leader="none" w:pos="9360"/>
        </w:tabs>
        <w:spacing w:beforeAutospacing="on" w:after="0" w:line="240" w:lineRule="auto"/>
        <w:rPr>
          <w:rFonts w:eastAsia="Calibri" w:cs="Calibri" w:cstheme="minorAscii"/>
          <w:color w:val="000000" w:themeColor="text1" w:themeTint="FF" w:themeShade="FF"/>
        </w:rPr>
      </w:pPr>
    </w:p>
    <w:p w:rsidRPr="00F21DD2" w:rsidR="00DA5E73" w:rsidP="00F21DD2" w:rsidRDefault="00DA5E73" w14:paraId="06DA665B" w14:textId="499E2813">
      <w:pPr>
        <w:tabs>
          <w:tab w:val="right" w:pos="9360"/>
        </w:tabs>
        <w:spacing w:beforeAutospacing="1" w:after="0" w:line="240" w:lineRule="auto"/>
        <w:rPr>
          <w:rFonts w:eastAsia="Calibri" w:cstheme="minorHAnsi"/>
          <w:color w:val="000000" w:themeColor="text1"/>
        </w:rPr>
      </w:pPr>
    </w:p>
    <w:p w:rsidRPr="00F21DD2" w:rsidR="00DA5E73" w:rsidP="3C7D2AFB" w:rsidRDefault="0C1954C3" w14:paraId="3F21EB83" w14:textId="590509DE"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1672003989" w:id="1829629366"/>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“Changes needed in the human resourcing strategies in the current scenario”</w:t>
      </w:r>
      <w:bookmarkEnd w:id="1829629366"/>
    </w:p>
    <w:p w:rsidR="3C7D2AFB" w:rsidP="3C7D2AFB" w:rsidRDefault="3C7D2AFB" w14:paraId="19B543AE" w14:textId="61E51F76">
      <w:pPr>
        <w:pStyle w:val="a"/>
      </w:pPr>
    </w:p>
    <w:p w:rsidR="3C7D2AFB" w:rsidRDefault="3C7D2AFB" w14:paraId="4CFB18E7" w14:textId="4A3EC629">
      <w:r w:rsidRPr="3C7D2AFB" w:rsidR="3C7D2AFB">
        <w:rPr>
          <w:rFonts w:ascii="Calibri" w:hAnsi="Calibri" w:eastAsia="Calibri" w:cs="Calibri"/>
          <w:noProof w:val="0"/>
          <w:sz w:val="22"/>
          <w:szCs w:val="22"/>
          <w:lang w:val="en-US"/>
        </w:rPr>
        <w:t>Covid-19 has brilliantly displayed that "no health system is an island", and each state has something to learn and teach from the means it is being controlled.</w:t>
      </w:r>
    </w:p>
    <w:p w:rsidR="3C7D2AFB" w:rsidP="3C7D2AFB" w:rsidRDefault="3C7D2AFB" w14:paraId="499E2D08" w14:textId="3D85118B">
      <w:pPr>
        <w:pStyle w:val="a"/>
        <w:spacing w:beforeAutospacing="on" w:after="0" w:line="240" w:lineRule="auto"/>
        <w:rPr>
          <w:rFonts w:eastAsia="Calibri" w:cs="Calibri" w:cstheme="minorAscii"/>
          <w:color w:val="000000" w:themeColor="text1" w:themeTint="FF" w:themeShade="FF"/>
        </w:rPr>
      </w:pPr>
    </w:p>
    <w:p w:rsidRPr="00F21DD2" w:rsidR="00DA5E73" w:rsidP="3C7D2AFB" w:rsidRDefault="0C1954C3" w14:paraId="12C8E8C5" w14:textId="0A4FA368"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1713848273" w:id="690455876"/>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Digital Front Door</w:t>
      </w:r>
      <w:bookmarkEnd w:id="690455876"/>
    </w:p>
    <w:p w:rsidR="3C7D2AFB" w:rsidP="3C7D2AFB" w:rsidRDefault="3C7D2AFB" w14:paraId="6ACED084" w14:textId="14975756">
      <w:pPr>
        <w:pStyle w:val="a"/>
      </w:pPr>
    </w:p>
    <w:p w:rsidR="3C7D2AFB" w:rsidRDefault="3C7D2AFB" w14:paraId="3E6353EE" w14:textId="5E6BB31A">
      <w:r w:rsidRPr="3C7D2AFB" w:rsidR="3C7D2AFB">
        <w:rPr>
          <w:rFonts w:ascii="Calibri" w:hAnsi="Calibri" w:eastAsia="Calibri" w:cs="Calibri"/>
          <w:noProof w:val="0"/>
          <w:sz w:val="22"/>
          <w:szCs w:val="22"/>
          <w:lang w:val="en-US"/>
        </w:rPr>
        <w:t>Covid-19 has caused care centres and healthcare systems to adopt digital solutions related to healthcare quickly. In several countries, the "digital front door" has now turned into the "only front door" for patients to avail of clinical services. General appointments of practitioners and hospital out-patients across the globe have been altered with as much as three-quarters of every constitution, which is now taking place virtually (Costa and Machin, 2019). When the covid-19 abates, HR managers do not forecast the closing of the "digital front door" as providers and patients have clinched the flexibility and convenience of this kind of care. When and how we enter into the new actuality of Covid-19, a core concern for any health system by sustaining and scaling such digital interactions.</w:t>
      </w:r>
    </w:p>
    <w:p w:rsidR="3C7D2AFB" w:rsidP="3C7D2AFB" w:rsidRDefault="3C7D2AFB" w14:paraId="253F11CA" w14:textId="551D8DE2">
      <w:pPr>
        <w:pStyle w:val="a"/>
        <w:spacing w:beforeAutospacing="on" w:after="0" w:line="240" w:lineRule="auto"/>
        <w:rPr>
          <w:rFonts w:eastAsia="Calibri" w:cs="Calibri" w:cstheme="minorAscii"/>
          <w:color w:val="000000" w:themeColor="text1" w:themeTint="FF" w:themeShade="FF"/>
        </w:rPr>
      </w:pPr>
    </w:p>
    <w:p w:rsidRPr="00F21DD2" w:rsidR="00DA5E73" w:rsidP="3C7D2AFB" w:rsidRDefault="0C1954C3" w14:paraId="68851B7D" w14:textId="2C3C7611" w14:noSpellErr="1">
      <w:pPr>
        <w:pStyle w:val="2"/>
        <w:spacing w:beforeAutospacing="on" w:line="240" w:lineRule="auto"/>
        <w:rPr>
          <w:rFonts w:ascii="Calibri" w:hAnsi="Calibri" w:eastAsia="Calibri" w:cs="Calibri" w:asciiTheme="minorAscii" w:hAnsiTheme="minorAscii" w:cstheme="minorAscii"/>
          <w:i w:val="1"/>
          <w:iCs w:val="1"/>
          <w:color w:val="000000" w:themeColor="text1"/>
          <w:sz w:val="22"/>
          <w:szCs w:val="22"/>
        </w:rPr>
      </w:pPr>
      <w:bookmarkStart w:name="_Toc2110393445" w:id="1508774682"/>
      <w:r w:rsidRPr="3C7D2AFB" w:rsidR="0C1954C3">
        <w:rPr>
          <w:rFonts w:ascii="Calibri" w:hAnsi="Calibri" w:eastAsia="Calibri" w:cs="Calibri" w:asciiTheme="minorAscii" w:hAnsiTheme="minorAscii" w:cstheme="minorAscii"/>
          <w:i w:val="1"/>
          <w:iCs w:val="1"/>
          <w:color w:val="000000" w:themeColor="text1" w:themeTint="FF" w:themeShade="FF"/>
          <w:sz w:val="22"/>
          <w:szCs w:val="22"/>
        </w:rPr>
        <w:t>Clean and Dirty Sites</w:t>
      </w:r>
      <w:bookmarkEnd w:id="1508774682"/>
    </w:p>
    <w:p w:rsidR="3C7D2AFB" w:rsidP="3C7D2AFB" w:rsidRDefault="3C7D2AFB" w14:paraId="5406C3BA" w14:textId="4AF25E9B">
      <w:pPr>
        <w:pStyle w:val="a"/>
      </w:pPr>
    </w:p>
    <w:p w:rsidR="3C7D2AFB" w:rsidRDefault="3C7D2AFB" w14:paraId="2CF3665C" w14:textId="63419EA0">
      <w:r w:rsidRPr="3C7D2AFB" w:rsidR="3C7D2AFB">
        <w:rPr>
          <w:rFonts w:ascii="Calibri" w:hAnsi="Calibri" w:eastAsia="Calibri" w:cs="Calibri"/>
          <w:noProof w:val="0"/>
          <w:sz w:val="22"/>
          <w:szCs w:val="22"/>
          <w:lang w:val="en-US"/>
        </w:rPr>
        <w:t>In response to Covid-19, systems of health crossways the world, for example, Spain, China and the USA have initiated severe measures related to infection control involving the non-covid and Covid-19 patients to stop the infection's spread care homes and hospitals. Whilst efficient infection control measures, a side effect of executing "clean and dirty sites" has been decreased capability, specifically for non-urgent processes (Erken et al., 2018). So, as we enter the post-pandemic new reality, meeting the elective cases' backlog will be complex and need a fresh flow of patients via systems to control this.</w:t>
      </w:r>
    </w:p>
    <w:p w:rsidR="3C7D2AFB" w:rsidP="3C7D2AFB" w:rsidRDefault="3C7D2AFB" w14:paraId="4955886A" w14:textId="3F5EB464">
      <w:pPr>
        <w:pStyle w:val="a"/>
        <w:spacing w:beforeAutospacing="on" w:after="0" w:line="240" w:lineRule="auto"/>
        <w:rPr>
          <w:rFonts w:eastAsia="Calibri" w:cs="Calibri" w:cstheme="minorAscii"/>
          <w:color w:val="000000" w:themeColor="text1" w:themeTint="FF" w:themeShade="FF"/>
        </w:rPr>
      </w:pPr>
    </w:p>
    <w:p w:rsidRPr="00F21DD2" w:rsidR="00DA5E73" w:rsidP="3C7D2AFB" w:rsidRDefault="0C1954C3" w14:paraId="7CB690CF" w14:textId="268A473D"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1104097484" w:id="732450919"/>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Conclusion</w:t>
      </w:r>
      <w:bookmarkEnd w:id="732450919"/>
    </w:p>
    <w:p w:rsidR="3C7D2AFB" w:rsidP="3C7D2AFB" w:rsidRDefault="3C7D2AFB" w14:paraId="25F8B2F3" w14:textId="0D04B94C">
      <w:pPr>
        <w:pStyle w:val="a"/>
      </w:pPr>
    </w:p>
    <w:p w:rsidR="3C7D2AFB" w:rsidRDefault="3C7D2AFB" w14:paraId="6DC19AE4" w14:textId="50CD9CA8">
      <w:r w:rsidRPr="3C7D2AFB" w:rsidR="3C7D2AFB">
        <w:rPr>
          <w:rFonts w:ascii="Calibri" w:hAnsi="Calibri" w:eastAsia="Calibri" w:cs="Calibri"/>
          <w:noProof w:val="0"/>
          <w:sz w:val="22"/>
          <w:szCs w:val="22"/>
          <w:lang w:val="en-US"/>
        </w:rPr>
        <w:t>The mixture of Covid-19 and Brexit confronts business with the most acceptable engagement. Time is concise, industries and healthcare sectors are not entirely prepared, and concrete plans for Brexit are required directly. These must cross the board from the chain of supplies from labours and involve tax and regulatory issues. Even if there are Brexit plans positioned, they must be re-evaluated given the altering situation. Projects that could have made sense in the context of pre-covid-19 could not create complete logic now. Concerns that could have appeared minor in the former context could be of another order of extent when co-related with coronavirus. Deliberated HR decisions made rapidly as an outcome of Covid-19 will require highlighting in the context of Brexit. The resources allocated and accessible to execute the plans of Brexit must be looked at repeatedly.</w:t>
      </w:r>
    </w:p>
    <w:p w:rsidR="3C7D2AFB" w:rsidP="3C7D2AFB" w:rsidRDefault="3C7D2AFB" w14:paraId="79438723" w14:textId="2367D58A">
      <w:pPr>
        <w:pStyle w:val="a"/>
        <w:spacing w:beforeAutospacing="on" w:after="0" w:line="240" w:lineRule="auto"/>
        <w:rPr>
          <w:rFonts w:eastAsia="Calibri" w:cs="Calibri" w:cstheme="minorAscii"/>
          <w:color w:val="000000" w:themeColor="text1" w:themeTint="FF" w:themeShade="FF"/>
        </w:rPr>
      </w:pPr>
    </w:p>
    <w:p w:rsidRPr="00F21DD2" w:rsidR="00DA5E73" w:rsidP="00F21DD2" w:rsidRDefault="00282ACF" w14:paraId="38DF3672" w14:textId="4678CB36">
      <w:pPr>
        <w:spacing w:beforeAutospacing="1" w:after="0" w:line="240" w:lineRule="auto"/>
        <w:rPr>
          <w:rFonts w:eastAsia="Calibri" w:cstheme="minorHAnsi"/>
          <w:color w:val="000000" w:themeColor="text1"/>
        </w:rPr>
      </w:pPr>
      <w:r w:rsidRPr="00F21DD2">
        <w:rPr>
          <w:rFonts w:cstheme="minorHAnsi"/>
        </w:rPr>
        <w:br w:type="page"/>
      </w:r>
    </w:p>
    <w:p w:rsidRPr="00F21DD2" w:rsidR="00DA5E73" w:rsidP="3C7D2AFB" w:rsidRDefault="0C1954C3" w14:paraId="54E878F6" w14:textId="666B5462" w14:noSpellErr="1">
      <w:pPr>
        <w:pStyle w:val="1"/>
        <w:spacing w:beforeAutospacing="on" w:line="240" w:lineRule="auto"/>
        <w:rPr>
          <w:rFonts w:ascii="Calibri" w:hAnsi="Calibri" w:eastAsia="Calibri" w:cs="Calibri" w:asciiTheme="minorAscii" w:hAnsiTheme="minorAscii" w:cstheme="minorAscii"/>
          <w:b w:val="1"/>
          <w:bCs w:val="1"/>
          <w:i w:val="1"/>
          <w:iCs w:val="1"/>
          <w:color w:val="000000" w:themeColor="text1"/>
          <w:sz w:val="22"/>
          <w:szCs w:val="22"/>
        </w:rPr>
      </w:pPr>
      <w:bookmarkStart w:name="_Toc357595391" w:id="696840751"/>
      <w:r w:rsidRPr="3C7D2AFB" w:rsidR="0C1954C3">
        <w:rPr>
          <w:rFonts w:ascii="Calibri" w:hAnsi="Calibri" w:eastAsia="Calibri" w:cs="Calibri" w:asciiTheme="minorAscii" w:hAnsiTheme="minorAscii" w:cstheme="minorAscii"/>
          <w:b w:val="1"/>
          <w:bCs w:val="1"/>
          <w:i w:val="1"/>
          <w:iCs w:val="1"/>
          <w:color w:val="000000" w:themeColor="text1" w:themeTint="FF" w:themeShade="FF"/>
          <w:sz w:val="22"/>
          <w:szCs w:val="22"/>
        </w:rPr>
        <w:t>References</w:t>
      </w:r>
      <w:bookmarkEnd w:id="696840751"/>
    </w:p>
    <w:p w:rsidRPr="00F21DD2" w:rsidR="00DA5E73" w:rsidP="00F21DD2" w:rsidRDefault="0C1954C3" w14:paraId="1FC24658" w14:textId="69212865">
      <w:pPr>
        <w:spacing w:beforeAutospacing="1" w:after="0" w:line="240" w:lineRule="auto"/>
        <w:ind w:left="720" w:hanging="720"/>
        <w:jc w:val="both"/>
        <w:rPr>
          <w:rFonts w:eastAsia="Calibri" w:cstheme="minorHAnsi"/>
          <w:color w:val="000000" w:themeColor="text1"/>
        </w:rPr>
      </w:pPr>
      <w:proofErr w:type="spellStart"/>
      <w:r w:rsidRPr="00F21DD2">
        <w:rPr>
          <w:rFonts w:eastAsia="Calibri" w:cstheme="minorHAnsi"/>
          <w:color w:val="000000" w:themeColor="text1"/>
        </w:rPr>
        <w:t>Anderton</w:t>
      </w:r>
      <w:proofErr w:type="spellEnd"/>
      <w:r w:rsidRPr="00F21DD2">
        <w:rPr>
          <w:rFonts w:eastAsia="Calibri" w:cstheme="minorHAnsi"/>
          <w:color w:val="000000" w:themeColor="text1"/>
        </w:rPr>
        <w:t xml:space="preserve">, R., </w:t>
      </w:r>
      <w:proofErr w:type="spellStart"/>
      <w:r w:rsidRPr="00F21DD2">
        <w:rPr>
          <w:rFonts w:eastAsia="Calibri" w:cstheme="minorHAnsi"/>
          <w:color w:val="000000" w:themeColor="text1"/>
        </w:rPr>
        <w:t>Botelho</w:t>
      </w:r>
      <w:proofErr w:type="spellEnd"/>
      <w:r w:rsidRPr="00F21DD2">
        <w:rPr>
          <w:rFonts w:eastAsia="Calibri" w:cstheme="minorHAnsi"/>
          <w:color w:val="000000" w:themeColor="text1"/>
        </w:rPr>
        <w:t xml:space="preserve">, V., </w:t>
      </w:r>
      <w:proofErr w:type="spellStart"/>
      <w:r w:rsidRPr="00F21DD2">
        <w:rPr>
          <w:rFonts w:eastAsia="Calibri" w:cstheme="minorHAnsi"/>
          <w:color w:val="000000" w:themeColor="text1"/>
        </w:rPr>
        <w:t>Consolo</w:t>
      </w:r>
      <w:proofErr w:type="spellEnd"/>
      <w:r w:rsidRPr="00F21DD2">
        <w:rPr>
          <w:rFonts w:eastAsia="Calibri" w:cstheme="minorHAnsi"/>
          <w:color w:val="000000" w:themeColor="text1"/>
        </w:rPr>
        <w:t xml:space="preserve">, A., Da Silva, A.D., </w:t>
      </w:r>
      <w:proofErr w:type="spellStart"/>
      <w:r w:rsidRPr="00F21DD2">
        <w:rPr>
          <w:rFonts w:eastAsia="Calibri" w:cstheme="minorHAnsi"/>
          <w:color w:val="000000" w:themeColor="text1"/>
        </w:rPr>
        <w:t>Foroni</w:t>
      </w:r>
      <w:proofErr w:type="spellEnd"/>
      <w:r w:rsidRPr="00F21DD2">
        <w:rPr>
          <w:rFonts w:eastAsia="Calibri" w:cstheme="minorHAnsi"/>
          <w:color w:val="000000" w:themeColor="text1"/>
        </w:rPr>
        <w:t>, C. and Mo</w:t>
      </w:r>
      <w:r w:rsidR="00F21DD2">
        <w:rPr>
          <w:rFonts w:eastAsia="Calibri" w:cstheme="minorHAnsi"/>
          <w:color w:val="000000" w:themeColor="text1"/>
        </w:rPr>
        <w:t xml:space="preserve">hr, M., 2021. The impact of the </w:t>
      </w:r>
      <w:r w:rsidRPr="00F21DD2">
        <w:rPr>
          <w:rFonts w:eastAsia="Calibri" w:cstheme="minorHAnsi"/>
          <w:color w:val="000000" w:themeColor="text1"/>
        </w:rPr>
        <w:t>COVID-19 pandemic on the euro area labour market. </w:t>
      </w:r>
      <w:r w:rsidRPr="00F21DD2">
        <w:rPr>
          <w:rFonts w:eastAsia="Calibri" w:cstheme="minorHAnsi"/>
          <w:i/>
          <w:iCs/>
          <w:color w:val="000000" w:themeColor="text1"/>
        </w:rPr>
        <w:t>Economic Bulletin Articles</w:t>
      </w:r>
      <w:r w:rsidRPr="00F21DD2">
        <w:rPr>
          <w:rFonts w:eastAsia="Calibri" w:cstheme="minorHAnsi"/>
          <w:color w:val="000000" w:themeColor="text1"/>
        </w:rPr>
        <w:t>, </w:t>
      </w:r>
      <w:r w:rsidRPr="00F21DD2">
        <w:rPr>
          <w:rFonts w:eastAsia="Calibri" w:cstheme="minorHAnsi"/>
          <w:i/>
          <w:iCs/>
          <w:color w:val="000000" w:themeColor="text1"/>
        </w:rPr>
        <w:t>8</w:t>
      </w:r>
      <w:r w:rsidRPr="00F21DD2">
        <w:rPr>
          <w:rFonts w:eastAsia="Calibri" w:cstheme="minorHAnsi"/>
          <w:color w:val="000000" w:themeColor="text1"/>
        </w:rPr>
        <w:t>.</w:t>
      </w:r>
    </w:p>
    <w:p w:rsidRPr="00F21DD2" w:rsidR="00DA5E73" w:rsidP="00F21DD2" w:rsidRDefault="0C1954C3" w14:paraId="0D014873" w14:textId="4C637030">
      <w:pPr>
        <w:spacing w:beforeAutospacing="1" w:after="0" w:line="240" w:lineRule="auto"/>
        <w:ind w:left="720" w:hanging="720"/>
        <w:jc w:val="both"/>
        <w:rPr>
          <w:rFonts w:eastAsia="Calibri" w:cstheme="minorHAnsi"/>
          <w:color w:val="000000" w:themeColor="text1"/>
        </w:rPr>
      </w:pPr>
      <w:r w:rsidRPr="00F21DD2">
        <w:rPr>
          <w:rFonts w:eastAsia="Calibri" w:cstheme="minorHAnsi"/>
          <w:color w:val="000000" w:themeColor="text1"/>
        </w:rPr>
        <w:t xml:space="preserve">Byrne, S., Coates, D., Keenan, E. and </w:t>
      </w:r>
      <w:proofErr w:type="spellStart"/>
      <w:r w:rsidRPr="00F21DD2">
        <w:rPr>
          <w:rFonts w:eastAsia="Calibri" w:cstheme="minorHAnsi"/>
          <w:color w:val="000000" w:themeColor="text1"/>
        </w:rPr>
        <w:t>McIndoe</w:t>
      </w:r>
      <w:proofErr w:type="spellEnd"/>
      <w:r w:rsidRPr="00F21DD2">
        <w:rPr>
          <w:rFonts w:eastAsia="Calibri" w:cstheme="minorHAnsi"/>
          <w:color w:val="000000" w:themeColor="text1"/>
        </w:rPr>
        <w:t>-Calder, T., 2020. The initial labour market impact of COVID-19. </w:t>
      </w:r>
      <w:r w:rsidRPr="00F21DD2">
        <w:rPr>
          <w:rFonts w:eastAsia="Calibri" w:cstheme="minorHAnsi"/>
          <w:i/>
          <w:iCs/>
          <w:color w:val="000000" w:themeColor="text1"/>
        </w:rPr>
        <w:t>Central Bank Economic Letter</w:t>
      </w:r>
      <w:r w:rsidRPr="00F21DD2">
        <w:rPr>
          <w:rFonts w:eastAsia="Calibri" w:cstheme="minorHAnsi"/>
          <w:color w:val="000000" w:themeColor="text1"/>
        </w:rPr>
        <w:t>, </w:t>
      </w:r>
      <w:r w:rsidRPr="00F21DD2">
        <w:rPr>
          <w:rFonts w:eastAsia="Calibri" w:cstheme="minorHAnsi"/>
          <w:i/>
          <w:iCs/>
          <w:color w:val="000000" w:themeColor="text1"/>
        </w:rPr>
        <w:t>2020</w:t>
      </w:r>
      <w:r w:rsidRPr="00F21DD2">
        <w:rPr>
          <w:rFonts w:eastAsia="Calibri" w:cstheme="minorHAnsi"/>
          <w:color w:val="000000" w:themeColor="text1"/>
        </w:rPr>
        <w:t>(4), p.25.</w:t>
      </w:r>
    </w:p>
    <w:p w:rsidRPr="00F21DD2" w:rsidR="00DA5E73" w:rsidP="00F21DD2" w:rsidRDefault="0C1954C3" w14:paraId="7457F569" w14:textId="72DD8935">
      <w:pPr>
        <w:spacing w:beforeAutospacing="1" w:after="0" w:line="240" w:lineRule="auto"/>
        <w:ind w:left="720" w:hanging="720"/>
        <w:jc w:val="both"/>
        <w:rPr>
          <w:rFonts w:eastAsia="Calibri" w:cstheme="minorHAnsi"/>
          <w:color w:val="000000" w:themeColor="text1"/>
        </w:rPr>
      </w:pPr>
      <w:r w:rsidRPr="00F21DD2">
        <w:rPr>
          <w:rFonts w:eastAsia="Calibri" w:cstheme="minorHAnsi"/>
          <w:color w:val="000000" w:themeColor="text1"/>
        </w:rPr>
        <w:t>Costa, R. and Machin, S., 2019. The Labour Market. </w:t>
      </w:r>
      <w:r w:rsidRPr="00F21DD2">
        <w:rPr>
          <w:rFonts w:eastAsia="Calibri" w:cstheme="minorHAnsi"/>
          <w:i/>
          <w:iCs/>
          <w:color w:val="000000" w:themeColor="text1"/>
        </w:rPr>
        <w:t>Centre for Economic Performance</w:t>
      </w:r>
      <w:r w:rsidRPr="00F21DD2">
        <w:rPr>
          <w:rFonts w:eastAsia="Calibri" w:cstheme="minorHAnsi"/>
          <w:color w:val="000000" w:themeColor="text1"/>
        </w:rPr>
        <w:t>, p.11.</w:t>
      </w:r>
    </w:p>
    <w:p w:rsidRPr="00F21DD2" w:rsidR="00DA5E73" w:rsidP="00F21DD2" w:rsidRDefault="0C1954C3" w14:paraId="4F4B8456" w14:textId="326B5C9F">
      <w:pPr>
        <w:spacing w:beforeAutospacing="1" w:after="0" w:line="240" w:lineRule="auto"/>
        <w:ind w:left="720" w:hanging="720"/>
        <w:jc w:val="both"/>
        <w:rPr>
          <w:rFonts w:eastAsia="Calibri" w:cstheme="minorHAnsi"/>
          <w:color w:val="000000" w:themeColor="text1"/>
        </w:rPr>
      </w:pPr>
      <w:bookmarkStart w:name="_Int_Xhv4G6gL" w:id="26"/>
      <w:r w:rsidRPr="00F21DD2">
        <w:rPr>
          <w:rFonts w:eastAsia="Calibri" w:cstheme="minorHAnsi"/>
          <w:color w:val="000000" w:themeColor="text1"/>
        </w:rPr>
        <w:t>Crowley, F., Daly, H., Doran, J., Ryan, G. and Caulfield, B., 2021.</w:t>
      </w:r>
      <w:bookmarkEnd w:id="26"/>
      <w:r w:rsidRPr="00F21DD2">
        <w:rPr>
          <w:rFonts w:eastAsia="Calibri" w:cstheme="minorHAnsi"/>
          <w:color w:val="000000" w:themeColor="text1"/>
        </w:rPr>
        <w:t xml:space="preserve"> The impact of labour market disruptions and transport choice on the environment during COVID-19. </w:t>
      </w:r>
      <w:r w:rsidRPr="00F21DD2">
        <w:rPr>
          <w:rFonts w:eastAsia="Calibri" w:cstheme="minorHAnsi"/>
          <w:i/>
          <w:iCs/>
          <w:color w:val="000000" w:themeColor="text1"/>
        </w:rPr>
        <w:t>Transport Policy</w:t>
      </w:r>
      <w:r w:rsidRPr="00F21DD2">
        <w:rPr>
          <w:rFonts w:eastAsia="Calibri" w:cstheme="minorHAnsi"/>
          <w:color w:val="000000" w:themeColor="text1"/>
        </w:rPr>
        <w:t>, </w:t>
      </w:r>
      <w:r w:rsidRPr="00F21DD2">
        <w:rPr>
          <w:rFonts w:eastAsia="Calibri" w:cstheme="minorHAnsi"/>
          <w:i/>
          <w:iCs/>
          <w:color w:val="000000" w:themeColor="text1"/>
        </w:rPr>
        <w:t>106</w:t>
      </w:r>
      <w:r w:rsidRPr="00F21DD2">
        <w:rPr>
          <w:rFonts w:eastAsia="Calibri" w:cstheme="minorHAnsi"/>
          <w:color w:val="000000" w:themeColor="text1"/>
        </w:rPr>
        <w:t>, pp.185-195.</w:t>
      </w:r>
    </w:p>
    <w:p w:rsidRPr="00F21DD2" w:rsidR="00DA5E73" w:rsidP="00F21DD2" w:rsidRDefault="0C1954C3" w14:paraId="4DAE7CF8" w14:textId="2CAC3758">
      <w:pPr>
        <w:spacing w:beforeAutospacing="1" w:after="0" w:line="240" w:lineRule="auto"/>
        <w:ind w:left="720" w:hanging="720"/>
        <w:jc w:val="both"/>
        <w:rPr>
          <w:rFonts w:eastAsia="Calibri" w:cstheme="minorHAnsi"/>
          <w:color w:val="000000" w:themeColor="text1"/>
        </w:rPr>
      </w:pPr>
      <w:proofErr w:type="spellStart"/>
      <w:r w:rsidRPr="00F21DD2">
        <w:rPr>
          <w:rFonts w:eastAsia="Calibri" w:cstheme="minorHAnsi"/>
          <w:color w:val="000000" w:themeColor="text1"/>
        </w:rPr>
        <w:t>Demena</w:t>
      </w:r>
      <w:proofErr w:type="spellEnd"/>
      <w:r w:rsidRPr="00F21DD2">
        <w:rPr>
          <w:rFonts w:eastAsia="Calibri" w:cstheme="minorHAnsi"/>
          <w:color w:val="000000" w:themeColor="text1"/>
        </w:rPr>
        <w:t xml:space="preserve">, B.A., </w:t>
      </w:r>
      <w:proofErr w:type="spellStart"/>
      <w:r w:rsidRPr="00F21DD2">
        <w:rPr>
          <w:rFonts w:eastAsia="Calibri" w:cstheme="minorHAnsi"/>
          <w:color w:val="000000" w:themeColor="text1"/>
        </w:rPr>
        <w:t>Floridi</w:t>
      </w:r>
      <w:proofErr w:type="spellEnd"/>
      <w:r w:rsidRPr="00F21DD2">
        <w:rPr>
          <w:rFonts w:eastAsia="Calibri" w:cstheme="minorHAnsi"/>
          <w:color w:val="000000" w:themeColor="text1"/>
        </w:rPr>
        <w:t>, A. and Wagner, N., 2022. The short-term impact of COVID-19 on labour market outcomes: Comparative systematic evidence. In </w:t>
      </w:r>
      <w:r w:rsidRPr="00F21DD2">
        <w:rPr>
          <w:rFonts w:eastAsia="Calibri" w:cstheme="minorHAnsi"/>
          <w:i/>
          <w:iCs/>
          <w:color w:val="000000" w:themeColor="text1"/>
        </w:rPr>
        <w:t>Covid-19 and international development</w:t>
      </w:r>
      <w:r w:rsidRPr="00F21DD2">
        <w:rPr>
          <w:rFonts w:eastAsia="Calibri" w:cstheme="minorHAnsi"/>
          <w:color w:val="000000" w:themeColor="text1"/>
        </w:rPr>
        <w:t> (pp. 71-88). Springer, Cham.</w:t>
      </w:r>
    </w:p>
    <w:p w:rsidRPr="00F21DD2" w:rsidR="00DA5E73" w:rsidP="00F21DD2" w:rsidRDefault="0C1954C3" w14:paraId="4B258EBB" w14:textId="403AAA7B">
      <w:pPr>
        <w:spacing w:beforeAutospacing="1" w:after="0" w:line="240" w:lineRule="auto"/>
        <w:ind w:left="720" w:hanging="720"/>
        <w:jc w:val="both"/>
        <w:rPr>
          <w:rFonts w:eastAsia="Calibri" w:cstheme="minorHAnsi"/>
          <w:color w:val="000000" w:themeColor="text1"/>
        </w:rPr>
      </w:pPr>
      <w:proofErr w:type="spellStart"/>
      <w:r w:rsidRPr="00F21DD2">
        <w:rPr>
          <w:rFonts w:eastAsia="Calibri" w:cstheme="minorHAnsi"/>
          <w:color w:val="000000" w:themeColor="text1"/>
        </w:rPr>
        <w:t>Erken</w:t>
      </w:r>
      <w:proofErr w:type="spellEnd"/>
      <w:r w:rsidRPr="00F21DD2">
        <w:rPr>
          <w:rFonts w:eastAsia="Calibri" w:cstheme="minorHAnsi"/>
          <w:color w:val="000000" w:themeColor="text1"/>
        </w:rPr>
        <w:t xml:space="preserve">, H., Hayat, R., </w:t>
      </w:r>
      <w:proofErr w:type="spellStart"/>
      <w:r w:rsidRPr="00F21DD2">
        <w:rPr>
          <w:rFonts w:eastAsia="Calibri" w:cstheme="minorHAnsi"/>
          <w:color w:val="000000" w:themeColor="text1"/>
        </w:rPr>
        <w:t>Prins</w:t>
      </w:r>
      <w:proofErr w:type="spellEnd"/>
      <w:r w:rsidRPr="00F21DD2">
        <w:rPr>
          <w:rFonts w:eastAsia="Calibri" w:cstheme="minorHAnsi"/>
          <w:color w:val="000000" w:themeColor="text1"/>
        </w:rPr>
        <w:t xml:space="preserve">, C., </w:t>
      </w:r>
      <w:proofErr w:type="spellStart"/>
      <w:r w:rsidRPr="00F21DD2">
        <w:rPr>
          <w:rFonts w:eastAsia="Calibri" w:cstheme="minorHAnsi"/>
          <w:color w:val="000000" w:themeColor="text1"/>
        </w:rPr>
        <w:t>Heijmerikx</w:t>
      </w:r>
      <w:proofErr w:type="spellEnd"/>
      <w:r w:rsidRPr="00F21DD2">
        <w:rPr>
          <w:rFonts w:eastAsia="Calibri" w:cstheme="minorHAnsi"/>
          <w:color w:val="000000" w:themeColor="text1"/>
        </w:rPr>
        <w:t xml:space="preserve">, M. and de </w:t>
      </w:r>
      <w:proofErr w:type="spellStart"/>
      <w:r w:rsidRPr="00F21DD2">
        <w:rPr>
          <w:rFonts w:eastAsia="Calibri" w:cstheme="minorHAnsi"/>
          <w:color w:val="000000" w:themeColor="text1"/>
        </w:rPr>
        <w:t>Vreede</w:t>
      </w:r>
      <w:proofErr w:type="spellEnd"/>
      <w:r w:rsidRPr="00F21DD2">
        <w:rPr>
          <w:rFonts w:eastAsia="Calibri" w:cstheme="minorHAnsi"/>
          <w:color w:val="000000" w:themeColor="text1"/>
        </w:rPr>
        <w:t>, I., 2018. Measuring the permanent costs of Brexit. </w:t>
      </w:r>
      <w:r w:rsidRPr="00F21DD2">
        <w:rPr>
          <w:rFonts w:eastAsia="Calibri" w:cstheme="minorHAnsi"/>
          <w:i/>
          <w:iCs/>
          <w:color w:val="000000" w:themeColor="text1"/>
        </w:rPr>
        <w:t>National Institute Economic Review</w:t>
      </w:r>
      <w:r w:rsidRPr="00F21DD2">
        <w:rPr>
          <w:rFonts w:eastAsia="Calibri" w:cstheme="minorHAnsi"/>
          <w:color w:val="000000" w:themeColor="text1"/>
        </w:rPr>
        <w:t>, </w:t>
      </w:r>
      <w:r w:rsidRPr="00F21DD2">
        <w:rPr>
          <w:rFonts w:eastAsia="Calibri" w:cstheme="minorHAnsi"/>
          <w:i/>
          <w:iCs/>
          <w:color w:val="000000" w:themeColor="text1"/>
        </w:rPr>
        <w:t>244</w:t>
      </w:r>
      <w:r w:rsidRPr="00F21DD2">
        <w:rPr>
          <w:rFonts w:eastAsia="Calibri" w:cstheme="minorHAnsi"/>
          <w:color w:val="000000" w:themeColor="text1"/>
        </w:rPr>
        <w:t>, pp. R46-R55.</w:t>
      </w:r>
    </w:p>
    <w:p w:rsidRPr="00F21DD2" w:rsidR="00DA5E73" w:rsidP="00F21DD2" w:rsidRDefault="0C1954C3" w14:paraId="650103AD" w14:textId="4D03CC84">
      <w:pPr>
        <w:spacing w:beforeAutospacing="1" w:after="0" w:line="240" w:lineRule="auto"/>
        <w:ind w:left="720" w:hanging="720"/>
        <w:jc w:val="both"/>
        <w:rPr>
          <w:rFonts w:eastAsia="Calibri" w:cstheme="minorHAnsi"/>
          <w:color w:val="000000" w:themeColor="text1"/>
        </w:rPr>
      </w:pPr>
      <w:proofErr w:type="spellStart"/>
      <w:r w:rsidRPr="00F21DD2">
        <w:rPr>
          <w:rFonts w:eastAsia="Calibri" w:cstheme="minorHAnsi"/>
          <w:color w:val="000000" w:themeColor="text1"/>
        </w:rPr>
        <w:t>Fana</w:t>
      </w:r>
      <w:proofErr w:type="spellEnd"/>
      <w:r w:rsidRPr="00F21DD2">
        <w:rPr>
          <w:rFonts w:eastAsia="Calibri" w:cstheme="minorHAnsi"/>
          <w:color w:val="000000" w:themeColor="text1"/>
        </w:rPr>
        <w:t xml:space="preserve">, M., </w:t>
      </w:r>
      <w:proofErr w:type="spellStart"/>
      <w:r w:rsidRPr="00F21DD2">
        <w:rPr>
          <w:rFonts w:eastAsia="Calibri" w:cstheme="minorHAnsi"/>
          <w:color w:val="000000" w:themeColor="text1"/>
        </w:rPr>
        <w:t>Torrejón</w:t>
      </w:r>
      <w:proofErr w:type="spellEnd"/>
      <w:r w:rsidRPr="00F21DD2">
        <w:rPr>
          <w:rFonts w:eastAsia="Calibri" w:cstheme="minorHAnsi"/>
          <w:color w:val="000000" w:themeColor="text1"/>
        </w:rPr>
        <w:t xml:space="preserve"> Pérez, S. and </w:t>
      </w:r>
      <w:proofErr w:type="spellStart"/>
      <w:r w:rsidRPr="00F21DD2">
        <w:rPr>
          <w:rFonts w:eastAsia="Calibri" w:cstheme="minorHAnsi"/>
          <w:color w:val="000000" w:themeColor="text1"/>
        </w:rPr>
        <w:t>Fernández-Macías</w:t>
      </w:r>
      <w:proofErr w:type="spellEnd"/>
      <w:r w:rsidRPr="00F21DD2">
        <w:rPr>
          <w:rFonts w:eastAsia="Calibri" w:cstheme="minorHAnsi"/>
          <w:color w:val="000000" w:themeColor="text1"/>
        </w:rPr>
        <w:t xml:space="preserve">, E., 2020. </w:t>
      </w:r>
      <w:bookmarkStart w:name="_Int_1ZcvJw6P" w:id="27"/>
      <w:r w:rsidRPr="00F21DD2">
        <w:rPr>
          <w:rFonts w:eastAsia="Calibri" w:cstheme="minorHAnsi"/>
          <w:color w:val="000000" w:themeColor="text1"/>
        </w:rPr>
        <w:t>Employment impact of Covid-19 crisis: from short term effects to long terms prospects.</w:t>
      </w:r>
      <w:bookmarkEnd w:id="27"/>
      <w:r w:rsidRPr="00F21DD2">
        <w:rPr>
          <w:rFonts w:eastAsia="Calibri" w:cstheme="minorHAnsi"/>
          <w:color w:val="000000" w:themeColor="text1"/>
        </w:rPr>
        <w:t> </w:t>
      </w:r>
      <w:r w:rsidRPr="00F21DD2">
        <w:rPr>
          <w:rFonts w:eastAsia="Calibri" w:cstheme="minorHAnsi"/>
          <w:i/>
          <w:iCs/>
          <w:color w:val="000000" w:themeColor="text1"/>
        </w:rPr>
        <w:t>Journal of Industrial and Business Economics</w:t>
      </w:r>
      <w:r w:rsidRPr="00F21DD2">
        <w:rPr>
          <w:rFonts w:eastAsia="Calibri" w:cstheme="minorHAnsi"/>
          <w:color w:val="000000" w:themeColor="text1"/>
        </w:rPr>
        <w:t>, </w:t>
      </w:r>
      <w:r w:rsidRPr="00F21DD2">
        <w:rPr>
          <w:rFonts w:eastAsia="Calibri" w:cstheme="minorHAnsi"/>
          <w:i/>
          <w:iCs/>
          <w:color w:val="000000" w:themeColor="text1"/>
        </w:rPr>
        <w:t>47</w:t>
      </w:r>
      <w:r w:rsidRPr="00F21DD2">
        <w:rPr>
          <w:rFonts w:eastAsia="Calibri" w:cstheme="minorHAnsi"/>
          <w:color w:val="000000" w:themeColor="text1"/>
        </w:rPr>
        <w:t>(3), pp.391-410.</w:t>
      </w:r>
    </w:p>
    <w:p w:rsidRPr="00F21DD2" w:rsidR="00DA5E73" w:rsidP="00F21DD2" w:rsidRDefault="0C1954C3" w14:paraId="31410EA0" w14:textId="78DBD84A">
      <w:pPr>
        <w:spacing w:beforeAutospacing="1" w:after="0" w:line="240" w:lineRule="auto"/>
        <w:ind w:left="720" w:hanging="720"/>
        <w:jc w:val="both"/>
        <w:rPr>
          <w:rFonts w:eastAsia="Calibri" w:cstheme="minorHAnsi"/>
          <w:color w:val="000000" w:themeColor="text1"/>
        </w:rPr>
      </w:pPr>
      <w:proofErr w:type="spellStart"/>
      <w:r w:rsidRPr="00F21DD2">
        <w:rPr>
          <w:rFonts w:eastAsia="Calibri" w:cstheme="minorHAnsi"/>
          <w:color w:val="000000" w:themeColor="text1"/>
        </w:rPr>
        <w:t>Javorcik</w:t>
      </w:r>
      <w:proofErr w:type="spellEnd"/>
      <w:r w:rsidRPr="00F21DD2">
        <w:rPr>
          <w:rFonts w:eastAsia="Calibri" w:cstheme="minorHAnsi"/>
          <w:color w:val="000000" w:themeColor="text1"/>
        </w:rPr>
        <w:t xml:space="preserve">, B., Stapleton, K., </w:t>
      </w:r>
      <w:proofErr w:type="spellStart"/>
      <w:r w:rsidRPr="00F21DD2">
        <w:rPr>
          <w:rFonts w:eastAsia="Calibri" w:cstheme="minorHAnsi"/>
          <w:color w:val="000000" w:themeColor="text1"/>
        </w:rPr>
        <w:t>Kett</w:t>
      </w:r>
      <w:proofErr w:type="spellEnd"/>
      <w:r w:rsidRPr="00F21DD2">
        <w:rPr>
          <w:rFonts w:eastAsia="Calibri" w:cstheme="minorHAnsi"/>
          <w:color w:val="000000" w:themeColor="text1"/>
        </w:rPr>
        <w:t>, B. and O’Kane, L., 2020. </w:t>
      </w:r>
      <w:r w:rsidRPr="00F21DD2">
        <w:rPr>
          <w:rFonts w:eastAsia="Calibri" w:cstheme="minorHAnsi"/>
          <w:i/>
          <w:iCs/>
          <w:color w:val="000000" w:themeColor="text1"/>
        </w:rPr>
        <w:t>Unravelling deep integration: Local labour market effects of the Brexit vote</w:t>
      </w:r>
      <w:r w:rsidRPr="00F21DD2">
        <w:rPr>
          <w:rFonts w:eastAsia="Calibri" w:cstheme="minorHAnsi"/>
          <w:color w:val="000000" w:themeColor="text1"/>
        </w:rPr>
        <w:t>. CEPR Discussion Paper.</w:t>
      </w:r>
    </w:p>
    <w:p w:rsidRPr="00F21DD2" w:rsidR="00DA5E73" w:rsidP="00F21DD2" w:rsidRDefault="0C1954C3" w14:paraId="34CD1411" w14:textId="5EAAA052">
      <w:pPr>
        <w:spacing w:beforeAutospacing="1" w:after="0" w:line="240" w:lineRule="auto"/>
        <w:ind w:left="720" w:hanging="720"/>
        <w:jc w:val="both"/>
        <w:rPr>
          <w:rFonts w:eastAsia="Calibri" w:cstheme="minorHAnsi"/>
          <w:color w:val="000000" w:themeColor="text1"/>
        </w:rPr>
      </w:pPr>
      <w:proofErr w:type="spellStart"/>
      <w:r w:rsidRPr="00F21DD2">
        <w:rPr>
          <w:rFonts w:eastAsia="Calibri" w:cstheme="minorHAnsi"/>
          <w:color w:val="000000" w:themeColor="text1"/>
        </w:rPr>
        <w:t>Portes</w:t>
      </w:r>
      <w:proofErr w:type="spellEnd"/>
      <w:r w:rsidRPr="00F21DD2">
        <w:rPr>
          <w:rFonts w:eastAsia="Calibri" w:cstheme="minorHAnsi"/>
          <w:color w:val="000000" w:themeColor="text1"/>
        </w:rPr>
        <w:t>, J., 2022. Immigration and the UK Economy after Brexit. </w:t>
      </w:r>
      <w:r w:rsidRPr="00F21DD2">
        <w:rPr>
          <w:rFonts w:eastAsia="Calibri" w:cstheme="minorHAnsi"/>
          <w:i/>
          <w:iCs/>
          <w:color w:val="000000" w:themeColor="text1"/>
        </w:rPr>
        <w:t>Oxford Review of Economic Policy</w:t>
      </w:r>
      <w:r w:rsidRPr="00F21DD2">
        <w:rPr>
          <w:rFonts w:eastAsia="Calibri" w:cstheme="minorHAnsi"/>
          <w:color w:val="000000" w:themeColor="text1"/>
        </w:rPr>
        <w:t>, </w:t>
      </w:r>
      <w:r w:rsidRPr="00F21DD2">
        <w:rPr>
          <w:rFonts w:eastAsia="Calibri" w:cstheme="minorHAnsi"/>
          <w:i/>
          <w:iCs/>
          <w:color w:val="000000" w:themeColor="text1"/>
        </w:rPr>
        <w:t>38</w:t>
      </w:r>
      <w:r w:rsidRPr="00F21DD2">
        <w:rPr>
          <w:rFonts w:eastAsia="Calibri" w:cstheme="minorHAnsi"/>
          <w:color w:val="000000" w:themeColor="text1"/>
        </w:rPr>
        <w:t>(1), pp.82-96.</w:t>
      </w:r>
    </w:p>
    <w:p w:rsidRPr="00F21DD2" w:rsidR="00DA5E73" w:rsidP="00F21DD2" w:rsidRDefault="0C1954C3" w14:paraId="1E0215F2" w14:textId="3306EE1C">
      <w:pPr>
        <w:spacing w:beforeAutospacing="1" w:after="0" w:line="240" w:lineRule="auto"/>
        <w:ind w:left="720" w:hanging="720"/>
        <w:jc w:val="both"/>
        <w:rPr>
          <w:rFonts w:eastAsia="Calibri" w:cstheme="minorHAnsi"/>
          <w:color w:val="000000" w:themeColor="text1"/>
        </w:rPr>
      </w:pPr>
      <w:r w:rsidRPr="00F21DD2">
        <w:rPr>
          <w:rFonts w:eastAsia="Calibri" w:cstheme="minorHAnsi"/>
          <w:color w:val="000000" w:themeColor="text1"/>
        </w:rPr>
        <w:t>Ridgway, M., 2019. Brexit: human resourcing implications. </w:t>
      </w:r>
      <w:r w:rsidRPr="00F21DD2">
        <w:rPr>
          <w:rFonts w:eastAsia="Calibri" w:cstheme="minorHAnsi"/>
          <w:i/>
          <w:iCs/>
          <w:color w:val="000000" w:themeColor="text1"/>
        </w:rPr>
        <w:t>Employee Relations: The International Journal</w:t>
      </w:r>
      <w:r w:rsidRPr="00F21DD2">
        <w:rPr>
          <w:rFonts w:eastAsia="Calibri" w:cstheme="minorHAnsi"/>
          <w:color w:val="000000" w:themeColor="text1"/>
        </w:rPr>
        <w:t>.</w:t>
      </w:r>
    </w:p>
    <w:p w:rsidRPr="00F21DD2" w:rsidR="00DA5E73" w:rsidP="00F21DD2" w:rsidRDefault="0C1954C3" w14:paraId="263302AC" w14:textId="2B38DDCB">
      <w:pPr>
        <w:spacing w:beforeAutospacing="1" w:after="0" w:line="240" w:lineRule="auto"/>
        <w:ind w:left="720" w:hanging="720"/>
        <w:jc w:val="both"/>
        <w:rPr>
          <w:rFonts w:eastAsia="Calibri" w:cstheme="minorHAnsi"/>
          <w:color w:val="000000" w:themeColor="text1"/>
        </w:rPr>
      </w:pPr>
      <w:r w:rsidRPr="00F21DD2">
        <w:rPr>
          <w:rFonts w:eastAsia="Calibri" w:cstheme="minorHAnsi"/>
          <w:color w:val="000000" w:themeColor="text1"/>
        </w:rPr>
        <w:t xml:space="preserve">Teague, P. and </w:t>
      </w:r>
      <w:proofErr w:type="spellStart"/>
      <w:r w:rsidRPr="00F21DD2">
        <w:rPr>
          <w:rFonts w:eastAsia="Calibri" w:cstheme="minorHAnsi"/>
          <w:color w:val="000000" w:themeColor="text1"/>
        </w:rPr>
        <w:t>Donaghey</w:t>
      </w:r>
      <w:proofErr w:type="spellEnd"/>
      <w:r w:rsidRPr="00F21DD2">
        <w:rPr>
          <w:rFonts w:eastAsia="Calibri" w:cstheme="minorHAnsi"/>
          <w:color w:val="000000" w:themeColor="text1"/>
        </w:rPr>
        <w:t>, J., 2018. Brexit: EU social policy and the UK employment model. </w:t>
      </w:r>
      <w:r w:rsidRPr="00F21DD2">
        <w:rPr>
          <w:rFonts w:eastAsia="Calibri" w:cstheme="minorHAnsi"/>
          <w:i/>
          <w:iCs/>
          <w:color w:val="000000" w:themeColor="text1"/>
        </w:rPr>
        <w:t>Industrial Relations Journal</w:t>
      </w:r>
      <w:r w:rsidRPr="00F21DD2">
        <w:rPr>
          <w:rFonts w:eastAsia="Calibri" w:cstheme="minorHAnsi"/>
          <w:color w:val="000000" w:themeColor="text1"/>
        </w:rPr>
        <w:t>, </w:t>
      </w:r>
      <w:r w:rsidRPr="00F21DD2">
        <w:rPr>
          <w:rFonts w:eastAsia="Calibri" w:cstheme="minorHAnsi"/>
          <w:i/>
          <w:iCs/>
          <w:color w:val="000000" w:themeColor="text1"/>
        </w:rPr>
        <w:t>49</w:t>
      </w:r>
      <w:r w:rsidRPr="00F21DD2">
        <w:rPr>
          <w:rFonts w:eastAsia="Calibri" w:cstheme="minorHAnsi"/>
          <w:color w:val="000000" w:themeColor="text1"/>
        </w:rPr>
        <w:t>(5-6), pp.512-533.</w:t>
      </w:r>
    </w:p>
    <w:p w:rsidRPr="00F21DD2" w:rsidR="00DA5E73" w:rsidP="00F21DD2" w:rsidRDefault="00DA5E73" w14:paraId="31078E74" w14:textId="2B3B54B8">
      <w:pPr>
        <w:spacing w:beforeAutospacing="1" w:after="0" w:line="240" w:lineRule="auto"/>
        <w:rPr>
          <w:rFonts w:eastAsia="Calibri" w:cstheme="minorHAnsi"/>
          <w:color w:val="000000" w:themeColor="text1"/>
        </w:rPr>
      </w:pPr>
    </w:p>
    <w:p w:rsidRPr="00F21DD2" w:rsidR="00DA5E73" w:rsidP="00F21DD2" w:rsidRDefault="00DA5E73" w14:paraId="4401893E" w14:textId="116CEEC2">
      <w:pPr>
        <w:tabs>
          <w:tab w:val="left" w:pos="6264"/>
        </w:tabs>
        <w:spacing w:beforeAutospacing="1" w:after="0" w:line="240" w:lineRule="auto"/>
        <w:rPr>
          <w:rFonts w:eastAsia="Calibri" w:cstheme="minorHAnsi"/>
          <w:color w:val="000000" w:themeColor="text1"/>
        </w:rPr>
      </w:pPr>
    </w:p>
    <w:p w:rsidRPr="00F21DD2" w:rsidR="00DA5E73" w:rsidP="00F21DD2" w:rsidRDefault="00DA5E73" w14:paraId="2C078E63" w14:textId="2510EBD5">
      <w:pPr>
        <w:spacing w:after="0" w:line="240" w:lineRule="auto"/>
        <w:rPr>
          <w:rFonts w:cstheme="minorHAnsi"/>
        </w:rPr>
      </w:pPr>
    </w:p>
    <w:sectPr w:rsidRPr="00F21DD2" w:rsidR="00DA5E73">
      <w:headerReference w:type="default" r:id="rId14"/>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2ACF" w:rsidRDefault="00282ACF" w14:paraId="5240BB6A" w14:textId="77777777">
      <w:pPr>
        <w:spacing w:after="0" w:line="240" w:lineRule="auto"/>
      </w:pPr>
      <w:r>
        <w:separator/>
      </w:r>
    </w:p>
  </w:endnote>
  <w:endnote w:type="continuationSeparator" w:id="0">
    <w:p w:rsidR="00282ACF" w:rsidRDefault="00282ACF" w14:paraId="1D541B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C1954C3" w:rsidTr="0C1954C3" w14:paraId="4D476F3C" w14:textId="77777777">
      <w:tc>
        <w:tcPr>
          <w:tcW w:w="3120" w:type="dxa"/>
        </w:tcPr>
        <w:p w:rsidR="0C1954C3" w:rsidP="0C1954C3" w:rsidRDefault="0C1954C3" w14:paraId="0DDD5D37" w14:textId="0DBA8C9B">
          <w:pPr>
            <w:pStyle w:val="a7"/>
            <w:ind w:left="-115"/>
          </w:pPr>
        </w:p>
      </w:tc>
      <w:tc>
        <w:tcPr>
          <w:tcW w:w="3120" w:type="dxa"/>
        </w:tcPr>
        <w:p w:rsidR="0C1954C3" w:rsidP="0C1954C3" w:rsidRDefault="0C1954C3" w14:paraId="5DCD9806" w14:textId="51057FBF">
          <w:pPr>
            <w:pStyle w:val="a7"/>
            <w:jc w:val="center"/>
          </w:pPr>
        </w:p>
      </w:tc>
      <w:tc>
        <w:tcPr>
          <w:tcW w:w="3120" w:type="dxa"/>
        </w:tcPr>
        <w:p w:rsidR="0C1954C3" w:rsidP="0C1954C3" w:rsidRDefault="0C1954C3" w14:paraId="50FB506A" w14:textId="54889361">
          <w:pPr>
            <w:pStyle w:val="a7"/>
            <w:ind w:right="-115"/>
            <w:jc w:val="right"/>
          </w:pPr>
        </w:p>
      </w:tc>
    </w:tr>
  </w:tbl>
  <w:p w:rsidR="0C1954C3" w:rsidP="0C1954C3" w:rsidRDefault="0C1954C3" w14:paraId="699248F7" w14:textId="1EF44C64">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2ACF" w:rsidRDefault="00282ACF" w14:paraId="7B567C79" w14:textId="77777777">
      <w:pPr>
        <w:spacing w:after="0" w:line="240" w:lineRule="auto"/>
      </w:pPr>
      <w:r>
        <w:separator/>
      </w:r>
    </w:p>
  </w:footnote>
  <w:footnote w:type="continuationSeparator" w:id="0">
    <w:p w:rsidR="00282ACF" w:rsidRDefault="00282ACF" w14:paraId="48F00BE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C1954C3" w:rsidTr="0C1954C3" w14:paraId="1F4351C5" w14:textId="77777777">
      <w:tc>
        <w:tcPr>
          <w:tcW w:w="3120" w:type="dxa"/>
        </w:tcPr>
        <w:p w:rsidR="0C1954C3" w:rsidP="0C1954C3" w:rsidRDefault="0C1954C3" w14:paraId="21DDD3E9" w14:textId="44ECE8F5">
          <w:pPr>
            <w:pStyle w:val="a7"/>
            <w:ind w:left="-115"/>
          </w:pPr>
        </w:p>
      </w:tc>
      <w:tc>
        <w:tcPr>
          <w:tcW w:w="3120" w:type="dxa"/>
        </w:tcPr>
        <w:p w:rsidR="0C1954C3" w:rsidP="0C1954C3" w:rsidRDefault="0C1954C3" w14:paraId="659654D6" w14:textId="339BF539">
          <w:pPr>
            <w:pStyle w:val="a7"/>
            <w:jc w:val="center"/>
          </w:pPr>
        </w:p>
      </w:tc>
      <w:tc>
        <w:tcPr>
          <w:tcW w:w="3120" w:type="dxa"/>
        </w:tcPr>
        <w:p w:rsidR="0C1954C3" w:rsidP="0C1954C3" w:rsidRDefault="0C1954C3" w14:paraId="5E82047C" w14:textId="5F9B04A4">
          <w:pPr>
            <w:pStyle w:val="a7"/>
            <w:ind w:right="-115"/>
            <w:jc w:val="right"/>
          </w:pPr>
        </w:p>
      </w:tc>
    </w:tr>
  </w:tbl>
  <w:p w:rsidR="0C1954C3" w:rsidP="0C1954C3" w:rsidRDefault="0C1954C3" w14:paraId="4BE92438" w14:textId="08935B9A">
    <w:pPr>
      <w:pStyle w:val="a7"/>
    </w:pPr>
  </w:p>
</w:hdr>
</file>

<file path=word/intelligence2.xml><?xml version="1.0" encoding="utf-8"?>
<int2:intelligence xmlns:oel="http://schemas.microsoft.com/office/2019/extlst" xmlns:int2="http://schemas.microsoft.com/office/intelligence/2020/intelligence">
  <int2:observations>
    <int2:textHash int2:hashCode="s6P3H6toUuraol" int2:id="5qvPIFKN">
      <int2:state int2:type="LegacyProofing" int2:value="Rejected"/>
    </int2:textHash>
    <int2:textHash int2:hashCode="Nn6A2BGZOHVyB0" int2:id="JsXwQFfY">
      <int2:state int2:type="LegacyProofing" int2:value="Rejected"/>
    </int2:textHash>
    <int2:textHash int2:hashCode="7Su15tg0KstyBt" int2:id="tbpeJX8u">
      <int2:state int2:type="LegacyProofing" int2:value="Rejected"/>
    </int2:textHash>
    <int2:textHash int2:hashCode="V7u1yNFzPaOZUD" int2:id="5n9uqeWn">
      <int2:state int2:type="LegacyProofing" int2:value="Rejected"/>
    </int2:textHash>
    <int2:textHash int2:hashCode="hLGyaY6b8MFKmh" int2:id="FaYr9jOg">
      <int2:state int2:type="AugLoop_Text_Critique" int2:value="Rejected"/>
    </int2:textHash>
    <int2:textHash int2:hashCode="cTCZZo8EHQ9y1m" int2:id="MpCNPGik">
      <int2:state int2:type="AugLoop_Text_Critique" int2:value="Rejected"/>
    </int2:textHash>
    <int2:textHash int2:hashCode="kByidkXaRxGvMx" int2:id="q5JV5bMX">
      <int2:state int2:type="LegacyProofing" int2:value="Rejected"/>
    </int2:textHash>
    <int2:textHash int2:hashCode="6oQ3zWLhOI7QO9" int2:id="xzfHyf64">
      <int2:state int2:type="AugLoop_Text_Critique" int2:value="Rejected"/>
    </int2:textHash>
    <int2:textHash int2:hashCode="BuB23iFUY9Y1Vt" int2:id="7inDyVt1">
      <int2:state int2:type="LegacyProofing" int2:value="Rejected"/>
    </int2:textHash>
    <int2:textHash int2:hashCode="ygzD5hSVPHbd9j" int2:id="cGFZOCDZ">
      <int2:state int2:type="LegacyProofing" int2:value="Rejected"/>
    </int2:textHash>
    <int2:textHash int2:hashCode="pJ3qszpzqpfZOZ" int2:id="qupvqkEk">
      <int2:state int2:type="LegacyProofing" int2:value="Rejected"/>
    </int2:textHash>
    <int2:textHash int2:hashCode="QRzTRe2PnPjF0T" int2:id="9mLiec2m">
      <int2:state int2:type="LegacyProofing" int2:value="Rejected"/>
    </int2:textHash>
    <int2:textHash int2:hashCode="yyMwVV196JRF1q" int2:id="spQZunBR">
      <int2:state int2:type="LegacyProofing" int2:value="Rejected"/>
    </int2:textHash>
    <int2:textHash int2:hashCode="de6OmMavCSziU2" int2:id="NFuesrzA">
      <int2:state int2:type="LegacyProofing" int2:value="Rejected"/>
    </int2:textHash>
    <int2:textHash int2:hashCode="cbQ5GNiUxE4AxA" int2:id="DRMKEPsw">
      <int2:state int2:type="LegacyProofing" int2:value="Rejected"/>
    </int2:textHash>
    <int2:textHash int2:hashCode="m/C6mGJeQTWOW1" int2:id="y3Zdoh11">
      <int2:state int2:type="LegacyProofing" int2:value="Rejected"/>
    </int2:textHash>
    <int2:textHash int2:hashCode="LQ9/F75w2aNoFF" int2:id="YH6E6GU8">
      <int2:state int2:type="AugLoop_Text_Critique" int2:value="Rejected"/>
    </int2:textHash>
    <int2:textHash int2:hashCode="ohyPVEWNdo1Tel" int2:id="Soo5SEOC">
      <int2:state int2:type="LegacyProofing" int2:value="Rejected"/>
    </int2:textHash>
    <int2:textHash int2:hashCode="WfmfKWXlm9yyZB" int2:id="CjW4St8a">
      <int2:state int2:type="AugLoop_Text_Critique" int2:value="Rejected"/>
    </int2:textHash>
    <int2:textHash int2:hashCode="Zl5Cepe8Ii0zzk" int2:id="s3IZdX75">
      <int2:state int2:type="AugLoop_Text_Critique" int2:value="Rejected"/>
    </int2:textHash>
    <int2:textHash int2:hashCode="sGV3Zp9SADEjvi" int2:id="SvsJyb7s">
      <int2:state int2:type="LegacyProofing" int2:value="Rejected"/>
    </int2:textHash>
    <int2:textHash int2:hashCode="lwitWQFgkB9ssk" int2:id="K2kGJ1QV">
      <int2:state int2:type="AugLoop_Text_Critique" int2:value="Rejected"/>
    </int2:textHash>
    <int2:textHash int2:hashCode="3YdJ6DwTfNfMT2" int2:id="D9XMn4FB">
      <int2:state int2:type="AugLoop_Text_Critique" int2:value="Rejected"/>
    </int2:textHash>
    <int2:textHash int2:hashCode="N0wiwb8wwCatzi" int2:id="VHmMaRwY">
      <int2:state int2:type="AugLoop_Text_Critique" int2:value="Rejected"/>
    </int2:textHash>
    <int2:textHash int2:hashCode="NJolzDc61Y4eJs" int2:id="6fQqkYED">
      <int2:state int2:type="AugLoop_Text_Critique" int2:value="Rejected"/>
    </int2:textHash>
    <int2:textHash int2:hashCode="XXbYycDnBWHauT" int2:id="kyD5futd">
      <int2:state int2:type="AugLoop_Text_Critique" int2:value="Rejected"/>
    </int2:textHash>
    <int2:textHash int2:hashCode="emqHxa3cr+gsId" int2:id="tBXj1otn">
      <int2:state int2:type="AugLoop_Text_Critique" int2:value="Rejected"/>
    </int2:textHash>
    <int2:textHash int2:hashCode="GplKy182JqZQK+" int2:id="UbszAxvb">
      <int2:state int2:type="LegacyProofing" int2:value="Rejected"/>
    </int2:textHash>
    <int2:textHash int2:hashCode="PwcP/nJm8P2lKq" int2:id="z67QPxeL">
      <int2:state int2:type="AugLoop_Text_Critique" int2:value="Rejected"/>
    </int2:textHash>
    <int2:textHash int2:hashCode="zEHU+lsDlEPYn8" int2:id="S9C2tqNp">
      <int2:state int2:type="AugLoop_Text_Critique" int2:value="Rejected"/>
    </int2:textHash>
    <int2:textHash int2:hashCode="4ot8XnCB8oZZXd" int2:id="GvqFfJw3">
      <int2:state int2:type="AugLoop_Text_Critique" int2:value="Rejected"/>
    </int2:textHash>
    <int2:textHash int2:hashCode="GGICridPk9vyBV" int2:id="h3oSCxhj">
      <int2:state int2:type="AugLoop_Text_Critique" int2:value="Rejected"/>
    </int2:textHash>
    <int2:textHash int2:hashCode="iFjjinCm48GScH" int2:id="DpN5mIKN">
      <int2:state int2:type="LegacyProofing" int2:value="Rejected"/>
    </int2:textHash>
    <int2:bookmark int2:bookmarkName="_Int_1ZcvJw6P" int2:invalidationBookmarkName="" int2:hashCode="LZxnrOUIWvIHVB" int2:id="8egtogCx">
      <int2:extLst>
        <oel:ext uri="426473B9-03D8-482F-96C9-C2C85392BACA">
          <int2:similarityCritique int2:version="1" int2:context="Employment impact of Covid-19 crisis: from short term effects to long terms prospects.">
            <int2:source int2:sourceType="Online" int2:sourceTitle="Employment impact of Covid-19 crisis: from short term effects to long terms ..." int2:sourceUrl="https://link.springer.com/article/10.1007/s40812-020-00168-5" int2:sourceSnippet="Employment impact of Covid-19 crisis: from short term effects to long terms prospects. Marta Fana 1, Sergio Torrejón Pérez 1 &amp; Enrique Fernández-Macías 1 Journal of Industrial and Business Economics volume 47, pages 391–410 (2020)Cite this article">
              <int2:suggestions int2:citationType="Inline">
                <int2:suggestion int2:citationStyle="Mla" int2:isIdentical="1">
                  <int2:citationText>(“Employment impact of Covid-19 crisis: from short term effects to long terms ...”)</int2:citationText>
                </int2:suggestion>
                <int2:suggestion int2:citationStyle="Apa" int2:isIdentical="1">
                  <int2:citationText>(“Employment impact of Covid-19 crisis: from short term effects to long terms ...”)</int2:citationText>
                </int2:suggestion>
                <int2:suggestion int2:citationStyle="Chicago" int2:isIdentical="1">
                  <int2:citationText>(“Employment impact of Covid-19 crisis: from short term effects to long terms ...”)</int2:citationText>
                </int2:suggestion>
              </int2:suggestions>
              <int2:suggestions int2:citationType="Full">
                <int2:suggestion int2:citationStyle="Mla" int2:isIdentical="1">
                  <int2:citationText>&lt;i&gt;Employment impact of Covid-19 crisis: from short term effects to long terms ...&lt;/i&gt;, https://link.springer.com/article/10.1007/s40812-020-00168-5.</int2:citationText>
                </int2:suggestion>
                <int2:suggestion int2:citationStyle="Apa" int2:isIdentical="1">
                  <int2:citationText>&lt;i&gt;Employment impact of Covid-19 crisis: from short term effects to long terms ...&lt;/i&gt;. (n.d.). Retrieved from https://link.springer.com/article/10.1007/s40812-020-00168-5</int2:citationText>
                </int2:suggestion>
                <int2:suggestion int2:citationStyle="Chicago" int2:isIdentical="1">
                  <int2:citationText>“Employment impact of Covid-19 crisis: from short term effects to long terms ...” n.d., https://link.springer.com/article/10.1007/s40812-020-00168-5.</int2:citationText>
                </int2:suggestion>
              </int2:suggestions>
            </int2:source>
            <int2:source int2:sourceType="Online" int2:sourceTitle="(PDF) Employment impact of Covid-19 crisis: from short term effects to long ..." int2:sourceUrl="https://www.academia.edu/43872501/Employment_impact_of_Covid_19_crisis_from_short_term_effects_to_long_terms_prospects" int2:sourceSnippet="Employment impact of Covid-19 crisis: from short term effects to long terms prospects. Journal of Industrial and Business Economics, 2020. Enrique Fernandez-Macias. Marta Fana. Sergio Torrejon. Download Download PDF. Full PDF Package Download Full PDF Package. This Paper. A short summary of this paper.">
              <int2:suggestions int2:citationType="Inline">
                <int2:suggestion int2:citationStyle="Mla" int2:isIdentical="1">
                  <int2:citationText>(“(PDF) Employment impact of Covid-19 crisis: from short term effects to long ...”)</int2:citationText>
                </int2:suggestion>
                <int2:suggestion int2:citationStyle="Apa" int2:isIdentical="1">
                  <int2:citationText>(“(PDF) Employment impact of Covid-19 crisis: from short term effects to long ...”)</int2:citationText>
                </int2:suggestion>
                <int2:suggestion int2:citationStyle="Chicago" int2:isIdentical="1">
                  <int2:citationText>(“(PDF) Employment impact of Covid-19 crisis: from short term effects to long ...”)</int2:citationText>
                </int2:suggestion>
              </int2:suggestions>
              <int2:suggestions int2:citationType="Full">
                <int2:suggestion int2:citationStyle="Mla" int2:isIdentical="1">
                  <int2:citationText>&lt;i&gt;(PDF) Employment impact of Covid-19 crisis: from short term effects to long ...&lt;/i&gt;, https://www.academia.edu/43872501/Employment_impact_of_Covid_19_crisis_from_short_term_effects_to_long_terms_prospects.</int2:citationText>
                </int2:suggestion>
                <int2:suggestion int2:citationStyle="Apa" int2:isIdentical="1">
                  <int2:citationText>&lt;i&gt;(PDF) Employment impact of Covid-19 crisis: from short term effects to long ...&lt;/i&gt;. (n.d.). Retrieved from https://www.academia.edu/43872501/Employment_impact_of_Covid_19_crisis_from_short_term_effects_to_long_terms_prospects</int2:citationText>
                </int2:suggestion>
                <int2:suggestion int2:citationStyle="Chicago" int2:isIdentical="1">
                  <int2:citationText>“(PDF) Employment impact of Covid-19 crisis: from short term effects to long ...” n.d., https://www.academia.edu/43872501/Employment_impact_of_Covid_19_crisis_from_short_term_effects_to_long_terms_prospects.</int2:citationText>
                </int2:suggestion>
              </int2:suggestions>
            </int2:source>
            <int2:source int2:sourceType="Online" int2:sourceTitle="Employment impact of Covid-19 cri... preview &amp; related info | Mendeley" int2:sourceUrl="https://www.mendeley.com/catalogue/c8527c17-e718-33ab-b53f-e2622fbc28f4/" int2:sourceSnippet="Employment impact of Covid-19 crisis: from short term effects to long terms prospects. Fana M; Torrejón Pérez S; Fernández-Macías E; Journal of Industrial and Business Economics (2020) 47(3) 391-410. DOI: 10.1007/s40812-020-00168-5. 45 Citations. Citations of this article. 296 Readers.">
              <int2:suggestions int2:citationType="Inline">
                <int2:suggestion int2:citationStyle="Mla" int2:isIdentical="1">
                  <int2:citationText>(“Employment impact of Covid-19 cri... preview &amp; related info | Mendeley”)</int2:citationText>
                </int2:suggestion>
                <int2:suggestion int2:citationStyle="Apa" int2:isIdentical="1">
                  <int2:citationText>(“Employment impact of Covid-19 cri... preview &amp; related info | Mendeley”)</int2:citationText>
                </int2:suggestion>
                <int2:suggestion int2:citationStyle="Chicago" int2:isIdentical="1">
                  <int2:citationText>(“Employment impact of Covid-19 cri... preview &amp; related info | Mendeley”)</int2:citationText>
                </int2:suggestion>
              </int2:suggestions>
              <int2:suggestions int2:citationType="Full">
                <int2:suggestion int2:citationStyle="Mla" int2:isIdentical="1">
                  <int2:citationText>&lt;i&gt;Employment impact of Covid-19 cri... preview &amp; related info | Mendeley&lt;/i&gt;, https://www.mendeley.com/catalogue/c8527c17-e718-33ab-b53f-e2622fbc28f4/.</int2:citationText>
                </int2:suggestion>
                <int2:suggestion int2:citationStyle="Apa" int2:isIdentical="1">
                  <int2:citationText>&lt;i&gt;Employment impact of Covid-19 cri... preview &amp; related info | Mendeley&lt;/i&gt;. (n.d.). Retrieved from https://www.mendeley.com/catalogue/c8527c17-e718-33ab-b53f-e2622fbc28f4/</int2:citationText>
                </int2:suggestion>
                <int2:suggestion int2:citationStyle="Chicago" int2:isIdentical="1">
                  <int2:citationText>“Employment impact of Covid-19 cri... preview &amp; related info | Mendeley” n.d., https://www.mendeley.com/catalogue/c8527c17-e718-33ab-b53f-e2622fbc28f4/.</int2:citationText>
                </int2:suggestion>
              </int2:suggestions>
            </int2:source>
          </int2:similarityCritique>
        </oel:ext>
      </int2:extLst>
    </int2:bookmark>
    <int2:bookmark int2:bookmarkName="_Int_Xhv4G6gL" int2:invalidationBookmarkName="" int2:hashCode="gcyKT28cQza9DY" int2:id="xdj2Vxjh">
      <int2:extLst>
        <oel:ext uri="426473B9-03D8-482F-96C9-C2C85392BACA">
          <int2:similarityCritique int2:version="1" int2:context="Crowley, F., Daly, H., Doran, J., Ryan, G. and Caulfield, B., 2021.">
            <int2:source int2:sourceType="Online" int2:sourceTitle="Sci-Hub | The impact of labour market disruptions and transport choice on ..." int2:sourceUrl="https://sci-hub.se/10.1016/j.tranpol.2021.04.008" int2:sourceSnippet="Crowley, F., Daly, H., Doran, J., Ryan, G., &amp; Caulfield, B. (2021). The impact of labour market disruptions and transport choice on the environment during COVID-19.">
              <int2:suggestions int2:citationType="Inline">
                <int2:suggestion int2:citationStyle="Mla" int2:isIdentical="0">
                  <int2:citationText>(“Sci-Hub | The impact of labour market disruptions and transport choice on ...”)</int2:citationText>
                </int2:suggestion>
                <int2:suggestion int2:citationStyle="Apa" int2:isIdentical="0">
                  <int2:citationText>(“Sci-Hub | The impact of labour market disruptions and transport choice on ...”)</int2:citationText>
                </int2:suggestion>
                <int2:suggestion int2:citationStyle="Chicago" int2:isIdentical="0">
                  <int2:citationText>(“Sci-Hub | The impact of labour market disruptions and transport choice on ...”)</int2:citationText>
                </int2:suggestion>
              </int2:suggestions>
              <int2:suggestions int2:citationType="Full">
                <int2:suggestion int2:citationStyle="Mla" int2:isIdentical="0">
                  <int2:citationText>&lt;i&gt;Sci-Hub | The impact of labour market disruptions and transport choice on ...&lt;/i&gt;, https://sci-hub.se/10.1016/j.tranpol.2021.04.008.</int2:citationText>
                </int2:suggestion>
                <int2:suggestion int2:citationStyle="Apa" int2:isIdentical="0">
                  <int2:citationText>&lt;i&gt;Sci-Hub | The impact of labour market disruptions and transport choice on ...&lt;/i&gt;. (n.d.). Retrieved from https://sci-hub.se/10.1016/j.tranpol.2021.04.008</int2:citationText>
                </int2:suggestion>
                <int2:suggestion int2:citationStyle="Chicago" int2:isIdentical="0">
                  <int2:citationText>“Sci-Hub | The impact of labour market disruptions and transport choice on ...” n.d., https://sci-hub.se/10.1016/j.tranpol.2021.04.008.</int2:citationText>
                </int2:suggestion>
              </int2:suggestions>
            </int2:source>
            <int2:source int2:sourceType="Online" int2:sourceTitle="Environmental issues on covid-19 medical waste: review from policy ..." int2:sourceUrl="https://iopscience.iop.org/article/10.1088/1755-1315/905/1/012108" int2:sourceSnippet="[88] Crowley F, Daly H, Doran J, Ryan G and Caulfield B 2021 Transp. Policy 106 185-195. Go to reference in article Google Scholar [89] Isaacs A, Squires C G and Hawkes C 2021 Int. J. Qual. Methods 20. Go to reference in article Google Scholar [90] Sanders K B 2020 Church, Commun. Cult. 5 356-377. Go to reference in article Google Scholar">
              <int2:suggestions int2:citationType="Inline">
                <int2:suggestion int2:citationStyle="Mla" int2:isIdentical="0">
                  <int2:citationText>(“Environmental issues on covid-19 medical waste: review from policy ...”)</int2:citationText>
                </int2:suggestion>
                <int2:suggestion int2:citationStyle="Apa" int2:isIdentical="0">
                  <int2:citationText>(“Environmental issues on covid-19 medical waste: review from policy ...”)</int2:citationText>
                </int2:suggestion>
                <int2:suggestion int2:citationStyle="Chicago" int2:isIdentical="0">
                  <int2:citationText>(“Environmental issues on covid-19 medical waste: review from policy ...”)</int2:citationText>
                </int2:suggestion>
              </int2:suggestions>
              <int2:suggestions int2:citationType="Full">
                <int2:suggestion int2:citationStyle="Mla" int2:isIdentical="0">
                  <int2:citationText>&lt;i&gt;Environmental issues on covid-19 medical waste: review from policy ...&lt;/i&gt;, https://iopscience.iop.org/article/10.1088/1755-1315/905/1/012108.</int2:citationText>
                </int2:suggestion>
                <int2:suggestion int2:citationStyle="Apa" int2:isIdentical="0">
                  <int2:citationText>&lt;i&gt;Environmental issues on covid-19 medical waste: review from policy ...&lt;/i&gt;. (n.d.). Retrieved from https://iopscience.iop.org/article/10.1088/1755-1315/905/1/012108</int2:citationText>
                </int2:suggestion>
                <int2:suggestion int2:citationStyle="Chicago" int2:isIdentical="0">
                  <int2:citationText>“Environmental issues on covid-19 medical waste: review from policy ...” n.d., https://iopscience.iop.org/article/10.1088/1755-1315/905/1/012108.</int2:citationText>
                </int2:suggestion>
              </int2:suggestions>
            </int2:source>
            <int2:source int2:sourceType="Online" int2:sourceTitle="Small cities face greater impact from automation | Journal ... - Royal Society" int2:sourceUrl="https://royalsocietypublishing.org/doi/10.1098/rsif.2017.0946" int2:sourceSnippet="Crowley F, Daly H, Doran J, Ryan G and Caulfield B (2021) The impact of labour market disruptions and transport choice on the environment during COVID-19, Transport Policy, 10.1016/j.tranpol.2021.04.008, 106, (185-195), Online publication date: 1-Jun-2021.">
              <int2:suggestions int2:citationType="Inline">
                <int2:suggestion int2:citationStyle="Mla" int2:isIdentical="0">
                  <int2:citationText>(“Small cities face greater impact from automation | Journal ... - Royal Society”)</int2:citationText>
                </int2:suggestion>
                <int2:suggestion int2:citationStyle="Apa" int2:isIdentical="0">
                  <int2:citationText>(“Small cities face greater impact from automation | Journal ... - Royal Society”)</int2:citationText>
                </int2:suggestion>
                <int2:suggestion int2:citationStyle="Chicago" int2:isIdentical="0">
                  <int2:citationText>(“Small cities face greater impact from automation | Journal ... - Royal Society”)</int2:citationText>
                </int2:suggestion>
              </int2:suggestions>
              <int2:suggestions int2:citationType="Full">
                <int2:suggestion int2:citationStyle="Mla" int2:isIdentical="0">
                  <int2:citationText>&lt;i&gt;Small cities face greater impact from automation | Journal ... - Royal Society&lt;/i&gt;, https://royalsocietypublishing.org/doi/10.1098/rsif.2017.0946.</int2:citationText>
                </int2:suggestion>
                <int2:suggestion int2:citationStyle="Apa" int2:isIdentical="0">
                  <int2:citationText>&lt;i&gt;Small cities face greater impact from automation | Journal ... - Royal Society&lt;/i&gt;. (n.d.). Retrieved from https://royalsocietypublishing.org/doi/10.1098/rsif.2017.0946</int2:citationText>
                </int2:suggestion>
                <int2:suggestion int2:citationStyle="Chicago" int2:isIdentical="0">
                  <int2:citationText>“Small cities face greater impact from automation | Journal ... - Royal Society” n.d., https://royalsocietypublishing.org/doi/10.1098/rsif.2017.0946.</int2:citationText>
                </int2:suggestion>
              </int2:suggestions>
            </int2:source>
          </int2:similarityCritique>
        </oel:ext>
      </int2:extLst>
    </int2:bookmark>
    <int2:bookmark int2:bookmarkName="_Int_0KiUCDox" int2:invalidationBookmarkName="" int2:hashCode="XLcaTDN9LplG9J" int2:id="FJMLFBEn">
      <int2:state int2:type="LegacyProofing" int2:value="Rejected"/>
    </int2:bookmark>
    <int2:bookmark int2:bookmarkName="_Int_b1jltBwy" int2:invalidationBookmarkName="" int2:hashCode="++QFjF3PhAyDTS" int2:id="veVpjLZq">
      <int2:state int2:type="LegacyProofing" int2:value="Rejected"/>
    </int2:bookmark>
    <int2:bookmark int2:bookmarkName="_Int_By7MkHmH" int2:invalidationBookmarkName="" int2:hashCode="kH9x8t6UMONArM" int2:id="csNf8CXN">
      <int2:state int2:type="LegacyProofing" int2:value="Rejected"/>
    </int2:bookmark>
    <int2:bookmark int2:bookmarkName="_Int_hSSrAF9A" int2:invalidationBookmarkName="" int2:hashCode="ub9V2khbbGIBx/" int2:id="m3P7OjEG">
      <int2:state int2:type="LegacyProofing" int2:value="Rejected"/>
    </int2:bookmark>
    <int2:entireDocument int2:id="jtTzWdNp">
      <int2:extLst>
        <oel:ext uri="E302BA01-7950-474C-9AD3-286E660C40A8">
          <int2:similaritySummary int2:version="1" int2:runId="1650447525652" int2:tilesCheckedInThisRun="96" int2:totalNumOfTiles="96" int2:similarityAnnotationCount="2" int2:numWords="3184" int2:numFlaggedWords="25"/>
        </oel:ext>
      </int2:extLst>
    </int2:entireDocument>
  </int2:observations>
  <int2:intelligenceSettings/>
  <int2:onDemandWorkflows>
    <int2:onDemandWorkflow int2:type="SimilarityCheck" int2:paragraphVersions="6D6C11F0-78000D44 167CB0EB-1A64A592 1E3E3282-29B9D50A 31D707F1-3F6E942E 5F1B681C-370E357E 4F77F8F9-6E38D358 4708577B-14F7C4A2 359103F3-79A6A9EF 24F34CE8-172775B2 27E9E84A-58579450 1F395EF8-1DC6221B 43159955-3BC7D591 29B38440-7EFE6E17 68D78EDC-5270E689 65B6D136-04D46D8F 03C133BC-5BE2CABF 401CC0B0-05B3C60C 78A18FAA-77AC487C 12D2F21F-7AD7392E 2BEB79B5-5F4976B6 69BBC2B5-731C86F9 7A84AFD3-40B48088 0E612526-0445DA39 5ADAE0DB-6DA53CEE 04C68DE7-680C65DB 0CE77D96-0CBFC353 732FCF03-3DBEDE5E 6A0D3727-259F2973 53FEDDE9-675E12C9 599E2F8E-2093709F 2075E493-30905127 7B1663CD-7C095EDA 6E5BD2A1-0169F4BB 0BBF828D-010F82F7 2C730BD1-663B3DAA 1E61A2D5-413F8C64 47EB6941-459601CB 7D87A90D-0EC67897 4F687C9D-708D1AB8 0FBCEDFC-03511828 77A0FE52-12C7AAED 6770C4A0-4A6A4DE7 0B322643-1E729194 1AF39E1A-529F509E 2102E947-01DB286B 18248AA8-1C5844C4 62044A90-1E9ADC83 5134A255-4BE837B0 76125368-012D683A 3685D53F-1D2F5CFE 1AA27399-1A14C8F1 3DA577A0-0813D0AB 73C32FF7-64D4D0C5 22F83E96-18F4D99E 6BF2E197-3E0BF736 77A86101-705CDF06 0EC4FDA3-379801B3 402D9037-7A6095C4 2D7A508D-19578330 03DBB86C-673523EE 0D72015F-0A3187FF 6D5D4794-24549ED4 3029AE4D-08AB1974 082E6FCD-46C808A2 6491DB52-74314D0F 2B7F4497-48ABD850 2A6253F2-30EAA80C 5AE6A1B9-11C54D2E 024248A7-7FAAC03F 1F6BECA3-705B85BD 3BA827E4-6299741B 64F27B48-6F34C8D2 31B4C95B-45CAF2B7 006D5D27-79AA8CCA 67FAEBCA-54CF537B 6F7B1861-21936B0B 2F02DFC1-30D6B3FB 366DD310-33910038 4E5653AC-229BC7FC 1D9FD4E0-3A01A816 71BFE13F-2F4DB0F8 2A516AC3-0F70D7E0 636ECB3A-127FCDEF 2ABF23B0-46980156 09CE1019-228E84D4 35B01CCD-36C079E6 05C137E7-4063002E 2DC64BB3-30C0874A 6D878BD0-3CB4F00B 29CA146F-3D03EF70 54F462AB-3B5B4004 53BFB9A7-63B70415 0E8A2488-380FA7BA 6CE42437-26595085 02221224-3A890E70 1D499AB8-79FD4A3B 1EFFBAB1-15890782 7E6FA686-30C5FD2C 5921550E-17C0CB08 23CD0459-38BCEEA6 7321F2E0-385D3A23 3A62E8DC-1DF65C6C 1C1D1A08-686C83CB 143EFD1E-1E27D6F7 16D60AC0-17BAE286 19824BDC-3A9E63A0 32C117F2-518348CB 10500353-3121CB4B 422B2526-0EA46B8F 1DF151AA-36CB38CB 202B125F-2B326619 1540B3F2-4ED5062D 2CE996C9-495D9690 3AD917E0-34B36116 75ACC160-3559DE22 7F69B681-5D82C9AD 1AAB9190-08A27519 7AB815BA-38E03566 51C54984-31B04445 4EDD4231-73D92825 5D139223-5F716440 7C123663-662C6D90 647B5AB1-2DF7AA51 01E97289-460E5A43 618DC3C3-4F5A4841 599CFF90-77F7E0AE 64253A47-33B52406 0B5B142B-6711A9EC 4689F2FB-02A3DB6F 7469C3E3-42EFF862 087424B6-2D51B7CD 57AA6FC6-3A0FE7CD 37696B4E-62259AD2 708A6F33-76EE01AA 5FDF56CC-23BF0CA2 36916C4C-261429E9 1D246647-13239C41 591F7AE5-79625ADD 2060D582-75EFFC7D 7EF4235F-6623D0C9 07639574-587B408B 19103030-119CB8C5 2EAC4168-3F0A6880 63FCDA3A-302085D9 59BF0AC0-382CE743 66C8DC78-0E4964E3 3CC5C48D-5C075F43 7CDFB14C-01E9D18A 32D86DDB-1C002EC5 2EB660A2-2D501E8C 6AA78EB1-5C0D4D51 3789ABB4-3E94CD2C 5F849FB8-5C54DC1F 11E4E207-3CA4FDD8 055432AD-4EAF775A 5BC0C6BF-22230EED 06DA665B-499E2813 3F21EB83-590509DE 136FFEA9-15CA57D0 38CB9A09-1B8E54EF 12C8E8C5-79D1B253 39F69DD2-0E9CEE8C 2B86D6FA-5EE3C75C 68851B7D-2678159B 45A66937-7B983F74 4CA20D4C-18BF5D58 7CB690CF-0CCB9022 7162E074-1A5021A9 38DF3672-4678CB36 54E878F6-666B5462 1FC24658-7500399B 0D014873-4C637030 7457F569-72DD8935 4F4B8456-326B5C9F 4DAE7CF8-2CAC3758 4B258EBB-403AAA7B 650103AD-4D03CC84 31410EA0-78DBD84A 34CD1411-5EAAA052 1E0215F2-3306EE1C 263302AC-2B38DDCB 31078E74-2B3B54B8 4401893E-116CEEC2 2C078E63-2510EBD5 21DDD3E9-44ECE8F5 659654D6-339BF539 5E82047C-5F9B04A4 4BE92438-08935B9A 0DDD5D37-0DBA8C9B 5DCD9806-51057FBF 50FB506A-54889361 699248F7-1EF44C6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174CDF"/>
    <w:rsid w:val="00282ACF"/>
    <w:rsid w:val="00543825"/>
    <w:rsid w:val="00DA5E73"/>
    <w:rsid w:val="00F21DD2"/>
    <w:rsid w:val="03D54D12"/>
    <w:rsid w:val="03D54D12"/>
    <w:rsid w:val="0598D868"/>
    <w:rsid w:val="067372FE"/>
    <w:rsid w:val="09C43C1D"/>
    <w:rsid w:val="0C1954C3"/>
    <w:rsid w:val="0CE2B482"/>
    <w:rsid w:val="0E652018"/>
    <w:rsid w:val="0F3FBAAE"/>
    <w:rsid w:val="101A5544"/>
    <w:rsid w:val="102242CA"/>
    <w:rsid w:val="1359E38C"/>
    <w:rsid w:val="13EB70DC"/>
    <w:rsid w:val="13F35E62"/>
    <w:rsid w:val="14DF33CF"/>
    <w:rsid w:val="14F5B3ED"/>
    <w:rsid w:val="14FF013E"/>
    <w:rsid w:val="15E1895A"/>
    <w:rsid w:val="174ACC93"/>
    <w:rsid w:val="1763F4F0"/>
    <w:rsid w:val="18256729"/>
    <w:rsid w:val="18ADA728"/>
    <w:rsid w:val="18E69CF4"/>
    <w:rsid w:val="19997C95"/>
    <w:rsid w:val="19C92510"/>
    <w:rsid w:val="1DD33674"/>
    <w:rsid w:val="1E861615"/>
    <w:rsid w:val="1E861615"/>
    <w:rsid w:val="1E9C9633"/>
    <w:rsid w:val="1F55DE78"/>
    <w:rsid w:val="20D1E16A"/>
    <w:rsid w:val="21A48E7A"/>
    <w:rsid w:val="23405EDB"/>
    <w:rsid w:val="23405EDB"/>
    <w:rsid w:val="25C51FFC"/>
    <w:rsid w:val="278242AE"/>
    <w:rsid w:val="2A78C3B0"/>
    <w:rsid w:val="2AB9E370"/>
    <w:rsid w:val="2B535E46"/>
    <w:rsid w:val="2B535E46"/>
    <w:rsid w:val="2B732BB5"/>
    <w:rsid w:val="2F8D5493"/>
    <w:rsid w:val="312924F4"/>
    <w:rsid w:val="35EE037F"/>
    <w:rsid w:val="38599C43"/>
    <w:rsid w:val="3C7D2AFB"/>
    <w:rsid w:val="3D251FE0"/>
    <w:rsid w:val="3FA3785D"/>
    <w:rsid w:val="40174CDF"/>
    <w:rsid w:val="403CF333"/>
    <w:rsid w:val="43946164"/>
    <w:rsid w:val="46930C5A"/>
    <w:rsid w:val="46BAC74F"/>
    <w:rsid w:val="4BA760CF"/>
    <w:rsid w:val="53D3C505"/>
    <w:rsid w:val="5567A7E0"/>
    <w:rsid w:val="58B870FF"/>
    <w:rsid w:val="5AFC4ECE"/>
    <w:rsid w:val="5C981F2F"/>
    <w:rsid w:val="5E1AC733"/>
    <w:rsid w:val="62EE3856"/>
    <w:rsid w:val="68B56C6C"/>
    <w:rsid w:val="68F9346B"/>
    <w:rsid w:val="693DAC6B"/>
    <w:rsid w:val="6B2BD763"/>
    <w:rsid w:val="6C754D2D"/>
    <w:rsid w:val="6E38D883"/>
    <w:rsid w:val="6EFCF2FB"/>
    <w:rsid w:val="6F2C9B76"/>
    <w:rsid w:val="70A0B0E2"/>
    <w:rsid w:val="73045C20"/>
    <w:rsid w:val="759BDCFA"/>
    <w:rsid w:val="766E8A0A"/>
    <w:rsid w:val="7A676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74CDF"/>
  <w15:chartTrackingRefBased/>
  <w15:docId w15:val="{BA72BD1B-8DC0-4063-B7AE-6B84FD44C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a" w:default="1">
    <w:name w:val="Normal"/>
    <w:qFormat/>
  </w:style>
  <w:style w:type="paragraph" w:styleId="1">
    <w:name w:val="heading 1"/>
    <w:basedOn w:val="a"/>
    <w:next w:val="a"/>
    <w:link w:val="10"/>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3">
    <w:name w:val="heading 3"/>
    <w:basedOn w:val="a"/>
    <w:next w:val="a"/>
    <w:link w:val="30"/>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a0" w:default="1">
    <w:name w:val="Default Paragraph Font"/>
    <w:uiPriority w:val="1"/>
    <w:semiHidden/>
    <w:unhideWhenUsed/>
  </w:style>
  <w:style w:type="table" w:styleId="a1" w:default="1">
    <w:name w:val="Normal Table"/>
    <w:uiPriority w:val="99"/>
    <w:semiHidden/>
    <w:unhideWhenUsed/>
    <w:tblPr>
      <w:tblInd w:w="0" w:type="dxa"/>
      <w:tblCellMar>
        <w:top w:w="0" w:type="dxa"/>
        <w:left w:w="108" w:type="dxa"/>
        <w:bottom w:w="0" w:type="dxa"/>
        <w:right w:w="108" w:type="dxa"/>
      </w:tblCellMar>
    </w:tblPr>
  </w:style>
  <w:style w:type="numbering" w:styleId="a2" w:default="1">
    <w:name w:val="No List"/>
    <w:uiPriority w:val="99"/>
    <w:semiHidden/>
    <w:unhideWhenUsed/>
  </w:style>
  <w:style w:type="character" w:styleId="a3">
    <w:name w:val="Hyperlink"/>
    <w:basedOn w:val="a0"/>
    <w:uiPriority w:val="99"/>
    <w:unhideWhenUsed/>
    <w:rPr>
      <w:color w:val="0563C1" w:themeColor="hyperlink"/>
      <w:u w:val="single"/>
    </w:rPr>
  </w:style>
  <w:style w:type="character" w:styleId="10" w:customStyle="1">
    <w:name w:val="Заглавие 1 Знак"/>
    <w:basedOn w:val="a0"/>
    <w:link w:val="1"/>
    <w:uiPriority w:val="9"/>
    <w:rPr>
      <w:rFonts w:asciiTheme="majorHAnsi" w:hAnsiTheme="majorHAnsi" w:eastAsiaTheme="majorEastAsia" w:cstheme="majorBidi"/>
      <w:color w:val="2F5496" w:themeColor="accent1" w:themeShade="BF"/>
      <w:sz w:val="32"/>
      <w:szCs w:val="32"/>
    </w:rPr>
  </w:style>
  <w:style w:type="character" w:styleId="20" w:customStyle="1">
    <w:name w:val="Заглавие 2 Знак"/>
    <w:basedOn w:val="a0"/>
    <w:link w:val="2"/>
    <w:uiPriority w:val="9"/>
    <w:rPr>
      <w:rFonts w:asciiTheme="majorHAnsi" w:hAnsiTheme="majorHAnsi" w:eastAsiaTheme="majorEastAsia" w:cstheme="majorBidi"/>
      <w:color w:val="2F5496" w:themeColor="accent1" w:themeShade="BF"/>
      <w:sz w:val="26"/>
      <w:szCs w:val="26"/>
    </w:rPr>
  </w:style>
  <w:style w:type="character" w:styleId="a4">
    <w:name w:val="Strong"/>
    <w:basedOn w:val="a0"/>
    <w:uiPriority w:val="22"/>
    <w:qFormat/>
    <w:rPr>
      <w:b/>
      <w:bCs/>
    </w:rPr>
  </w:style>
  <w:style w:type="character" w:styleId="30" w:customStyle="1">
    <w:name w:val="Заглавие 3 Знак"/>
    <w:basedOn w:val="a0"/>
    <w:link w:val="3"/>
    <w:uiPriority w:val="9"/>
    <w:rPr>
      <w:rFonts w:asciiTheme="majorHAnsi" w:hAnsiTheme="majorHAnsi" w:eastAsiaTheme="majorEastAsia" w:cstheme="majorBidi"/>
      <w:color w:val="1F3763" w:themeColor="accent1" w:themeShade="7F"/>
      <w:sz w:val="24"/>
      <w:szCs w:val="24"/>
    </w:rPr>
  </w:style>
  <w:style w:type="table" w:styleId="a5">
    <w:name w:val="Table Grid"/>
    <w:basedOn w:val="a1"/>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a6" w:customStyle="1">
    <w:name w:val="Горен колонтитул Знак"/>
    <w:basedOn w:val="a0"/>
    <w:link w:val="a7"/>
    <w:uiPriority w:val="99"/>
  </w:style>
  <w:style w:type="paragraph" w:styleId="a7">
    <w:name w:val="header"/>
    <w:basedOn w:val="a"/>
    <w:link w:val="a6"/>
    <w:uiPriority w:val="99"/>
    <w:unhideWhenUsed/>
    <w:pPr>
      <w:tabs>
        <w:tab w:val="center" w:pos="4680"/>
        <w:tab w:val="right" w:pos="9360"/>
      </w:tabs>
      <w:spacing w:after="0" w:line="240" w:lineRule="auto"/>
    </w:pPr>
  </w:style>
  <w:style w:type="character" w:styleId="a8" w:customStyle="1">
    <w:name w:val="Долен колонтитул Знак"/>
    <w:basedOn w:val="a0"/>
    <w:link w:val="a9"/>
    <w:uiPriority w:val="99"/>
  </w:style>
  <w:style w:type="paragraph" w:styleId="a9">
    <w:name w:val="footer"/>
    <w:basedOn w:val="a"/>
    <w:link w:val="a8"/>
    <w:uiPriority w:val="99"/>
    <w:unhideWhenUsed/>
    <w:pPr>
      <w:tabs>
        <w:tab w:val="center" w:pos="4680"/>
        <w:tab w:val="right" w:pos="9360"/>
      </w:tabs>
      <w:spacing w:after="0" w:line="240" w:lineRule="auto"/>
    </w:pPr>
  </w:style>
  <w:style w:type="paragraph" w:styleId="aa">
    <w:name w:val="TOC Heading"/>
    <w:basedOn w:val="1"/>
    <w:next w:val="a"/>
    <w:uiPriority w:val="39"/>
    <w:unhideWhenUsed/>
    <w:qFormat/>
    <w:rsid w:val="00543825"/>
    <w:pPr>
      <w:outlineLvl w:val="9"/>
    </w:pPr>
    <w:rPr>
      <w:lang w:val="en-GB" w:eastAsia="en-GB"/>
    </w:rPr>
  </w:style>
  <w:style w:type="paragraph" w:styleId="11">
    <w:name w:val="toc 1"/>
    <w:basedOn w:val="a"/>
    <w:next w:val="a"/>
    <w:autoRedefine/>
    <w:uiPriority w:val="39"/>
    <w:unhideWhenUsed/>
    <w:rsid w:val="00543825"/>
    <w:pPr>
      <w:spacing w:after="100"/>
    </w:pPr>
  </w:style>
  <w:style w:type="paragraph" w:styleId="21">
    <w:name w:val="toc 2"/>
    <w:basedOn w:val="a"/>
    <w:next w:val="a"/>
    <w:autoRedefine/>
    <w:uiPriority w:val="39"/>
    <w:unhideWhenUsed/>
    <w:rsid w:val="00543825"/>
    <w:pPr>
      <w:spacing w:after="100"/>
      <w:ind w:left="220"/>
    </w:pPr>
  </w:style>
  <w:style w:type="paragraph" w:styleId="31">
    <w:name w:val="toc 3"/>
    <w:basedOn w:val="a"/>
    <w:next w:val="a"/>
    <w:autoRedefine/>
    <w:uiPriority w:val="39"/>
    <w:unhideWhenUsed/>
    <w:rsid w:val="005438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microsoft.com/office/2020/10/relationships/intelligence" Target="intelligence2.xml" Id="Ra2c929eee3774c2c"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eader" Target="header1.xml" Id="rId14" /><Relationship Type="http://schemas.openxmlformats.org/officeDocument/2006/relationships/image" Target="/media/image8.png" Id="Re6bf71e833864a6e" /><Relationship Type="http://schemas.openxmlformats.org/officeDocument/2006/relationships/image" Target="/media/image9.png" Id="R0f6aa776db3a475e" /><Relationship Type="http://schemas.openxmlformats.org/officeDocument/2006/relationships/glossaryDocument" Target="glossary/document.xml" Id="Rdf54d7628cef4ee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00e846-1370-40be-a2fc-da314258999b}"/>
      </w:docPartPr>
      <w:docPartBody>
        <w:p w14:paraId="06F9593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2BD6A3-2EAD-47F4-93FA-1E4364E5151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Yoana Georgieva (1714886)</dc:creator>
  <keywords/>
  <dc:description/>
  <lastModifiedBy>Yoana Georgieva (1714886)</lastModifiedBy>
  <revision>3</revision>
  <dcterms:created xsi:type="dcterms:W3CDTF">2022-04-20T09:06:00.0000000Z</dcterms:created>
  <dcterms:modified xsi:type="dcterms:W3CDTF">2022-04-20T11:08:43.6021101Z</dcterms:modified>
</coreProperties>
</file>