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022C6" w14:textId="294C8FA5" w:rsidR="00F95540" w:rsidRPr="00847765" w:rsidRDefault="00F95540" w:rsidP="00F95540">
      <w:pPr>
        <w:rPr>
          <w:rFonts w:ascii="Arial" w:hAnsi="Arial" w:cs="Arial"/>
          <w:sz w:val="22"/>
          <w:szCs w:val="22"/>
        </w:rPr>
      </w:pPr>
      <w:r w:rsidRPr="00847765">
        <w:rPr>
          <w:rFonts w:ascii="Arial" w:hAnsi="Arial" w:cs="Arial"/>
          <w:sz w:val="22"/>
          <w:szCs w:val="22"/>
        </w:rPr>
        <w:t>INTRODUCTION</w:t>
      </w:r>
    </w:p>
    <w:p w14:paraId="04AB67D3" w14:textId="3A5548A1" w:rsidR="00F95540" w:rsidRPr="00847765" w:rsidRDefault="00F95540" w:rsidP="00F95540">
      <w:pPr>
        <w:rPr>
          <w:rFonts w:ascii="Arial" w:hAnsi="Arial" w:cs="Arial"/>
          <w:sz w:val="22"/>
          <w:szCs w:val="22"/>
        </w:rPr>
      </w:pPr>
      <w:r w:rsidRPr="00847765">
        <w:rPr>
          <w:rFonts w:ascii="Arial" w:hAnsi="Arial" w:cs="Arial"/>
          <w:sz w:val="22"/>
          <w:szCs w:val="22"/>
        </w:rPr>
        <w:t>This report examines the foundational principles of health and social care practice, focusing specifically on their application within contemporary clinical environments. Effective healthcare delivery relies on the seamless integration of person-centred care, multi-agency partnership working, and robust ethical frameworks to ensure optimal patient outcomes and efficient resource utilization. By prioritizing individual patient needs and fostering collaboration between multidisciplinary teams, healthcare professionals can effectively mitigate complex barriers to care.</w:t>
      </w:r>
    </w:p>
    <w:p w14:paraId="3EBACDFD" w14:textId="7E2DB3BD" w:rsidR="00F95540" w:rsidRPr="00847765" w:rsidRDefault="00F95540" w:rsidP="00F95540">
      <w:pPr>
        <w:rPr>
          <w:rFonts w:ascii="Arial" w:hAnsi="Arial" w:cs="Arial"/>
          <w:sz w:val="22"/>
          <w:szCs w:val="22"/>
        </w:rPr>
      </w:pPr>
      <w:r w:rsidRPr="00847765">
        <w:rPr>
          <w:rFonts w:ascii="Arial" w:hAnsi="Arial" w:cs="Arial"/>
          <w:sz w:val="22"/>
          <w:szCs w:val="22"/>
        </w:rPr>
        <w:t xml:space="preserve">The purpose of this report is to critically explore these core themes—person-centred care, partnership working, and ethics—and </w:t>
      </w:r>
      <w:r w:rsidRPr="00847765">
        <w:rPr>
          <w:rFonts w:ascii="Arial" w:hAnsi="Arial" w:cs="Arial"/>
          <w:sz w:val="22"/>
          <w:szCs w:val="22"/>
        </w:rPr>
        <w:t>analyse</w:t>
      </w:r>
      <w:r w:rsidRPr="00847765">
        <w:rPr>
          <w:rFonts w:ascii="Arial" w:hAnsi="Arial" w:cs="Arial"/>
          <w:sz w:val="22"/>
          <w:szCs w:val="22"/>
        </w:rPr>
        <w:t xml:space="preserve"> how they manifest in real-life practice. To achieve this, the report utilizes a specific clinical case study concerning Joan, an individual diagnosed with Chronic Obstructive Pulmonary Disease (COPD) and uncontrolled Crohn's disease. Joan’s initial presentation highlights significant challenges regarding low patient activation, healthcare disengagement, and frequent emergency hospital admissions. This report outlines the collaborative, person-centred interventions implemented by her healthcare providers, evaluates the measurable outcomes of her care plan, and offers a reflective analysis on the broader implications for health and social care delivery. </w:t>
      </w:r>
    </w:p>
    <w:p w14:paraId="543F41C4" w14:textId="77777777" w:rsidR="00410A8C" w:rsidRPr="00847765" w:rsidRDefault="00410A8C">
      <w:pPr>
        <w:rPr>
          <w:rFonts w:ascii="Arial" w:hAnsi="Arial" w:cs="Arial"/>
          <w:sz w:val="22"/>
          <w:szCs w:val="22"/>
        </w:rPr>
      </w:pPr>
    </w:p>
    <w:p w14:paraId="1273CD87" w14:textId="1225EE9A" w:rsidR="0091706F" w:rsidRPr="00847765" w:rsidRDefault="00F95540">
      <w:pPr>
        <w:rPr>
          <w:rFonts w:ascii="Arial" w:hAnsi="Arial" w:cs="Arial"/>
          <w:sz w:val="22"/>
          <w:szCs w:val="22"/>
        </w:rPr>
      </w:pPr>
      <w:r w:rsidRPr="00847765">
        <w:rPr>
          <w:rFonts w:ascii="Arial" w:hAnsi="Arial" w:cs="Arial"/>
          <w:sz w:val="22"/>
          <w:szCs w:val="22"/>
        </w:rPr>
        <w:t>TASK 1</w:t>
      </w:r>
    </w:p>
    <w:p w14:paraId="1E7A3E30" w14:textId="01EDEB06" w:rsidR="00F95540" w:rsidRPr="00847765" w:rsidRDefault="00F95540" w:rsidP="00F95540">
      <w:pPr>
        <w:rPr>
          <w:rFonts w:ascii="Arial" w:hAnsi="Arial" w:cs="Arial"/>
          <w:sz w:val="22"/>
          <w:szCs w:val="22"/>
        </w:rPr>
      </w:pPr>
      <w:r w:rsidRPr="00847765">
        <w:rPr>
          <w:rFonts w:ascii="Arial" w:hAnsi="Arial" w:cs="Arial"/>
          <w:sz w:val="22"/>
          <w:szCs w:val="22"/>
        </w:rPr>
        <w:t xml:space="preserve">Health and social care practice is underpinned by foundational principles designed to safeguard patient welfare, maximize autonomy, and optimize service delivery. Among these, person-centred care, partnership working, and ethical practice serve as pillars for modern clinical environments. Person-centred care is defined as an approach that consciously adopts the perspectives of individuals, families, and communities, treating them as active participants in their own care journeys rather than passive recipients of medical interventions (World Health Organization, 2015). This principle shifts the clinical focus from a purely biomedical, disease-centric model to a holistic framework that </w:t>
      </w:r>
      <w:r w:rsidR="00AC7926" w:rsidRPr="00847765">
        <w:rPr>
          <w:rFonts w:ascii="Arial" w:hAnsi="Arial" w:cs="Arial"/>
          <w:sz w:val="22"/>
          <w:szCs w:val="22"/>
        </w:rPr>
        <w:t>honours</w:t>
      </w:r>
      <w:r w:rsidRPr="00847765">
        <w:rPr>
          <w:rFonts w:ascii="Arial" w:hAnsi="Arial" w:cs="Arial"/>
          <w:sz w:val="22"/>
          <w:szCs w:val="22"/>
        </w:rPr>
        <w:t xml:space="preserve"> individual preferences, values, and psychosocial needs.</w:t>
      </w:r>
    </w:p>
    <w:p w14:paraId="52B075C7" w14:textId="77777777" w:rsidR="00F95540" w:rsidRPr="00847765" w:rsidRDefault="00F95540" w:rsidP="00F95540">
      <w:pPr>
        <w:rPr>
          <w:rFonts w:ascii="Arial" w:hAnsi="Arial" w:cs="Arial"/>
          <w:sz w:val="22"/>
          <w:szCs w:val="22"/>
        </w:rPr>
      </w:pPr>
      <w:r w:rsidRPr="00847765">
        <w:rPr>
          <w:rFonts w:ascii="Arial" w:hAnsi="Arial" w:cs="Arial"/>
          <w:sz w:val="22"/>
          <w:szCs w:val="22"/>
        </w:rPr>
        <w:t xml:space="preserve">Complementing this approach is partnership working, which entails collaborative, interdisciplinary alliances between various health and social care professionals, sectors, and the service users themselves (Department of Health and Social Care, 2021). Effective partnership working ensures that communication remains fluid across primary, secondary, and community care boundaries, preventing fragmented service delivery. Finally, ethics in healthcare practice refers to the systematic adherence to moral frameworks, primarily governed by the four biomedical ethical principles: autonomy, beneficence, non-maleficence, and justice (Beauchamp and Childress, 2019). Autonomy ensures patients retain the right to make informed choices, beneficence and non-maleficence dictate acting in the patient’s best </w:t>
      </w:r>
      <w:r w:rsidRPr="00847765">
        <w:rPr>
          <w:rFonts w:ascii="Arial" w:hAnsi="Arial" w:cs="Arial"/>
          <w:sz w:val="22"/>
          <w:szCs w:val="22"/>
        </w:rPr>
        <w:lastRenderedPageBreak/>
        <w:t>interest while preventing harm, and justice ensures the equitable distribution of scarce health resources.</w:t>
      </w:r>
    </w:p>
    <w:p w14:paraId="56A331ED" w14:textId="77777777" w:rsidR="00F95540" w:rsidRPr="00847765" w:rsidRDefault="00F95540" w:rsidP="00F95540">
      <w:pPr>
        <w:rPr>
          <w:rFonts w:ascii="Arial" w:hAnsi="Arial" w:cs="Arial"/>
          <w:sz w:val="22"/>
          <w:szCs w:val="22"/>
        </w:rPr>
      </w:pPr>
      <w:r w:rsidRPr="00847765">
        <w:rPr>
          <w:rFonts w:ascii="Arial" w:hAnsi="Arial" w:cs="Arial"/>
          <w:sz w:val="22"/>
          <w:szCs w:val="22"/>
        </w:rPr>
        <w:t>The significance of these principles is reflected in major legislative policies, most notably the Care Act 2014. The Care Act 2014 legally mandates the "well-being principle," requiring local authorities and healthcare practitioners to consider an individual's personal wishes, feelings, and safety at every stage of assessment and care planning. These concepts align closely with psychological and sociological theories, such as Maslow’s Hierarchy of Needs. Maslow posits that foundational physiological and safety needs must be stabilized before individuals can attain higher-level cognitive milestones, such as self-actualization or active health self-management. When applied to clinical practice, a patient suffering from unmanaged physical distress cannot effectively engage with psychological or rehabilitative therapies. Similarly, Bronfenbrenner’s Ecological Systems Theory highlights how an individual's well-being is heavily influenced by overlapping environmental systems, ranging from immediate care interactions (the microsystem) to systemic organizational policies (the macrosystem). Integrating person-centred care and partnership working ensures that both immediate clinical needs and broader environmental barriers are addressed cohesively across these systems.</w:t>
      </w:r>
    </w:p>
    <w:p w14:paraId="4DBF3ABF" w14:textId="77777777" w:rsidR="00F95540" w:rsidRPr="00847765" w:rsidRDefault="00F95540" w:rsidP="00F95540">
      <w:pPr>
        <w:rPr>
          <w:rFonts w:ascii="Arial" w:hAnsi="Arial" w:cs="Arial"/>
          <w:sz w:val="22"/>
          <w:szCs w:val="22"/>
        </w:rPr>
      </w:pPr>
      <w:r w:rsidRPr="00847765">
        <w:rPr>
          <w:rFonts w:ascii="Arial" w:hAnsi="Arial" w:cs="Arial"/>
          <w:sz w:val="22"/>
          <w:szCs w:val="22"/>
        </w:rPr>
        <w:t>Despite substantial benefits—including reduced hospital readmissions, elevated patient satisfaction, and enhanced clinical safety—implementing these principles presents systemic challenges. Practitioners frequently confront organizational barriers, such as chronic understaffing, heavy caseloads, and rigid institutional boundaries that restrict interagency communication. Furthermore, conflicts can arise between patient autonomy and clinical beneficence, particularly when a service user exercises their legal right to refuse medical advice that professionals deem vital to their survival. Overcoming these barriers demands a cultural shift toward integrated funding models, open communication channels, and rigorous, continuous training in ethical decision-making.</w:t>
      </w:r>
    </w:p>
    <w:p w14:paraId="175C8055" w14:textId="77777777" w:rsidR="00410A8C" w:rsidRPr="00847765" w:rsidRDefault="00410A8C">
      <w:pPr>
        <w:rPr>
          <w:rFonts w:ascii="Arial" w:hAnsi="Arial" w:cs="Arial"/>
          <w:sz w:val="22"/>
          <w:szCs w:val="22"/>
        </w:rPr>
      </w:pPr>
    </w:p>
    <w:p w14:paraId="493F4600" w14:textId="19CAE268" w:rsidR="00F95540" w:rsidRPr="00847765" w:rsidRDefault="00F95540">
      <w:pPr>
        <w:rPr>
          <w:rFonts w:ascii="Arial" w:hAnsi="Arial" w:cs="Arial"/>
          <w:sz w:val="22"/>
          <w:szCs w:val="22"/>
        </w:rPr>
      </w:pPr>
      <w:r w:rsidRPr="00847765">
        <w:rPr>
          <w:rFonts w:ascii="Arial" w:hAnsi="Arial" w:cs="Arial"/>
          <w:sz w:val="22"/>
          <w:szCs w:val="22"/>
        </w:rPr>
        <w:t>TASK 2</w:t>
      </w:r>
    </w:p>
    <w:p w14:paraId="7A70D62A" w14:textId="77777777" w:rsidR="00F95540" w:rsidRPr="00847765" w:rsidRDefault="00F95540" w:rsidP="00F95540">
      <w:pPr>
        <w:rPr>
          <w:rFonts w:ascii="Arial" w:hAnsi="Arial" w:cs="Arial"/>
          <w:sz w:val="22"/>
          <w:szCs w:val="22"/>
        </w:rPr>
      </w:pPr>
      <w:r w:rsidRPr="00847765">
        <w:rPr>
          <w:rFonts w:ascii="Arial" w:hAnsi="Arial" w:cs="Arial"/>
          <w:sz w:val="22"/>
          <w:szCs w:val="22"/>
        </w:rPr>
        <w:t>The practical application and clinical impact of person-centred care, partnership working, and ethical practice are clearly demonstrated through the real-world case study of Joan, a UK-based service user experiencing complex comorbidities. Joan was diagnosed with Chronic Obstructive Pulmonary Disease (COPD) and concurrent uncontrolled Crohn’s disease. Initially, Joan presented with a Patient Activation Measurement (PAM®) score of level one, indicating an extreme deficiency in health literacy, self-efficacy, and confidence. Overwhelmed by her symptoms, she regularly failed to adhere to medical advice, missed three out of nine scheduled outpatient appointments, and experienced multiple emergency hospital admissions, highlighting an inefficient and unsustainable use of national health resources.</w:t>
      </w:r>
    </w:p>
    <w:p w14:paraId="55D4F288" w14:textId="77777777" w:rsidR="00F95540" w:rsidRPr="00847765" w:rsidRDefault="00F95540" w:rsidP="00F95540">
      <w:pPr>
        <w:rPr>
          <w:rFonts w:ascii="Arial" w:hAnsi="Arial" w:cs="Arial"/>
          <w:sz w:val="22"/>
          <w:szCs w:val="22"/>
        </w:rPr>
      </w:pPr>
      <w:r w:rsidRPr="00847765">
        <w:rPr>
          <w:rFonts w:ascii="Arial" w:hAnsi="Arial" w:cs="Arial"/>
          <w:sz w:val="22"/>
          <w:szCs w:val="22"/>
        </w:rPr>
        <w:lastRenderedPageBreak/>
        <w:t>The intervention strategy successfully reversed this trajectory by operationalizing person-centred care. Rather than penalizing Joan for non-attendance, a member of the therapy team conducted weekly meetings directly within Joan's home environment. This approach aligned with the Person-Centred Care Framework and the Royal College of Nursing’s "6 Cs"—specifically Care, Compassion, and Communication. By conducting assessments in a familiar environment, practitioners identified that Joan’s primary barrier to attending pulmonary rehabilitation was not non-compliance, but rather the profound physical anxiety and functional limitations caused by her unmanaged Crohn’s disease, which left her fearful of leaving the house due to unpredictable bowel problems.</w:t>
      </w:r>
    </w:p>
    <w:p w14:paraId="65692D30" w14:textId="77777777" w:rsidR="00F95540" w:rsidRPr="00847765" w:rsidRDefault="00F95540" w:rsidP="00F95540">
      <w:pPr>
        <w:rPr>
          <w:rFonts w:ascii="Arial" w:hAnsi="Arial" w:cs="Arial"/>
          <w:sz w:val="22"/>
          <w:szCs w:val="22"/>
        </w:rPr>
      </w:pPr>
      <w:r w:rsidRPr="00847765">
        <w:rPr>
          <w:rFonts w:ascii="Arial" w:hAnsi="Arial" w:cs="Arial"/>
          <w:sz w:val="22"/>
          <w:szCs w:val="22"/>
        </w:rPr>
        <w:t>Addressing this multi-faceted dilemma required extensive multi-agency partnership working, mirroring the legislative mandates of the Health and Care Act 2022, which promotes structural integration across NHS trusts and local primary care networks. The therapy team worked in direct partnership with Joan's General Practitioner (GP). This interdisciplinary collaboration ensured that Joan’s Crohn’s disease was clinically stabilized through target medical adjustments. Simultaneously, the team respected the ethical principle of autonomy by engaging Joan as an equal partner in drafting a personalized action plan. By resolving the primary gastrointestinal barrier, practitioners fulfilled the ethical duty of beneficence, restoring Joan's dignity and functional capacity.</w:t>
      </w:r>
    </w:p>
    <w:p w14:paraId="0EF765DA" w14:textId="77777777" w:rsidR="00F95540" w:rsidRPr="00847765" w:rsidRDefault="00F95540" w:rsidP="00F95540">
      <w:pPr>
        <w:rPr>
          <w:rFonts w:ascii="Arial" w:hAnsi="Arial" w:cs="Arial"/>
          <w:sz w:val="22"/>
          <w:szCs w:val="22"/>
        </w:rPr>
      </w:pPr>
      <w:r w:rsidRPr="00847765">
        <w:rPr>
          <w:rFonts w:ascii="Arial" w:hAnsi="Arial" w:cs="Arial"/>
          <w:sz w:val="22"/>
          <w:szCs w:val="22"/>
        </w:rPr>
        <w:t>The systemic impact of these combined principles was profound for both the service user and the healthcare system, matching the quality standards enforced by the Care Quality Commission (CQC) and National Institute for Health and Care Excellence (NICE) guidelines. Within seven months, Joan’s PAM® score improved by over 40%, reflecting a monumental shift in her self-care confidence and health engagement. Her healthcare utilization patterns improved significantly: during the subsequent year, Joan successfully attended nine out of ten outpatient appointments and her emergency hospital admissions dropped from two down to a single incident. Professionally, this case study underscores how multi-agency coordination reduces the strain on acute emergency departments while maximizing community-based resource efficiency. Ultimately, the integration of these three principles enabled Joan to reclaim her independence, culminating in her ability to autonomously arrange community pulmonary rehabilitation and independently participate in social activities, such as Christmas shopping with her daughter.</w:t>
      </w:r>
    </w:p>
    <w:p w14:paraId="5D9CB345" w14:textId="77777777" w:rsidR="00410A8C" w:rsidRPr="00847765" w:rsidRDefault="00410A8C">
      <w:pPr>
        <w:rPr>
          <w:rFonts w:ascii="Arial" w:hAnsi="Arial" w:cs="Arial"/>
          <w:sz w:val="22"/>
          <w:szCs w:val="22"/>
        </w:rPr>
      </w:pPr>
    </w:p>
    <w:p w14:paraId="22D4AF22" w14:textId="77777777" w:rsidR="00AC7926" w:rsidRPr="00847765" w:rsidRDefault="00AC7926">
      <w:pPr>
        <w:rPr>
          <w:rFonts w:ascii="Arial" w:hAnsi="Arial" w:cs="Arial"/>
          <w:sz w:val="22"/>
          <w:szCs w:val="22"/>
        </w:rPr>
      </w:pPr>
    </w:p>
    <w:p w14:paraId="180D9391" w14:textId="3470E18B" w:rsidR="00AC7926" w:rsidRPr="00847765" w:rsidRDefault="00410A8C" w:rsidP="00AC7926">
      <w:pPr>
        <w:rPr>
          <w:rFonts w:ascii="Arial" w:hAnsi="Arial" w:cs="Arial"/>
          <w:sz w:val="22"/>
          <w:szCs w:val="22"/>
        </w:rPr>
      </w:pPr>
      <w:r w:rsidRPr="00847765">
        <w:rPr>
          <w:rFonts w:ascii="Arial" w:hAnsi="Arial" w:cs="Arial"/>
          <w:sz w:val="22"/>
          <w:szCs w:val="22"/>
        </w:rPr>
        <w:t>TASK 3</w:t>
      </w:r>
      <w:r w:rsidR="00AC7926" w:rsidRPr="00847765">
        <w:rPr>
          <w:rFonts w:ascii="Arial" w:hAnsi="Arial" w:cs="Arial"/>
          <w:sz w:val="22"/>
          <w:szCs w:val="22"/>
        </w:rPr>
        <w:t xml:space="preserve"> </w:t>
      </w:r>
      <w:r w:rsidR="00AC7926" w:rsidRPr="00847765">
        <w:rPr>
          <w:rFonts w:ascii="Arial" w:hAnsi="Arial" w:cs="Arial"/>
          <w:sz w:val="22"/>
          <w:szCs w:val="22"/>
        </w:rPr>
        <w:br/>
        <w:t xml:space="preserve">During my recent clinical placement within a community health team, I was tasked with supporting an elderly service user named Mr. Lawrence, who lived alone with advanced congestive heart failure and early-stage dementia. My role involved assessing his daily living needs and facilitating his transition into a community-based support program. During our </w:t>
      </w:r>
      <w:r w:rsidR="00AC7926" w:rsidRPr="00847765">
        <w:rPr>
          <w:rFonts w:ascii="Arial" w:hAnsi="Arial" w:cs="Arial"/>
          <w:sz w:val="22"/>
          <w:szCs w:val="22"/>
        </w:rPr>
        <w:lastRenderedPageBreak/>
        <w:t>initial meeting, I observed that Mr. Lawrence was highly defensive and explicitly refused to accept any external personal care or mobility aids, despite history of minor falls. Recognizing the immediate risk, I coordinated with his primary nurse and his daughter to discuss a safe, collaborative framework. This experience forced me to balance the ethical preservation of his personal autonomy with my professional duty of care and beneficence.</w:t>
      </w:r>
    </w:p>
    <w:p w14:paraId="5BE2ED94" w14:textId="2B0686DF" w:rsidR="00AC7926" w:rsidRPr="00847765" w:rsidRDefault="00AC7926" w:rsidP="00AC7926">
      <w:pPr>
        <w:rPr>
          <w:rFonts w:ascii="Arial" w:hAnsi="Arial" w:cs="Arial"/>
          <w:sz w:val="22"/>
          <w:szCs w:val="22"/>
        </w:rPr>
      </w:pPr>
      <w:r w:rsidRPr="00847765">
        <w:rPr>
          <w:rFonts w:ascii="Arial" w:hAnsi="Arial" w:cs="Arial"/>
          <w:sz w:val="22"/>
          <w:szCs w:val="22"/>
        </w:rPr>
        <w:br/>
        <w:t xml:space="preserve">Initially, I felt deeply anxious and overwhelmed by Mr. Lawrence's firm resistance. I was concerned that forcing services upon him would destroy our professional rapport, yet I simultaneously feared that a lack of intervention would result in a severe physical injury. I felt caught in an ethical dilemma between respecting his right to self-determination and fulfilling my duty of care to keep him safe. However, after pausing to consult my mentor, I felt more reassured and motivated to find a compromise that put his voice at the </w:t>
      </w:r>
      <w:r w:rsidRPr="00847765">
        <w:rPr>
          <w:rFonts w:ascii="Arial" w:hAnsi="Arial" w:cs="Arial"/>
          <w:sz w:val="22"/>
          <w:szCs w:val="22"/>
        </w:rPr>
        <w:t>centre</w:t>
      </w:r>
      <w:r w:rsidRPr="00847765">
        <w:rPr>
          <w:rFonts w:ascii="Arial" w:hAnsi="Arial" w:cs="Arial"/>
          <w:sz w:val="22"/>
          <w:szCs w:val="22"/>
        </w:rPr>
        <w:t xml:space="preserve"> of the solution.</w:t>
      </w:r>
    </w:p>
    <w:p w14:paraId="2BC120AE" w14:textId="1127943A" w:rsidR="00AC7926" w:rsidRPr="00847765" w:rsidRDefault="00AC7926" w:rsidP="00AC7926">
      <w:pPr>
        <w:rPr>
          <w:rFonts w:ascii="Arial" w:hAnsi="Arial" w:cs="Arial"/>
          <w:sz w:val="22"/>
          <w:szCs w:val="22"/>
        </w:rPr>
      </w:pPr>
      <w:r w:rsidRPr="00847765">
        <w:rPr>
          <w:rFonts w:ascii="Arial" w:hAnsi="Arial" w:cs="Arial"/>
          <w:sz w:val="22"/>
          <w:szCs w:val="22"/>
        </w:rPr>
        <w:br/>
        <w:t>The positive aspect of this experience was that by slowing down and prioritizing clear, empathetic communication, I successfully built a relationship of trust with Mr. Lawrence. We eventually agreed on a minor, staged intervention: installing simple grab rails and arranging a weekly social visit rather than an intrusive daily care routine. The challenge, however, was managing my own impatience and the initial urge to impose a comprehensive care plan quickly due to time constraints and institutional pressures. I realized that rushing the process would have alienated him completely.</w:t>
      </w:r>
    </w:p>
    <w:p w14:paraId="2B0F8BDA" w14:textId="7EFB7E42" w:rsidR="00AC7926" w:rsidRPr="00847765" w:rsidRDefault="00AC7926" w:rsidP="00AC7926">
      <w:pPr>
        <w:rPr>
          <w:rFonts w:ascii="Arial" w:hAnsi="Arial" w:cs="Arial"/>
          <w:sz w:val="22"/>
          <w:szCs w:val="22"/>
        </w:rPr>
      </w:pPr>
      <w:r w:rsidRPr="00847765">
        <w:rPr>
          <w:rFonts w:ascii="Arial" w:hAnsi="Arial" w:cs="Arial"/>
          <w:sz w:val="22"/>
          <w:szCs w:val="22"/>
        </w:rPr>
        <w:br/>
        <w:t>This scenario directly illustrates the application of person-centred care, partnership working, and ethical practice. By actively listening to Mr. Lawrence’s anxieties about losing his independence, I aligned my practice with the Person-Centred Care Framework and the Health and Care Professions Council (HCPC) standards, which demand that practitioners respect service users' dignity and choices. My approach embodied the "6 Cs"—specifically Care, Compassion, and Communication—ensuring that he felt heard rather than managed.</w:t>
      </w:r>
    </w:p>
    <w:p w14:paraId="0E74FF78" w14:textId="77777777" w:rsidR="00AC7926" w:rsidRPr="00847765" w:rsidRDefault="00AC7926" w:rsidP="00AC7926">
      <w:pPr>
        <w:rPr>
          <w:rFonts w:ascii="Arial" w:hAnsi="Arial" w:cs="Arial"/>
          <w:sz w:val="22"/>
          <w:szCs w:val="22"/>
        </w:rPr>
      </w:pPr>
      <w:r w:rsidRPr="00847765">
        <w:rPr>
          <w:rFonts w:ascii="Arial" w:hAnsi="Arial" w:cs="Arial"/>
          <w:sz w:val="22"/>
          <w:szCs w:val="22"/>
        </w:rPr>
        <w:t>Furthermore, navigating this situation required a careful ethical balancing act using Beauchamp and Childress’s framework. While my instinct to prevent falls focused on beneficence, forcing intervention would violate his autonomy, a right reinforced legally by the Care Act 2014. By involving his daughter and primary care nurse, I engaged in multi-agency partnership working as mandated by the Health and Care Act 2022. This interdisciplinary collaboration allowed us to share perspectives and construct a risk-mitigation plan that supported his independence while minimizing physical hazards.</w:t>
      </w:r>
    </w:p>
    <w:p w14:paraId="397946D5" w14:textId="681B6B97" w:rsidR="00AC7926" w:rsidRPr="00847765" w:rsidRDefault="00AC7926" w:rsidP="00AC7926">
      <w:pPr>
        <w:rPr>
          <w:rFonts w:ascii="Arial" w:hAnsi="Arial" w:cs="Arial"/>
          <w:sz w:val="22"/>
          <w:szCs w:val="22"/>
        </w:rPr>
      </w:pPr>
      <w:r w:rsidRPr="00847765">
        <w:rPr>
          <w:rFonts w:ascii="Arial" w:hAnsi="Arial" w:cs="Arial"/>
          <w:sz w:val="22"/>
          <w:szCs w:val="22"/>
        </w:rPr>
        <w:br/>
        <w:t xml:space="preserve">Reflecting on this event, I recognize that my primary strength is my capacity for empathetic communication and my commitment to establishing genuine, person-centred partnerships with service users. However, this experience also highlighted an area for improvement: my </w:t>
      </w:r>
      <w:r w:rsidRPr="00847765">
        <w:rPr>
          <w:rFonts w:ascii="Arial" w:hAnsi="Arial" w:cs="Arial"/>
          <w:sz w:val="22"/>
          <w:szCs w:val="22"/>
        </w:rPr>
        <w:lastRenderedPageBreak/>
        <w:t>comfort levels when handling complex ethical conflicts and my tendency to experience distress when a patient's choices clash with clinical ideals. I now understand that navigating risk is an ongoing, collaborative process rather than a problem to be solved instantly.</w:t>
      </w:r>
    </w:p>
    <w:p w14:paraId="7C9F219B" w14:textId="77777777" w:rsidR="00AC7926" w:rsidRPr="00847765" w:rsidRDefault="00AC7926" w:rsidP="00AC7926">
      <w:pPr>
        <w:rPr>
          <w:rFonts w:ascii="Arial" w:hAnsi="Arial" w:cs="Arial"/>
          <w:sz w:val="22"/>
          <w:szCs w:val="22"/>
        </w:rPr>
      </w:pPr>
      <w:r w:rsidRPr="00847765">
        <w:rPr>
          <w:rFonts w:ascii="Arial" w:hAnsi="Arial" w:cs="Arial"/>
          <w:b/>
          <w:bCs/>
          <w:sz w:val="22"/>
          <w:szCs w:val="22"/>
        </w:rPr>
        <w:t>Action Plan &amp; Future Development</w:t>
      </w:r>
      <w:r w:rsidRPr="00847765">
        <w:rPr>
          <w:rFonts w:ascii="Arial" w:hAnsi="Arial" w:cs="Arial"/>
          <w:sz w:val="22"/>
          <w:szCs w:val="22"/>
        </w:rPr>
        <w:br/>
        <w:t>To enhance my future practice and continue my professional growth, I have outlined specific developmental goals:</w:t>
      </w:r>
    </w:p>
    <w:p w14:paraId="7FD93B67" w14:textId="77777777" w:rsidR="00AC7926" w:rsidRPr="00847765" w:rsidRDefault="00AC7926" w:rsidP="00AC7926">
      <w:pPr>
        <w:numPr>
          <w:ilvl w:val="0"/>
          <w:numId w:val="4"/>
        </w:numPr>
        <w:rPr>
          <w:rFonts w:ascii="Arial" w:hAnsi="Arial" w:cs="Arial"/>
          <w:sz w:val="22"/>
          <w:szCs w:val="22"/>
        </w:rPr>
      </w:pPr>
      <w:r w:rsidRPr="00847765">
        <w:rPr>
          <w:rFonts w:ascii="Arial" w:hAnsi="Arial" w:cs="Arial"/>
          <w:b/>
          <w:bCs/>
          <w:sz w:val="22"/>
          <w:szCs w:val="22"/>
        </w:rPr>
        <w:t>Continuing Professional Development (CPD):</w:t>
      </w:r>
      <w:r w:rsidRPr="00847765">
        <w:rPr>
          <w:rFonts w:ascii="Arial" w:hAnsi="Arial" w:cs="Arial"/>
          <w:sz w:val="22"/>
          <w:szCs w:val="22"/>
        </w:rPr>
        <w:t> I will actively seek out and complete dedicated CPD modules focused on advanced ethical decision-making and risk-positive frameworks in community care.</w:t>
      </w:r>
    </w:p>
    <w:p w14:paraId="4BC8E79C" w14:textId="77777777" w:rsidR="00AC7926" w:rsidRPr="00847765" w:rsidRDefault="00AC7926" w:rsidP="00AC7926">
      <w:pPr>
        <w:numPr>
          <w:ilvl w:val="0"/>
          <w:numId w:val="4"/>
        </w:numPr>
        <w:rPr>
          <w:rFonts w:ascii="Arial" w:hAnsi="Arial" w:cs="Arial"/>
          <w:sz w:val="22"/>
          <w:szCs w:val="22"/>
        </w:rPr>
      </w:pPr>
      <w:r w:rsidRPr="00847765">
        <w:rPr>
          <w:rFonts w:ascii="Arial" w:hAnsi="Arial" w:cs="Arial"/>
          <w:b/>
          <w:bCs/>
          <w:sz w:val="22"/>
          <w:szCs w:val="22"/>
        </w:rPr>
        <w:t>Mentorship &amp; Reflection:</w:t>
      </w:r>
      <w:r w:rsidRPr="00847765">
        <w:rPr>
          <w:rFonts w:ascii="Arial" w:hAnsi="Arial" w:cs="Arial"/>
          <w:sz w:val="22"/>
          <w:szCs w:val="22"/>
        </w:rPr>
        <w:t> I plan to engage in regular structured mentorship sessions with my clinical supervisor to discuss challenging case studies, helping me build resilience when managing complex patient presentations.</w:t>
      </w:r>
    </w:p>
    <w:p w14:paraId="756A3BFD" w14:textId="77777777" w:rsidR="00AC7926" w:rsidRPr="00847765" w:rsidRDefault="00AC7926" w:rsidP="00AC7926">
      <w:pPr>
        <w:numPr>
          <w:ilvl w:val="0"/>
          <w:numId w:val="4"/>
        </w:numPr>
        <w:rPr>
          <w:rFonts w:ascii="Arial" w:hAnsi="Arial" w:cs="Arial"/>
          <w:sz w:val="22"/>
          <w:szCs w:val="22"/>
        </w:rPr>
      </w:pPr>
      <w:r w:rsidRPr="00847765">
        <w:rPr>
          <w:rFonts w:ascii="Arial" w:hAnsi="Arial" w:cs="Arial"/>
          <w:b/>
          <w:bCs/>
          <w:sz w:val="22"/>
          <w:szCs w:val="22"/>
        </w:rPr>
        <w:t>Volunteering and Practical Experience:</w:t>
      </w:r>
      <w:r w:rsidRPr="00847765">
        <w:rPr>
          <w:rFonts w:ascii="Arial" w:hAnsi="Arial" w:cs="Arial"/>
          <w:sz w:val="22"/>
          <w:szCs w:val="22"/>
        </w:rPr>
        <w:t> I intend to volunteer with local dementia advocacy groups to deepen my practical understanding of communication strategies for individuals with cognitive impairments.</w:t>
      </w:r>
    </w:p>
    <w:p w14:paraId="12132F92" w14:textId="078C3D78" w:rsidR="00AC7926" w:rsidRPr="00847765" w:rsidRDefault="00AC7926" w:rsidP="00AC7926">
      <w:pPr>
        <w:rPr>
          <w:rFonts w:ascii="Arial" w:hAnsi="Arial" w:cs="Arial"/>
          <w:sz w:val="22"/>
          <w:szCs w:val="22"/>
        </w:rPr>
      </w:pPr>
    </w:p>
    <w:p w14:paraId="734CF483" w14:textId="77777777" w:rsidR="00AC7926" w:rsidRPr="00847765" w:rsidRDefault="00AC7926" w:rsidP="00AC7926">
      <w:pPr>
        <w:rPr>
          <w:rFonts w:ascii="Arial" w:hAnsi="Arial" w:cs="Arial"/>
          <w:sz w:val="22"/>
          <w:szCs w:val="22"/>
        </w:rPr>
      </w:pPr>
    </w:p>
    <w:p w14:paraId="015B0154" w14:textId="77777777" w:rsidR="00AC7926" w:rsidRPr="00847765" w:rsidRDefault="00AC7926" w:rsidP="00AC7926">
      <w:pPr>
        <w:rPr>
          <w:rFonts w:ascii="Arial" w:hAnsi="Arial" w:cs="Arial"/>
          <w:sz w:val="22"/>
          <w:szCs w:val="22"/>
        </w:rPr>
      </w:pPr>
    </w:p>
    <w:p w14:paraId="69AF350B" w14:textId="1485FD23" w:rsidR="00410A8C" w:rsidRPr="00847765" w:rsidRDefault="00410A8C" w:rsidP="00AC7926">
      <w:pPr>
        <w:rPr>
          <w:rFonts w:ascii="Arial" w:hAnsi="Arial" w:cs="Arial"/>
          <w:sz w:val="22"/>
          <w:szCs w:val="22"/>
        </w:rPr>
      </w:pPr>
      <w:r w:rsidRPr="00847765">
        <w:rPr>
          <w:rFonts w:ascii="Arial" w:hAnsi="Arial" w:cs="Arial"/>
          <w:sz w:val="22"/>
          <w:szCs w:val="22"/>
        </w:rPr>
        <w:t>CONCLUSION</w:t>
      </w:r>
    </w:p>
    <w:p w14:paraId="642AD098" w14:textId="06F3D20C" w:rsidR="00410A8C" w:rsidRPr="00847765" w:rsidRDefault="00410A8C">
      <w:pPr>
        <w:rPr>
          <w:rFonts w:ascii="Arial" w:hAnsi="Arial" w:cs="Arial"/>
          <w:sz w:val="22"/>
          <w:szCs w:val="22"/>
        </w:rPr>
      </w:pPr>
      <w:r w:rsidRPr="00847765">
        <w:rPr>
          <w:rFonts w:ascii="Arial" w:hAnsi="Arial" w:cs="Arial"/>
          <w:sz w:val="22"/>
          <w:szCs w:val="22"/>
        </w:rPr>
        <w:t>As demonstrated through Joan’s case study, shifting from a rigid, clinical focus to a collaborative, holistic framework directly addresses complex multi-faceted barriers, ultimately maximizing service user autonomy and optimizing institutional resources. Furthermore, engaging in structured self-reflection highlights how these foundational principles guide real-world clinical decision-making. Continually reflecting upon these core values safeguards patient dignity, improves interdisciplinary collaboration, and actively drives the ongoing professional development required to navigate evolving healthcare environments.</w:t>
      </w:r>
    </w:p>
    <w:p w14:paraId="6D63461F" w14:textId="77777777" w:rsidR="00AC7926" w:rsidRPr="00847765" w:rsidRDefault="00AC7926">
      <w:pPr>
        <w:rPr>
          <w:rFonts w:ascii="Arial" w:hAnsi="Arial" w:cs="Arial"/>
          <w:sz w:val="22"/>
          <w:szCs w:val="22"/>
        </w:rPr>
      </w:pPr>
    </w:p>
    <w:p w14:paraId="526F4CDF" w14:textId="4962C66E" w:rsidR="00410A8C" w:rsidRPr="00847765" w:rsidRDefault="00410A8C">
      <w:pPr>
        <w:rPr>
          <w:rFonts w:ascii="Arial" w:hAnsi="Arial" w:cs="Arial"/>
          <w:sz w:val="22"/>
          <w:szCs w:val="22"/>
        </w:rPr>
      </w:pPr>
      <w:r w:rsidRPr="00847765">
        <w:rPr>
          <w:rFonts w:ascii="Arial" w:hAnsi="Arial" w:cs="Arial"/>
          <w:sz w:val="22"/>
          <w:szCs w:val="22"/>
        </w:rPr>
        <w:t>REFERENCE LIST</w:t>
      </w:r>
    </w:p>
    <w:p w14:paraId="4497E58E" w14:textId="77777777" w:rsidR="00410A8C" w:rsidRPr="00847765" w:rsidRDefault="00410A8C" w:rsidP="00410A8C">
      <w:pPr>
        <w:rPr>
          <w:rFonts w:ascii="Arial" w:hAnsi="Arial" w:cs="Arial"/>
          <w:sz w:val="22"/>
          <w:szCs w:val="22"/>
        </w:rPr>
      </w:pPr>
      <w:r w:rsidRPr="00847765">
        <w:rPr>
          <w:rFonts w:ascii="Arial" w:hAnsi="Arial" w:cs="Arial"/>
          <w:sz w:val="22"/>
          <w:szCs w:val="22"/>
        </w:rPr>
        <w:t>Beauchamp, T.L. and Childress, J.F. (2019) </w:t>
      </w:r>
      <w:r w:rsidRPr="00847765">
        <w:rPr>
          <w:rFonts w:ascii="Arial" w:hAnsi="Arial" w:cs="Arial"/>
          <w:i/>
          <w:iCs/>
          <w:sz w:val="22"/>
          <w:szCs w:val="22"/>
        </w:rPr>
        <w:t>Principles of biomedical ethics</w:t>
      </w:r>
      <w:r w:rsidRPr="00847765">
        <w:rPr>
          <w:rFonts w:ascii="Arial" w:hAnsi="Arial" w:cs="Arial"/>
          <w:sz w:val="22"/>
          <w:szCs w:val="22"/>
        </w:rPr>
        <w:t xml:space="preserve">. 8th </w:t>
      </w:r>
      <w:proofErr w:type="spellStart"/>
      <w:r w:rsidRPr="00847765">
        <w:rPr>
          <w:rFonts w:ascii="Arial" w:hAnsi="Arial" w:cs="Arial"/>
          <w:sz w:val="22"/>
          <w:szCs w:val="22"/>
        </w:rPr>
        <w:t>edn</w:t>
      </w:r>
      <w:proofErr w:type="spellEnd"/>
      <w:r w:rsidRPr="00847765">
        <w:rPr>
          <w:rFonts w:ascii="Arial" w:hAnsi="Arial" w:cs="Arial"/>
          <w:sz w:val="22"/>
          <w:szCs w:val="22"/>
        </w:rPr>
        <w:t>. New York: Oxford University Press.</w:t>
      </w:r>
    </w:p>
    <w:p w14:paraId="124E4C49" w14:textId="77777777" w:rsidR="00410A8C" w:rsidRPr="00847765" w:rsidRDefault="00410A8C" w:rsidP="00410A8C">
      <w:pPr>
        <w:rPr>
          <w:rFonts w:ascii="Arial" w:hAnsi="Arial" w:cs="Arial"/>
          <w:sz w:val="22"/>
          <w:szCs w:val="22"/>
        </w:rPr>
      </w:pPr>
      <w:r w:rsidRPr="00847765">
        <w:rPr>
          <w:rFonts w:ascii="Arial" w:hAnsi="Arial" w:cs="Arial"/>
          <w:sz w:val="22"/>
          <w:szCs w:val="22"/>
        </w:rPr>
        <w:t>Care Quality Commission (CQC) (2023) </w:t>
      </w:r>
      <w:r w:rsidRPr="00847765">
        <w:rPr>
          <w:rFonts w:ascii="Arial" w:hAnsi="Arial" w:cs="Arial"/>
          <w:i/>
          <w:iCs/>
          <w:sz w:val="22"/>
          <w:szCs w:val="22"/>
        </w:rPr>
        <w:t>Our core quality standards for health and care providers</w:t>
      </w:r>
      <w:r w:rsidRPr="00847765">
        <w:rPr>
          <w:rFonts w:ascii="Arial" w:hAnsi="Arial" w:cs="Arial"/>
          <w:sz w:val="22"/>
          <w:szCs w:val="22"/>
        </w:rPr>
        <w:t xml:space="preserve">. Available at: </w:t>
      </w:r>
      <w:hyperlink r:id="rId7" w:tgtFrame="_blank" w:history="1">
        <w:r w:rsidRPr="00847765">
          <w:rPr>
            <w:rStyle w:val="Hyperlink"/>
            <w:rFonts w:ascii="Arial" w:hAnsi="Arial" w:cs="Arial"/>
            <w:sz w:val="22"/>
            <w:szCs w:val="22"/>
          </w:rPr>
          <w:t>cqc.org.uk</w:t>
        </w:r>
      </w:hyperlink>
      <w:r w:rsidRPr="00847765">
        <w:rPr>
          <w:rFonts w:ascii="Arial" w:hAnsi="Arial" w:cs="Arial"/>
          <w:sz w:val="22"/>
          <w:szCs w:val="22"/>
        </w:rPr>
        <w:t xml:space="preserve"> (Accessed: 22 October 2026).</w:t>
      </w:r>
    </w:p>
    <w:p w14:paraId="60D13BDF" w14:textId="77777777" w:rsidR="00410A8C" w:rsidRPr="00847765" w:rsidRDefault="00410A8C" w:rsidP="00410A8C">
      <w:pPr>
        <w:rPr>
          <w:rFonts w:ascii="Arial" w:hAnsi="Arial" w:cs="Arial"/>
          <w:sz w:val="22"/>
          <w:szCs w:val="22"/>
        </w:rPr>
      </w:pPr>
      <w:r w:rsidRPr="00847765">
        <w:rPr>
          <w:rFonts w:ascii="Arial" w:hAnsi="Arial" w:cs="Arial"/>
          <w:i/>
          <w:iCs/>
          <w:sz w:val="22"/>
          <w:szCs w:val="22"/>
        </w:rPr>
        <w:t>Care Act 2014</w:t>
      </w:r>
      <w:r w:rsidRPr="00847765">
        <w:rPr>
          <w:rFonts w:ascii="Arial" w:hAnsi="Arial" w:cs="Arial"/>
          <w:sz w:val="22"/>
          <w:szCs w:val="22"/>
        </w:rPr>
        <w:t xml:space="preserve">, c. 23. Available at: </w:t>
      </w:r>
      <w:hyperlink r:id="rId8" w:tgtFrame="_blank" w:history="1">
        <w:r w:rsidRPr="00847765">
          <w:rPr>
            <w:rStyle w:val="Hyperlink"/>
            <w:rFonts w:ascii="Arial" w:hAnsi="Arial" w:cs="Arial"/>
            <w:sz w:val="22"/>
            <w:szCs w:val="22"/>
          </w:rPr>
          <w:t>legislation.gov.uk</w:t>
        </w:r>
      </w:hyperlink>
      <w:r w:rsidRPr="00847765">
        <w:rPr>
          <w:rFonts w:ascii="Arial" w:hAnsi="Arial" w:cs="Arial"/>
          <w:sz w:val="22"/>
          <w:szCs w:val="22"/>
        </w:rPr>
        <w:t xml:space="preserve"> (Accessed: 22 October 2026).</w:t>
      </w:r>
    </w:p>
    <w:p w14:paraId="55F2D26C" w14:textId="77777777" w:rsidR="00410A8C" w:rsidRPr="00847765" w:rsidRDefault="00410A8C" w:rsidP="00410A8C">
      <w:pPr>
        <w:rPr>
          <w:rFonts w:ascii="Arial" w:hAnsi="Arial" w:cs="Arial"/>
          <w:sz w:val="22"/>
          <w:szCs w:val="22"/>
        </w:rPr>
      </w:pPr>
      <w:r w:rsidRPr="00847765">
        <w:rPr>
          <w:rFonts w:ascii="Arial" w:hAnsi="Arial" w:cs="Arial"/>
          <w:sz w:val="22"/>
          <w:szCs w:val="22"/>
        </w:rPr>
        <w:lastRenderedPageBreak/>
        <w:t>Department of Health and Social Care (2021) </w:t>
      </w:r>
      <w:r w:rsidRPr="00847765">
        <w:rPr>
          <w:rFonts w:ascii="Arial" w:hAnsi="Arial" w:cs="Arial"/>
          <w:i/>
          <w:iCs/>
          <w:sz w:val="22"/>
          <w:szCs w:val="22"/>
        </w:rPr>
        <w:t>Integration and innovation: working together to improve health and social care for all</w:t>
      </w:r>
      <w:r w:rsidRPr="00847765">
        <w:rPr>
          <w:rFonts w:ascii="Arial" w:hAnsi="Arial" w:cs="Arial"/>
          <w:sz w:val="22"/>
          <w:szCs w:val="22"/>
        </w:rPr>
        <w:t>. London: Department of Health and Social Care.</w:t>
      </w:r>
    </w:p>
    <w:p w14:paraId="5F7F4F1A" w14:textId="77777777" w:rsidR="00410A8C" w:rsidRPr="00847765" w:rsidRDefault="00410A8C" w:rsidP="00410A8C">
      <w:pPr>
        <w:rPr>
          <w:rFonts w:ascii="Arial" w:hAnsi="Arial" w:cs="Arial"/>
          <w:sz w:val="22"/>
          <w:szCs w:val="22"/>
        </w:rPr>
      </w:pPr>
      <w:r w:rsidRPr="00847765">
        <w:rPr>
          <w:rFonts w:ascii="Arial" w:hAnsi="Arial" w:cs="Arial"/>
          <w:sz w:val="22"/>
          <w:szCs w:val="22"/>
        </w:rPr>
        <w:t>Gibbs, G. (1988) </w:t>
      </w:r>
      <w:r w:rsidRPr="00847765">
        <w:rPr>
          <w:rFonts w:ascii="Arial" w:hAnsi="Arial" w:cs="Arial"/>
          <w:i/>
          <w:iCs/>
          <w:sz w:val="22"/>
          <w:szCs w:val="22"/>
        </w:rPr>
        <w:t>Learning by doing: a guide to teaching and learning methods</w:t>
      </w:r>
      <w:r w:rsidRPr="00847765">
        <w:rPr>
          <w:rFonts w:ascii="Arial" w:hAnsi="Arial" w:cs="Arial"/>
          <w:sz w:val="22"/>
          <w:szCs w:val="22"/>
        </w:rPr>
        <w:t>. London: Further Education Unit.</w:t>
      </w:r>
    </w:p>
    <w:p w14:paraId="320A786E" w14:textId="77777777" w:rsidR="00410A8C" w:rsidRPr="00847765" w:rsidRDefault="00410A8C" w:rsidP="00410A8C">
      <w:pPr>
        <w:rPr>
          <w:rFonts w:ascii="Arial" w:hAnsi="Arial" w:cs="Arial"/>
          <w:sz w:val="22"/>
          <w:szCs w:val="22"/>
        </w:rPr>
      </w:pPr>
      <w:r w:rsidRPr="00847765">
        <w:rPr>
          <w:rFonts w:ascii="Arial" w:hAnsi="Arial" w:cs="Arial"/>
          <w:i/>
          <w:iCs/>
          <w:sz w:val="22"/>
          <w:szCs w:val="22"/>
        </w:rPr>
        <w:t>Health and Care Act 2022</w:t>
      </w:r>
      <w:r w:rsidRPr="00847765">
        <w:rPr>
          <w:rFonts w:ascii="Arial" w:hAnsi="Arial" w:cs="Arial"/>
          <w:sz w:val="22"/>
          <w:szCs w:val="22"/>
        </w:rPr>
        <w:t xml:space="preserve">, c. 31. Available at: </w:t>
      </w:r>
      <w:hyperlink r:id="rId9" w:tgtFrame="_blank" w:history="1">
        <w:r w:rsidRPr="00847765">
          <w:rPr>
            <w:rStyle w:val="Hyperlink"/>
            <w:rFonts w:ascii="Arial" w:hAnsi="Arial" w:cs="Arial"/>
            <w:sz w:val="22"/>
            <w:szCs w:val="22"/>
          </w:rPr>
          <w:t>legislation.gov.uk</w:t>
        </w:r>
      </w:hyperlink>
      <w:r w:rsidRPr="00847765">
        <w:rPr>
          <w:rFonts w:ascii="Arial" w:hAnsi="Arial" w:cs="Arial"/>
          <w:sz w:val="22"/>
          <w:szCs w:val="22"/>
        </w:rPr>
        <w:t xml:space="preserve"> (Accessed: 22 October 2026).</w:t>
      </w:r>
    </w:p>
    <w:p w14:paraId="56BAE196" w14:textId="77777777" w:rsidR="00410A8C" w:rsidRPr="00847765" w:rsidRDefault="00410A8C" w:rsidP="00410A8C">
      <w:pPr>
        <w:rPr>
          <w:rFonts w:ascii="Arial" w:hAnsi="Arial" w:cs="Arial"/>
          <w:sz w:val="22"/>
          <w:szCs w:val="22"/>
        </w:rPr>
      </w:pPr>
      <w:r w:rsidRPr="00847765">
        <w:rPr>
          <w:rFonts w:ascii="Arial" w:hAnsi="Arial" w:cs="Arial"/>
          <w:sz w:val="22"/>
          <w:szCs w:val="22"/>
        </w:rPr>
        <w:t>Health and Care Professions Council (HCPC) (2024) </w:t>
      </w:r>
      <w:r w:rsidRPr="00847765">
        <w:rPr>
          <w:rFonts w:ascii="Arial" w:hAnsi="Arial" w:cs="Arial"/>
          <w:i/>
          <w:iCs/>
          <w:sz w:val="22"/>
          <w:szCs w:val="22"/>
        </w:rPr>
        <w:t>Standards of conduct, performance and ethics</w:t>
      </w:r>
      <w:r w:rsidRPr="00847765">
        <w:rPr>
          <w:rFonts w:ascii="Arial" w:hAnsi="Arial" w:cs="Arial"/>
          <w:sz w:val="22"/>
          <w:szCs w:val="22"/>
        </w:rPr>
        <w:t>. London: Health and Care Professions Council.</w:t>
      </w:r>
    </w:p>
    <w:p w14:paraId="5A6D1839" w14:textId="77777777" w:rsidR="00410A8C" w:rsidRPr="00847765" w:rsidRDefault="00410A8C" w:rsidP="00410A8C">
      <w:pPr>
        <w:rPr>
          <w:rFonts w:ascii="Arial" w:hAnsi="Arial" w:cs="Arial"/>
          <w:sz w:val="22"/>
          <w:szCs w:val="22"/>
        </w:rPr>
      </w:pPr>
      <w:r w:rsidRPr="00847765">
        <w:rPr>
          <w:rFonts w:ascii="Arial" w:hAnsi="Arial" w:cs="Arial"/>
          <w:sz w:val="22"/>
          <w:szCs w:val="22"/>
        </w:rPr>
        <w:t>Maslow, A.H. (1943) 'A theory of human motivation', </w:t>
      </w:r>
      <w:r w:rsidRPr="00847765">
        <w:rPr>
          <w:rFonts w:ascii="Arial" w:hAnsi="Arial" w:cs="Arial"/>
          <w:i/>
          <w:iCs/>
          <w:sz w:val="22"/>
          <w:szCs w:val="22"/>
        </w:rPr>
        <w:t>Psychological Review</w:t>
      </w:r>
      <w:r w:rsidRPr="00847765">
        <w:rPr>
          <w:rFonts w:ascii="Arial" w:hAnsi="Arial" w:cs="Arial"/>
          <w:sz w:val="22"/>
          <w:szCs w:val="22"/>
        </w:rPr>
        <w:t>, 50(4), pp. 370-396.</w:t>
      </w:r>
    </w:p>
    <w:p w14:paraId="13FBF78E" w14:textId="77777777" w:rsidR="00410A8C" w:rsidRPr="00847765" w:rsidRDefault="00410A8C" w:rsidP="00410A8C">
      <w:pPr>
        <w:rPr>
          <w:rFonts w:ascii="Arial" w:hAnsi="Arial" w:cs="Arial"/>
          <w:sz w:val="22"/>
          <w:szCs w:val="22"/>
        </w:rPr>
      </w:pPr>
      <w:r w:rsidRPr="00847765">
        <w:rPr>
          <w:rFonts w:ascii="Arial" w:hAnsi="Arial" w:cs="Arial"/>
          <w:sz w:val="22"/>
          <w:szCs w:val="22"/>
        </w:rPr>
        <w:t>Royal College of Nursing (RCN) (2020) </w:t>
      </w:r>
      <w:r w:rsidRPr="00847765">
        <w:rPr>
          <w:rFonts w:ascii="Arial" w:hAnsi="Arial" w:cs="Arial"/>
          <w:i/>
          <w:iCs/>
          <w:sz w:val="22"/>
          <w:szCs w:val="22"/>
        </w:rPr>
        <w:t>Using the 6 Cs framework to improve clinical compassion</w:t>
      </w:r>
      <w:r w:rsidRPr="00847765">
        <w:rPr>
          <w:rFonts w:ascii="Arial" w:hAnsi="Arial" w:cs="Arial"/>
          <w:sz w:val="22"/>
          <w:szCs w:val="22"/>
        </w:rPr>
        <w:t>. London: Royal College of Nursing.</w:t>
      </w:r>
    </w:p>
    <w:p w14:paraId="4454CCEA" w14:textId="77777777" w:rsidR="00410A8C" w:rsidRPr="00847765" w:rsidRDefault="00410A8C" w:rsidP="00410A8C">
      <w:pPr>
        <w:rPr>
          <w:rFonts w:ascii="Arial" w:hAnsi="Arial" w:cs="Arial"/>
          <w:sz w:val="22"/>
          <w:szCs w:val="22"/>
        </w:rPr>
      </w:pPr>
      <w:r w:rsidRPr="00847765">
        <w:rPr>
          <w:rFonts w:ascii="Arial" w:hAnsi="Arial" w:cs="Arial"/>
          <w:sz w:val="22"/>
          <w:szCs w:val="22"/>
        </w:rPr>
        <w:t>World Health Organization (WHO) (2015) </w:t>
      </w:r>
      <w:r w:rsidRPr="00847765">
        <w:rPr>
          <w:rFonts w:ascii="Arial" w:hAnsi="Arial" w:cs="Arial"/>
          <w:i/>
          <w:iCs/>
          <w:sz w:val="22"/>
          <w:szCs w:val="22"/>
        </w:rPr>
        <w:t>People-centred and integrated health services: an operational framework</w:t>
      </w:r>
      <w:r w:rsidRPr="00847765">
        <w:rPr>
          <w:rFonts w:ascii="Arial" w:hAnsi="Arial" w:cs="Arial"/>
          <w:sz w:val="22"/>
          <w:szCs w:val="22"/>
        </w:rPr>
        <w:t>. Geneva: World Health Organization.</w:t>
      </w:r>
    </w:p>
    <w:p w14:paraId="24DA65D9" w14:textId="77777777" w:rsidR="00410A8C" w:rsidRPr="00847765" w:rsidRDefault="00410A8C">
      <w:pPr>
        <w:rPr>
          <w:rFonts w:ascii="Arial" w:hAnsi="Arial" w:cs="Arial"/>
          <w:sz w:val="22"/>
          <w:szCs w:val="22"/>
        </w:rPr>
      </w:pPr>
    </w:p>
    <w:sectPr w:rsidR="00410A8C" w:rsidRPr="0084776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9D6FF" w14:textId="77777777" w:rsidR="008D5E96" w:rsidRDefault="008D5E96" w:rsidP="00AC7926">
      <w:pPr>
        <w:spacing w:after="0" w:line="240" w:lineRule="auto"/>
      </w:pPr>
      <w:r>
        <w:separator/>
      </w:r>
    </w:p>
  </w:endnote>
  <w:endnote w:type="continuationSeparator" w:id="0">
    <w:p w14:paraId="4B7F4D47" w14:textId="77777777" w:rsidR="008D5E96" w:rsidRDefault="008D5E96" w:rsidP="00AC7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18747" w14:textId="77777777" w:rsidR="008D5E96" w:rsidRDefault="008D5E96" w:rsidP="00AC7926">
      <w:pPr>
        <w:spacing w:after="0" w:line="240" w:lineRule="auto"/>
      </w:pPr>
      <w:r>
        <w:separator/>
      </w:r>
    </w:p>
  </w:footnote>
  <w:footnote w:type="continuationSeparator" w:id="0">
    <w:p w14:paraId="459BDDF0" w14:textId="77777777" w:rsidR="008D5E96" w:rsidRDefault="008D5E96" w:rsidP="00AC7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B9D94" w14:textId="0D5929A8" w:rsidR="00AC7926" w:rsidRPr="00847765" w:rsidRDefault="00AC7926">
    <w:pPr>
      <w:pStyle w:val="Header"/>
      <w:rPr>
        <w:rFonts w:ascii="Arial" w:hAnsi="Arial" w:cs="Arial"/>
        <w:sz w:val="22"/>
        <w:szCs w:val="22"/>
      </w:rPr>
    </w:pPr>
    <w:r w:rsidRPr="00847765">
      <w:rPr>
        <w:rFonts w:ascii="Arial" w:hAnsi="Arial" w:cs="Arial"/>
        <w:sz w:val="22"/>
        <w:szCs w:val="22"/>
      </w:rPr>
      <w:t>Nazia Begum</w:t>
    </w:r>
  </w:p>
  <w:p w14:paraId="5EF76A16" w14:textId="77777777" w:rsidR="00FB1112" w:rsidRPr="00847765" w:rsidRDefault="00AC7926" w:rsidP="006B5F7E">
    <w:pPr>
      <w:pStyle w:val="Header"/>
      <w:spacing w:line="360" w:lineRule="auto"/>
      <w:rPr>
        <w:rFonts w:ascii="Arial" w:hAnsi="Arial" w:cs="Arial"/>
        <w:sz w:val="22"/>
        <w:szCs w:val="22"/>
      </w:rPr>
    </w:pPr>
    <w:r w:rsidRPr="00847765">
      <w:rPr>
        <w:rFonts w:ascii="Arial" w:hAnsi="Arial" w:cs="Arial"/>
        <w:sz w:val="22"/>
        <w:szCs w:val="22"/>
      </w:rPr>
      <w:t xml:space="preserve">Student </w:t>
    </w:r>
    <w:proofErr w:type="gramStart"/>
    <w:r w:rsidRPr="00847765">
      <w:rPr>
        <w:rFonts w:ascii="Arial" w:hAnsi="Arial" w:cs="Arial"/>
        <w:sz w:val="22"/>
        <w:szCs w:val="22"/>
      </w:rPr>
      <w:t>number-</w:t>
    </w:r>
    <w:r w:rsidR="008A44CF" w:rsidRPr="00847765">
      <w:rPr>
        <w:rFonts w:ascii="Arial" w:hAnsi="Arial" w:cs="Arial"/>
        <w:sz w:val="22"/>
        <w:szCs w:val="22"/>
      </w:rPr>
      <w:t>2</w:t>
    </w:r>
    <w:r w:rsidR="006B5F7E" w:rsidRPr="00847765">
      <w:rPr>
        <w:rFonts w:ascii="Arial" w:hAnsi="Arial" w:cs="Arial"/>
        <w:sz w:val="22"/>
        <w:szCs w:val="22"/>
      </w:rPr>
      <w:t>506373</w:t>
    </w:r>
    <w:proofErr w:type="gramEnd"/>
  </w:p>
  <w:p w14:paraId="7FF1DF7A" w14:textId="282999A0" w:rsidR="006B5F7E" w:rsidRPr="00847765" w:rsidRDefault="000768F5" w:rsidP="006B5F7E">
    <w:pPr>
      <w:pStyle w:val="Header"/>
      <w:spacing w:line="360" w:lineRule="auto"/>
      <w:rPr>
        <w:rFonts w:ascii="Arial" w:hAnsi="Arial" w:cs="Arial"/>
        <w:sz w:val="22"/>
        <w:szCs w:val="22"/>
      </w:rPr>
    </w:pPr>
    <w:r w:rsidRPr="00847765">
      <w:rPr>
        <w:rFonts w:ascii="Arial" w:hAnsi="Arial" w:cs="Arial"/>
        <w:sz w:val="22"/>
        <w:szCs w:val="22"/>
      </w:rPr>
      <w:t>Module code-</w:t>
    </w:r>
    <w:r w:rsidR="00D33928" w:rsidRPr="00847765">
      <w:rPr>
        <w:rFonts w:ascii="Arial" w:hAnsi="Arial" w:cs="Arial"/>
        <w:sz w:val="22"/>
        <w:szCs w:val="22"/>
      </w:rPr>
      <w:t>BMHP5016</w:t>
    </w:r>
  </w:p>
  <w:p w14:paraId="27FD862B" w14:textId="4D36EC24" w:rsidR="00FB1112" w:rsidRPr="00847765" w:rsidRDefault="009A5A91" w:rsidP="006B5F7E">
    <w:pPr>
      <w:pStyle w:val="Header"/>
      <w:spacing w:line="360" w:lineRule="auto"/>
      <w:rPr>
        <w:rFonts w:ascii="Arial" w:hAnsi="Arial" w:cs="Arial"/>
        <w:sz w:val="22"/>
        <w:szCs w:val="22"/>
      </w:rPr>
    </w:pPr>
    <w:r w:rsidRPr="00847765">
      <w:rPr>
        <w:rFonts w:ascii="Arial" w:hAnsi="Arial" w:cs="Arial"/>
        <w:sz w:val="22"/>
        <w:szCs w:val="22"/>
      </w:rPr>
      <w:t>Component 1</w:t>
    </w:r>
    <w:r w:rsidR="00503CBF" w:rsidRPr="00847765">
      <w:rPr>
        <w:rFonts w:ascii="Arial" w:hAnsi="Arial" w:cs="Arial"/>
        <w:sz w:val="22"/>
        <w:szCs w:val="22"/>
      </w:rPr>
      <w:t xml:space="preserve"> reflective report</w:t>
    </w:r>
  </w:p>
  <w:p w14:paraId="5AD5ED36" w14:textId="2F6BA8C0" w:rsidR="00B92FCC" w:rsidRPr="00847765" w:rsidRDefault="007A2CE7" w:rsidP="006B5F7E">
    <w:pPr>
      <w:pStyle w:val="Header"/>
      <w:spacing w:line="360" w:lineRule="auto"/>
      <w:rPr>
        <w:rFonts w:ascii="Arial" w:hAnsi="Arial" w:cs="Arial"/>
        <w:sz w:val="22"/>
        <w:szCs w:val="22"/>
      </w:rPr>
    </w:pPr>
    <w:r w:rsidRPr="00847765">
      <w:rPr>
        <w:rFonts w:ascii="Arial" w:hAnsi="Arial" w:cs="Arial"/>
        <w:sz w:val="22"/>
        <w:szCs w:val="22"/>
      </w:rPr>
      <w:t>K</w:t>
    </w:r>
    <w:r w:rsidR="00B92FCC" w:rsidRPr="00847765">
      <w:rPr>
        <w:rFonts w:ascii="Arial" w:hAnsi="Arial" w:cs="Arial"/>
        <w:sz w:val="22"/>
        <w:szCs w:val="22"/>
      </w:rPr>
      <w:t>en</w:t>
    </w:r>
    <w:r w:rsidRPr="00847765">
      <w:rPr>
        <w:rFonts w:ascii="Arial" w:hAnsi="Arial" w:cs="Arial"/>
        <w:sz w:val="22"/>
        <w:szCs w:val="22"/>
      </w:rPr>
      <w:t xml:space="preserve">nedy </w:t>
    </w:r>
    <w:proofErr w:type="spellStart"/>
    <w:r w:rsidRPr="00847765">
      <w:rPr>
        <w:rFonts w:ascii="Arial" w:hAnsi="Arial" w:cs="Arial"/>
        <w:sz w:val="22"/>
        <w:szCs w:val="22"/>
      </w:rPr>
      <w:t>oboh</w:t>
    </w:r>
    <w:r w:rsidR="0050242F" w:rsidRPr="00847765">
      <w:rPr>
        <w:rFonts w:ascii="Arial" w:hAnsi="Arial" w:cs="Arial"/>
        <w:sz w:val="22"/>
        <w:szCs w:val="22"/>
      </w:rPr>
      <w:t>wemu</w:t>
    </w:r>
    <w:proofErr w:type="spellEnd"/>
  </w:p>
  <w:p w14:paraId="454C426A" w14:textId="65155AC4" w:rsidR="00847765" w:rsidRPr="00847765" w:rsidRDefault="00847765" w:rsidP="006B5F7E">
    <w:pPr>
      <w:pStyle w:val="Header"/>
      <w:spacing w:line="360" w:lineRule="auto"/>
      <w:rPr>
        <w:rFonts w:ascii="Arial" w:hAnsi="Arial" w:cs="Arial"/>
        <w:sz w:val="22"/>
        <w:szCs w:val="22"/>
      </w:rPr>
    </w:pPr>
    <w:proofErr w:type="spellStart"/>
    <w:r w:rsidRPr="00847765">
      <w:rPr>
        <w:rFonts w:ascii="Arial" w:hAnsi="Arial" w:cs="Arial"/>
        <w:sz w:val="22"/>
        <w:szCs w:val="22"/>
      </w:rPr>
      <w:t>Princibles</w:t>
    </w:r>
    <w:proofErr w:type="spellEnd"/>
    <w:r w:rsidRPr="00847765">
      <w:rPr>
        <w:rFonts w:ascii="Arial" w:hAnsi="Arial" w:cs="Arial"/>
        <w:sz w:val="22"/>
        <w:szCs w:val="22"/>
      </w:rPr>
      <w:t xml:space="preserve"> of Health and social care</w:t>
    </w:r>
  </w:p>
  <w:p w14:paraId="60620ADD" w14:textId="77777777" w:rsidR="00AC7926" w:rsidRDefault="00AC7926">
    <w:pPr>
      <w:pStyle w:val="Header"/>
    </w:pPr>
  </w:p>
  <w:p w14:paraId="4C736A33" w14:textId="77777777" w:rsidR="00AC7926" w:rsidRDefault="00AC79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16472"/>
    <w:multiLevelType w:val="multilevel"/>
    <w:tmpl w:val="58F6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655133"/>
    <w:multiLevelType w:val="multilevel"/>
    <w:tmpl w:val="9252E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394661"/>
    <w:multiLevelType w:val="multilevel"/>
    <w:tmpl w:val="85DCE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49574D"/>
    <w:multiLevelType w:val="multilevel"/>
    <w:tmpl w:val="D8DAE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3474101">
    <w:abstractNumId w:val="1"/>
  </w:num>
  <w:num w:numId="2" w16cid:durableId="873270675">
    <w:abstractNumId w:val="3"/>
  </w:num>
  <w:num w:numId="3" w16cid:durableId="1231623126">
    <w:abstractNumId w:val="0"/>
  </w:num>
  <w:num w:numId="4" w16cid:durableId="16512549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540"/>
    <w:rsid w:val="000768F5"/>
    <w:rsid w:val="00410A8C"/>
    <w:rsid w:val="0050242F"/>
    <w:rsid w:val="00503CBF"/>
    <w:rsid w:val="006B5F7E"/>
    <w:rsid w:val="007A2CE7"/>
    <w:rsid w:val="008029F3"/>
    <w:rsid w:val="00803AEB"/>
    <w:rsid w:val="00847765"/>
    <w:rsid w:val="008A44CF"/>
    <w:rsid w:val="008D5E96"/>
    <w:rsid w:val="0091706F"/>
    <w:rsid w:val="00987729"/>
    <w:rsid w:val="009A5A91"/>
    <w:rsid w:val="00AC7926"/>
    <w:rsid w:val="00B92FCC"/>
    <w:rsid w:val="00D33928"/>
    <w:rsid w:val="00F95540"/>
    <w:rsid w:val="00FB1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1C9B8"/>
  <w15:chartTrackingRefBased/>
  <w15:docId w15:val="{D473855F-961F-4C69-8800-509AF44C2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5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55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55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55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55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55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5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5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5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5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55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55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55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55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55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5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5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540"/>
    <w:rPr>
      <w:rFonts w:eastAsiaTheme="majorEastAsia" w:cstheme="majorBidi"/>
      <w:color w:val="272727" w:themeColor="text1" w:themeTint="D8"/>
    </w:rPr>
  </w:style>
  <w:style w:type="paragraph" w:styleId="Title">
    <w:name w:val="Title"/>
    <w:basedOn w:val="Normal"/>
    <w:next w:val="Normal"/>
    <w:link w:val="TitleChar"/>
    <w:uiPriority w:val="10"/>
    <w:qFormat/>
    <w:rsid w:val="00F955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5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5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5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540"/>
    <w:pPr>
      <w:spacing w:before="160"/>
      <w:jc w:val="center"/>
    </w:pPr>
    <w:rPr>
      <w:i/>
      <w:iCs/>
      <w:color w:val="404040" w:themeColor="text1" w:themeTint="BF"/>
    </w:rPr>
  </w:style>
  <w:style w:type="character" w:customStyle="1" w:styleId="QuoteChar">
    <w:name w:val="Quote Char"/>
    <w:basedOn w:val="DefaultParagraphFont"/>
    <w:link w:val="Quote"/>
    <w:uiPriority w:val="29"/>
    <w:rsid w:val="00F95540"/>
    <w:rPr>
      <w:i/>
      <w:iCs/>
      <w:color w:val="404040" w:themeColor="text1" w:themeTint="BF"/>
    </w:rPr>
  </w:style>
  <w:style w:type="paragraph" w:styleId="ListParagraph">
    <w:name w:val="List Paragraph"/>
    <w:basedOn w:val="Normal"/>
    <w:uiPriority w:val="34"/>
    <w:qFormat/>
    <w:rsid w:val="00F95540"/>
    <w:pPr>
      <w:ind w:left="720"/>
      <w:contextualSpacing/>
    </w:pPr>
  </w:style>
  <w:style w:type="character" w:styleId="IntenseEmphasis">
    <w:name w:val="Intense Emphasis"/>
    <w:basedOn w:val="DefaultParagraphFont"/>
    <w:uiPriority w:val="21"/>
    <w:qFormat/>
    <w:rsid w:val="00F95540"/>
    <w:rPr>
      <w:i/>
      <w:iCs/>
      <w:color w:val="0F4761" w:themeColor="accent1" w:themeShade="BF"/>
    </w:rPr>
  </w:style>
  <w:style w:type="paragraph" w:styleId="IntenseQuote">
    <w:name w:val="Intense Quote"/>
    <w:basedOn w:val="Normal"/>
    <w:next w:val="Normal"/>
    <w:link w:val="IntenseQuoteChar"/>
    <w:uiPriority w:val="30"/>
    <w:qFormat/>
    <w:rsid w:val="00F955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5540"/>
    <w:rPr>
      <w:i/>
      <w:iCs/>
      <w:color w:val="0F4761" w:themeColor="accent1" w:themeShade="BF"/>
    </w:rPr>
  </w:style>
  <w:style w:type="character" w:styleId="IntenseReference">
    <w:name w:val="Intense Reference"/>
    <w:basedOn w:val="DefaultParagraphFont"/>
    <w:uiPriority w:val="32"/>
    <w:qFormat/>
    <w:rsid w:val="00F95540"/>
    <w:rPr>
      <w:b/>
      <w:bCs/>
      <w:smallCaps/>
      <w:color w:val="0F4761" w:themeColor="accent1" w:themeShade="BF"/>
      <w:spacing w:val="5"/>
    </w:rPr>
  </w:style>
  <w:style w:type="character" w:styleId="Hyperlink">
    <w:name w:val="Hyperlink"/>
    <w:basedOn w:val="DefaultParagraphFont"/>
    <w:uiPriority w:val="99"/>
    <w:unhideWhenUsed/>
    <w:rsid w:val="00410A8C"/>
    <w:rPr>
      <w:color w:val="467886" w:themeColor="hyperlink"/>
      <w:u w:val="single"/>
    </w:rPr>
  </w:style>
  <w:style w:type="character" w:styleId="UnresolvedMention">
    <w:name w:val="Unresolved Mention"/>
    <w:basedOn w:val="DefaultParagraphFont"/>
    <w:uiPriority w:val="99"/>
    <w:semiHidden/>
    <w:unhideWhenUsed/>
    <w:rsid w:val="00410A8C"/>
    <w:rPr>
      <w:color w:val="605E5C"/>
      <w:shd w:val="clear" w:color="auto" w:fill="E1DFDD"/>
    </w:rPr>
  </w:style>
  <w:style w:type="paragraph" w:styleId="Header">
    <w:name w:val="header"/>
    <w:basedOn w:val="Normal"/>
    <w:link w:val="HeaderChar"/>
    <w:uiPriority w:val="99"/>
    <w:unhideWhenUsed/>
    <w:rsid w:val="00AC7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926"/>
  </w:style>
  <w:style w:type="paragraph" w:styleId="Footer">
    <w:name w:val="footer"/>
    <w:basedOn w:val="Normal"/>
    <w:link w:val="FooterChar"/>
    <w:uiPriority w:val="99"/>
    <w:unhideWhenUsed/>
    <w:rsid w:val="00AC7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9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tion.gov.uk/" TargetMode="External"/><Relationship Id="rId3" Type="http://schemas.openxmlformats.org/officeDocument/2006/relationships/settings" Target="settings.xml"/><Relationship Id="rId7" Type="http://schemas.openxmlformats.org/officeDocument/2006/relationships/hyperlink" Target="http://cqc.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legisl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3993</TotalTime>
  <Pages>6</Pages>
  <Words>2237</Words>
  <Characters>12753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Begum (2506373)</dc:creator>
  <cp:keywords/>
  <dc:description/>
  <cp:lastModifiedBy>Nazia Begum (2506373)</cp:lastModifiedBy>
  <cp:revision>12</cp:revision>
  <dcterms:created xsi:type="dcterms:W3CDTF">2026-10-22T11:55:00Z</dcterms:created>
  <dcterms:modified xsi:type="dcterms:W3CDTF">2026-10-25T18:02:00Z</dcterms:modified>
</cp:coreProperties>
</file>