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02C84" w14:textId="72D1DDBB" w:rsidR="00FC3482" w:rsidRDefault="00685556" w:rsidP="002B6222">
      <w:pPr>
        <w:pStyle w:val="Title"/>
        <w:spacing w:line="360" w:lineRule="auto"/>
        <w:rPr>
          <w:rFonts w:asciiTheme="minorBidi" w:eastAsia="Times New Roman" w:hAnsiTheme="minorBidi" w:cstheme="minorBidi"/>
        </w:rPr>
      </w:pPr>
      <w:r>
        <w:rPr>
          <w:rFonts w:asciiTheme="minorBidi" w:eastAsia="Times New Roman" w:hAnsiTheme="minorBidi" w:cstheme="minorBidi"/>
        </w:rPr>
        <w:t>Legal Process</w:t>
      </w:r>
    </w:p>
    <w:p w14:paraId="2048AEA7" w14:textId="77777777" w:rsidR="00FC3482" w:rsidRDefault="00FC3482" w:rsidP="002B6222">
      <w:pPr>
        <w:pStyle w:val="Title"/>
        <w:spacing w:line="360" w:lineRule="auto"/>
        <w:rPr>
          <w:rFonts w:asciiTheme="minorBidi" w:eastAsia="Times New Roman" w:hAnsiTheme="minorBidi" w:cstheme="minorBidi"/>
        </w:rPr>
      </w:pPr>
    </w:p>
    <w:p w14:paraId="1F610952" w14:textId="77777777" w:rsidR="00FC3482" w:rsidRDefault="00FC3482" w:rsidP="002B6222">
      <w:pPr>
        <w:pStyle w:val="Title"/>
        <w:spacing w:line="360" w:lineRule="auto"/>
        <w:rPr>
          <w:rFonts w:asciiTheme="minorBidi" w:eastAsia="Times New Roman" w:hAnsiTheme="minorBidi" w:cstheme="minorBidi"/>
        </w:rPr>
      </w:pPr>
    </w:p>
    <w:p w14:paraId="68AF61A8" w14:textId="77777777" w:rsidR="00FC3482" w:rsidRDefault="00FC3482" w:rsidP="002B6222">
      <w:pPr>
        <w:pStyle w:val="Title"/>
        <w:spacing w:line="360" w:lineRule="auto"/>
        <w:rPr>
          <w:rFonts w:asciiTheme="minorBidi" w:eastAsia="Times New Roman" w:hAnsiTheme="minorBidi" w:cstheme="minorBidi"/>
        </w:rPr>
      </w:pPr>
    </w:p>
    <w:p w14:paraId="2B426630" w14:textId="77777777" w:rsidR="00FC3482" w:rsidRDefault="00FC3482" w:rsidP="002B6222">
      <w:pPr>
        <w:pStyle w:val="Title"/>
        <w:spacing w:line="360" w:lineRule="auto"/>
        <w:rPr>
          <w:rFonts w:asciiTheme="minorBidi" w:eastAsia="Times New Roman" w:hAnsiTheme="minorBidi" w:cstheme="minorBidi"/>
        </w:rPr>
      </w:pPr>
    </w:p>
    <w:p w14:paraId="2D571874" w14:textId="77777777" w:rsidR="00FC3482" w:rsidRDefault="00FC3482" w:rsidP="002B6222">
      <w:pPr>
        <w:pStyle w:val="Title"/>
        <w:spacing w:line="360" w:lineRule="auto"/>
        <w:rPr>
          <w:rFonts w:asciiTheme="minorBidi" w:eastAsia="Times New Roman" w:hAnsiTheme="minorBidi" w:cstheme="minorBidi"/>
        </w:rPr>
      </w:pPr>
    </w:p>
    <w:p w14:paraId="0151EBE4" w14:textId="77777777" w:rsidR="00FC3482" w:rsidRDefault="00FC3482" w:rsidP="002B6222">
      <w:pPr>
        <w:pStyle w:val="Title"/>
        <w:spacing w:line="360" w:lineRule="auto"/>
        <w:rPr>
          <w:rFonts w:asciiTheme="minorBidi" w:eastAsia="Times New Roman" w:hAnsiTheme="minorBidi" w:cstheme="minorBidi"/>
        </w:rPr>
      </w:pPr>
    </w:p>
    <w:p w14:paraId="3ED343D3" w14:textId="77777777" w:rsidR="00FC3482" w:rsidRDefault="00FC3482" w:rsidP="002B6222">
      <w:pPr>
        <w:pStyle w:val="Title"/>
        <w:spacing w:line="360" w:lineRule="auto"/>
        <w:rPr>
          <w:rFonts w:asciiTheme="minorBidi" w:eastAsia="Times New Roman" w:hAnsiTheme="minorBidi" w:cstheme="minorBidi"/>
        </w:rPr>
      </w:pPr>
    </w:p>
    <w:p w14:paraId="49DDBFC2" w14:textId="77777777" w:rsidR="00FC3482" w:rsidRDefault="00FC3482" w:rsidP="002B6222">
      <w:pPr>
        <w:pStyle w:val="Title"/>
        <w:spacing w:line="360" w:lineRule="auto"/>
        <w:rPr>
          <w:rFonts w:asciiTheme="minorBidi" w:eastAsia="Times New Roman" w:hAnsiTheme="minorBidi" w:cstheme="minorBidi"/>
        </w:rPr>
      </w:pPr>
    </w:p>
    <w:p w14:paraId="5B124D11" w14:textId="77777777" w:rsidR="00FC3482" w:rsidRDefault="00FC3482" w:rsidP="002B6222">
      <w:pPr>
        <w:pStyle w:val="Title"/>
        <w:spacing w:line="360" w:lineRule="auto"/>
        <w:rPr>
          <w:rFonts w:asciiTheme="minorBidi" w:eastAsia="Times New Roman" w:hAnsiTheme="minorBidi" w:cstheme="minorBidi"/>
        </w:rPr>
      </w:pPr>
    </w:p>
    <w:p w14:paraId="68236BFA" w14:textId="77777777" w:rsidR="00FC3482" w:rsidRDefault="00FC3482" w:rsidP="002B6222">
      <w:pPr>
        <w:pStyle w:val="Title"/>
        <w:spacing w:line="360" w:lineRule="auto"/>
        <w:rPr>
          <w:rFonts w:asciiTheme="minorBidi" w:eastAsia="Times New Roman" w:hAnsiTheme="minorBidi" w:cstheme="minorBidi"/>
        </w:rPr>
      </w:pPr>
    </w:p>
    <w:p w14:paraId="1CE5CA8B" w14:textId="77777777" w:rsidR="002B6222" w:rsidRPr="00685556" w:rsidRDefault="00BF68DE" w:rsidP="002B6222">
      <w:pPr>
        <w:pStyle w:val="Title"/>
        <w:spacing w:line="360" w:lineRule="auto"/>
        <w:rPr>
          <w:rFonts w:asciiTheme="minorBidi" w:eastAsia="Times New Roman" w:hAnsiTheme="minorBidi" w:cstheme="minorBidi"/>
          <w:u w:val="none"/>
        </w:rPr>
      </w:pPr>
      <w:r w:rsidRPr="00685556">
        <w:rPr>
          <w:rFonts w:asciiTheme="minorBidi" w:eastAsia="Times New Roman" w:hAnsiTheme="minorBidi" w:cstheme="minorBidi"/>
          <w:u w:val="none"/>
        </w:rPr>
        <w:t>Common Law</w:t>
      </w:r>
    </w:p>
    <w:p w14:paraId="369804CC" w14:textId="78058CC3" w:rsidR="002B6222" w:rsidRPr="002B6222" w:rsidRDefault="00685556" w:rsidP="002B6222">
      <w:pPr>
        <w:spacing w:after="0" w:line="360" w:lineRule="auto"/>
        <w:jc w:val="center"/>
        <w:rPr>
          <w:rFonts w:asciiTheme="minorBidi" w:eastAsia="Times New Roman" w:hAnsiTheme="minorBidi"/>
          <w:szCs w:val="24"/>
        </w:rPr>
      </w:pPr>
      <w:r>
        <w:rPr>
          <w:rFonts w:asciiTheme="minorBidi" w:eastAsia="Times New Roman" w:hAnsiTheme="minorBidi"/>
          <w:b/>
          <w:bCs/>
          <w:i/>
          <w:iCs/>
          <w:color w:val="000000"/>
          <w:szCs w:val="24"/>
        </w:rPr>
        <w:t>222757</w:t>
      </w:r>
    </w:p>
    <w:p w14:paraId="36F6E21C" w14:textId="77777777" w:rsidR="002B6222" w:rsidRDefault="00BF68DE">
      <w:pPr>
        <w:spacing w:line="259" w:lineRule="auto"/>
        <w:jc w:val="left"/>
        <w:rPr>
          <w:rFonts w:asciiTheme="minorBidi" w:eastAsia="Times New Roman" w:hAnsiTheme="minorBidi"/>
          <w:b/>
          <w:bCs/>
          <w:i/>
          <w:iCs/>
          <w:color w:val="000000"/>
          <w:szCs w:val="24"/>
        </w:rPr>
      </w:pPr>
      <w:r>
        <w:rPr>
          <w:rFonts w:asciiTheme="minorBidi" w:eastAsia="Times New Roman" w:hAnsiTheme="minorBidi"/>
          <w:b/>
          <w:bCs/>
          <w:i/>
          <w:iCs/>
          <w:color w:val="000000"/>
          <w:szCs w:val="24"/>
        </w:rPr>
        <w:br w:type="page"/>
      </w:r>
    </w:p>
    <w:sdt>
      <w:sdtPr>
        <w:rPr>
          <w:rFonts w:asciiTheme="minorBidi" w:eastAsiaTheme="minorEastAsia" w:hAnsiTheme="minorBidi" w:cstheme="minorBidi"/>
          <w:color w:val="auto"/>
          <w:sz w:val="24"/>
          <w:szCs w:val="22"/>
          <w:lang w:val="en-GB" w:eastAsia="en-IN"/>
        </w:rPr>
        <w:id w:val="785774623"/>
        <w:docPartObj>
          <w:docPartGallery w:val="Table of Contents"/>
          <w:docPartUnique/>
        </w:docPartObj>
      </w:sdtPr>
      <w:sdtEndPr>
        <w:rPr>
          <w:rFonts w:ascii="Times New Roman" w:hAnsi="Times New Roman"/>
          <w:b/>
          <w:bCs/>
          <w:noProof/>
        </w:rPr>
      </w:sdtEndPr>
      <w:sdtContent>
        <w:p w14:paraId="666FD738" w14:textId="595B1CC1" w:rsidR="002B6222" w:rsidRPr="00FC3482" w:rsidRDefault="00BF68DE" w:rsidP="00FC3482">
          <w:pPr>
            <w:pStyle w:val="TOCHeading"/>
            <w:spacing w:line="360" w:lineRule="auto"/>
            <w:jc w:val="center"/>
            <w:rPr>
              <w:rFonts w:asciiTheme="minorBidi" w:hAnsiTheme="minorBidi" w:cstheme="minorBidi"/>
              <w:b/>
              <w:color w:val="auto"/>
              <w:sz w:val="24"/>
            </w:rPr>
          </w:pPr>
          <w:r w:rsidRPr="00FC3482">
            <w:rPr>
              <w:rFonts w:asciiTheme="minorBidi" w:hAnsiTheme="minorBidi" w:cstheme="minorBidi"/>
              <w:b/>
              <w:color w:val="auto"/>
              <w:sz w:val="24"/>
            </w:rPr>
            <w:t>Table of Contents</w:t>
          </w:r>
        </w:p>
        <w:p w14:paraId="573BADE1" w14:textId="0D3577E9" w:rsidR="002B6222" w:rsidRDefault="00BF68DE" w:rsidP="00FC3482">
          <w:pPr>
            <w:pStyle w:val="TOC1"/>
            <w:tabs>
              <w:tab w:val="right" w:leader="dot" w:pos="9016"/>
            </w:tabs>
            <w:spacing w:line="360" w:lineRule="auto"/>
            <w:rPr>
              <w:noProof/>
            </w:rPr>
          </w:pPr>
          <w:r>
            <w:fldChar w:fldCharType="begin"/>
          </w:r>
          <w:r>
            <w:instrText xml:space="preserve"> TOC \o "1-3" \h \z \u </w:instrText>
          </w:r>
          <w:r>
            <w:fldChar w:fldCharType="separate"/>
          </w:r>
          <w:hyperlink w:anchor="_Toc129278587" w:history="1">
            <w:r w:rsidRPr="00A10BDB">
              <w:rPr>
                <w:rStyle w:val="Hyperlink"/>
                <w:rFonts w:asciiTheme="minorBidi" w:eastAsia="Times New Roman" w:hAnsiTheme="minorBidi"/>
                <w:noProof/>
              </w:rPr>
              <w:t>Introduction</w:t>
            </w:r>
            <w:r>
              <w:rPr>
                <w:noProof/>
                <w:webHidden/>
              </w:rPr>
              <w:tab/>
            </w:r>
            <w:r>
              <w:rPr>
                <w:noProof/>
                <w:webHidden/>
              </w:rPr>
              <w:fldChar w:fldCharType="begin"/>
            </w:r>
            <w:r>
              <w:rPr>
                <w:noProof/>
                <w:webHidden/>
              </w:rPr>
              <w:instrText xml:space="preserve"> PAGEREF _Toc129278587 \h </w:instrText>
            </w:r>
            <w:r>
              <w:rPr>
                <w:noProof/>
                <w:webHidden/>
              </w:rPr>
            </w:r>
            <w:r>
              <w:rPr>
                <w:noProof/>
                <w:webHidden/>
              </w:rPr>
              <w:fldChar w:fldCharType="separate"/>
            </w:r>
            <w:r>
              <w:rPr>
                <w:noProof/>
                <w:webHidden/>
              </w:rPr>
              <w:t>3</w:t>
            </w:r>
            <w:r>
              <w:rPr>
                <w:noProof/>
                <w:webHidden/>
              </w:rPr>
              <w:fldChar w:fldCharType="end"/>
            </w:r>
          </w:hyperlink>
        </w:p>
        <w:p w14:paraId="278A70E0" w14:textId="17752801" w:rsidR="002B6222" w:rsidRDefault="00FC284A" w:rsidP="00FC3482">
          <w:pPr>
            <w:pStyle w:val="TOC2"/>
            <w:tabs>
              <w:tab w:val="right" w:leader="dot" w:pos="9016"/>
            </w:tabs>
            <w:spacing w:line="360" w:lineRule="auto"/>
            <w:rPr>
              <w:noProof/>
            </w:rPr>
          </w:pPr>
          <w:hyperlink w:anchor="_Toc129278588" w:history="1">
            <w:r w:rsidR="00BF68DE" w:rsidRPr="00A10BDB">
              <w:rPr>
                <w:rStyle w:val="Hyperlink"/>
                <w:rFonts w:asciiTheme="minorBidi" w:eastAsia="Times New Roman" w:hAnsiTheme="minorBidi"/>
                <w:iCs/>
                <w:noProof/>
              </w:rPr>
              <w:t>Thesis Statement</w:t>
            </w:r>
            <w:r w:rsidR="00BF68DE">
              <w:rPr>
                <w:noProof/>
                <w:webHidden/>
              </w:rPr>
              <w:tab/>
            </w:r>
            <w:r w:rsidR="00BF68DE">
              <w:rPr>
                <w:noProof/>
                <w:webHidden/>
              </w:rPr>
              <w:fldChar w:fldCharType="begin"/>
            </w:r>
            <w:r w:rsidR="00BF68DE">
              <w:rPr>
                <w:noProof/>
                <w:webHidden/>
              </w:rPr>
              <w:instrText xml:space="preserve"> PAGEREF _Toc129278588 \h </w:instrText>
            </w:r>
            <w:r w:rsidR="00BF68DE">
              <w:rPr>
                <w:noProof/>
                <w:webHidden/>
              </w:rPr>
            </w:r>
            <w:r w:rsidR="00BF68DE">
              <w:rPr>
                <w:noProof/>
                <w:webHidden/>
              </w:rPr>
              <w:fldChar w:fldCharType="separate"/>
            </w:r>
            <w:r w:rsidR="00BF68DE">
              <w:rPr>
                <w:noProof/>
                <w:webHidden/>
              </w:rPr>
              <w:t>3</w:t>
            </w:r>
            <w:r w:rsidR="00BF68DE">
              <w:rPr>
                <w:noProof/>
                <w:webHidden/>
              </w:rPr>
              <w:fldChar w:fldCharType="end"/>
            </w:r>
          </w:hyperlink>
        </w:p>
        <w:p w14:paraId="0518F694" w14:textId="44096E8E" w:rsidR="002B6222" w:rsidRDefault="00FC284A" w:rsidP="00FC3482">
          <w:pPr>
            <w:pStyle w:val="TOC2"/>
            <w:tabs>
              <w:tab w:val="right" w:leader="dot" w:pos="9016"/>
            </w:tabs>
            <w:spacing w:line="360" w:lineRule="auto"/>
            <w:rPr>
              <w:noProof/>
            </w:rPr>
          </w:pPr>
          <w:hyperlink w:anchor="_Toc129278589" w:history="1">
            <w:r w:rsidR="00BF68DE" w:rsidRPr="00A10BDB">
              <w:rPr>
                <w:rStyle w:val="Hyperlink"/>
                <w:rFonts w:asciiTheme="minorBidi" w:eastAsia="Times New Roman" w:hAnsiTheme="minorBidi"/>
                <w:iCs/>
                <w:noProof/>
              </w:rPr>
              <w:t>1. What is common law?</w:t>
            </w:r>
            <w:r w:rsidR="00BF68DE">
              <w:rPr>
                <w:noProof/>
                <w:webHidden/>
              </w:rPr>
              <w:tab/>
            </w:r>
            <w:r w:rsidR="00BF68DE">
              <w:rPr>
                <w:noProof/>
                <w:webHidden/>
              </w:rPr>
              <w:fldChar w:fldCharType="begin"/>
            </w:r>
            <w:r w:rsidR="00BF68DE">
              <w:rPr>
                <w:noProof/>
                <w:webHidden/>
              </w:rPr>
              <w:instrText xml:space="preserve"> PAGEREF _Toc129278589 \h </w:instrText>
            </w:r>
            <w:r w:rsidR="00BF68DE">
              <w:rPr>
                <w:noProof/>
                <w:webHidden/>
              </w:rPr>
            </w:r>
            <w:r w:rsidR="00BF68DE">
              <w:rPr>
                <w:noProof/>
                <w:webHidden/>
              </w:rPr>
              <w:fldChar w:fldCharType="separate"/>
            </w:r>
            <w:r w:rsidR="00BF68DE">
              <w:rPr>
                <w:noProof/>
                <w:webHidden/>
              </w:rPr>
              <w:t>3</w:t>
            </w:r>
            <w:r w:rsidR="00BF68DE">
              <w:rPr>
                <w:noProof/>
                <w:webHidden/>
              </w:rPr>
              <w:fldChar w:fldCharType="end"/>
            </w:r>
          </w:hyperlink>
        </w:p>
        <w:p w14:paraId="29B83DE5" w14:textId="73579DB2" w:rsidR="002B6222" w:rsidRDefault="00FC284A" w:rsidP="00FC3482">
          <w:pPr>
            <w:pStyle w:val="TOC2"/>
            <w:tabs>
              <w:tab w:val="right" w:leader="dot" w:pos="9016"/>
            </w:tabs>
            <w:spacing w:line="360" w:lineRule="auto"/>
            <w:rPr>
              <w:noProof/>
            </w:rPr>
          </w:pPr>
          <w:hyperlink w:anchor="_Toc129278590" w:history="1">
            <w:r w:rsidR="00BF68DE" w:rsidRPr="00A10BDB">
              <w:rPr>
                <w:rStyle w:val="Hyperlink"/>
                <w:rFonts w:asciiTheme="minorBidi" w:eastAsia="Times New Roman" w:hAnsiTheme="minorBidi"/>
                <w:iCs/>
                <w:noProof/>
              </w:rPr>
              <w:t>2. What is civil law?</w:t>
            </w:r>
            <w:r w:rsidR="00BF68DE">
              <w:rPr>
                <w:noProof/>
                <w:webHidden/>
              </w:rPr>
              <w:tab/>
            </w:r>
            <w:r w:rsidR="00BF68DE">
              <w:rPr>
                <w:noProof/>
                <w:webHidden/>
              </w:rPr>
              <w:fldChar w:fldCharType="begin"/>
            </w:r>
            <w:r w:rsidR="00BF68DE">
              <w:rPr>
                <w:noProof/>
                <w:webHidden/>
              </w:rPr>
              <w:instrText xml:space="preserve"> PAGEREF _Toc129278590 \h </w:instrText>
            </w:r>
            <w:r w:rsidR="00BF68DE">
              <w:rPr>
                <w:noProof/>
                <w:webHidden/>
              </w:rPr>
            </w:r>
            <w:r w:rsidR="00BF68DE">
              <w:rPr>
                <w:noProof/>
                <w:webHidden/>
              </w:rPr>
              <w:fldChar w:fldCharType="separate"/>
            </w:r>
            <w:r w:rsidR="00BF68DE">
              <w:rPr>
                <w:noProof/>
                <w:webHidden/>
              </w:rPr>
              <w:t>4</w:t>
            </w:r>
            <w:r w:rsidR="00BF68DE">
              <w:rPr>
                <w:noProof/>
                <w:webHidden/>
              </w:rPr>
              <w:fldChar w:fldCharType="end"/>
            </w:r>
          </w:hyperlink>
        </w:p>
        <w:p w14:paraId="1C2B4187" w14:textId="0DDDFB26" w:rsidR="002B6222" w:rsidRDefault="00FC284A" w:rsidP="00FC3482">
          <w:pPr>
            <w:pStyle w:val="TOC2"/>
            <w:tabs>
              <w:tab w:val="right" w:leader="dot" w:pos="9016"/>
            </w:tabs>
            <w:spacing w:line="360" w:lineRule="auto"/>
            <w:rPr>
              <w:noProof/>
            </w:rPr>
          </w:pPr>
          <w:hyperlink w:anchor="_Toc129278591" w:history="1">
            <w:r w:rsidR="00BF68DE" w:rsidRPr="00A10BDB">
              <w:rPr>
                <w:rStyle w:val="Hyperlink"/>
                <w:rFonts w:asciiTheme="minorBidi" w:eastAsia="Times New Roman" w:hAnsiTheme="minorBidi"/>
                <w:iCs/>
                <w:noProof/>
              </w:rPr>
              <w:t>3. Contrast the two systems</w:t>
            </w:r>
            <w:r w:rsidR="00BF68DE">
              <w:rPr>
                <w:noProof/>
                <w:webHidden/>
              </w:rPr>
              <w:tab/>
            </w:r>
            <w:r w:rsidR="00BF68DE">
              <w:rPr>
                <w:noProof/>
                <w:webHidden/>
              </w:rPr>
              <w:fldChar w:fldCharType="begin"/>
            </w:r>
            <w:r w:rsidR="00BF68DE">
              <w:rPr>
                <w:noProof/>
                <w:webHidden/>
              </w:rPr>
              <w:instrText xml:space="preserve"> PAGEREF _Toc129278591 \h </w:instrText>
            </w:r>
            <w:r w:rsidR="00BF68DE">
              <w:rPr>
                <w:noProof/>
                <w:webHidden/>
              </w:rPr>
            </w:r>
            <w:r w:rsidR="00BF68DE">
              <w:rPr>
                <w:noProof/>
                <w:webHidden/>
              </w:rPr>
              <w:fldChar w:fldCharType="separate"/>
            </w:r>
            <w:r w:rsidR="00BF68DE">
              <w:rPr>
                <w:noProof/>
                <w:webHidden/>
              </w:rPr>
              <w:t>4</w:t>
            </w:r>
            <w:r w:rsidR="00BF68DE">
              <w:rPr>
                <w:noProof/>
                <w:webHidden/>
              </w:rPr>
              <w:fldChar w:fldCharType="end"/>
            </w:r>
          </w:hyperlink>
        </w:p>
        <w:p w14:paraId="427D8886" w14:textId="761F9243" w:rsidR="002B6222" w:rsidRDefault="00FC284A" w:rsidP="00FC3482">
          <w:pPr>
            <w:pStyle w:val="TOC2"/>
            <w:tabs>
              <w:tab w:val="right" w:leader="dot" w:pos="9016"/>
            </w:tabs>
            <w:spacing w:line="360" w:lineRule="auto"/>
            <w:rPr>
              <w:noProof/>
            </w:rPr>
          </w:pPr>
          <w:hyperlink w:anchor="_Toc129278592" w:history="1">
            <w:r w:rsidR="00BF68DE" w:rsidRPr="00A10BDB">
              <w:rPr>
                <w:rStyle w:val="Hyperlink"/>
                <w:rFonts w:asciiTheme="minorBidi" w:eastAsia="Times New Roman" w:hAnsiTheme="minorBidi"/>
                <w:iCs/>
                <w:noProof/>
              </w:rPr>
              <w:t>4. Outline the history of the common law</w:t>
            </w:r>
            <w:r w:rsidR="00BF68DE">
              <w:rPr>
                <w:noProof/>
                <w:webHidden/>
              </w:rPr>
              <w:tab/>
            </w:r>
            <w:r w:rsidR="00BF68DE">
              <w:rPr>
                <w:noProof/>
                <w:webHidden/>
              </w:rPr>
              <w:fldChar w:fldCharType="begin"/>
            </w:r>
            <w:r w:rsidR="00BF68DE">
              <w:rPr>
                <w:noProof/>
                <w:webHidden/>
              </w:rPr>
              <w:instrText xml:space="preserve"> PAGEREF _Toc129278592 \h </w:instrText>
            </w:r>
            <w:r w:rsidR="00BF68DE">
              <w:rPr>
                <w:noProof/>
                <w:webHidden/>
              </w:rPr>
            </w:r>
            <w:r w:rsidR="00BF68DE">
              <w:rPr>
                <w:noProof/>
                <w:webHidden/>
              </w:rPr>
              <w:fldChar w:fldCharType="separate"/>
            </w:r>
            <w:r w:rsidR="00BF68DE">
              <w:rPr>
                <w:noProof/>
                <w:webHidden/>
              </w:rPr>
              <w:t>5</w:t>
            </w:r>
            <w:r w:rsidR="00BF68DE">
              <w:rPr>
                <w:noProof/>
                <w:webHidden/>
              </w:rPr>
              <w:fldChar w:fldCharType="end"/>
            </w:r>
          </w:hyperlink>
        </w:p>
        <w:p w14:paraId="64EB4429" w14:textId="771B4422" w:rsidR="002B6222" w:rsidRDefault="00FC284A" w:rsidP="00FC3482">
          <w:pPr>
            <w:pStyle w:val="TOC2"/>
            <w:tabs>
              <w:tab w:val="right" w:leader="dot" w:pos="9016"/>
            </w:tabs>
            <w:spacing w:line="360" w:lineRule="auto"/>
            <w:rPr>
              <w:noProof/>
            </w:rPr>
          </w:pPr>
          <w:hyperlink w:anchor="_Toc129278593" w:history="1">
            <w:r w:rsidR="00BF68DE" w:rsidRPr="00A10BDB">
              <w:rPr>
                <w:rStyle w:val="Hyperlink"/>
                <w:rFonts w:asciiTheme="minorBidi" w:eastAsia="Times New Roman" w:hAnsiTheme="minorBidi"/>
                <w:iCs/>
                <w:noProof/>
              </w:rPr>
              <w:t>5. Are there examples of the common law working in practice?</w:t>
            </w:r>
            <w:r w:rsidR="00BF68DE">
              <w:rPr>
                <w:noProof/>
                <w:webHidden/>
              </w:rPr>
              <w:tab/>
            </w:r>
            <w:r w:rsidR="00BF68DE">
              <w:rPr>
                <w:noProof/>
                <w:webHidden/>
              </w:rPr>
              <w:fldChar w:fldCharType="begin"/>
            </w:r>
            <w:r w:rsidR="00BF68DE">
              <w:rPr>
                <w:noProof/>
                <w:webHidden/>
              </w:rPr>
              <w:instrText xml:space="preserve"> PAGEREF _Toc129278593 \h </w:instrText>
            </w:r>
            <w:r w:rsidR="00BF68DE">
              <w:rPr>
                <w:noProof/>
                <w:webHidden/>
              </w:rPr>
            </w:r>
            <w:r w:rsidR="00BF68DE">
              <w:rPr>
                <w:noProof/>
                <w:webHidden/>
              </w:rPr>
              <w:fldChar w:fldCharType="separate"/>
            </w:r>
            <w:r w:rsidR="00BF68DE">
              <w:rPr>
                <w:noProof/>
                <w:webHidden/>
              </w:rPr>
              <w:t>6</w:t>
            </w:r>
            <w:r w:rsidR="00BF68DE">
              <w:rPr>
                <w:noProof/>
                <w:webHidden/>
              </w:rPr>
              <w:fldChar w:fldCharType="end"/>
            </w:r>
          </w:hyperlink>
        </w:p>
        <w:p w14:paraId="30A2BDAD" w14:textId="0336AD86" w:rsidR="002B6222" w:rsidRDefault="00FC284A" w:rsidP="00FC3482">
          <w:pPr>
            <w:pStyle w:val="TOC1"/>
            <w:tabs>
              <w:tab w:val="right" w:leader="dot" w:pos="9016"/>
            </w:tabs>
            <w:spacing w:line="360" w:lineRule="auto"/>
            <w:rPr>
              <w:noProof/>
            </w:rPr>
          </w:pPr>
          <w:hyperlink w:anchor="_Toc129278594" w:history="1">
            <w:r w:rsidR="00BF68DE" w:rsidRPr="00A10BDB">
              <w:rPr>
                <w:rStyle w:val="Hyperlink"/>
                <w:rFonts w:asciiTheme="minorBidi" w:eastAsia="Times New Roman" w:hAnsiTheme="minorBidi"/>
                <w:noProof/>
              </w:rPr>
              <w:t>Conclusion</w:t>
            </w:r>
            <w:r w:rsidR="00BF68DE">
              <w:rPr>
                <w:noProof/>
                <w:webHidden/>
              </w:rPr>
              <w:tab/>
            </w:r>
            <w:r w:rsidR="00BF68DE">
              <w:rPr>
                <w:noProof/>
                <w:webHidden/>
              </w:rPr>
              <w:fldChar w:fldCharType="begin"/>
            </w:r>
            <w:r w:rsidR="00BF68DE">
              <w:rPr>
                <w:noProof/>
                <w:webHidden/>
              </w:rPr>
              <w:instrText xml:space="preserve"> PAGEREF _Toc129278594 \h </w:instrText>
            </w:r>
            <w:r w:rsidR="00BF68DE">
              <w:rPr>
                <w:noProof/>
                <w:webHidden/>
              </w:rPr>
            </w:r>
            <w:r w:rsidR="00BF68DE">
              <w:rPr>
                <w:noProof/>
                <w:webHidden/>
              </w:rPr>
              <w:fldChar w:fldCharType="separate"/>
            </w:r>
            <w:r w:rsidR="00BF68DE">
              <w:rPr>
                <w:noProof/>
                <w:webHidden/>
              </w:rPr>
              <w:t>7</w:t>
            </w:r>
            <w:r w:rsidR="00BF68DE">
              <w:rPr>
                <w:noProof/>
                <w:webHidden/>
              </w:rPr>
              <w:fldChar w:fldCharType="end"/>
            </w:r>
          </w:hyperlink>
        </w:p>
        <w:p w14:paraId="6E535516" w14:textId="7A261D0E" w:rsidR="002B6222" w:rsidRDefault="00FC284A" w:rsidP="00FC3482">
          <w:pPr>
            <w:pStyle w:val="TOC1"/>
            <w:tabs>
              <w:tab w:val="right" w:leader="dot" w:pos="9016"/>
            </w:tabs>
            <w:spacing w:line="360" w:lineRule="auto"/>
            <w:rPr>
              <w:noProof/>
            </w:rPr>
          </w:pPr>
          <w:hyperlink w:anchor="_Toc129278595" w:history="1">
            <w:r w:rsidR="00BF68DE" w:rsidRPr="00A10BDB">
              <w:rPr>
                <w:rStyle w:val="Hyperlink"/>
                <w:rFonts w:asciiTheme="minorBidi" w:eastAsia="Times New Roman" w:hAnsiTheme="minorBidi"/>
                <w:noProof/>
              </w:rPr>
              <w:t>References</w:t>
            </w:r>
            <w:r w:rsidR="00BF68DE">
              <w:rPr>
                <w:noProof/>
                <w:webHidden/>
              </w:rPr>
              <w:tab/>
            </w:r>
            <w:r w:rsidR="00BF68DE">
              <w:rPr>
                <w:noProof/>
                <w:webHidden/>
              </w:rPr>
              <w:fldChar w:fldCharType="begin"/>
            </w:r>
            <w:r w:rsidR="00BF68DE">
              <w:rPr>
                <w:noProof/>
                <w:webHidden/>
              </w:rPr>
              <w:instrText xml:space="preserve"> PAGEREF _Toc129278595 \h </w:instrText>
            </w:r>
            <w:r w:rsidR="00BF68DE">
              <w:rPr>
                <w:noProof/>
                <w:webHidden/>
              </w:rPr>
            </w:r>
            <w:r w:rsidR="00BF68DE">
              <w:rPr>
                <w:noProof/>
                <w:webHidden/>
              </w:rPr>
              <w:fldChar w:fldCharType="separate"/>
            </w:r>
            <w:r w:rsidR="00BF68DE">
              <w:rPr>
                <w:noProof/>
                <w:webHidden/>
              </w:rPr>
              <w:t>8</w:t>
            </w:r>
            <w:r w:rsidR="00BF68DE">
              <w:rPr>
                <w:noProof/>
                <w:webHidden/>
              </w:rPr>
              <w:fldChar w:fldCharType="end"/>
            </w:r>
          </w:hyperlink>
        </w:p>
        <w:p w14:paraId="6BA059EE" w14:textId="23359328" w:rsidR="002B6222" w:rsidRDefault="00BF68DE" w:rsidP="00FC3482">
          <w:pPr>
            <w:spacing w:line="360" w:lineRule="auto"/>
          </w:pPr>
          <w:r>
            <w:rPr>
              <w:b/>
              <w:bCs/>
              <w:noProof/>
            </w:rPr>
            <w:fldChar w:fldCharType="end"/>
          </w:r>
        </w:p>
      </w:sdtContent>
    </w:sdt>
    <w:p w14:paraId="71BADB20" w14:textId="77777777" w:rsidR="002B6222" w:rsidRPr="002B6222" w:rsidRDefault="002B6222" w:rsidP="002B6222">
      <w:pPr>
        <w:spacing w:after="0" w:line="360" w:lineRule="auto"/>
        <w:jc w:val="center"/>
        <w:rPr>
          <w:rFonts w:asciiTheme="minorBidi" w:eastAsia="Times New Roman" w:hAnsiTheme="minorBidi"/>
          <w:szCs w:val="24"/>
        </w:rPr>
      </w:pPr>
    </w:p>
    <w:p w14:paraId="7E42CE6B" w14:textId="77777777" w:rsidR="002B6222" w:rsidRPr="002B6222" w:rsidRDefault="00BF68DE" w:rsidP="002B6222">
      <w:pPr>
        <w:spacing w:line="360" w:lineRule="auto"/>
        <w:jc w:val="left"/>
        <w:rPr>
          <w:rFonts w:asciiTheme="minorBidi" w:eastAsia="Times New Roman" w:hAnsiTheme="minorBidi"/>
          <w:b/>
          <w:szCs w:val="24"/>
        </w:rPr>
      </w:pPr>
      <w:r w:rsidRPr="002B6222">
        <w:rPr>
          <w:rFonts w:asciiTheme="minorBidi" w:eastAsia="Times New Roman" w:hAnsiTheme="minorBidi"/>
          <w:szCs w:val="24"/>
        </w:rPr>
        <w:br w:type="page"/>
      </w:r>
    </w:p>
    <w:p w14:paraId="2A0ABBA0" w14:textId="1597DE96" w:rsidR="002B6222" w:rsidRPr="002B6222" w:rsidRDefault="00BF68DE" w:rsidP="002B6222">
      <w:pPr>
        <w:pStyle w:val="Heading1"/>
        <w:spacing w:line="360" w:lineRule="auto"/>
        <w:rPr>
          <w:rFonts w:asciiTheme="minorBidi" w:eastAsia="Times New Roman" w:hAnsiTheme="minorBidi" w:cstheme="minorBidi"/>
          <w:szCs w:val="24"/>
        </w:rPr>
      </w:pPr>
      <w:bookmarkStart w:id="0" w:name="_Toc129278587"/>
      <w:r w:rsidRPr="002B6222">
        <w:rPr>
          <w:rFonts w:asciiTheme="minorBidi" w:eastAsia="Times New Roman" w:hAnsiTheme="minorBidi" w:cstheme="minorBidi"/>
          <w:szCs w:val="24"/>
        </w:rPr>
        <w:lastRenderedPageBreak/>
        <w:t>Introduction</w:t>
      </w:r>
      <w:bookmarkEnd w:id="0"/>
    </w:p>
    <w:p w14:paraId="78CCA91C" w14:textId="7C2C98CA"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 xml:space="preserve">This study discusses one of the major </w:t>
      </w:r>
      <w:r w:rsidR="00FC284A" w:rsidRPr="002B6222">
        <w:rPr>
          <w:rFonts w:asciiTheme="minorBidi" w:eastAsia="Times New Roman" w:hAnsiTheme="minorBidi"/>
          <w:szCs w:val="24"/>
        </w:rPr>
        <w:t>legislations</w:t>
      </w:r>
      <w:r w:rsidRPr="002B6222">
        <w:rPr>
          <w:rFonts w:asciiTheme="minorBidi" w:eastAsia="Times New Roman" w:hAnsiTheme="minorBidi"/>
          <w:szCs w:val="24"/>
        </w:rPr>
        <w:t xml:space="preserve"> which is common law. It is imperative to have a clear understanding of the common law and the associated principles to understand the right meaning of the judgements and interpretations of the jury as well as the court (Baker, 2020, p. 17). Besides that, common law is essential for understanding the motivation behind enforcing the new legislation. </w:t>
      </w:r>
    </w:p>
    <w:p w14:paraId="5E809C05" w14:textId="77777777" w:rsidR="002B6222" w:rsidRPr="002B6222" w:rsidRDefault="00BF68DE" w:rsidP="002B6222">
      <w:pPr>
        <w:pStyle w:val="Heading2"/>
        <w:spacing w:line="360" w:lineRule="auto"/>
        <w:rPr>
          <w:rFonts w:asciiTheme="minorBidi" w:eastAsia="Times New Roman" w:hAnsiTheme="minorBidi" w:cstheme="minorBidi"/>
          <w:i w:val="0"/>
          <w:iCs/>
          <w:szCs w:val="24"/>
        </w:rPr>
      </w:pPr>
      <w:bookmarkStart w:id="1" w:name="_Toc129278588"/>
      <w:r w:rsidRPr="002B6222">
        <w:rPr>
          <w:rFonts w:asciiTheme="minorBidi" w:eastAsia="Times New Roman" w:hAnsiTheme="minorBidi" w:cstheme="minorBidi"/>
          <w:i w:val="0"/>
          <w:iCs/>
          <w:szCs w:val="24"/>
        </w:rPr>
        <w:t>Thesis Statement</w:t>
      </w:r>
      <w:bookmarkEnd w:id="1"/>
    </w:p>
    <w:p w14:paraId="06EE479B" w14:textId="4C5C7202"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Common law emphasises the precedence of the courts over legal statutes.</w:t>
      </w:r>
    </w:p>
    <w:p w14:paraId="7E3DCC56" w14:textId="77777777" w:rsidR="002B6222" w:rsidRPr="002B6222" w:rsidRDefault="00BF68DE" w:rsidP="002B6222">
      <w:pPr>
        <w:spacing w:after="0" w:line="360" w:lineRule="auto"/>
        <w:rPr>
          <w:rFonts w:asciiTheme="minorBidi" w:eastAsia="Times New Roman" w:hAnsiTheme="minorBidi"/>
          <w:szCs w:val="24"/>
        </w:rPr>
      </w:pPr>
      <w:r w:rsidRPr="002B6222">
        <w:rPr>
          <w:rFonts w:asciiTheme="minorBidi" w:eastAsia="Times New Roman" w:hAnsiTheme="minorBidi"/>
          <w:b/>
          <w:bCs/>
          <w:color w:val="000000"/>
          <w:szCs w:val="24"/>
        </w:rPr>
        <w:t>Main Body</w:t>
      </w:r>
    </w:p>
    <w:p w14:paraId="23D506F0" w14:textId="77777777" w:rsidR="002B6222" w:rsidRPr="002B6222" w:rsidRDefault="00BF68DE" w:rsidP="002B6222">
      <w:pPr>
        <w:pStyle w:val="Heading2"/>
        <w:spacing w:line="360" w:lineRule="auto"/>
        <w:rPr>
          <w:rFonts w:asciiTheme="minorBidi" w:eastAsia="Times New Roman" w:hAnsiTheme="minorBidi" w:cstheme="minorBidi"/>
          <w:i w:val="0"/>
          <w:iCs/>
          <w:szCs w:val="24"/>
        </w:rPr>
      </w:pPr>
      <w:bookmarkStart w:id="2" w:name="_Toc129278589"/>
      <w:r w:rsidRPr="002B6222">
        <w:rPr>
          <w:rFonts w:asciiTheme="minorBidi" w:eastAsia="Times New Roman" w:hAnsiTheme="minorBidi" w:cstheme="minorBidi"/>
          <w:i w:val="0"/>
          <w:iCs/>
          <w:szCs w:val="24"/>
        </w:rPr>
        <w:t>1. What is common law?</w:t>
      </w:r>
      <w:bookmarkEnd w:id="2"/>
    </w:p>
    <w:p w14:paraId="3E77FD3B" w14:textId="4B7BB805"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As described by Sokol, (2019, p. 795), the common law in the United Kingdom is a law that is derived from precedent and customers and developed by the. Common law is referred to a body containing unwritten laws on the basis of legal precedents created by UK courts. This law has influence over the process of decision-making in cases that are unusual where the final result cannot be decided on the basis of available statutes or laws that are already written. Common law is often referred to as case law that draws from interpretations and opinions which are institutionalised by public juries and authorities. In many instances, common law has acted as an inspiration for the enactment of new legislation (Broom, 2020). The stare decisis or precedent entails a historical record of judicial decisions forming the ground for evaluating future cases. Case law or common law relies on extensive records of identical statutes or situations due to the unavailability of an official legal code to be applied in the case in concern. The judge ruling the case has the authority to determine the precedents that are to be applied in a specific case. For instance, the Prime Minister of the United Kingdom exercises the authority contained by the Royal Prerogative.</w:t>
      </w:r>
    </w:p>
    <w:p w14:paraId="1C3A8452" w14:textId="77777777" w:rsidR="002B6222" w:rsidRPr="002B6222" w:rsidRDefault="00BF68DE" w:rsidP="002B6222">
      <w:pPr>
        <w:spacing w:after="0" w:line="360" w:lineRule="auto"/>
        <w:rPr>
          <w:rFonts w:asciiTheme="minorBidi" w:eastAsia="Times New Roman" w:hAnsiTheme="minorBidi"/>
          <w:szCs w:val="24"/>
        </w:rPr>
      </w:pPr>
      <w:r w:rsidRPr="002B6222">
        <w:rPr>
          <w:rFonts w:asciiTheme="minorBidi" w:eastAsia="Times New Roman" w:hAnsiTheme="minorBidi"/>
          <w:i/>
          <w:iCs/>
          <w:color w:val="000000"/>
          <w:szCs w:val="24"/>
        </w:rPr>
        <w:t>Advantages</w:t>
      </w:r>
    </w:p>
    <w:p w14:paraId="0BF306FF" w14:textId="17E35AF6" w:rsidR="002B6222" w:rsidRPr="002B6222" w:rsidRDefault="00BF68DE" w:rsidP="002B6222">
      <w:pPr>
        <w:numPr>
          <w:ilvl w:val="0"/>
          <w:numId w:val="1"/>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There is a greater probability of the occurrence of a similar case in the future that can be judged in the same way.</w:t>
      </w:r>
    </w:p>
    <w:p w14:paraId="056029E0" w14:textId="77777777" w:rsidR="002B6222" w:rsidRPr="002B6222" w:rsidRDefault="00BF68DE" w:rsidP="002B6222">
      <w:pPr>
        <w:numPr>
          <w:ilvl w:val="0"/>
          <w:numId w:val="1"/>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 xml:space="preserve">Combining the common law with equity courts helped the system reduce defects in the law (Soares </w:t>
      </w:r>
      <w:r w:rsidRPr="002B6222">
        <w:rPr>
          <w:rFonts w:asciiTheme="minorBidi" w:eastAsia="Times New Roman" w:hAnsiTheme="minorBidi"/>
          <w:i/>
          <w:iCs/>
          <w:color w:val="000000"/>
          <w:szCs w:val="24"/>
        </w:rPr>
        <w:t>et al</w:t>
      </w:r>
      <w:r w:rsidRPr="002B6222">
        <w:rPr>
          <w:rFonts w:asciiTheme="minorBidi" w:eastAsia="Times New Roman" w:hAnsiTheme="minorBidi"/>
          <w:color w:val="000000"/>
          <w:szCs w:val="24"/>
        </w:rPr>
        <w:t>., 2019).</w:t>
      </w:r>
    </w:p>
    <w:p w14:paraId="5533238E" w14:textId="77777777" w:rsidR="002B6222" w:rsidRPr="002B6222" w:rsidRDefault="00BF68DE" w:rsidP="002B6222">
      <w:pPr>
        <w:numPr>
          <w:ilvl w:val="0"/>
          <w:numId w:val="1"/>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As the cases of common law are decided based on previous solutions, they are more efficient.</w:t>
      </w:r>
    </w:p>
    <w:p w14:paraId="25E7ECBC" w14:textId="77777777" w:rsidR="002B6222" w:rsidRPr="002B6222" w:rsidRDefault="00BF68DE" w:rsidP="002B6222">
      <w:pPr>
        <w:numPr>
          <w:ilvl w:val="0"/>
          <w:numId w:val="1"/>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lastRenderedPageBreak/>
        <w:t>The system of common law relies on precedents implying that applied laws in the framework of common law judges are viewed as lawgivers.</w:t>
      </w:r>
    </w:p>
    <w:p w14:paraId="4D719C39" w14:textId="77777777" w:rsidR="002B6222" w:rsidRPr="002B6222" w:rsidRDefault="00BF68DE" w:rsidP="002B6222">
      <w:pPr>
        <w:spacing w:after="0" w:line="360" w:lineRule="auto"/>
        <w:rPr>
          <w:rFonts w:asciiTheme="minorBidi" w:eastAsia="Times New Roman" w:hAnsiTheme="minorBidi"/>
          <w:szCs w:val="24"/>
        </w:rPr>
      </w:pPr>
      <w:r w:rsidRPr="002B6222">
        <w:rPr>
          <w:rFonts w:asciiTheme="minorBidi" w:eastAsia="Times New Roman" w:hAnsiTheme="minorBidi"/>
          <w:i/>
          <w:iCs/>
          <w:color w:val="000000"/>
          <w:szCs w:val="24"/>
        </w:rPr>
        <w:t>Disadvantages</w:t>
      </w:r>
    </w:p>
    <w:p w14:paraId="1A830BD4" w14:textId="77777777" w:rsidR="002B6222" w:rsidRPr="002B6222" w:rsidRDefault="00BF68DE" w:rsidP="002B6222">
      <w:pPr>
        <w:numPr>
          <w:ilvl w:val="0"/>
          <w:numId w:val="2"/>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A major disadvantage of the common law is that the judge decided in te past may be wrong.</w:t>
      </w:r>
    </w:p>
    <w:p w14:paraId="306984AE" w14:textId="77777777" w:rsidR="002B6222" w:rsidRPr="002B6222" w:rsidRDefault="00BF68DE" w:rsidP="002B6222">
      <w:pPr>
        <w:numPr>
          <w:ilvl w:val="0"/>
          <w:numId w:val="2"/>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Stringent use of the common law can hinder the delivery of justice.</w:t>
      </w:r>
    </w:p>
    <w:p w14:paraId="5B13D7AF" w14:textId="77777777" w:rsidR="002B6222" w:rsidRPr="002B6222" w:rsidRDefault="00BF68DE" w:rsidP="002B6222">
      <w:pPr>
        <w:numPr>
          <w:ilvl w:val="0"/>
          <w:numId w:val="2"/>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Every case may not find a similar situation or identical facts.</w:t>
      </w:r>
    </w:p>
    <w:p w14:paraId="23463190" w14:textId="77777777" w:rsidR="002B6222" w:rsidRPr="002B6222" w:rsidRDefault="00BF68DE" w:rsidP="002B6222">
      <w:pPr>
        <w:numPr>
          <w:ilvl w:val="0"/>
          <w:numId w:val="2"/>
        </w:numPr>
        <w:spacing w:after="0" w:line="360" w:lineRule="auto"/>
        <w:textAlignment w:val="baseline"/>
        <w:rPr>
          <w:rFonts w:asciiTheme="minorBidi" w:eastAsia="Times New Roman" w:hAnsiTheme="minorBidi"/>
          <w:color w:val="000000"/>
          <w:szCs w:val="24"/>
        </w:rPr>
      </w:pPr>
      <w:r w:rsidRPr="002B6222">
        <w:rPr>
          <w:rFonts w:asciiTheme="minorBidi" w:eastAsia="Times New Roman" w:hAnsiTheme="minorBidi"/>
          <w:color w:val="000000"/>
          <w:szCs w:val="24"/>
        </w:rPr>
        <w:t xml:space="preserve">As per the opinion of Soares </w:t>
      </w:r>
      <w:r w:rsidRPr="002B6222">
        <w:rPr>
          <w:rFonts w:asciiTheme="minorBidi" w:eastAsia="Times New Roman" w:hAnsiTheme="minorBidi"/>
          <w:i/>
          <w:iCs/>
          <w:color w:val="000000"/>
          <w:szCs w:val="24"/>
        </w:rPr>
        <w:t>et al</w:t>
      </w:r>
      <w:r w:rsidRPr="002B6222">
        <w:rPr>
          <w:rFonts w:asciiTheme="minorBidi" w:eastAsia="Times New Roman" w:hAnsiTheme="minorBidi"/>
          <w:color w:val="000000"/>
          <w:szCs w:val="24"/>
        </w:rPr>
        <w:t>., (2019), common law is inflexible and therefore, it remains unchanged. </w:t>
      </w:r>
    </w:p>
    <w:p w14:paraId="56E824BF" w14:textId="77777777" w:rsidR="002B6222" w:rsidRPr="002B6222" w:rsidRDefault="00BF68DE" w:rsidP="002B6222">
      <w:pPr>
        <w:pStyle w:val="Heading2"/>
        <w:spacing w:line="360" w:lineRule="auto"/>
        <w:rPr>
          <w:rFonts w:asciiTheme="minorBidi" w:eastAsia="Times New Roman" w:hAnsiTheme="minorBidi" w:cstheme="minorBidi"/>
          <w:i w:val="0"/>
          <w:iCs/>
          <w:szCs w:val="24"/>
        </w:rPr>
      </w:pPr>
      <w:bookmarkStart w:id="3" w:name="_Toc129278590"/>
      <w:r w:rsidRPr="002B6222">
        <w:rPr>
          <w:rFonts w:asciiTheme="minorBidi" w:eastAsia="Times New Roman" w:hAnsiTheme="minorBidi" w:cstheme="minorBidi"/>
          <w:i w:val="0"/>
          <w:iCs/>
          <w:szCs w:val="24"/>
        </w:rPr>
        <w:t>2. What is civil law?</w:t>
      </w:r>
      <w:bookmarkEnd w:id="3"/>
    </w:p>
    <w:p w14:paraId="22D69F83"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 xml:space="preserve">According to the description by Mackaay, (2021), civil law intends to rectify unfair circumstances to create a society abiding by the law. The purpose of civil law is to resolve disputes between organisations or individuals. The cases of civil law typically involve financial judgements, compensation, and an agreement between the two parties. </w:t>
      </w:r>
      <w:proofErr w:type="gramStart"/>
      <w:r w:rsidRPr="002B6222">
        <w:rPr>
          <w:rFonts w:asciiTheme="minorBidi" w:eastAsia="Times New Roman" w:hAnsiTheme="minorBidi"/>
          <w:szCs w:val="24"/>
        </w:rPr>
        <w:t>Mainly private</w:t>
      </w:r>
      <w:proofErr w:type="gramEnd"/>
      <w:r w:rsidRPr="002B6222">
        <w:rPr>
          <w:rFonts w:asciiTheme="minorBidi" w:eastAsia="Times New Roman" w:hAnsiTheme="minorBidi"/>
          <w:szCs w:val="24"/>
        </w:rPr>
        <w:t xml:space="preserve"> parties file cases of civil law. In the outcome of civil cases, the party hold liable awards compensation. There are four areas concerning civil laws including civil wrongs or torts, contracts, family relations, and property. The prevalence of civil law and its application can be witnessed in the United States.</w:t>
      </w:r>
    </w:p>
    <w:p w14:paraId="1EB21C30" w14:textId="77777777" w:rsidR="002B6222" w:rsidRPr="002B6222" w:rsidRDefault="00BF68DE" w:rsidP="002B6222">
      <w:pPr>
        <w:pStyle w:val="Heading2"/>
        <w:spacing w:line="360" w:lineRule="auto"/>
        <w:rPr>
          <w:rFonts w:asciiTheme="minorBidi" w:eastAsia="Times New Roman" w:hAnsiTheme="minorBidi" w:cstheme="minorBidi"/>
          <w:i w:val="0"/>
          <w:iCs/>
          <w:szCs w:val="24"/>
        </w:rPr>
      </w:pPr>
      <w:bookmarkStart w:id="4" w:name="_Toc129278591"/>
      <w:r w:rsidRPr="002B6222">
        <w:rPr>
          <w:rFonts w:asciiTheme="minorBidi" w:eastAsia="Times New Roman" w:hAnsiTheme="minorBidi" w:cstheme="minorBidi"/>
          <w:i w:val="0"/>
          <w:iCs/>
          <w:szCs w:val="24"/>
        </w:rPr>
        <w:t>3. Contrast the two systems</w:t>
      </w:r>
      <w:bookmarkEnd w:id="4"/>
    </w:p>
    <w:p w14:paraId="31F02EBC" w14:textId="2D82B3D6"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The system of English Law is based on the common law rather than the civil law system since 1189. However, the English legal system has incorporated certain features of Civil Law such as Employment Law, Law of Negligence, Unfair Dismissal, and Family Law.</w:t>
      </w:r>
    </w:p>
    <w:p w14:paraId="663DBF35" w14:textId="2D06BC35" w:rsidR="002B6222" w:rsidRPr="002B6222" w:rsidRDefault="00BF68DE" w:rsidP="002B6222">
      <w:pPr>
        <w:spacing w:after="0" w:line="360" w:lineRule="auto"/>
        <w:rPr>
          <w:rFonts w:asciiTheme="minorBidi" w:eastAsia="Times New Roman" w:hAnsiTheme="minorBidi"/>
          <w:szCs w:val="24"/>
        </w:rPr>
      </w:pPr>
      <w:r w:rsidRPr="002B6222">
        <w:rPr>
          <w:rFonts w:asciiTheme="minorBidi" w:eastAsia="Times New Roman" w:hAnsiTheme="minorBidi"/>
          <w:b/>
          <w:bCs/>
          <w:i/>
          <w:iCs/>
          <w:color w:val="000000"/>
          <w:szCs w:val="24"/>
        </w:rPr>
        <w:t xml:space="preserve">Comparative and contrasting </w:t>
      </w:r>
      <w:r w:rsidR="00FC284A" w:rsidRPr="002B6222">
        <w:rPr>
          <w:rFonts w:asciiTheme="minorBidi" w:eastAsia="Times New Roman" w:hAnsiTheme="minorBidi"/>
          <w:b/>
          <w:bCs/>
          <w:i/>
          <w:iCs/>
          <w:color w:val="000000"/>
          <w:szCs w:val="24"/>
        </w:rPr>
        <w:t>Analysis.</w:t>
      </w:r>
    </w:p>
    <w:p w14:paraId="69DD3715" w14:textId="0BAA2FA5"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Legal process: </w:t>
      </w:r>
      <w:r w:rsidRPr="002B6222">
        <w:rPr>
          <w:rFonts w:asciiTheme="minorBidi" w:eastAsia="Times New Roman" w:hAnsiTheme="minorBidi"/>
          <w:szCs w:val="24"/>
        </w:rPr>
        <w:t xml:space="preserve">Civil Law founds the primary norms and concepts in written codes and statutes that courts apply. The system of common law on the other hand is formed mainly through the decisions of the court to form a conceptual structure (Chouaibi </w:t>
      </w:r>
      <w:r w:rsidRPr="002B6222">
        <w:rPr>
          <w:rFonts w:asciiTheme="minorBidi" w:eastAsia="Times New Roman" w:hAnsiTheme="minorBidi"/>
          <w:i/>
          <w:iCs/>
          <w:szCs w:val="24"/>
        </w:rPr>
        <w:t>et al</w:t>
      </w:r>
      <w:r w:rsidRPr="002B6222">
        <w:rPr>
          <w:rFonts w:asciiTheme="minorBidi" w:eastAsia="Times New Roman" w:hAnsiTheme="minorBidi"/>
          <w:szCs w:val="24"/>
        </w:rPr>
        <w:t>., 2022, p. 57).</w:t>
      </w:r>
    </w:p>
    <w:p w14:paraId="669710DF" w14:textId="1EEAB732"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Legislator’s role: </w:t>
      </w:r>
      <w:r w:rsidRPr="002B6222">
        <w:rPr>
          <w:rFonts w:asciiTheme="minorBidi" w:eastAsia="Times New Roman" w:hAnsiTheme="minorBidi"/>
          <w:szCs w:val="24"/>
        </w:rPr>
        <w:t>The differentiation of powers underpins Civil Law states that the duty of the legislature is legislation and the courts must focus on implementing the law. In contrast, Common Law makes courts accountable for developing the law.</w:t>
      </w:r>
    </w:p>
    <w:p w14:paraId="4C6F1899"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lastRenderedPageBreak/>
        <w:t xml:space="preserve">Lawyer’s approach: </w:t>
      </w:r>
      <w:r w:rsidRPr="002B6222">
        <w:rPr>
          <w:rFonts w:asciiTheme="minorBidi" w:eastAsia="Times New Roman" w:hAnsiTheme="minorBidi"/>
          <w:szCs w:val="24"/>
        </w:rPr>
        <w:t xml:space="preserve">Civil law is governed by codes linking regulations and concepts in a logical manner with basic principles. Hence, a civil lawyer needs to commence a case by finding a legal standard in legislation and drawing a conclusion on a specific situation. However, a lawyer handles a common law case by comparing it to cases with similar or comparable concerns previously dealt with by courts (Chouaibi </w:t>
      </w:r>
      <w:r w:rsidRPr="002B6222">
        <w:rPr>
          <w:rFonts w:asciiTheme="minorBidi" w:eastAsia="Times New Roman" w:hAnsiTheme="minorBidi"/>
          <w:i/>
          <w:iCs/>
          <w:szCs w:val="24"/>
        </w:rPr>
        <w:t>et al</w:t>
      </w:r>
      <w:r w:rsidRPr="002B6222">
        <w:rPr>
          <w:rFonts w:asciiTheme="minorBidi" w:eastAsia="Times New Roman" w:hAnsiTheme="minorBidi"/>
          <w:szCs w:val="24"/>
        </w:rPr>
        <w:t>., 2022, p. 67). Consequently, the two systems are basically different in the sense that attorneys dealing with civil law must be intellectual while common law layers need to be practical.</w:t>
      </w:r>
    </w:p>
    <w:p w14:paraId="5D0F7A66"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Precedents: </w:t>
      </w:r>
      <w:r w:rsidRPr="002B6222">
        <w:rPr>
          <w:rFonts w:asciiTheme="minorBidi" w:eastAsia="Times New Roman" w:hAnsiTheme="minorBidi"/>
          <w:szCs w:val="24"/>
        </w:rPr>
        <w:t>In the system of common law, courts are not accountable for solving disputes between parties or offering any guidance on resolving disputes. However, the main aim of civil law is to create solutions for disputes. Under the common law, the decisions made by the court serve as the ground for legislative interpretations.</w:t>
      </w:r>
    </w:p>
    <w:p w14:paraId="35D78C92"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Impact of a contract: </w:t>
      </w:r>
      <w:r w:rsidRPr="002B6222">
        <w:rPr>
          <w:rFonts w:asciiTheme="minorBidi" w:eastAsia="Times New Roman" w:hAnsiTheme="minorBidi"/>
          <w:szCs w:val="24"/>
        </w:rPr>
        <w:t xml:space="preserve">In the framework of common law, there is no binding impact of a contract unless there is any consideration backing up the contract. According to the </w:t>
      </w:r>
      <w:r w:rsidRPr="002B6222">
        <w:rPr>
          <w:rFonts w:asciiTheme="minorBidi" w:eastAsia="Times New Roman" w:hAnsiTheme="minorBidi"/>
          <w:i/>
          <w:iCs/>
          <w:szCs w:val="24"/>
        </w:rPr>
        <w:t>theory of consideration</w:t>
      </w:r>
      <w:r w:rsidRPr="002B6222">
        <w:rPr>
          <w:rFonts w:asciiTheme="minorBidi" w:eastAsia="Times New Roman" w:hAnsiTheme="minorBidi"/>
          <w:szCs w:val="24"/>
        </w:rPr>
        <w:t>, a contract needs to be backed up by a value like the commitment of a party to deliver items or services (Yu, 2021, p. 537). On the contrary, under civil law, a contract cannot exist except for a valid cause. In this context, a cause represents the reason for a party entering into the contract and agreeing to complete contractual duties. </w:t>
      </w:r>
    </w:p>
    <w:p w14:paraId="29389DFF" w14:textId="1A995B24"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Role of judges and lawyers: </w:t>
      </w:r>
      <w:r w:rsidRPr="002B6222">
        <w:rPr>
          <w:rFonts w:asciiTheme="minorBidi" w:eastAsia="Times New Roman" w:hAnsiTheme="minorBidi"/>
          <w:szCs w:val="24"/>
        </w:rPr>
        <w:t>In a country following civil law, judges are perceived as investigators leading to actions after bringing charges, reviewing and verifying facts through the assessment of witnesses, and using solutions based on legal codes. The interest of clients is continuously advocated by lowers in civil procedures even in the less crucial position (Yu, 2021, p. 527). In contrast, the duties of lawyers and judges pertain to counselling their clients regarding legal aspects and they write legal petitions to submit in court.</w:t>
      </w:r>
    </w:p>
    <w:p w14:paraId="7C121B1F"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Countries: </w:t>
      </w:r>
      <w:r w:rsidRPr="002B6222">
        <w:rPr>
          <w:rFonts w:asciiTheme="minorBidi" w:eastAsia="Times New Roman" w:hAnsiTheme="minorBidi"/>
          <w:szCs w:val="24"/>
        </w:rPr>
        <w:t>England, the United States, India, and Canada follow the system of Common Law. On the other hand, countries like China, France, Japan, and Germany abide by the system of Civil Law. </w:t>
      </w:r>
    </w:p>
    <w:p w14:paraId="5DA76C25" w14:textId="77777777" w:rsidR="002B6222" w:rsidRPr="002B6222" w:rsidRDefault="00BF68DE" w:rsidP="002B6222">
      <w:pPr>
        <w:pStyle w:val="Heading2"/>
        <w:spacing w:line="360" w:lineRule="auto"/>
        <w:rPr>
          <w:rFonts w:asciiTheme="minorBidi" w:eastAsia="Times New Roman" w:hAnsiTheme="minorBidi" w:cstheme="minorBidi"/>
          <w:i w:val="0"/>
          <w:iCs/>
          <w:szCs w:val="24"/>
        </w:rPr>
      </w:pPr>
      <w:bookmarkStart w:id="5" w:name="_Toc129278592"/>
      <w:r w:rsidRPr="002B6222">
        <w:rPr>
          <w:rFonts w:asciiTheme="minorBidi" w:eastAsia="Times New Roman" w:hAnsiTheme="minorBidi" w:cstheme="minorBidi"/>
          <w:i w:val="0"/>
          <w:iCs/>
          <w:szCs w:val="24"/>
        </w:rPr>
        <w:t>4. Outline the history of the common law</w:t>
      </w:r>
      <w:bookmarkEnd w:id="5"/>
    </w:p>
    <w:p w14:paraId="7AECB941" w14:textId="260EA33E"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 xml:space="preserve">As postulated by Postema, (2019), the origin of the English Common Law can be traced back to the early middle ages. Back then, the common law lacked substantial </w:t>
      </w:r>
      <w:r w:rsidRPr="002B6222">
        <w:rPr>
          <w:rFonts w:asciiTheme="minorBidi" w:eastAsia="Times New Roman" w:hAnsiTheme="minorBidi"/>
          <w:szCs w:val="24"/>
        </w:rPr>
        <w:lastRenderedPageBreak/>
        <w:t>rights yet contained procedural remedies. Till the 19th century, The judges primarily developed the English Common Law which was created at large during the Norman Conquest period of 1606. In Northern Europe, a body of rules was established where the majority of matters were governed by local customs. In the government at that time, the church played a crucial role by treating crimes as wrong and hence, victims were compensated. Individuals committing serious crimes were considered to be the offenders of public crimes instead of individual matters. In this period, the punishment for perpetrators was death. An advancement in the common law was seen during the reign of Henry II as royal officials were found to roam around the nation inquiring about the effectiveness and delivery of justice. This era further marked the separation of the state and the church allowing them to create their own courts and laws. These developments contributed to the rise of a body of rules on the basis of local situations.</w:t>
      </w:r>
    </w:p>
    <w:p w14:paraId="668BEF71"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The key principles of common law are depicted below:</w:t>
      </w:r>
    </w:p>
    <w:p w14:paraId="216DB392" w14:textId="5301BFB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Adjudication: </w:t>
      </w:r>
      <w:r w:rsidRPr="002B6222">
        <w:rPr>
          <w:rFonts w:asciiTheme="minorBidi" w:eastAsia="Times New Roman" w:hAnsiTheme="minorBidi"/>
          <w:szCs w:val="24"/>
        </w:rPr>
        <w:t>In the system of common law, multiple stages of analysis and research must be undertaken for determining the law (Gorgieva, 2022, p. 370</w:t>
      </w:r>
      <w:r w:rsidR="003F363A">
        <w:rPr>
          <w:rFonts w:asciiTheme="minorBidi" w:eastAsia="Times New Roman" w:hAnsiTheme="minorBidi"/>
          <w:szCs w:val="24"/>
        </w:rPr>
        <w:t>)</w:t>
      </w:r>
    </w:p>
    <w:p w14:paraId="088EA2A3" w14:textId="77777777"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Common law and legal statutes: </w:t>
      </w:r>
      <w:r w:rsidRPr="002B6222">
        <w:rPr>
          <w:rFonts w:asciiTheme="minorBidi" w:eastAsia="Times New Roman" w:hAnsiTheme="minorBidi"/>
          <w:szCs w:val="24"/>
        </w:rPr>
        <w:t>In the framework of common law many primary laws are found to be non-existent in statute however, they are included in property, contacts, and torts in England and Wales.</w:t>
      </w:r>
    </w:p>
    <w:p w14:paraId="6301FC56" w14:textId="72B16BA5"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i/>
          <w:iCs/>
          <w:szCs w:val="24"/>
        </w:rPr>
        <w:t xml:space="preserve">Common law and commercial economics: </w:t>
      </w:r>
      <w:r w:rsidRPr="002B6222">
        <w:rPr>
          <w:rFonts w:asciiTheme="minorBidi" w:eastAsia="Times New Roman" w:hAnsiTheme="minorBidi"/>
          <w:szCs w:val="24"/>
        </w:rPr>
        <w:t>As postulated by Gorgieva, (2022, p. 34), the common law is strong due to its dependence on judicial decisions that contribute massively to the solid commercial system in the United Kingdom.</w:t>
      </w:r>
    </w:p>
    <w:p w14:paraId="5E3A6720" w14:textId="77777777" w:rsidR="002B6222" w:rsidRPr="002B6222" w:rsidRDefault="00BF68DE" w:rsidP="002B6222">
      <w:pPr>
        <w:pStyle w:val="Heading2"/>
        <w:spacing w:line="360" w:lineRule="auto"/>
        <w:rPr>
          <w:rFonts w:asciiTheme="minorBidi" w:eastAsia="Times New Roman" w:hAnsiTheme="minorBidi" w:cstheme="minorBidi"/>
          <w:i w:val="0"/>
          <w:iCs/>
          <w:szCs w:val="24"/>
        </w:rPr>
      </w:pPr>
      <w:bookmarkStart w:id="6" w:name="_Toc129278593"/>
      <w:r w:rsidRPr="002B6222">
        <w:rPr>
          <w:rFonts w:asciiTheme="minorBidi" w:eastAsia="Times New Roman" w:hAnsiTheme="minorBidi" w:cstheme="minorBidi"/>
          <w:i w:val="0"/>
          <w:iCs/>
          <w:szCs w:val="24"/>
        </w:rPr>
        <w:t>5. Are there examples of the common law working in practice?</w:t>
      </w:r>
      <w:bookmarkEnd w:id="6"/>
    </w:p>
    <w:p w14:paraId="01932872" w14:textId="77777777" w:rsidR="002B6222" w:rsidRPr="002B6222" w:rsidRDefault="00BF68DE" w:rsidP="002B6222">
      <w:pPr>
        <w:spacing w:after="0" w:line="360" w:lineRule="auto"/>
        <w:rPr>
          <w:rFonts w:asciiTheme="minorBidi" w:eastAsia="Times New Roman" w:hAnsiTheme="minorBidi"/>
          <w:szCs w:val="24"/>
        </w:rPr>
      </w:pPr>
      <w:r w:rsidRPr="002B6222">
        <w:rPr>
          <w:rFonts w:asciiTheme="minorBidi" w:eastAsia="Times New Roman" w:hAnsiTheme="minorBidi"/>
          <w:b/>
          <w:bCs/>
          <w:i/>
          <w:iCs/>
          <w:color w:val="000000"/>
          <w:szCs w:val="24"/>
        </w:rPr>
        <w:t>Donoghue v Stevenson 1932 </w:t>
      </w:r>
    </w:p>
    <w:p w14:paraId="05834D86" w14:textId="5758B65F"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This is one of the most famous case laws in the United Kingdom which is significant to the development of the law of negligence in the modern legal system of the country. In this case, Donoghue (claimant) charged the ginger beer manufacturer for finding a snail while she poured the beer over ice cream (Abhyuday, 2021, p. 97). Lord Atkin passed the judgement that it is the responsibility of a manufacturer to avoid any action or omission that can result in injuring the neighbour. In this case, the ginger beer manufacturer Stevenson as the owner of the company was charged guilty and Donoghue was entitled to compensation for suffering harm.</w:t>
      </w:r>
    </w:p>
    <w:p w14:paraId="1941B253" w14:textId="77777777" w:rsidR="002B6222" w:rsidRPr="002B6222" w:rsidRDefault="00BF68DE" w:rsidP="002B6222">
      <w:pPr>
        <w:pStyle w:val="Heading1"/>
        <w:spacing w:line="360" w:lineRule="auto"/>
        <w:rPr>
          <w:rFonts w:asciiTheme="minorBidi" w:eastAsia="Times New Roman" w:hAnsiTheme="minorBidi" w:cstheme="minorBidi"/>
          <w:szCs w:val="24"/>
        </w:rPr>
      </w:pPr>
      <w:bookmarkStart w:id="7" w:name="_Toc129278594"/>
      <w:r w:rsidRPr="002B6222">
        <w:rPr>
          <w:rFonts w:asciiTheme="minorBidi" w:eastAsia="Times New Roman" w:hAnsiTheme="minorBidi" w:cstheme="minorBidi"/>
          <w:szCs w:val="24"/>
        </w:rPr>
        <w:lastRenderedPageBreak/>
        <w:t>Conclusion</w:t>
      </w:r>
      <w:bookmarkEnd w:id="7"/>
    </w:p>
    <w:p w14:paraId="0862D24F" w14:textId="1DC59C72" w:rsidR="002B6222" w:rsidRPr="002B6222" w:rsidRDefault="00BF68DE" w:rsidP="002B6222">
      <w:pPr>
        <w:spacing w:line="360" w:lineRule="auto"/>
        <w:rPr>
          <w:rFonts w:asciiTheme="minorBidi" w:eastAsia="Times New Roman" w:hAnsiTheme="minorBidi"/>
          <w:szCs w:val="24"/>
        </w:rPr>
      </w:pPr>
      <w:r w:rsidRPr="002B6222">
        <w:rPr>
          <w:rFonts w:asciiTheme="minorBidi" w:eastAsia="Times New Roman" w:hAnsiTheme="minorBidi"/>
          <w:szCs w:val="24"/>
        </w:rPr>
        <w:t>To conclude, the English legal system is a complex framework combining a large variety of laws. The United Kingdom follows the system of common law which relies on cases that have been judged in the past by courts and juries. In cases pertaining to the common law, the system faces the unavailability of legal codes that can be referred to the situation. Hence, the judges confine the previous judgements delivered in similar conditions.</w:t>
      </w:r>
    </w:p>
    <w:p w14:paraId="04FDC6F2" w14:textId="77777777" w:rsidR="002B6222" w:rsidRPr="002B6222" w:rsidRDefault="00BF68DE" w:rsidP="002B6222">
      <w:pPr>
        <w:spacing w:line="360" w:lineRule="auto"/>
        <w:jc w:val="left"/>
        <w:rPr>
          <w:rFonts w:asciiTheme="minorBidi" w:eastAsia="Times New Roman" w:hAnsiTheme="minorBidi"/>
          <w:b/>
          <w:szCs w:val="24"/>
        </w:rPr>
      </w:pPr>
      <w:r w:rsidRPr="002B6222">
        <w:rPr>
          <w:rFonts w:asciiTheme="minorBidi" w:eastAsia="Times New Roman" w:hAnsiTheme="minorBidi"/>
          <w:szCs w:val="24"/>
        </w:rPr>
        <w:br w:type="page"/>
      </w:r>
    </w:p>
    <w:p w14:paraId="522AE517" w14:textId="728F780F" w:rsidR="002B6222" w:rsidRPr="002B6222" w:rsidRDefault="00BF68DE" w:rsidP="002B6222">
      <w:pPr>
        <w:pStyle w:val="Heading1"/>
        <w:spacing w:line="360" w:lineRule="auto"/>
        <w:rPr>
          <w:rFonts w:asciiTheme="minorBidi" w:eastAsia="Times New Roman" w:hAnsiTheme="minorBidi" w:cstheme="minorBidi"/>
          <w:szCs w:val="24"/>
        </w:rPr>
      </w:pPr>
      <w:bookmarkStart w:id="8" w:name="_Toc129278595"/>
      <w:r w:rsidRPr="002B6222">
        <w:rPr>
          <w:rFonts w:asciiTheme="minorBidi" w:eastAsia="Times New Roman" w:hAnsiTheme="minorBidi" w:cstheme="minorBidi"/>
          <w:szCs w:val="24"/>
        </w:rPr>
        <w:lastRenderedPageBreak/>
        <w:t>References</w:t>
      </w:r>
      <w:bookmarkEnd w:id="8"/>
    </w:p>
    <w:p w14:paraId="52A37ED3"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b/>
          <w:bCs/>
          <w:i/>
          <w:iCs/>
          <w:color w:val="222222"/>
          <w:szCs w:val="24"/>
          <w:shd w:val="clear" w:color="auto" w:fill="FFFFFF"/>
        </w:rPr>
        <w:t>Journals</w:t>
      </w:r>
    </w:p>
    <w:p w14:paraId="18E187E2"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Abhyuday, 2021. Donoghue vs Stevenson. </w:t>
      </w:r>
      <w:r w:rsidRPr="002B6222">
        <w:rPr>
          <w:rFonts w:asciiTheme="minorBidi" w:eastAsia="Times New Roman" w:hAnsiTheme="minorBidi"/>
          <w:i/>
          <w:iCs/>
          <w:color w:val="222222"/>
          <w:szCs w:val="24"/>
          <w:shd w:val="clear" w:color="auto" w:fill="FFFFFF"/>
        </w:rPr>
        <w:t>Jus Corpus LJ</w:t>
      </w:r>
      <w:r w:rsidRPr="002B6222">
        <w:rPr>
          <w:rFonts w:asciiTheme="minorBidi" w:eastAsia="Times New Roman" w:hAnsiTheme="minorBidi"/>
          <w:color w:val="222222"/>
          <w:szCs w:val="24"/>
          <w:shd w:val="clear" w:color="auto" w:fill="FFFFFF"/>
        </w:rPr>
        <w:t xml:space="preserve">, </w:t>
      </w:r>
      <w:r w:rsidRPr="002B6222">
        <w:rPr>
          <w:rFonts w:asciiTheme="minorBidi" w:eastAsia="Times New Roman" w:hAnsiTheme="minorBidi"/>
          <w:i/>
          <w:iCs/>
          <w:color w:val="222222"/>
          <w:szCs w:val="24"/>
          <w:shd w:val="clear" w:color="auto" w:fill="FFFFFF"/>
        </w:rPr>
        <w:t>2</w:t>
      </w:r>
      <w:r w:rsidRPr="002B6222">
        <w:rPr>
          <w:rFonts w:asciiTheme="minorBidi" w:eastAsia="Times New Roman" w:hAnsiTheme="minorBidi"/>
          <w:color w:val="222222"/>
          <w:szCs w:val="24"/>
          <w:shd w:val="clear" w:color="auto" w:fill="FFFFFF"/>
        </w:rPr>
        <w:t xml:space="preserve">, p.97. </w:t>
      </w:r>
      <w:hyperlink r:id="rId8" w:history="1">
        <w:r w:rsidRPr="002B6222">
          <w:rPr>
            <w:rFonts w:asciiTheme="minorBidi" w:eastAsia="Times New Roman" w:hAnsiTheme="minorBidi"/>
            <w:color w:val="1155CC"/>
            <w:szCs w:val="24"/>
            <w:u w:val="single"/>
            <w:shd w:val="clear" w:color="auto" w:fill="FFFFFF"/>
          </w:rPr>
          <w:t>https://heinonline.org/hol-cgi-bin/get_pdf.cgi?handle=hein.journals/juscrp2&amp;section=129</w:t>
        </w:r>
      </w:hyperlink>
    </w:p>
    <w:p w14:paraId="1F26A8A5"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Baker, J.H., 2020. Criminal courts and procedure at common law 1550–1800. In </w:t>
      </w:r>
      <w:r w:rsidRPr="002B6222">
        <w:rPr>
          <w:rFonts w:asciiTheme="minorBidi" w:eastAsia="Times New Roman" w:hAnsiTheme="minorBidi"/>
          <w:i/>
          <w:iCs/>
          <w:color w:val="222222"/>
          <w:szCs w:val="24"/>
          <w:shd w:val="clear" w:color="auto" w:fill="FFFFFF"/>
        </w:rPr>
        <w:t>Crime in England 1550–1800</w:t>
      </w:r>
      <w:r w:rsidRPr="002B6222">
        <w:rPr>
          <w:rFonts w:asciiTheme="minorBidi" w:eastAsia="Times New Roman" w:hAnsiTheme="minorBidi"/>
          <w:color w:val="222222"/>
          <w:szCs w:val="24"/>
          <w:shd w:val="clear" w:color="auto" w:fill="FFFFFF"/>
        </w:rPr>
        <w:t xml:space="preserve"> (pp. 15-48). Routledge. </w:t>
      </w:r>
      <w:hyperlink r:id="rId9" w:history="1">
        <w:r w:rsidRPr="002B6222">
          <w:rPr>
            <w:rFonts w:asciiTheme="minorBidi" w:eastAsia="Times New Roman" w:hAnsiTheme="minorBidi"/>
            <w:color w:val="1155CC"/>
            <w:szCs w:val="24"/>
            <w:u w:val="single"/>
            <w:shd w:val="clear" w:color="auto" w:fill="FFFFFF"/>
          </w:rPr>
          <w:t>https://www.taylorfrancis.com/chapters/edit/10.4324/9781003074809-2/criminal-courts-procedure-common-law-1550%E2%80%931800-baker</w:t>
        </w:r>
      </w:hyperlink>
    </w:p>
    <w:p w14:paraId="2920769E"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Chouaibi, S., Chouaibi, J. and Rossi, M., 2022. ESG and corporate financial performance: The mediating role of green innovation: UK common law versus Germany civil law. </w:t>
      </w:r>
      <w:r w:rsidRPr="002B6222">
        <w:rPr>
          <w:rFonts w:asciiTheme="minorBidi" w:eastAsia="Times New Roman" w:hAnsiTheme="minorBidi"/>
          <w:i/>
          <w:iCs/>
          <w:color w:val="222222"/>
          <w:szCs w:val="24"/>
          <w:shd w:val="clear" w:color="auto" w:fill="FFFFFF"/>
        </w:rPr>
        <w:t>EuroMed Journal of Business</w:t>
      </w:r>
      <w:r w:rsidRPr="002B6222">
        <w:rPr>
          <w:rFonts w:asciiTheme="minorBidi" w:eastAsia="Times New Roman" w:hAnsiTheme="minorBidi"/>
          <w:color w:val="222222"/>
          <w:szCs w:val="24"/>
          <w:shd w:val="clear" w:color="auto" w:fill="FFFFFF"/>
        </w:rPr>
        <w:t xml:space="preserve">, </w:t>
      </w:r>
      <w:r w:rsidRPr="002B6222">
        <w:rPr>
          <w:rFonts w:asciiTheme="minorBidi" w:eastAsia="Times New Roman" w:hAnsiTheme="minorBidi"/>
          <w:i/>
          <w:iCs/>
          <w:color w:val="222222"/>
          <w:szCs w:val="24"/>
          <w:shd w:val="clear" w:color="auto" w:fill="FFFFFF"/>
        </w:rPr>
        <w:t>17</w:t>
      </w:r>
      <w:r w:rsidRPr="002B6222">
        <w:rPr>
          <w:rFonts w:asciiTheme="minorBidi" w:eastAsia="Times New Roman" w:hAnsiTheme="minorBidi"/>
          <w:color w:val="222222"/>
          <w:szCs w:val="24"/>
          <w:shd w:val="clear" w:color="auto" w:fill="FFFFFF"/>
        </w:rPr>
        <w:t xml:space="preserve">(1), pp.46-71. </w:t>
      </w:r>
      <w:hyperlink r:id="rId10" w:history="1">
        <w:r w:rsidRPr="002B6222">
          <w:rPr>
            <w:rFonts w:asciiTheme="minorBidi" w:eastAsia="Times New Roman" w:hAnsiTheme="minorBidi"/>
            <w:color w:val="1155CC"/>
            <w:szCs w:val="24"/>
            <w:u w:val="single"/>
            <w:shd w:val="clear" w:color="auto" w:fill="FFFFFF"/>
          </w:rPr>
          <w:t>https://www.emerald.com/insight/content/doi/10.1108/EMJB-09-2020-0101/full/html</w:t>
        </w:r>
      </w:hyperlink>
    </w:p>
    <w:p w14:paraId="5D735979"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Gorgieva, D., 2022. CAUSES OF ACTION IN THE COMMON LAW SYSTEM. </w:t>
      </w:r>
      <w:r w:rsidRPr="002B6222">
        <w:rPr>
          <w:rFonts w:asciiTheme="minorBidi" w:eastAsia="Times New Roman" w:hAnsiTheme="minorBidi"/>
          <w:i/>
          <w:iCs/>
          <w:color w:val="222222"/>
          <w:szCs w:val="24"/>
          <w:shd w:val="clear" w:color="auto" w:fill="FFFFFF"/>
        </w:rPr>
        <w:t>Društvena i tehnička istraživanja</w:t>
      </w:r>
      <w:r w:rsidRPr="002B6222">
        <w:rPr>
          <w:rFonts w:asciiTheme="minorBidi" w:eastAsia="Times New Roman" w:hAnsiTheme="minorBidi"/>
          <w:color w:val="222222"/>
          <w:szCs w:val="24"/>
          <w:shd w:val="clear" w:color="auto" w:fill="FFFFFF"/>
        </w:rPr>
        <w:t xml:space="preserve">, (1), pp.31-39. </w:t>
      </w:r>
      <w:hyperlink r:id="rId11" w:history="1">
        <w:r w:rsidRPr="002B6222">
          <w:rPr>
            <w:rFonts w:asciiTheme="minorBidi" w:eastAsia="Times New Roman" w:hAnsiTheme="minorBidi"/>
            <w:color w:val="1155CC"/>
            <w:szCs w:val="24"/>
            <w:u w:val="single"/>
            <w:shd w:val="clear" w:color="auto" w:fill="FFFFFF"/>
          </w:rPr>
          <w:t>https://www.ceeol.com/search/article-detail?id=1059758</w:t>
        </w:r>
      </w:hyperlink>
    </w:p>
    <w:p w14:paraId="2D3C5B23"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Soares, M.N., KAUFFMAN, </w:t>
      </w:r>
      <w:proofErr w:type="gramStart"/>
      <w:r w:rsidRPr="002B6222">
        <w:rPr>
          <w:rFonts w:asciiTheme="minorBidi" w:eastAsia="Times New Roman" w:hAnsiTheme="minorBidi"/>
          <w:color w:val="222222"/>
          <w:szCs w:val="24"/>
          <w:shd w:val="clear" w:color="auto" w:fill="FFFFFF"/>
        </w:rPr>
        <w:t>M.E.</w:t>
      </w:r>
      <w:proofErr w:type="gramEnd"/>
      <w:r w:rsidRPr="002B6222">
        <w:rPr>
          <w:rFonts w:asciiTheme="minorBidi" w:eastAsia="Times New Roman" w:hAnsiTheme="minorBidi"/>
          <w:color w:val="222222"/>
          <w:szCs w:val="24"/>
          <w:shd w:val="clear" w:color="auto" w:fill="FFFFFF"/>
        </w:rPr>
        <w:t xml:space="preserve"> and MARTIN, R.F., 2019. Economy law and economic analysis of law and the impacto on intellectual property in the common law system. </w:t>
      </w:r>
      <w:r w:rsidRPr="002B6222">
        <w:rPr>
          <w:rFonts w:asciiTheme="minorBidi" w:eastAsia="Times New Roman" w:hAnsiTheme="minorBidi"/>
          <w:i/>
          <w:iCs/>
          <w:color w:val="222222"/>
          <w:szCs w:val="24"/>
          <w:shd w:val="clear" w:color="auto" w:fill="FFFFFF"/>
        </w:rPr>
        <w:t>Revista Direitos Sociais e Políticas Públicas–Unifafibe</w:t>
      </w:r>
      <w:r w:rsidRPr="002B6222">
        <w:rPr>
          <w:rFonts w:asciiTheme="minorBidi" w:eastAsia="Times New Roman" w:hAnsiTheme="minorBidi"/>
          <w:color w:val="222222"/>
          <w:szCs w:val="24"/>
          <w:shd w:val="clear" w:color="auto" w:fill="FFFFFF"/>
        </w:rPr>
        <w:t xml:space="preserve">, </w:t>
      </w:r>
      <w:r w:rsidRPr="002B6222">
        <w:rPr>
          <w:rFonts w:asciiTheme="minorBidi" w:eastAsia="Times New Roman" w:hAnsiTheme="minorBidi"/>
          <w:i/>
          <w:iCs/>
          <w:color w:val="222222"/>
          <w:szCs w:val="24"/>
          <w:shd w:val="clear" w:color="auto" w:fill="FFFFFF"/>
        </w:rPr>
        <w:t>7</w:t>
      </w:r>
      <w:r w:rsidRPr="002B6222">
        <w:rPr>
          <w:rFonts w:asciiTheme="minorBidi" w:eastAsia="Times New Roman" w:hAnsiTheme="minorBidi"/>
          <w:color w:val="222222"/>
          <w:szCs w:val="24"/>
          <w:shd w:val="clear" w:color="auto" w:fill="FFFFFF"/>
        </w:rPr>
        <w:t xml:space="preserve">(2). </w:t>
      </w:r>
      <w:hyperlink r:id="rId12" w:history="1">
        <w:r w:rsidRPr="002B6222">
          <w:rPr>
            <w:rFonts w:asciiTheme="minorBidi" w:eastAsia="Times New Roman" w:hAnsiTheme="minorBidi"/>
            <w:color w:val="1155CC"/>
            <w:szCs w:val="24"/>
            <w:u w:val="single"/>
            <w:shd w:val="clear" w:color="auto" w:fill="FFFFFF"/>
          </w:rPr>
          <w:t>https://core.ac.uk/download/pdf/323060342.pdf</w:t>
        </w:r>
      </w:hyperlink>
    </w:p>
    <w:p w14:paraId="7F8121EE"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Sokol, D.D., 2019. Rethinking the efficiency of the common law. </w:t>
      </w:r>
      <w:r w:rsidRPr="002B6222">
        <w:rPr>
          <w:rFonts w:asciiTheme="minorBidi" w:eastAsia="Times New Roman" w:hAnsiTheme="minorBidi"/>
          <w:i/>
          <w:iCs/>
          <w:color w:val="222222"/>
          <w:szCs w:val="24"/>
          <w:shd w:val="clear" w:color="auto" w:fill="FFFFFF"/>
        </w:rPr>
        <w:t>Notre Dame L. Rev.</w:t>
      </w:r>
      <w:r w:rsidRPr="002B6222">
        <w:rPr>
          <w:rFonts w:asciiTheme="minorBidi" w:eastAsia="Times New Roman" w:hAnsiTheme="minorBidi"/>
          <w:color w:val="222222"/>
          <w:szCs w:val="24"/>
          <w:shd w:val="clear" w:color="auto" w:fill="FFFFFF"/>
        </w:rPr>
        <w:t xml:space="preserve">, </w:t>
      </w:r>
      <w:r w:rsidRPr="002B6222">
        <w:rPr>
          <w:rFonts w:asciiTheme="minorBidi" w:eastAsia="Times New Roman" w:hAnsiTheme="minorBidi"/>
          <w:i/>
          <w:iCs/>
          <w:color w:val="222222"/>
          <w:szCs w:val="24"/>
          <w:shd w:val="clear" w:color="auto" w:fill="FFFFFF"/>
        </w:rPr>
        <w:t>95</w:t>
      </w:r>
      <w:r w:rsidRPr="002B6222">
        <w:rPr>
          <w:rFonts w:asciiTheme="minorBidi" w:eastAsia="Times New Roman" w:hAnsiTheme="minorBidi"/>
          <w:color w:val="222222"/>
          <w:szCs w:val="24"/>
          <w:shd w:val="clear" w:color="auto" w:fill="FFFFFF"/>
        </w:rPr>
        <w:t xml:space="preserve">, p.795. </w:t>
      </w:r>
      <w:hyperlink r:id="rId13" w:history="1">
        <w:r w:rsidRPr="002B6222">
          <w:rPr>
            <w:rFonts w:asciiTheme="minorBidi" w:eastAsia="Times New Roman" w:hAnsiTheme="minorBidi"/>
            <w:color w:val="1155CC"/>
            <w:szCs w:val="24"/>
            <w:u w:val="single"/>
            <w:shd w:val="clear" w:color="auto" w:fill="FFFFFF"/>
          </w:rPr>
          <w:t>https://heinonline.org/hol-cgi-bin/get_pdf.cgi?handle=hein.journals/tndl95&amp;section=22</w:t>
        </w:r>
      </w:hyperlink>
    </w:p>
    <w:p w14:paraId="17FFADF6"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Yu, W., 2021. Reporting verbs in court judgments of the common law system: A Corpus-Based Study. </w:t>
      </w:r>
      <w:r w:rsidRPr="002B6222">
        <w:rPr>
          <w:rFonts w:asciiTheme="minorBidi" w:eastAsia="Times New Roman" w:hAnsiTheme="minorBidi"/>
          <w:i/>
          <w:iCs/>
          <w:color w:val="222222"/>
          <w:szCs w:val="24"/>
          <w:shd w:val="clear" w:color="auto" w:fill="FFFFFF"/>
        </w:rPr>
        <w:t>International Journal for the Semiotics of Law-Revue internationale de Sémiotique juridique</w:t>
      </w:r>
      <w:r w:rsidRPr="002B6222">
        <w:rPr>
          <w:rFonts w:asciiTheme="minorBidi" w:eastAsia="Times New Roman" w:hAnsiTheme="minorBidi"/>
          <w:color w:val="222222"/>
          <w:szCs w:val="24"/>
          <w:shd w:val="clear" w:color="auto" w:fill="FFFFFF"/>
        </w:rPr>
        <w:t xml:space="preserve">, </w:t>
      </w:r>
      <w:r w:rsidRPr="002B6222">
        <w:rPr>
          <w:rFonts w:asciiTheme="minorBidi" w:eastAsia="Times New Roman" w:hAnsiTheme="minorBidi"/>
          <w:i/>
          <w:iCs/>
          <w:color w:val="222222"/>
          <w:szCs w:val="24"/>
          <w:shd w:val="clear" w:color="auto" w:fill="FFFFFF"/>
        </w:rPr>
        <w:t>34</w:t>
      </w:r>
      <w:r w:rsidRPr="002B6222">
        <w:rPr>
          <w:rFonts w:asciiTheme="minorBidi" w:eastAsia="Times New Roman" w:hAnsiTheme="minorBidi"/>
          <w:color w:val="222222"/>
          <w:szCs w:val="24"/>
          <w:shd w:val="clear" w:color="auto" w:fill="FFFFFF"/>
        </w:rPr>
        <w:t xml:space="preserve">, pp.525-560. </w:t>
      </w:r>
      <w:hyperlink r:id="rId14" w:history="1">
        <w:r w:rsidRPr="002B6222">
          <w:rPr>
            <w:rFonts w:asciiTheme="minorBidi" w:eastAsia="Times New Roman" w:hAnsiTheme="minorBidi"/>
            <w:color w:val="1155CC"/>
            <w:szCs w:val="24"/>
            <w:u w:val="single"/>
            <w:shd w:val="clear" w:color="auto" w:fill="FFFFFF"/>
          </w:rPr>
          <w:t>https://link.springer.com/article/10.1007/s11196-020-09740-7</w:t>
        </w:r>
      </w:hyperlink>
    </w:p>
    <w:p w14:paraId="0965481F" w14:textId="77777777" w:rsidR="00685556" w:rsidRDefault="00685556" w:rsidP="002B6222">
      <w:pPr>
        <w:spacing w:before="240" w:after="240" w:line="360" w:lineRule="auto"/>
        <w:rPr>
          <w:rFonts w:asciiTheme="minorBidi" w:eastAsia="Times New Roman" w:hAnsiTheme="minorBidi"/>
          <w:b/>
          <w:bCs/>
          <w:color w:val="222222"/>
          <w:szCs w:val="24"/>
          <w:shd w:val="clear" w:color="auto" w:fill="FFFFFF"/>
        </w:rPr>
      </w:pPr>
    </w:p>
    <w:p w14:paraId="3821C29C" w14:textId="78344C6F"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b/>
          <w:bCs/>
          <w:color w:val="222222"/>
          <w:szCs w:val="24"/>
          <w:shd w:val="clear" w:color="auto" w:fill="FFFFFF"/>
        </w:rPr>
        <w:lastRenderedPageBreak/>
        <w:t>Books</w:t>
      </w:r>
    </w:p>
    <w:p w14:paraId="2EE97A49"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Broom, H., 2020. </w:t>
      </w:r>
      <w:r w:rsidRPr="002B6222">
        <w:rPr>
          <w:rFonts w:asciiTheme="minorBidi" w:eastAsia="Times New Roman" w:hAnsiTheme="minorBidi"/>
          <w:i/>
          <w:iCs/>
          <w:color w:val="222222"/>
          <w:szCs w:val="24"/>
          <w:shd w:val="clear" w:color="auto" w:fill="FFFFFF"/>
        </w:rPr>
        <w:t>Commentaries on the Common Law</w:t>
      </w:r>
      <w:r w:rsidRPr="002B6222">
        <w:rPr>
          <w:rFonts w:asciiTheme="minorBidi" w:eastAsia="Times New Roman" w:hAnsiTheme="minorBidi"/>
          <w:color w:val="222222"/>
          <w:szCs w:val="24"/>
          <w:shd w:val="clear" w:color="auto" w:fill="FFFFFF"/>
        </w:rPr>
        <w:t xml:space="preserve">. BoD–Books on Demand. </w:t>
      </w:r>
      <w:hyperlink r:id="rId15" w:history="1">
        <w:r w:rsidRPr="002B6222">
          <w:rPr>
            <w:rFonts w:asciiTheme="minorBidi" w:eastAsia="Times New Roman" w:hAnsiTheme="minorBidi"/>
            <w:color w:val="1155CC"/>
            <w:szCs w:val="24"/>
            <w:u w:val="single"/>
            <w:shd w:val="clear" w:color="auto" w:fill="FFFFFF"/>
          </w:rPr>
          <w:t>https://books.google.com/books?hl=en&amp;lr=&amp;id=55v8DwAAQBAJ&amp;oi=fnd&amp;pg=PR1&amp;dq=common+law&amp;ots=c78Skz16ja&amp;sig=yuQlRkKd2jJOTROkWZdBM1Jross</w:t>
        </w:r>
      </w:hyperlink>
    </w:p>
    <w:p w14:paraId="4E0505F4"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Mackaay, E., 2021. </w:t>
      </w:r>
      <w:r w:rsidRPr="002B6222">
        <w:rPr>
          <w:rFonts w:asciiTheme="minorBidi" w:eastAsia="Times New Roman" w:hAnsiTheme="minorBidi"/>
          <w:i/>
          <w:iCs/>
          <w:color w:val="222222"/>
          <w:szCs w:val="24"/>
          <w:shd w:val="clear" w:color="auto" w:fill="FFFFFF"/>
        </w:rPr>
        <w:t>Law and economics for civil law systems</w:t>
      </w:r>
      <w:r w:rsidRPr="002B6222">
        <w:rPr>
          <w:rFonts w:asciiTheme="minorBidi" w:eastAsia="Times New Roman" w:hAnsiTheme="minorBidi"/>
          <w:color w:val="222222"/>
          <w:szCs w:val="24"/>
          <w:shd w:val="clear" w:color="auto" w:fill="FFFFFF"/>
        </w:rPr>
        <w:t xml:space="preserve">. Edward Elgar Publishing. </w:t>
      </w:r>
      <w:hyperlink r:id="rId16" w:history="1">
        <w:r w:rsidRPr="002B6222">
          <w:rPr>
            <w:rFonts w:asciiTheme="minorBidi" w:eastAsia="Times New Roman" w:hAnsiTheme="minorBidi"/>
            <w:color w:val="1155CC"/>
            <w:szCs w:val="24"/>
            <w:u w:val="single"/>
            <w:shd w:val="clear" w:color="auto" w:fill="FFFFFF"/>
          </w:rPr>
          <w:t>https://books.google.com/books?hl=en&amp;lr=&amp;id=JR5QEAAAQBAJ&amp;oi=fnd&amp;pg=PR1&amp;dq=civil+law&amp;ots=0mkrcsy6qR&amp;sig=12ij2D3k5tJ-7r1JKix-i1gwWAU</w:t>
        </w:r>
      </w:hyperlink>
    </w:p>
    <w:p w14:paraId="31C24DC3" w14:textId="77777777" w:rsidR="002B6222" w:rsidRPr="002B6222" w:rsidRDefault="00BF68DE" w:rsidP="002B6222">
      <w:pPr>
        <w:spacing w:before="240" w:after="240" w:line="360" w:lineRule="auto"/>
        <w:rPr>
          <w:rFonts w:asciiTheme="minorBidi" w:eastAsia="Times New Roman" w:hAnsiTheme="minorBidi"/>
          <w:szCs w:val="24"/>
        </w:rPr>
      </w:pPr>
      <w:r w:rsidRPr="002B6222">
        <w:rPr>
          <w:rFonts w:asciiTheme="minorBidi" w:eastAsia="Times New Roman" w:hAnsiTheme="minorBidi"/>
          <w:color w:val="222222"/>
          <w:szCs w:val="24"/>
          <w:shd w:val="clear" w:color="auto" w:fill="FFFFFF"/>
        </w:rPr>
        <w:t xml:space="preserve">Postema, G.J., 2019. </w:t>
      </w:r>
      <w:r w:rsidRPr="002B6222">
        <w:rPr>
          <w:rFonts w:asciiTheme="minorBidi" w:eastAsia="Times New Roman" w:hAnsiTheme="minorBidi"/>
          <w:i/>
          <w:iCs/>
          <w:color w:val="222222"/>
          <w:szCs w:val="24"/>
          <w:shd w:val="clear" w:color="auto" w:fill="FFFFFF"/>
        </w:rPr>
        <w:t>Bentham and the common law tradition</w:t>
      </w:r>
      <w:r w:rsidRPr="002B6222">
        <w:rPr>
          <w:rFonts w:asciiTheme="minorBidi" w:eastAsia="Times New Roman" w:hAnsiTheme="minorBidi"/>
          <w:color w:val="222222"/>
          <w:szCs w:val="24"/>
          <w:shd w:val="clear" w:color="auto" w:fill="FFFFFF"/>
        </w:rPr>
        <w:t xml:space="preserve">. Oxford University Press. </w:t>
      </w:r>
      <w:hyperlink r:id="rId17" w:history="1">
        <w:r w:rsidRPr="002B6222">
          <w:rPr>
            <w:rFonts w:asciiTheme="minorBidi" w:eastAsia="Times New Roman" w:hAnsiTheme="minorBidi"/>
            <w:color w:val="1155CC"/>
            <w:szCs w:val="24"/>
            <w:u w:val="single"/>
            <w:shd w:val="clear" w:color="auto" w:fill="FFFFFF"/>
          </w:rPr>
          <w:t>https://books.google.com/books?hl=en&amp;lr=&amp;id=f0KjDwAAQBAJ&amp;oi=fnd&amp;pg=PP1&amp;dq=common+law+vs+civil+law&amp;ots=uvGVpFooWA&amp;sig=AJmda2K7YpiyrO6Opwypk-8uh9s</w:t>
        </w:r>
      </w:hyperlink>
    </w:p>
    <w:sectPr w:rsidR="002B6222" w:rsidRPr="002B622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B2544" w14:textId="77777777" w:rsidR="00F156C0" w:rsidRDefault="00F156C0">
      <w:pPr>
        <w:spacing w:after="0" w:line="240" w:lineRule="auto"/>
      </w:pPr>
      <w:r>
        <w:separator/>
      </w:r>
    </w:p>
  </w:endnote>
  <w:endnote w:type="continuationSeparator" w:id="0">
    <w:p w14:paraId="1DD98D18" w14:textId="77777777" w:rsidR="00F156C0" w:rsidRDefault="00F15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670744"/>
      <w:docPartObj>
        <w:docPartGallery w:val="Page Numbers (Bottom of Page)"/>
        <w:docPartUnique/>
      </w:docPartObj>
    </w:sdtPr>
    <w:sdtEndPr>
      <w:rPr>
        <w:noProof/>
      </w:rPr>
    </w:sdtEndPr>
    <w:sdtContent>
      <w:p w14:paraId="79870ADA" w14:textId="60369031" w:rsidR="002B6222" w:rsidRDefault="00BF68DE">
        <w:pPr>
          <w:pStyle w:val="Footer"/>
          <w:jc w:val="right"/>
        </w:pPr>
        <w:r w:rsidRPr="00FC3482">
          <w:rPr>
            <w:rFonts w:ascii="Arial" w:hAnsi="Arial" w:cs="Arial"/>
          </w:rPr>
          <w:fldChar w:fldCharType="begin"/>
        </w:r>
        <w:r w:rsidRPr="00FC3482">
          <w:rPr>
            <w:rFonts w:ascii="Arial" w:hAnsi="Arial" w:cs="Arial"/>
          </w:rPr>
          <w:instrText xml:space="preserve"> PAGE   \* MERGEFORMAT </w:instrText>
        </w:r>
        <w:r w:rsidRPr="00FC3482">
          <w:rPr>
            <w:rFonts w:ascii="Arial" w:hAnsi="Arial" w:cs="Arial"/>
          </w:rPr>
          <w:fldChar w:fldCharType="separate"/>
        </w:r>
        <w:r w:rsidR="003F363A">
          <w:rPr>
            <w:rFonts w:ascii="Arial" w:hAnsi="Arial" w:cs="Arial"/>
            <w:noProof/>
          </w:rPr>
          <w:t>3</w:t>
        </w:r>
        <w:r w:rsidRPr="00FC3482">
          <w:rPr>
            <w:rFonts w:ascii="Arial" w:hAnsi="Arial" w:cs="Arial"/>
            <w:noProof/>
          </w:rPr>
          <w:fldChar w:fldCharType="end"/>
        </w:r>
      </w:p>
    </w:sdtContent>
  </w:sdt>
  <w:p w14:paraId="45879DB7" w14:textId="77777777" w:rsidR="002B6222" w:rsidRDefault="002B6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5F2C1" w14:textId="77777777" w:rsidR="00F156C0" w:rsidRDefault="00F156C0">
      <w:pPr>
        <w:spacing w:after="0" w:line="240" w:lineRule="auto"/>
      </w:pPr>
      <w:r>
        <w:separator/>
      </w:r>
    </w:p>
  </w:footnote>
  <w:footnote w:type="continuationSeparator" w:id="0">
    <w:p w14:paraId="20A7A369" w14:textId="77777777" w:rsidR="00F156C0" w:rsidRDefault="00F156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F1BD4"/>
    <w:multiLevelType w:val="multilevel"/>
    <w:tmpl w:val="9DEC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6862A5"/>
    <w:multiLevelType w:val="multilevel"/>
    <w:tmpl w:val="4AEC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8519361">
    <w:abstractNumId w:val="1"/>
  </w:num>
  <w:num w:numId="2" w16cid:durableId="713505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222"/>
    <w:rsid w:val="000E51BB"/>
    <w:rsid w:val="00185767"/>
    <w:rsid w:val="002B6222"/>
    <w:rsid w:val="003F363A"/>
    <w:rsid w:val="004A4D5B"/>
    <w:rsid w:val="0059060F"/>
    <w:rsid w:val="00685556"/>
    <w:rsid w:val="00A10BDB"/>
    <w:rsid w:val="00A73E5A"/>
    <w:rsid w:val="00B37F8F"/>
    <w:rsid w:val="00BF68DE"/>
    <w:rsid w:val="00C271D4"/>
    <w:rsid w:val="00C5189D"/>
    <w:rsid w:val="00C55A93"/>
    <w:rsid w:val="00F156C0"/>
    <w:rsid w:val="00F54412"/>
    <w:rsid w:val="00FC284A"/>
    <w:rsid w:val="00FC348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64A24"/>
  <w15:chartTrackingRefBased/>
  <w15:docId w15:val="{8782B226-7A50-44D7-B710-F97762EB4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F8F"/>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2B6222"/>
    <w:pPr>
      <w:spacing w:before="100" w:beforeAutospacing="1" w:after="100" w:afterAutospacing="1" w:line="240" w:lineRule="auto"/>
      <w:jc w:val="left"/>
    </w:pPr>
    <w:rPr>
      <w:rFonts w:eastAsia="Times New Roman" w:cs="Times New Roman"/>
      <w:szCs w:val="24"/>
      <w:lang w:val="en-IN"/>
    </w:rPr>
  </w:style>
  <w:style w:type="character" w:styleId="Hyperlink">
    <w:name w:val="Hyperlink"/>
    <w:basedOn w:val="DefaultParagraphFont"/>
    <w:uiPriority w:val="99"/>
    <w:unhideWhenUsed/>
    <w:rsid w:val="002B6222"/>
    <w:rPr>
      <w:color w:val="0000FF"/>
      <w:u w:val="single"/>
    </w:rPr>
  </w:style>
  <w:style w:type="paragraph" w:styleId="Header">
    <w:name w:val="header"/>
    <w:basedOn w:val="Normal"/>
    <w:link w:val="HeaderChar"/>
    <w:uiPriority w:val="99"/>
    <w:unhideWhenUsed/>
    <w:rsid w:val="002B6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222"/>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2B6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222"/>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2B6222"/>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2B6222"/>
    <w:pPr>
      <w:spacing w:after="100"/>
    </w:pPr>
  </w:style>
  <w:style w:type="paragraph" w:styleId="TOC2">
    <w:name w:val="toc 2"/>
    <w:basedOn w:val="Normal"/>
    <w:next w:val="Normal"/>
    <w:autoRedefine/>
    <w:uiPriority w:val="39"/>
    <w:unhideWhenUsed/>
    <w:rsid w:val="002B62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inonline.org/hol-cgi-bin/get_pdf.cgi?handle=hein.journals/juscrp2&amp;section=129" TargetMode="External"/><Relationship Id="rId13" Type="http://schemas.openxmlformats.org/officeDocument/2006/relationships/hyperlink" Target="https://heinonline.org/hol-cgi-bin/get_pdf.cgi?handle=hein.journals/tndl95&amp;section=2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e.ac.uk/download/pdf/323060342.pdf" TargetMode="External"/><Relationship Id="rId17" Type="http://schemas.openxmlformats.org/officeDocument/2006/relationships/hyperlink" Target="https://books.google.com/books?hl=en&amp;lr=&amp;id=f0KjDwAAQBAJ&amp;oi=fnd&amp;pg=PP1&amp;dq=common+law+vs+civil+law&amp;ots=uvGVpFooWA&amp;sig=AJmda2K7YpiyrO6Opwypk-8uh9s" TargetMode="External"/><Relationship Id="rId2" Type="http://schemas.openxmlformats.org/officeDocument/2006/relationships/numbering" Target="numbering.xml"/><Relationship Id="rId16" Type="http://schemas.openxmlformats.org/officeDocument/2006/relationships/hyperlink" Target="https://books.google.com/books?hl=en&amp;lr=&amp;id=JR5QEAAAQBAJ&amp;oi=fnd&amp;pg=PR1&amp;dq=civil+law&amp;ots=0mkrcsy6qR&amp;sig=12ij2D3k5tJ-7r1JKix-i1gwWA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eol.com/search/article-detail?id=1059758" TargetMode="External"/><Relationship Id="rId5" Type="http://schemas.openxmlformats.org/officeDocument/2006/relationships/webSettings" Target="webSettings.xml"/><Relationship Id="rId15" Type="http://schemas.openxmlformats.org/officeDocument/2006/relationships/hyperlink" Target="https://books.google.com/books?hl=en&amp;lr=&amp;id=55v8DwAAQBAJ&amp;oi=fnd&amp;pg=PR1&amp;dq=common+law&amp;ots=c78Skz16ja&amp;sig=yuQlRkKd2jJOTROkWZdBM1Jross" TargetMode="External"/><Relationship Id="rId10" Type="http://schemas.openxmlformats.org/officeDocument/2006/relationships/hyperlink" Target="https://www.emerald.com/insight/content/doi/10.1108/EMJB-09-2020-0101/full/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ylorfrancis.com/chapters/edit/10.4324/9781003074809-2/criminal-courts-procedure-common-law-1550%E2%80%931800-baker" TargetMode="External"/><Relationship Id="rId14" Type="http://schemas.openxmlformats.org/officeDocument/2006/relationships/hyperlink" Target="https://link.springer.com/article/10.1007/s11196-020-0974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E1EDA-A47E-486B-B8D0-B7E9553B21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2037</Words>
  <Characters>11614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pubali chakraborty</dc:creator>
  <cp:lastModifiedBy>Cristian Maxim</cp:lastModifiedBy>
  <cp:revision>2</cp:revision>
  <dcterms:created xsi:type="dcterms:W3CDTF">2023-03-09T23:12:00Z</dcterms:created>
  <dcterms:modified xsi:type="dcterms:W3CDTF">2023-03-09T23:12:00Z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1a8f619f-4905-4813-b7f9-fb61b7f67728</vt:lpwstr>
  </property>
</Properties>
</file>