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8EE3C0" w14:textId="53956F3E" w:rsidR="0057570A" w:rsidRPr="0087524C" w:rsidRDefault="00200295" w:rsidP="00EC7EA9">
      <w:pPr>
        <w:pStyle w:val="ListParagraph"/>
        <w:numPr>
          <w:ilvl w:val="0"/>
          <w:numId w:val="1"/>
        </w:numPr>
        <w:spacing w:line="360" w:lineRule="auto"/>
        <w:rPr>
          <w:rFonts w:ascii="Arial" w:hAnsi="Arial" w:cs="Arial"/>
          <w:b/>
          <w:szCs w:val="24"/>
          <w:u w:val="single"/>
          <w:lang w:eastAsia="en-GB"/>
        </w:rPr>
      </w:pPr>
      <w:r w:rsidRPr="0087524C">
        <w:rPr>
          <w:rFonts w:ascii="Arial" w:hAnsi="Arial" w:cs="Arial"/>
          <w:b/>
          <w:szCs w:val="24"/>
          <w:u w:val="single"/>
          <w:lang w:eastAsia="en-GB"/>
        </w:rPr>
        <w:t>Critically consider the aetiology and treatment of one mood disorder.</w:t>
      </w:r>
    </w:p>
    <w:p w14:paraId="26D986A6" w14:textId="77777777" w:rsidR="005D2FD2" w:rsidRPr="0087524C" w:rsidRDefault="005D2FD2" w:rsidP="00EC7EA9">
      <w:pPr>
        <w:pStyle w:val="ListParagraph"/>
        <w:spacing w:line="360" w:lineRule="auto"/>
        <w:rPr>
          <w:rFonts w:ascii="Arial" w:hAnsi="Arial" w:cs="Arial"/>
          <w:b/>
          <w:szCs w:val="24"/>
          <w:u w:val="single"/>
          <w:lang w:eastAsia="en-GB"/>
        </w:rPr>
      </w:pPr>
    </w:p>
    <w:p w14:paraId="710A0185" w14:textId="5D2EF8E9" w:rsidR="00200295" w:rsidRPr="0087524C" w:rsidRDefault="0057570A" w:rsidP="00EC7EA9">
      <w:pPr>
        <w:spacing w:line="360" w:lineRule="auto"/>
        <w:rPr>
          <w:rFonts w:ascii="Arial" w:hAnsi="Arial" w:cs="Arial"/>
          <w:sz w:val="24"/>
          <w:szCs w:val="24"/>
        </w:rPr>
      </w:pPr>
      <w:r w:rsidRPr="0087524C">
        <w:rPr>
          <w:rFonts w:ascii="Arial" w:hAnsi="Arial" w:cs="Arial"/>
          <w:sz w:val="24"/>
          <w:szCs w:val="24"/>
        </w:rPr>
        <w:t xml:space="preserve">There are many different forms of bipolar disorder and they are all distinguished by episodes of acute dispositions. People with bipolar will experience either episodes of mania (elevated moods) or hypomania (depressive moods). The key discrepancy between bipolar 1 and bipolar 2 depends on the acuteness of the euphoric outbreaks resulting from each </w:t>
      </w:r>
      <w:r w:rsidR="00761A5F" w:rsidRPr="0087524C">
        <w:rPr>
          <w:rFonts w:ascii="Arial" w:hAnsi="Arial" w:cs="Arial"/>
          <w:sz w:val="24"/>
          <w:szCs w:val="24"/>
        </w:rPr>
        <w:t xml:space="preserve">type </w:t>
      </w:r>
      <w:r w:rsidRPr="0087524C">
        <w:rPr>
          <w:rFonts w:ascii="Arial" w:hAnsi="Arial" w:cs="Arial"/>
          <w:sz w:val="24"/>
          <w:szCs w:val="24"/>
        </w:rPr>
        <w:t>(</w:t>
      </w:r>
      <w:proofErr w:type="spellStart"/>
      <w:r w:rsidRPr="0087524C">
        <w:rPr>
          <w:rFonts w:ascii="Arial" w:hAnsi="Arial" w:cs="Arial"/>
          <w:sz w:val="24"/>
          <w:szCs w:val="24"/>
        </w:rPr>
        <w:t>Grunze</w:t>
      </w:r>
      <w:proofErr w:type="spellEnd"/>
      <w:r w:rsidRPr="0087524C">
        <w:rPr>
          <w:rFonts w:ascii="Arial" w:hAnsi="Arial" w:cs="Arial"/>
          <w:sz w:val="24"/>
          <w:szCs w:val="24"/>
        </w:rPr>
        <w:t>, 2015).</w:t>
      </w:r>
    </w:p>
    <w:p w14:paraId="73C3A0FD" w14:textId="7B2A9125" w:rsidR="00200295" w:rsidRPr="0087524C" w:rsidRDefault="00200295" w:rsidP="00EC7EA9">
      <w:pPr>
        <w:spacing w:line="360" w:lineRule="auto"/>
        <w:rPr>
          <w:rFonts w:ascii="Arial" w:hAnsi="Arial" w:cs="Arial"/>
          <w:sz w:val="24"/>
          <w:szCs w:val="24"/>
        </w:rPr>
      </w:pPr>
      <w:r w:rsidRPr="0087524C">
        <w:rPr>
          <w:rFonts w:ascii="Arial" w:hAnsi="Arial" w:cs="Arial"/>
          <w:sz w:val="24"/>
          <w:szCs w:val="24"/>
        </w:rPr>
        <w:t>Hereditary, neurological, physiological and ecological aspects all show to be a factor in the source of bipolar disorder in the majority of individuals who receive this diagnosis. Whilst the physiological and neurological aspects regularly dominate the contributing connection investigation, hereditary and ecological aspects also show to play an important part. Certain chemical messaging systems in addition to hereditary aspects appeared to be implicated</w:t>
      </w:r>
      <w:r w:rsidR="00761A5F" w:rsidRPr="0087524C">
        <w:rPr>
          <w:rFonts w:ascii="Arial" w:hAnsi="Arial" w:cs="Arial"/>
          <w:sz w:val="24"/>
          <w:szCs w:val="24"/>
        </w:rPr>
        <w:t>.</w:t>
      </w:r>
      <w:r w:rsidRPr="0087524C">
        <w:rPr>
          <w:rFonts w:ascii="Arial" w:hAnsi="Arial" w:cs="Arial"/>
          <w:sz w:val="24"/>
          <w:szCs w:val="24"/>
        </w:rPr>
        <w:t xml:space="preserve"> </w:t>
      </w:r>
      <w:r w:rsidR="00761A5F" w:rsidRPr="0087524C">
        <w:rPr>
          <w:rFonts w:ascii="Arial" w:hAnsi="Arial" w:cs="Arial"/>
          <w:sz w:val="24"/>
          <w:szCs w:val="24"/>
        </w:rPr>
        <w:t>N</w:t>
      </w:r>
      <w:r w:rsidRPr="0087524C">
        <w:rPr>
          <w:rFonts w:ascii="Arial" w:hAnsi="Arial" w:cs="Arial"/>
          <w:sz w:val="24"/>
          <w:szCs w:val="24"/>
        </w:rPr>
        <w:t xml:space="preserve">orepinephrine, dopamine and serotonin are three precise substances present the </w:t>
      </w:r>
      <w:r w:rsidR="00095841" w:rsidRPr="0087524C">
        <w:rPr>
          <w:rFonts w:ascii="Arial" w:hAnsi="Arial" w:cs="Arial"/>
          <w:sz w:val="24"/>
          <w:szCs w:val="24"/>
        </w:rPr>
        <w:t>brain</w:t>
      </w:r>
      <w:r w:rsidRPr="0087524C">
        <w:rPr>
          <w:rFonts w:ascii="Arial" w:hAnsi="Arial" w:cs="Arial"/>
          <w:sz w:val="24"/>
          <w:szCs w:val="24"/>
        </w:rPr>
        <w:t xml:space="preserve"> that have been shown to be implicated. Due to bipolar disorder being considered a neurological condition, it can be inactive and then become activated unexpectedly or could be possibly triggered everyday demands (</w:t>
      </w:r>
      <w:proofErr w:type="spellStart"/>
      <w:r w:rsidRPr="0087524C">
        <w:rPr>
          <w:rFonts w:ascii="Arial" w:hAnsi="Arial" w:cs="Arial"/>
          <w:sz w:val="24"/>
          <w:szCs w:val="24"/>
        </w:rPr>
        <w:t>Quello</w:t>
      </w:r>
      <w:proofErr w:type="spellEnd"/>
      <w:r w:rsidR="005F6074" w:rsidRPr="0087524C">
        <w:rPr>
          <w:rFonts w:ascii="Arial" w:hAnsi="Arial" w:cs="Arial"/>
          <w:sz w:val="24"/>
          <w:szCs w:val="24"/>
        </w:rPr>
        <w:t xml:space="preserve"> et al., </w:t>
      </w:r>
      <w:r w:rsidRPr="0087524C">
        <w:rPr>
          <w:rFonts w:ascii="Arial" w:hAnsi="Arial" w:cs="Arial"/>
          <w:sz w:val="24"/>
          <w:szCs w:val="24"/>
        </w:rPr>
        <w:t>2005).</w:t>
      </w:r>
    </w:p>
    <w:p w14:paraId="3303FD9A" w14:textId="14CB1A90" w:rsidR="00200295" w:rsidRPr="0087524C" w:rsidRDefault="00200295" w:rsidP="00EC7EA9">
      <w:pPr>
        <w:spacing w:line="360" w:lineRule="auto"/>
        <w:rPr>
          <w:rFonts w:ascii="Arial" w:hAnsi="Arial" w:cs="Arial"/>
          <w:sz w:val="24"/>
          <w:szCs w:val="24"/>
        </w:rPr>
      </w:pPr>
      <w:r w:rsidRPr="0087524C">
        <w:rPr>
          <w:rFonts w:ascii="Arial" w:hAnsi="Arial" w:cs="Arial"/>
          <w:sz w:val="24"/>
          <w:szCs w:val="24"/>
        </w:rPr>
        <w:t>According to Manji</w:t>
      </w:r>
      <w:r w:rsidR="005F6074" w:rsidRPr="0087524C">
        <w:rPr>
          <w:rFonts w:ascii="Arial" w:hAnsi="Arial" w:cs="Arial"/>
          <w:sz w:val="24"/>
          <w:szCs w:val="24"/>
        </w:rPr>
        <w:t xml:space="preserve"> et al.,</w:t>
      </w:r>
      <w:r w:rsidRPr="0087524C">
        <w:rPr>
          <w:rFonts w:ascii="Arial" w:hAnsi="Arial" w:cs="Arial"/>
          <w:sz w:val="24"/>
          <w:szCs w:val="24"/>
        </w:rPr>
        <w:t xml:space="preserve"> (2003) Hereditary aspects have been shown to be a major influence in the cause of bipolar disorder. However, the biological irregularities causing the susceptibility and the pathophysiology of bipolar disorder continue to be completely explained. Initial biological approaches in regard to the pathophysiology of bipolar disorder have fixated on the numerous chemical messengers, especially the biogenic amines. In the last few years, though, improvements in knowledge of the cellular constructions causing communication between neurons have investigated the function of post-receptor locations. Although, contrary to the advancements that have occurred in clarifying the cause and pathophysiology of numerous psychological disorders, there is still little evidence that identifies the specific atypical genes or proteins in bipolar disorder (Manji, Quiroz, Payne, Singh, Lopes, </w:t>
      </w:r>
      <w:proofErr w:type="spellStart"/>
      <w:r w:rsidRPr="0087524C">
        <w:rPr>
          <w:rFonts w:ascii="Arial" w:hAnsi="Arial" w:cs="Arial"/>
          <w:sz w:val="24"/>
          <w:szCs w:val="24"/>
        </w:rPr>
        <w:t>Viegas</w:t>
      </w:r>
      <w:proofErr w:type="spellEnd"/>
      <w:r w:rsidRPr="0087524C">
        <w:rPr>
          <w:rFonts w:ascii="Arial" w:hAnsi="Arial" w:cs="Arial"/>
          <w:sz w:val="24"/>
          <w:szCs w:val="24"/>
        </w:rPr>
        <w:t xml:space="preserve"> &amp; Zarate, 2003).</w:t>
      </w:r>
    </w:p>
    <w:p w14:paraId="02AA282F" w14:textId="1273BF78" w:rsidR="00D714C6" w:rsidRPr="0087524C" w:rsidRDefault="002F3CA3" w:rsidP="00EC7EA9">
      <w:pPr>
        <w:spacing w:line="360" w:lineRule="auto"/>
        <w:rPr>
          <w:rFonts w:ascii="Arial" w:hAnsi="Arial" w:cs="Arial"/>
          <w:sz w:val="24"/>
          <w:szCs w:val="24"/>
        </w:rPr>
      </w:pPr>
      <w:r w:rsidRPr="0087524C">
        <w:rPr>
          <w:rFonts w:ascii="Arial" w:hAnsi="Arial" w:cs="Arial"/>
          <w:sz w:val="24"/>
          <w:szCs w:val="24"/>
        </w:rPr>
        <w:t xml:space="preserve">According to </w:t>
      </w:r>
      <w:proofErr w:type="spellStart"/>
      <w:r w:rsidRPr="0087524C">
        <w:rPr>
          <w:rFonts w:ascii="Arial" w:hAnsi="Arial" w:cs="Arial"/>
          <w:sz w:val="24"/>
          <w:szCs w:val="24"/>
        </w:rPr>
        <w:t>Rasic</w:t>
      </w:r>
      <w:proofErr w:type="spellEnd"/>
      <w:r w:rsidRPr="0087524C">
        <w:rPr>
          <w:rFonts w:ascii="Arial" w:hAnsi="Arial" w:cs="Arial"/>
          <w:sz w:val="24"/>
          <w:szCs w:val="24"/>
        </w:rPr>
        <w:t xml:space="preserve"> (2014), Individuals who undergo a traumatic incident become highly vulnerable for developing bipolar disorder. </w:t>
      </w:r>
      <w:r w:rsidR="005F6074" w:rsidRPr="0087524C">
        <w:rPr>
          <w:rFonts w:ascii="Arial" w:hAnsi="Arial" w:cs="Arial"/>
          <w:sz w:val="24"/>
          <w:szCs w:val="24"/>
        </w:rPr>
        <w:t>Childhood</w:t>
      </w:r>
      <w:r w:rsidRPr="0087524C">
        <w:rPr>
          <w:rFonts w:ascii="Arial" w:hAnsi="Arial" w:cs="Arial"/>
          <w:sz w:val="24"/>
          <w:szCs w:val="24"/>
        </w:rPr>
        <w:t xml:space="preserve"> </w:t>
      </w:r>
      <w:r w:rsidR="005F6074" w:rsidRPr="0087524C">
        <w:rPr>
          <w:rFonts w:ascii="Arial" w:hAnsi="Arial" w:cs="Arial"/>
          <w:sz w:val="24"/>
          <w:szCs w:val="24"/>
        </w:rPr>
        <w:t>aspects</w:t>
      </w:r>
      <w:r w:rsidRPr="0087524C">
        <w:rPr>
          <w:rFonts w:ascii="Arial" w:hAnsi="Arial" w:cs="Arial"/>
          <w:sz w:val="24"/>
          <w:szCs w:val="24"/>
        </w:rPr>
        <w:t xml:space="preserve"> such as molestation, physical violence, abandonment, the passing of a parent, or additional </w:t>
      </w:r>
      <w:r w:rsidRPr="0087524C">
        <w:rPr>
          <w:rFonts w:ascii="Arial" w:hAnsi="Arial" w:cs="Arial"/>
          <w:sz w:val="24"/>
          <w:szCs w:val="24"/>
        </w:rPr>
        <w:lastRenderedPageBreak/>
        <w:t>traumatic occasions may heighten the possibility of developing bipolar disorder during adulthood. Mania or hypomania can also be caused by extremely traumatic incidents such as being made redundant or moving to a new house.</w:t>
      </w:r>
      <w:r w:rsidR="005F6074" w:rsidRPr="0087524C">
        <w:rPr>
          <w:rFonts w:ascii="Arial" w:hAnsi="Arial" w:cs="Arial"/>
          <w:sz w:val="24"/>
          <w:szCs w:val="24"/>
        </w:rPr>
        <w:t xml:space="preserve"> Although, Fisher &amp; </w:t>
      </w:r>
      <w:proofErr w:type="spellStart"/>
      <w:r w:rsidR="005F6074" w:rsidRPr="0087524C">
        <w:rPr>
          <w:rFonts w:ascii="Arial" w:hAnsi="Arial" w:cs="Arial"/>
          <w:sz w:val="24"/>
          <w:szCs w:val="24"/>
        </w:rPr>
        <w:t>Hosang</w:t>
      </w:r>
      <w:proofErr w:type="spellEnd"/>
      <w:r w:rsidR="005F6074" w:rsidRPr="0087524C">
        <w:rPr>
          <w:rFonts w:ascii="Arial" w:hAnsi="Arial" w:cs="Arial"/>
          <w:sz w:val="24"/>
          <w:szCs w:val="24"/>
        </w:rPr>
        <w:t xml:space="preserve"> (2010), state that even though previous investigation has discovered a connection amongst childhood aspects and Bipolar disorder and has increased </w:t>
      </w:r>
      <w:r w:rsidR="00D714C6" w:rsidRPr="0087524C">
        <w:rPr>
          <w:rFonts w:ascii="Arial" w:hAnsi="Arial" w:cs="Arial"/>
          <w:sz w:val="24"/>
          <w:szCs w:val="24"/>
        </w:rPr>
        <w:t xml:space="preserve">over the past few years, </w:t>
      </w:r>
      <w:r w:rsidR="005F6074" w:rsidRPr="0087524C">
        <w:rPr>
          <w:rFonts w:ascii="Arial" w:hAnsi="Arial" w:cs="Arial"/>
          <w:sz w:val="24"/>
          <w:szCs w:val="24"/>
        </w:rPr>
        <w:t xml:space="preserve">a </w:t>
      </w:r>
      <w:r w:rsidR="00D714C6" w:rsidRPr="0087524C">
        <w:rPr>
          <w:rFonts w:ascii="Arial" w:hAnsi="Arial" w:cs="Arial"/>
          <w:sz w:val="24"/>
          <w:szCs w:val="24"/>
        </w:rPr>
        <w:t>comparable</w:t>
      </w:r>
      <w:r w:rsidR="005F6074" w:rsidRPr="0087524C">
        <w:rPr>
          <w:rFonts w:ascii="Arial" w:hAnsi="Arial" w:cs="Arial"/>
          <w:sz w:val="24"/>
          <w:szCs w:val="24"/>
        </w:rPr>
        <w:t xml:space="preserve"> </w:t>
      </w:r>
      <w:r w:rsidR="00D714C6" w:rsidRPr="0087524C">
        <w:rPr>
          <w:rFonts w:ascii="Arial" w:hAnsi="Arial" w:cs="Arial"/>
          <w:sz w:val="24"/>
          <w:szCs w:val="24"/>
        </w:rPr>
        <w:t>rise</w:t>
      </w:r>
      <w:r w:rsidR="005F6074" w:rsidRPr="0087524C">
        <w:rPr>
          <w:rFonts w:ascii="Arial" w:hAnsi="Arial" w:cs="Arial"/>
          <w:sz w:val="24"/>
          <w:szCs w:val="24"/>
        </w:rPr>
        <w:t xml:space="preserve"> in the </w:t>
      </w:r>
      <w:r w:rsidR="00D714C6" w:rsidRPr="0087524C">
        <w:rPr>
          <w:rFonts w:ascii="Arial" w:hAnsi="Arial" w:cs="Arial"/>
          <w:sz w:val="24"/>
          <w:szCs w:val="24"/>
        </w:rPr>
        <w:t>procedural</w:t>
      </w:r>
      <w:r w:rsidR="005F6074" w:rsidRPr="0087524C">
        <w:rPr>
          <w:rFonts w:ascii="Arial" w:hAnsi="Arial" w:cs="Arial"/>
          <w:sz w:val="24"/>
          <w:szCs w:val="24"/>
        </w:rPr>
        <w:t xml:space="preserve"> </w:t>
      </w:r>
      <w:r w:rsidR="00D714C6" w:rsidRPr="0087524C">
        <w:rPr>
          <w:rFonts w:ascii="Arial" w:hAnsi="Arial" w:cs="Arial"/>
          <w:sz w:val="24"/>
          <w:szCs w:val="24"/>
        </w:rPr>
        <w:t>condition</w:t>
      </w:r>
      <w:r w:rsidR="005F6074" w:rsidRPr="0087524C">
        <w:rPr>
          <w:rFonts w:ascii="Arial" w:hAnsi="Arial" w:cs="Arial"/>
          <w:sz w:val="24"/>
          <w:szCs w:val="24"/>
        </w:rPr>
        <w:t xml:space="preserve"> of </w:t>
      </w:r>
      <w:r w:rsidR="00D714C6" w:rsidRPr="0087524C">
        <w:rPr>
          <w:rFonts w:ascii="Arial" w:hAnsi="Arial" w:cs="Arial"/>
          <w:sz w:val="24"/>
          <w:szCs w:val="24"/>
        </w:rPr>
        <w:t>reports has yet to be</w:t>
      </w:r>
      <w:r w:rsidR="005F6074" w:rsidRPr="0087524C">
        <w:rPr>
          <w:rFonts w:ascii="Arial" w:hAnsi="Arial" w:cs="Arial"/>
          <w:sz w:val="24"/>
          <w:szCs w:val="24"/>
        </w:rPr>
        <w:t xml:space="preserve"> witnessed. </w:t>
      </w:r>
      <w:r w:rsidR="00D714C6" w:rsidRPr="0087524C">
        <w:rPr>
          <w:rFonts w:ascii="Arial" w:hAnsi="Arial" w:cs="Arial"/>
          <w:sz w:val="24"/>
          <w:szCs w:val="24"/>
        </w:rPr>
        <w:t xml:space="preserve">Out of the 29 applicable research papers regarding </w:t>
      </w:r>
      <w:r w:rsidR="00C56462" w:rsidRPr="0087524C">
        <w:rPr>
          <w:rFonts w:ascii="Arial" w:hAnsi="Arial" w:cs="Arial"/>
          <w:sz w:val="24"/>
          <w:szCs w:val="24"/>
        </w:rPr>
        <w:t xml:space="preserve">childhood </w:t>
      </w:r>
      <w:r w:rsidR="00D714C6" w:rsidRPr="0087524C">
        <w:rPr>
          <w:rFonts w:ascii="Arial" w:hAnsi="Arial" w:cs="Arial"/>
          <w:sz w:val="24"/>
          <w:szCs w:val="24"/>
        </w:rPr>
        <w:t>abuse</w:t>
      </w:r>
      <w:r w:rsidR="00C56462" w:rsidRPr="0087524C">
        <w:rPr>
          <w:rFonts w:ascii="Arial" w:hAnsi="Arial" w:cs="Arial"/>
          <w:sz w:val="24"/>
          <w:szCs w:val="24"/>
        </w:rPr>
        <w:t xml:space="preserve"> and bipolar disorder</w:t>
      </w:r>
      <w:r w:rsidR="00D714C6" w:rsidRPr="0087524C">
        <w:rPr>
          <w:rFonts w:ascii="Arial" w:hAnsi="Arial" w:cs="Arial"/>
          <w:sz w:val="24"/>
          <w:szCs w:val="24"/>
        </w:rPr>
        <w:t xml:space="preserve">, just eight of these used an analytical discussion for Bipolar disorder, a psychometric test of </w:t>
      </w:r>
      <w:r w:rsidR="00C56462" w:rsidRPr="0087524C">
        <w:rPr>
          <w:rFonts w:ascii="Arial" w:hAnsi="Arial" w:cs="Arial"/>
          <w:sz w:val="24"/>
          <w:szCs w:val="24"/>
        </w:rPr>
        <w:t xml:space="preserve">childhood </w:t>
      </w:r>
      <w:r w:rsidR="00D714C6" w:rsidRPr="0087524C">
        <w:rPr>
          <w:rFonts w:ascii="Arial" w:hAnsi="Arial" w:cs="Arial"/>
          <w:sz w:val="24"/>
          <w:szCs w:val="24"/>
        </w:rPr>
        <w:t xml:space="preserve">abuse, and comprised of no less than 100 </w:t>
      </w:r>
      <w:r w:rsidR="00C56462" w:rsidRPr="0087524C">
        <w:rPr>
          <w:rFonts w:ascii="Arial" w:hAnsi="Arial" w:cs="Arial"/>
          <w:sz w:val="24"/>
          <w:szCs w:val="24"/>
        </w:rPr>
        <w:t>individuals</w:t>
      </w:r>
      <w:r w:rsidR="00D714C6" w:rsidRPr="0087524C">
        <w:rPr>
          <w:rFonts w:ascii="Arial" w:hAnsi="Arial" w:cs="Arial"/>
          <w:sz w:val="24"/>
          <w:szCs w:val="24"/>
        </w:rPr>
        <w:t xml:space="preserve"> with B</w:t>
      </w:r>
      <w:r w:rsidR="00C56462" w:rsidRPr="0087524C">
        <w:rPr>
          <w:rFonts w:ascii="Arial" w:hAnsi="Arial" w:cs="Arial"/>
          <w:sz w:val="24"/>
          <w:szCs w:val="24"/>
        </w:rPr>
        <w:t>ipolar disorder</w:t>
      </w:r>
      <w:r w:rsidR="00D714C6" w:rsidRPr="0087524C">
        <w:rPr>
          <w:rFonts w:ascii="Arial" w:hAnsi="Arial" w:cs="Arial"/>
          <w:sz w:val="24"/>
          <w:szCs w:val="24"/>
        </w:rPr>
        <w:t xml:space="preserve">. Due to the lack of research regarding </w:t>
      </w:r>
      <w:r w:rsidR="00C56462" w:rsidRPr="0087524C">
        <w:rPr>
          <w:rFonts w:ascii="Arial" w:hAnsi="Arial" w:cs="Arial"/>
          <w:sz w:val="24"/>
          <w:szCs w:val="24"/>
        </w:rPr>
        <w:t>childhood abuse</w:t>
      </w:r>
      <w:r w:rsidR="00D714C6" w:rsidRPr="0087524C">
        <w:rPr>
          <w:rFonts w:ascii="Arial" w:hAnsi="Arial" w:cs="Arial"/>
          <w:sz w:val="24"/>
          <w:szCs w:val="24"/>
        </w:rPr>
        <w:t xml:space="preserve"> and bipolar disorder, it is </w:t>
      </w:r>
      <w:r w:rsidR="00C56462" w:rsidRPr="0087524C">
        <w:rPr>
          <w:rFonts w:ascii="Arial" w:hAnsi="Arial" w:cs="Arial"/>
          <w:sz w:val="24"/>
          <w:szCs w:val="24"/>
        </w:rPr>
        <w:t>impossible</w:t>
      </w:r>
      <w:r w:rsidR="00D714C6" w:rsidRPr="0087524C">
        <w:rPr>
          <w:rFonts w:ascii="Arial" w:hAnsi="Arial" w:cs="Arial"/>
          <w:sz w:val="24"/>
          <w:szCs w:val="24"/>
        </w:rPr>
        <w:t xml:space="preserve"> to </w:t>
      </w:r>
      <w:r w:rsidR="00C56462" w:rsidRPr="0087524C">
        <w:rPr>
          <w:rFonts w:ascii="Arial" w:hAnsi="Arial" w:cs="Arial"/>
          <w:sz w:val="24"/>
          <w:szCs w:val="24"/>
        </w:rPr>
        <w:t xml:space="preserve">make </w:t>
      </w:r>
      <w:r w:rsidR="00D714C6" w:rsidRPr="0087524C">
        <w:rPr>
          <w:rFonts w:ascii="Arial" w:hAnsi="Arial" w:cs="Arial"/>
          <w:sz w:val="24"/>
          <w:szCs w:val="24"/>
        </w:rPr>
        <w:t xml:space="preserve">any </w:t>
      </w:r>
      <w:r w:rsidR="00C56462" w:rsidRPr="0087524C">
        <w:rPr>
          <w:rFonts w:ascii="Arial" w:hAnsi="Arial" w:cs="Arial"/>
          <w:sz w:val="24"/>
          <w:szCs w:val="24"/>
        </w:rPr>
        <w:t xml:space="preserve">concrete </w:t>
      </w:r>
      <w:r w:rsidR="00D714C6" w:rsidRPr="0087524C">
        <w:rPr>
          <w:rFonts w:ascii="Arial" w:hAnsi="Arial" w:cs="Arial"/>
          <w:sz w:val="24"/>
          <w:szCs w:val="24"/>
        </w:rPr>
        <w:t xml:space="preserve">conclusions </w:t>
      </w:r>
      <w:r w:rsidR="00C56462" w:rsidRPr="0087524C">
        <w:rPr>
          <w:rFonts w:ascii="Arial" w:hAnsi="Arial" w:cs="Arial"/>
          <w:sz w:val="24"/>
          <w:szCs w:val="24"/>
        </w:rPr>
        <w:t xml:space="preserve">concerning </w:t>
      </w:r>
      <w:r w:rsidR="00D714C6" w:rsidRPr="0087524C">
        <w:rPr>
          <w:rFonts w:ascii="Arial" w:hAnsi="Arial" w:cs="Arial"/>
          <w:sz w:val="24"/>
          <w:szCs w:val="24"/>
        </w:rPr>
        <w:t>the connection</w:t>
      </w:r>
      <w:r w:rsidR="00C56462" w:rsidRPr="0087524C">
        <w:rPr>
          <w:rFonts w:ascii="Arial" w:hAnsi="Arial" w:cs="Arial"/>
          <w:sz w:val="24"/>
          <w:szCs w:val="24"/>
        </w:rPr>
        <w:t xml:space="preserve"> between childhood abuse and bipolar disorder (Fisher &amp; </w:t>
      </w:r>
      <w:proofErr w:type="spellStart"/>
      <w:r w:rsidR="00C56462" w:rsidRPr="0087524C">
        <w:rPr>
          <w:rFonts w:ascii="Arial" w:hAnsi="Arial" w:cs="Arial"/>
          <w:sz w:val="24"/>
          <w:szCs w:val="24"/>
        </w:rPr>
        <w:t>Hosang</w:t>
      </w:r>
      <w:proofErr w:type="spellEnd"/>
      <w:r w:rsidR="00C56462" w:rsidRPr="0087524C">
        <w:rPr>
          <w:rFonts w:ascii="Arial" w:hAnsi="Arial" w:cs="Arial"/>
          <w:sz w:val="24"/>
          <w:szCs w:val="24"/>
        </w:rPr>
        <w:t>, 2010).</w:t>
      </w:r>
    </w:p>
    <w:p w14:paraId="6B39071A" w14:textId="4E1BC625" w:rsidR="00B27EB0" w:rsidRPr="0087524C" w:rsidRDefault="008D0B8F" w:rsidP="00EC7EA9">
      <w:pPr>
        <w:spacing w:line="360" w:lineRule="auto"/>
        <w:rPr>
          <w:rFonts w:ascii="Arial" w:hAnsi="Arial" w:cs="Arial"/>
          <w:sz w:val="24"/>
          <w:szCs w:val="24"/>
        </w:rPr>
      </w:pPr>
      <w:r w:rsidRPr="0087524C">
        <w:rPr>
          <w:rFonts w:ascii="Arial" w:hAnsi="Arial" w:cs="Arial"/>
          <w:sz w:val="24"/>
          <w:szCs w:val="24"/>
        </w:rPr>
        <w:t>According to</w:t>
      </w:r>
      <w:r w:rsidR="00A96753" w:rsidRPr="0087524C">
        <w:rPr>
          <w:rFonts w:ascii="Arial" w:hAnsi="Arial" w:cs="Arial"/>
          <w:sz w:val="24"/>
          <w:szCs w:val="24"/>
        </w:rPr>
        <w:t xml:space="preserve"> </w:t>
      </w:r>
      <w:proofErr w:type="spellStart"/>
      <w:r w:rsidR="00A96753" w:rsidRPr="0087524C">
        <w:rPr>
          <w:rFonts w:ascii="Arial" w:hAnsi="Arial" w:cs="Arial"/>
          <w:sz w:val="24"/>
          <w:szCs w:val="24"/>
        </w:rPr>
        <w:t>Tohen</w:t>
      </w:r>
      <w:proofErr w:type="spellEnd"/>
      <w:r w:rsidR="00A96753" w:rsidRPr="0087524C">
        <w:rPr>
          <w:rFonts w:ascii="Arial" w:hAnsi="Arial" w:cs="Arial"/>
          <w:sz w:val="24"/>
          <w:szCs w:val="24"/>
        </w:rPr>
        <w:t xml:space="preserve"> et al., (2000) </w:t>
      </w:r>
      <w:r w:rsidR="00982109" w:rsidRPr="0087524C">
        <w:rPr>
          <w:rFonts w:ascii="Arial" w:hAnsi="Arial" w:cs="Arial"/>
          <w:sz w:val="24"/>
          <w:szCs w:val="24"/>
        </w:rPr>
        <w:t>First-generation n</w:t>
      </w:r>
      <w:r w:rsidRPr="0087524C">
        <w:rPr>
          <w:rFonts w:ascii="Arial" w:hAnsi="Arial" w:cs="Arial"/>
          <w:sz w:val="24"/>
          <w:szCs w:val="24"/>
        </w:rPr>
        <w:t xml:space="preserve">euroleptic drugs have been utilised for a countless amount of years </w:t>
      </w:r>
      <w:r w:rsidR="00982109" w:rsidRPr="0087524C">
        <w:rPr>
          <w:rFonts w:ascii="Arial" w:hAnsi="Arial" w:cs="Arial"/>
          <w:sz w:val="24"/>
          <w:szCs w:val="24"/>
        </w:rPr>
        <w:t>for the temporary</w:t>
      </w:r>
      <w:r w:rsidRPr="0087524C">
        <w:rPr>
          <w:rFonts w:ascii="Arial" w:hAnsi="Arial" w:cs="Arial"/>
          <w:sz w:val="24"/>
          <w:szCs w:val="24"/>
        </w:rPr>
        <w:t xml:space="preserve"> </w:t>
      </w:r>
      <w:r w:rsidR="00982109" w:rsidRPr="0087524C">
        <w:rPr>
          <w:rFonts w:ascii="Arial" w:hAnsi="Arial" w:cs="Arial"/>
          <w:sz w:val="24"/>
          <w:szCs w:val="24"/>
        </w:rPr>
        <w:t>treatment of severe neurotic outbreaks accompanying bipolar disorder</w:t>
      </w:r>
      <w:r w:rsidR="00A96753" w:rsidRPr="0087524C">
        <w:rPr>
          <w:rFonts w:ascii="Arial" w:hAnsi="Arial" w:cs="Arial"/>
          <w:sz w:val="24"/>
          <w:szCs w:val="24"/>
        </w:rPr>
        <w:t xml:space="preserve">. </w:t>
      </w:r>
      <w:r w:rsidR="00982109" w:rsidRPr="0087524C">
        <w:rPr>
          <w:rFonts w:ascii="Arial" w:hAnsi="Arial" w:cs="Arial"/>
          <w:sz w:val="24"/>
          <w:szCs w:val="24"/>
        </w:rPr>
        <w:t xml:space="preserve">Second-generation neuroleptic drugs have also become more popular for this </w:t>
      </w:r>
      <w:r w:rsidR="006960D3" w:rsidRPr="0087524C">
        <w:rPr>
          <w:rFonts w:ascii="Arial" w:hAnsi="Arial" w:cs="Arial"/>
          <w:sz w:val="24"/>
          <w:szCs w:val="24"/>
        </w:rPr>
        <w:t>purpose</w:t>
      </w:r>
      <w:r w:rsidR="00982109" w:rsidRPr="0087524C">
        <w:rPr>
          <w:rFonts w:ascii="Arial" w:hAnsi="Arial" w:cs="Arial"/>
          <w:sz w:val="24"/>
          <w:szCs w:val="24"/>
        </w:rPr>
        <w:t xml:space="preserve"> also</w:t>
      </w:r>
      <w:r w:rsidR="00A96753" w:rsidRPr="0087524C">
        <w:rPr>
          <w:rFonts w:ascii="Arial" w:hAnsi="Arial" w:cs="Arial"/>
          <w:sz w:val="24"/>
          <w:szCs w:val="24"/>
        </w:rPr>
        <w:t xml:space="preserve"> (</w:t>
      </w:r>
      <w:proofErr w:type="spellStart"/>
      <w:r w:rsidR="00A96753" w:rsidRPr="0087524C">
        <w:rPr>
          <w:rFonts w:ascii="Arial" w:hAnsi="Arial" w:cs="Arial"/>
          <w:sz w:val="24"/>
          <w:szCs w:val="24"/>
        </w:rPr>
        <w:t>Tohen</w:t>
      </w:r>
      <w:proofErr w:type="spellEnd"/>
      <w:r w:rsidR="00A96753" w:rsidRPr="0087524C">
        <w:rPr>
          <w:rFonts w:ascii="Arial" w:hAnsi="Arial" w:cs="Arial"/>
          <w:sz w:val="24"/>
          <w:szCs w:val="24"/>
        </w:rPr>
        <w:t xml:space="preserve"> et al., 2000).</w:t>
      </w:r>
      <w:r w:rsidR="00C53A27" w:rsidRPr="0087524C">
        <w:rPr>
          <w:rFonts w:ascii="Arial" w:hAnsi="Arial" w:cs="Arial"/>
          <w:sz w:val="24"/>
          <w:szCs w:val="24"/>
        </w:rPr>
        <w:t xml:space="preserve"> In regard to medication to treat manic-depressive bipolar disorder, doctors and psychoanalysts have found it difficult to treat due to its acute and continuously altering </w:t>
      </w:r>
      <w:r w:rsidR="00B27EB0" w:rsidRPr="0087524C">
        <w:rPr>
          <w:rFonts w:ascii="Arial" w:hAnsi="Arial" w:cs="Arial"/>
          <w:sz w:val="24"/>
          <w:szCs w:val="24"/>
        </w:rPr>
        <w:t>symptoms</w:t>
      </w:r>
      <w:r w:rsidR="00C53A27" w:rsidRPr="0087524C">
        <w:rPr>
          <w:rFonts w:ascii="Arial" w:hAnsi="Arial" w:cs="Arial"/>
          <w:sz w:val="24"/>
          <w:szCs w:val="24"/>
        </w:rPr>
        <w:t>. However, numerous pharmaceutical treatments are obtainable and could be modified to the requirements of different patients (</w:t>
      </w:r>
      <w:proofErr w:type="spellStart"/>
      <w:r w:rsidR="00C53A27" w:rsidRPr="0087524C">
        <w:rPr>
          <w:rFonts w:ascii="Arial" w:hAnsi="Arial" w:cs="Arial"/>
          <w:sz w:val="24"/>
          <w:szCs w:val="24"/>
        </w:rPr>
        <w:t>Belmaker</w:t>
      </w:r>
      <w:proofErr w:type="spellEnd"/>
      <w:r w:rsidR="00C53A27" w:rsidRPr="0087524C">
        <w:rPr>
          <w:rFonts w:ascii="Arial" w:hAnsi="Arial" w:cs="Arial"/>
          <w:sz w:val="24"/>
          <w:szCs w:val="24"/>
        </w:rPr>
        <w:t xml:space="preserve">, 2004). The other difficulty is that Bipolar disorder could take years to identify. </w:t>
      </w:r>
      <w:r w:rsidR="00B27EB0" w:rsidRPr="0087524C">
        <w:rPr>
          <w:rFonts w:ascii="Arial" w:hAnsi="Arial" w:cs="Arial"/>
          <w:sz w:val="24"/>
          <w:szCs w:val="24"/>
        </w:rPr>
        <w:t>Also, i</w:t>
      </w:r>
      <w:r w:rsidR="00C53A27" w:rsidRPr="0087524C">
        <w:rPr>
          <w:rFonts w:ascii="Arial" w:hAnsi="Arial" w:cs="Arial"/>
          <w:sz w:val="24"/>
          <w:szCs w:val="24"/>
        </w:rPr>
        <w:t xml:space="preserve">nebriation and narcotic misuse </w:t>
      </w:r>
      <w:r w:rsidR="00B27EB0" w:rsidRPr="0087524C">
        <w:rPr>
          <w:rFonts w:ascii="Arial" w:hAnsi="Arial" w:cs="Arial"/>
          <w:sz w:val="24"/>
          <w:szCs w:val="24"/>
        </w:rPr>
        <w:t>may mask signs whilst exacerbating them.</w:t>
      </w:r>
    </w:p>
    <w:p w14:paraId="5893933E" w14:textId="2EA4000C" w:rsidR="00BC4363" w:rsidRPr="0087524C" w:rsidRDefault="00B27EB0" w:rsidP="00EC7EA9">
      <w:pPr>
        <w:spacing w:line="360" w:lineRule="auto"/>
        <w:rPr>
          <w:rFonts w:ascii="Arial" w:hAnsi="Arial" w:cs="Arial"/>
          <w:sz w:val="24"/>
          <w:szCs w:val="24"/>
        </w:rPr>
      </w:pPr>
      <w:r w:rsidRPr="0087524C">
        <w:rPr>
          <w:rFonts w:ascii="Arial" w:hAnsi="Arial" w:cs="Arial"/>
          <w:sz w:val="24"/>
          <w:szCs w:val="24"/>
        </w:rPr>
        <w:t xml:space="preserve">For several years, lithium was the only recognized pharmaceutical medication for bipolar disorder. Today, many pharmaceutical medicines have become obtainable for numerous stages of the disorder (Jones, et al. 2006). For an individual with acute mania, a doctor may prescribe lithium and a second-generation </w:t>
      </w:r>
      <w:r w:rsidR="007018EA" w:rsidRPr="0087524C">
        <w:rPr>
          <w:rFonts w:ascii="Arial" w:hAnsi="Arial" w:cs="Arial"/>
          <w:sz w:val="24"/>
          <w:szCs w:val="24"/>
        </w:rPr>
        <w:t>neuroleptic drug. For symptoms that are milder, a doctor may prescribe lithium with the temporary addition of a</w:t>
      </w:r>
      <w:r w:rsidR="00BC4363" w:rsidRPr="0087524C">
        <w:rPr>
          <w:rFonts w:ascii="Arial" w:hAnsi="Arial" w:cs="Arial"/>
          <w:sz w:val="24"/>
          <w:szCs w:val="24"/>
        </w:rPr>
        <w:t xml:space="preserve"> </w:t>
      </w:r>
      <w:r w:rsidR="007018EA" w:rsidRPr="0087524C">
        <w:rPr>
          <w:rFonts w:ascii="Arial" w:hAnsi="Arial" w:cs="Arial"/>
          <w:sz w:val="24"/>
          <w:szCs w:val="24"/>
        </w:rPr>
        <w:t>drug</w:t>
      </w:r>
      <w:r w:rsidR="00BC4363" w:rsidRPr="0087524C">
        <w:rPr>
          <w:rFonts w:ascii="Arial" w:hAnsi="Arial" w:cs="Arial"/>
          <w:sz w:val="24"/>
          <w:szCs w:val="24"/>
        </w:rPr>
        <w:t xml:space="preserve"> e.g.</w:t>
      </w:r>
      <w:r w:rsidR="007018EA" w:rsidRPr="0087524C">
        <w:rPr>
          <w:rFonts w:ascii="Arial" w:hAnsi="Arial" w:cs="Arial"/>
          <w:sz w:val="24"/>
          <w:szCs w:val="24"/>
        </w:rPr>
        <w:t xml:space="preserve"> lorazepam (Jones, et al. 2006). Evidence to support the use of lithium in bipolar patients is in a study by </w:t>
      </w:r>
      <w:proofErr w:type="spellStart"/>
      <w:r w:rsidR="005D2FD2" w:rsidRPr="0087524C">
        <w:rPr>
          <w:rFonts w:ascii="Arial" w:hAnsi="Arial" w:cs="Arial"/>
          <w:sz w:val="24"/>
          <w:szCs w:val="24"/>
        </w:rPr>
        <w:t>DeJongh</w:t>
      </w:r>
      <w:proofErr w:type="spellEnd"/>
      <w:r w:rsidR="005D2FD2" w:rsidRPr="0087524C">
        <w:rPr>
          <w:rFonts w:ascii="Arial" w:hAnsi="Arial" w:cs="Arial"/>
          <w:sz w:val="24"/>
          <w:szCs w:val="24"/>
        </w:rPr>
        <w:t xml:space="preserve"> (2012)</w:t>
      </w:r>
      <w:r w:rsidR="007018EA" w:rsidRPr="0087524C">
        <w:rPr>
          <w:rFonts w:ascii="Arial" w:hAnsi="Arial" w:cs="Arial"/>
          <w:sz w:val="24"/>
          <w:szCs w:val="24"/>
        </w:rPr>
        <w:t xml:space="preserve"> who stated that </w:t>
      </w:r>
      <w:r w:rsidR="005D2FD2" w:rsidRPr="0087524C">
        <w:rPr>
          <w:rFonts w:ascii="Arial" w:hAnsi="Arial" w:cs="Arial"/>
          <w:sz w:val="24"/>
          <w:szCs w:val="24"/>
        </w:rPr>
        <w:t xml:space="preserve">Lithium is a validated, primary medication for bipolar disorder. Regardless of contradictory research outcomes, there is a large amount of proof defending the effectiveness of lithium for the treatment of bipolar disorder. </w:t>
      </w:r>
      <w:r w:rsidR="006A33E6" w:rsidRPr="0087524C">
        <w:rPr>
          <w:rFonts w:ascii="Arial" w:hAnsi="Arial" w:cs="Arial"/>
          <w:sz w:val="24"/>
          <w:szCs w:val="24"/>
        </w:rPr>
        <w:t xml:space="preserve">In regard to psychological therapies for </w:t>
      </w:r>
      <w:r w:rsidR="006A33E6" w:rsidRPr="0087524C">
        <w:rPr>
          <w:rFonts w:ascii="Arial" w:hAnsi="Arial" w:cs="Arial"/>
          <w:sz w:val="24"/>
          <w:szCs w:val="24"/>
        </w:rPr>
        <w:lastRenderedPageBreak/>
        <w:t>bipolar disorder, joint pharmacotherapy and psychanalysis is extra efficient in treating patients with bipolar disorder than drugs alone (</w:t>
      </w:r>
      <w:proofErr w:type="spellStart"/>
      <w:r w:rsidR="006A33E6" w:rsidRPr="0087524C">
        <w:rPr>
          <w:rFonts w:ascii="Arial" w:hAnsi="Arial" w:cs="Arial"/>
          <w:sz w:val="24"/>
          <w:szCs w:val="24"/>
        </w:rPr>
        <w:t>Miklowitz</w:t>
      </w:r>
      <w:proofErr w:type="spellEnd"/>
      <w:r w:rsidR="006A33E6" w:rsidRPr="0087524C">
        <w:rPr>
          <w:rFonts w:ascii="Arial" w:hAnsi="Arial" w:cs="Arial"/>
          <w:sz w:val="24"/>
          <w:szCs w:val="24"/>
        </w:rPr>
        <w:t>, 2006). One of the psychological therapies known as cognitive behavioural therapy has been shown to be an efficient treatment possibility but has also shown mixed findings (</w:t>
      </w:r>
      <w:proofErr w:type="spellStart"/>
      <w:r w:rsidR="006A33E6" w:rsidRPr="0087524C">
        <w:rPr>
          <w:rFonts w:ascii="Arial" w:hAnsi="Arial" w:cs="Arial"/>
          <w:sz w:val="24"/>
          <w:szCs w:val="24"/>
        </w:rPr>
        <w:t>Thase</w:t>
      </w:r>
      <w:proofErr w:type="spellEnd"/>
      <w:r w:rsidR="006A33E6" w:rsidRPr="0087524C">
        <w:rPr>
          <w:rFonts w:ascii="Arial" w:hAnsi="Arial" w:cs="Arial"/>
          <w:sz w:val="24"/>
          <w:szCs w:val="24"/>
        </w:rPr>
        <w:t xml:space="preserve"> et al., 2014). However, contradictory to the findings of </w:t>
      </w:r>
      <w:proofErr w:type="spellStart"/>
      <w:r w:rsidR="006A33E6" w:rsidRPr="0087524C">
        <w:rPr>
          <w:rFonts w:ascii="Arial" w:hAnsi="Arial" w:cs="Arial"/>
          <w:sz w:val="24"/>
          <w:szCs w:val="24"/>
        </w:rPr>
        <w:t>Thase</w:t>
      </w:r>
      <w:proofErr w:type="spellEnd"/>
      <w:r w:rsidR="006A33E6" w:rsidRPr="0087524C">
        <w:rPr>
          <w:rFonts w:ascii="Arial" w:hAnsi="Arial" w:cs="Arial"/>
          <w:sz w:val="24"/>
          <w:szCs w:val="24"/>
        </w:rPr>
        <w:t xml:space="preserve"> et al. (2014), the American Psychological Association has described Cognitive behavioural therapy as an effective way to treat the condition when </w:t>
      </w:r>
      <w:r w:rsidR="00B372E4" w:rsidRPr="0087524C">
        <w:rPr>
          <w:rFonts w:ascii="Arial" w:hAnsi="Arial" w:cs="Arial"/>
          <w:sz w:val="24"/>
          <w:szCs w:val="24"/>
        </w:rPr>
        <w:t>adding it to an existing treatment plan (Dauphin, 2019).</w:t>
      </w:r>
    </w:p>
    <w:p w14:paraId="65470BFE" w14:textId="71A40D26" w:rsidR="00BC4363" w:rsidRPr="0087524C" w:rsidRDefault="00BC4363" w:rsidP="00EC7EA9">
      <w:pPr>
        <w:spacing w:line="276" w:lineRule="auto"/>
        <w:rPr>
          <w:rFonts w:ascii="Arial" w:hAnsi="Arial" w:cs="Arial"/>
          <w:color w:val="FF0000"/>
          <w:sz w:val="24"/>
          <w:szCs w:val="24"/>
        </w:rPr>
      </w:pPr>
    </w:p>
    <w:p w14:paraId="3D997100" w14:textId="77DAEE08" w:rsidR="00BC4363" w:rsidRDefault="00BC4363" w:rsidP="00EC7EA9">
      <w:pPr>
        <w:spacing w:line="276" w:lineRule="auto"/>
        <w:rPr>
          <w:rFonts w:ascii="Arial" w:hAnsi="Arial" w:cs="Arial"/>
          <w:color w:val="FF0000"/>
          <w:sz w:val="24"/>
          <w:szCs w:val="24"/>
        </w:rPr>
      </w:pPr>
    </w:p>
    <w:p w14:paraId="24EA90AF" w14:textId="55BD5314" w:rsidR="003F600C" w:rsidRDefault="003F600C" w:rsidP="00EC7EA9">
      <w:pPr>
        <w:spacing w:line="276" w:lineRule="auto"/>
        <w:rPr>
          <w:rFonts w:ascii="Arial" w:hAnsi="Arial" w:cs="Arial"/>
          <w:color w:val="FF0000"/>
          <w:sz w:val="24"/>
          <w:szCs w:val="24"/>
        </w:rPr>
      </w:pPr>
    </w:p>
    <w:p w14:paraId="5B29075F" w14:textId="500CB0EF" w:rsidR="003F600C" w:rsidRDefault="003F600C" w:rsidP="00EC7EA9">
      <w:pPr>
        <w:spacing w:line="276" w:lineRule="auto"/>
        <w:rPr>
          <w:rFonts w:ascii="Arial" w:hAnsi="Arial" w:cs="Arial"/>
          <w:color w:val="FF0000"/>
          <w:sz w:val="24"/>
          <w:szCs w:val="24"/>
        </w:rPr>
      </w:pPr>
    </w:p>
    <w:p w14:paraId="11ECB078" w14:textId="403AB7CC" w:rsidR="003F600C" w:rsidRDefault="003F600C" w:rsidP="00EC7EA9">
      <w:pPr>
        <w:spacing w:line="276" w:lineRule="auto"/>
        <w:rPr>
          <w:rFonts w:ascii="Arial" w:hAnsi="Arial" w:cs="Arial"/>
          <w:color w:val="FF0000"/>
          <w:sz w:val="24"/>
          <w:szCs w:val="24"/>
        </w:rPr>
      </w:pPr>
    </w:p>
    <w:p w14:paraId="27A9DC89" w14:textId="3A7E3BED" w:rsidR="003F600C" w:rsidRDefault="003F600C" w:rsidP="00EC7EA9">
      <w:pPr>
        <w:spacing w:line="276" w:lineRule="auto"/>
        <w:rPr>
          <w:rFonts w:ascii="Arial" w:hAnsi="Arial" w:cs="Arial"/>
          <w:color w:val="FF0000"/>
          <w:sz w:val="24"/>
          <w:szCs w:val="24"/>
        </w:rPr>
      </w:pPr>
    </w:p>
    <w:p w14:paraId="17CDC9DE" w14:textId="4CC60A29" w:rsidR="003F600C" w:rsidRDefault="003F600C" w:rsidP="00EC7EA9">
      <w:pPr>
        <w:spacing w:line="276" w:lineRule="auto"/>
        <w:rPr>
          <w:rFonts w:ascii="Arial" w:hAnsi="Arial" w:cs="Arial"/>
          <w:color w:val="FF0000"/>
          <w:sz w:val="24"/>
          <w:szCs w:val="24"/>
        </w:rPr>
      </w:pPr>
    </w:p>
    <w:p w14:paraId="6480AFCB" w14:textId="37E4E3FA" w:rsidR="003F600C" w:rsidRDefault="003F600C" w:rsidP="00EC7EA9">
      <w:pPr>
        <w:spacing w:line="276" w:lineRule="auto"/>
        <w:rPr>
          <w:rFonts w:ascii="Arial" w:hAnsi="Arial" w:cs="Arial"/>
          <w:color w:val="FF0000"/>
          <w:sz w:val="24"/>
          <w:szCs w:val="24"/>
        </w:rPr>
      </w:pPr>
    </w:p>
    <w:p w14:paraId="630AB081" w14:textId="2C223808" w:rsidR="003F600C" w:rsidRDefault="003F600C" w:rsidP="00EC7EA9">
      <w:pPr>
        <w:spacing w:line="276" w:lineRule="auto"/>
        <w:rPr>
          <w:rFonts w:ascii="Arial" w:hAnsi="Arial" w:cs="Arial"/>
          <w:color w:val="FF0000"/>
          <w:sz w:val="24"/>
          <w:szCs w:val="24"/>
        </w:rPr>
      </w:pPr>
    </w:p>
    <w:p w14:paraId="37CC455A" w14:textId="328D5B3F" w:rsidR="003F600C" w:rsidRDefault="003F600C" w:rsidP="00EC7EA9">
      <w:pPr>
        <w:spacing w:line="276" w:lineRule="auto"/>
        <w:rPr>
          <w:rFonts w:ascii="Arial" w:hAnsi="Arial" w:cs="Arial"/>
          <w:color w:val="FF0000"/>
          <w:sz w:val="24"/>
          <w:szCs w:val="24"/>
        </w:rPr>
      </w:pPr>
    </w:p>
    <w:p w14:paraId="73F259A6" w14:textId="3366265F" w:rsidR="003F600C" w:rsidRDefault="003F600C" w:rsidP="00EC7EA9">
      <w:pPr>
        <w:spacing w:line="276" w:lineRule="auto"/>
        <w:rPr>
          <w:rFonts w:ascii="Arial" w:hAnsi="Arial" w:cs="Arial"/>
          <w:color w:val="FF0000"/>
          <w:sz w:val="24"/>
          <w:szCs w:val="24"/>
        </w:rPr>
      </w:pPr>
    </w:p>
    <w:p w14:paraId="70DAE818" w14:textId="1906DBE7" w:rsidR="003F600C" w:rsidRDefault="003F600C" w:rsidP="00EC7EA9">
      <w:pPr>
        <w:spacing w:line="276" w:lineRule="auto"/>
        <w:rPr>
          <w:rFonts w:ascii="Arial" w:hAnsi="Arial" w:cs="Arial"/>
          <w:color w:val="FF0000"/>
          <w:sz w:val="24"/>
          <w:szCs w:val="24"/>
        </w:rPr>
      </w:pPr>
    </w:p>
    <w:p w14:paraId="372EF812" w14:textId="1FEFAB80" w:rsidR="003F600C" w:rsidRDefault="003F600C" w:rsidP="00EC7EA9">
      <w:pPr>
        <w:spacing w:line="276" w:lineRule="auto"/>
        <w:rPr>
          <w:rFonts w:ascii="Arial" w:hAnsi="Arial" w:cs="Arial"/>
          <w:color w:val="FF0000"/>
          <w:sz w:val="24"/>
          <w:szCs w:val="24"/>
        </w:rPr>
      </w:pPr>
    </w:p>
    <w:p w14:paraId="489302A0" w14:textId="4AD885A6" w:rsidR="003F600C" w:rsidRDefault="003F600C" w:rsidP="00EC7EA9">
      <w:pPr>
        <w:spacing w:line="276" w:lineRule="auto"/>
        <w:rPr>
          <w:rFonts w:ascii="Arial" w:hAnsi="Arial" w:cs="Arial"/>
          <w:color w:val="FF0000"/>
          <w:sz w:val="24"/>
          <w:szCs w:val="24"/>
        </w:rPr>
      </w:pPr>
    </w:p>
    <w:p w14:paraId="6F8BFCC1" w14:textId="686C74F1" w:rsidR="003F600C" w:rsidRDefault="003F600C" w:rsidP="00EC7EA9">
      <w:pPr>
        <w:spacing w:line="276" w:lineRule="auto"/>
        <w:rPr>
          <w:rFonts w:ascii="Arial" w:hAnsi="Arial" w:cs="Arial"/>
          <w:color w:val="FF0000"/>
          <w:sz w:val="24"/>
          <w:szCs w:val="24"/>
        </w:rPr>
      </w:pPr>
    </w:p>
    <w:p w14:paraId="23CF3312" w14:textId="5EE6F422" w:rsidR="003F600C" w:rsidRDefault="003F600C" w:rsidP="00EC7EA9">
      <w:pPr>
        <w:spacing w:line="276" w:lineRule="auto"/>
        <w:rPr>
          <w:rFonts w:ascii="Arial" w:hAnsi="Arial" w:cs="Arial"/>
          <w:color w:val="FF0000"/>
          <w:sz w:val="24"/>
          <w:szCs w:val="24"/>
        </w:rPr>
      </w:pPr>
    </w:p>
    <w:p w14:paraId="5D3097D6" w14:textId="2C3DE4A1" w:rsidR="003F600C" w:rsidRDefault="003F600C" w:rsidP="00EC7EA9">
      <w:pPr>
        <w:spacing w:line="276" w:lineRule="auto"/>
        <w:rPr>
          <w:rFonts w:ascii="Arial" w:hAnsi="Arial" w:cs="Arial"/>
          <w:color w:val="FF0000"/>
          <w:sz w:val="24"/>
          <w:szCs w:val="24"/>
        </w:rPr>
      </w:pPr>
    </w:p>
    <w:p w14:paraId="5D78BFF1" w14:textId="7C685704" w:rsidR="003F600C" w:rsidRDefault="003F600C" w:rsidP="00EC7EA9">
      <w:pPr>
        <w:spacing w:line="276" w:lineRule="auto"/>
        <w:rPr>
          <w:rFonts w:ascii="Arial" w:hAnsi="Arial" w:cs="Arial"/>
          <w:color w:val="FF0000"/>
          <w:sz w:val="24"/>
          <w:szCs w:val="24"/>
        </w:rPr>
      </w:pPr>
    </w:p>
    <w:p w14:paraId="49DF25D2" w14:textId="10BABC63" w:rsidR="003F600C" w:rsidRDefault="003F600C" w:rsidP="00EC7EA9">
      <w:pPr>
        <w:spacing w:line="276" w:lineRule="auto"/>
        <w:rPr>
          <w:rFonts w:ascii="Arial" w:hAnsi="Arial" w:cs="Arial"/>
          <w:color w:val="FF0000"/>
          <w:sz w:val="24"/>
          <w:szCs w:val="24"/>
        </w:rPr>
      </w:pPr>
    </w:p>
    <w:p w14:paraId="66D9E64C" w14:textId="5064E4A0" w:rsidR="003F600C" w:rsidRDefault="003F600C" w:rsidP="00EC7EA9">
      <w:pPr>
        <w:spacing w:line="276" w:lineRule="auto"/>
        <w:rPr>
          <w:rFonts w:ascii="Arial" w:hAnsi="Arial" w:cs="Arial"/>
          <w:color w:val="FF0000"/>
          <w:sz w:val="24"/>
          <w:szCs w:val="24"/>
        </w:rPr>
      </w:pPr>
    </w:p>
    <w:p w14:paraId="49A3A0FF" w14:textId="25642C6E" w:rsidR="003F600C" w:rsidRDefault="003F600C" w:rsidP="00EC7EA9">
      <w:pPr>
        <w:spacing w:line="276" w:lineRule="auto"/>
        <w:rPr>
          <w:rFonts w:ascii="Arial" w:hAnsi="Arial" w:cs="Arial"/>
          <w:color w:val="FF0000"/>
          <w:sz w:val="24"/>
          <w:szCs w:val="24"/>
        </w:rPr>
      </w:pPr>
    </w:p>
    <w:p w14:paraId="4E67F3F9" w14:textId="77777777" w:rsidR="003F600C" w:rsidRPr="0087524C" w:rsidRDefault="003F600C" w:rsidP="00EC7EA9">
      <w:pPr>
        <w:spacing w:line="276" w:lineRule="auto"/>
        <w:rPr>
          <w:rFonts w:ascii="Arial" w:hAnsi="Arial" w:cs="Arial"/>
          <w:color w:val="FF0000"/>
          <w:sz w:val="24"/>
          <w:szCs w:val="24"/>
        </w:rPr>
      </w:pPr>
    </w:p>
    <w:p w14:paraId="304DABC6" w14:textId="74FC2F22" w:rsidR="00B372E4" w:rsidRPr="003F600C" w:rsidRDefault="00B372E4" w:rsidP="00EC7EA9">
      <w:pPr>
        <w:spacing w:line="276" w:lineRule="auto"/>
        <w:rPr>
          <w:rFonts w:ascii="Arial" w:hAnsi="Arial" w:cs="Arial"/>
          <w:b/>
          <w:bCs/>
          <w:sz w:val="24"/>
          <w:szCs w:val="24"/>
          <w:u w:val="single"/>
        </w:rPr>
      </w:pPr>
      <w:r w:rsidRPr="003F600C">
        <w:rPr>
          <w:rFonts w:ascii="Arial" w:hAnsi="Arial" w:cs="Arial"/>
          <w:b/>
          <w:bCs/>
          <w:sz w:val="24"/>
          <w:szCs w:val="24"/>
          <w:u w:val="single"/>
        </w:rPr>
        <w:lastRenderedPageBreak/>
        <w:t>Q2. Critically evaluate biological and environmental explanations for anxiety disorders.</w:t>
      </w:r>
    </w:p>
    <w:p w14:paraId="09A91C59" w14:textId="77777777" w:rsidR="00381AC1" w:rsidRPr="0087524C" w:rsidRDefault="00381AC1" w:rsidP="00EC7EA9">
      <w:pPr>
        <w:spacing w:line="276" w:lineRule="auto"/>
        <w:rPr>
          <w:rFonts w:ascii="Arial" w:hAnsi="Arial" w:cs="Arial"/>
          <w:sz w:val="24"/>
          <w:szCs w:val="24"/>
          <w:u w:val="single"/>
        </w:rPr>
      </w:pPr>
    </w:p>
    <w:p w14:paraId="41EC7D3C" w14:textId="0D695B77" w:rsidR="00682AC9" w:rsidRPr="0087524C" w:rsidRDefault="00682AC9" w:rsidP="00EC7EA9">
      <w:pPr>
        <w:spacing w:line="360" w:lineRule="auto"/>
        <w:rPr>
          <w:rFonts w:ascii="Arial" w:hAnsi="Arial" w:cs="Arial"/>
          <w:sz w:val="24"/>
          <w:szCs w:val="24"/>
        </w:rPr>
      </w:pPr>
      <w:r w:rsidRPr="0087524C">
        <w:rPr>
          <w:rFonts w:ascii="Arial" w:hAnsi="Arial" w:cs="Arial"/>
          <w:sz w:val="24"/>
          <w:szCs w:val="24"/>
        </w:rPr>
        <w:t xml:space="preserve">According to </w:t>
      </w:r>
      <w:proofErr w:type="spellStart"/>
      <w:r w:rsidRPr="0087524C">
        <w:rPr>
          <w:rFonts w:ascii="Arial" w:hAnsi="Arial" w:cs="Arial"/>
          <w:sz w:val="24"/>
          <w:szCs w:val="24"/>
        </w:rPr>
        <w:t>Wittchen</w:t>
      </w:r>
      <w:proofErr w:type="spellEnd"/>
      <w:r w:rsidRPr="0087524C">
        <w:rPr>
          <w:rFonts w:ascii="Arial" w:hAnsi="Arial" w:cs="Arial"/>
          <w:sz w:val="24"/>
          <w:szCs w:val="24"/>
        </w:rPr>
        <w:t xml:space="preserve"> et al. (2005), Generalised anxiety disorder is an acute psychological illness which has been shown to effect up to 6% of people throughout their lifetime. If the condition is not treated appropriately, it has a long-lasting progression of disability. Its appearance is complex by the comorbidity with other psychological illnesses such as major depressive disorder and inebriation and narcotic abuse (Nutt, 2006), which furthermore worsens consequences and </w:t>
      </w:r>
      <w:r w:rsidR="007A74CE" w:rsidRPr="0087524C">
        <w:rPr>
          <w:rFonts w:ascii="Arial" w:hAnsi="Arial" w:cs="Arial"/>
          <w:sz w:val="24"/>
          <w:szCs w:val="24"/>
        </w:rPr>
        <w:t>impacts upon</w:t>
      </w:r>
      <w:r w:rsidRPr="0087524C">
        <w:rPr>
          <w:rFonts w:ascii="Arial" w:hAnsi="Arial" w:cs="Arial"/>
          <w:sz w:val="24"/>
          <w:szCs w:val="24"/>
        </w:rPr>
        <w:t xml:space="preserve"> </w:t>
      </w:r>
      <w:r w:rsidR="007A74CE" w:rsidRPr="0087524C">
        <w:rPr>
          <w:rFonts w:ascii="Arial" w:hAnsi="Arial" w:cs="Arial"/>
          <w:sz w:val="24"/>
          <w:szCs w:val="24"/>
        </w:rPr>
        <w:t>reduced</w:t>
      </w:r>
      <w:r w:rsidRPr="0087524C">
        <w:rPr>
          <w:rFonts w:ascii="Arial" w:hAnsi="Arial" w:cs="Arial"/>
          <w:sz w:val="24"/>
          <w:szCs w:val="24"/>
        </w:rPr>
        <w:t xml:space="preserve"> treatment response. </w:t>
      </w:r>
    </w:p>
    <w:p w14:paraId="48659F36" w14:textId="334FE0BD" w:rsidR="00B013F4" w:rsidRPr="0087524C" w:rsidRDefault="00BC4363" w:rsidP="00EC7EA9">
      <w:pPr>
        <w:spacing w:line="360" w:lineRule="auto"/>
        <w:rPr>
          <w:rFonts w:ascii="Arial" w:hAnsi="Arial" w:cs="Arial"/>
          <w:sz w:val="24"/>
          <w:szCs w:val="24"/>
        </w:rPr>
      </w:pPr>
      <w:r w:rsidRPr="0087524C">
        <w:rPr>
          <w:rFonts w:ascii="Arial" w:hAnsi="Arial" w:cs="Arial"/>
          <w:sz w:val="24"/>
          <w:szCs w:val="24"/>
        </w:rPr>
        <w:t xml:space="preserve">According to </w:t>
      </w:r>
      <w:proofErr w:type="spellStart"/>
      <w:r w:rsidR="006465AC" w:rsidRPr="0087524C">
        <w:rPr>
          <w:rFonts w:ascii="Arial" w:hAnsi="Arial" w:cs="Arial"/>
          <w:sz w:val="24"/>
          <w:szCs w:val="24"/>
        </w:rPr>
        <w:t>Jacofsky</w:t>
      </w:r>
      <w:proofErr w:type="spellEnd"/>
      <w:r w:rsidR="006465AC" w:rsidRPr="0087524C">
        <w:rPr>
          <w:rFonts w:ascii="Arial" w:hAnsi="Arial" w:cs="Arial"/>
          <w:sz w:val="24"/>
          <w:szCs w:val="24"/>
        </w:rPr>
        <w:t xml:space="preserve"> et al. (2013),</w:t>
      </w:r>
      <w:r w:rsidRPr="0087524C">
        <w:rPr>
          <w:rFonts w:ascii="Arial" w:hAnsi="Arial" w:cs="Arial"/>
          <w:sz w:val="24"/>
          <w:szCs w:val="24"/>
        </w:rPr>
        <w:t xml:space="preserve"> when a child is born, there are noticeable temperamental changes. These differences seem to be a role of genetics. Certain infants are shown to be a lot more susceptible to stimulus and stress than other infants and these differences persist as the infant grows up. </w:t>
      </w:r>
      <w:r w:rsidR="00B013F4" w:rsidRPr="0087524C">
        <w:rPr>
          <w:rFonts w:ascii="Arial" w:hAnsi="Arial" w:cs="Arial"/>
          <w:sz w:val="24"/>
          <w:szCs w:val="24"/>
        </w:rPr>
        <w:t xml:space="preserve">Individuals who are born with these over-sensitive personalities are believed to be extra vulnerable for acquiring anxiety disorders </w:t>
      </w:r>
      <w:r w:rsidR="006465AC" w:rsidRPr="0087524C">
        <w:rPr>
          <w:rFonts w:ascii="Arial" w:hAnsi="Arial" w:cs="Arial"/>
          <w:sz w:val="24"/>
          <w:szCs w:val="24"/>
        </w:rPr>
        <w:t>in later life</w:t>
      </w:r>
      <w:r w:rsidR="00B013F4" w:rsidRPr="0087524C">
        <w:rPr>
          <w:rFonts w:ascii="Arial" w:hAnsi="Arial" w:cs="Arial"/>
          <w:sz w:val="24"/>
          <w:szCs w:val="24"/>
        </w:rPr>
        <w:t xml:space="preserve"> due to their nervous system being more easily aroused</w:t>
      </w:r>
      <w:r w:rsidR="006465AC" w:rsidRPr="0087524C">
        <w:rPr>
          <w:rFonts w:ascii="Arial" w:hAnsi="Arial" w:cs="Arial"/>
          <w:sz w:val="24"/>
          <w:szCs w:val="24"/>
        </w:rPr>
        <w:t xml:space="preserve"> (</w:t>
      </w:r>
      <w:proofErr w:type="spellStart"/>
      <w:r w:rsidR="006465AC" w:rsidRPr="0087524C">
        <w:rPr>
          <w:rFonts w:ascii="Arial" w:hAnsi="Arial" w:cs="Arial"/>
          <w:sz w:val="24"/>
          <w:szCs w:val="24"/>
        </w:rPr>
        <w:t>Jacofsky</w:t>
      </w:r>
      <w:proofErr w:type="spellEnd"/>
      <w:r w:rsidR="006465AC" w:rsidRPr="0087524C">
        <w:rPr>
          <w:rFonts w:ascii="Arial" w:hAnsi="Arial" w:cs="Arial"/>
          <w:sz w:val="24"/>
          <w:szCs w:val="24"/>
        </w:rPr>
        <w:t xml:space="preserve"> et al., 2013).</w:t>
      </w:r>
    </w:p>
    <w:p w14:paraId="1BCA276A" w14:textId="77777777" w:rsidR="00882CB8" w:rsidRPr="0087524C" w:rsidRDefault="006465AC" w:rsidP="00EC7EA9">
      <w:pPr>
        <w:spacing w:line="360" w:lineRule="auto"/>
        <w:rPr>
          <w:rFonts w:ascii="Arial" w:hAnsi="Arial" w:cs="Arial"/>
          <w:sz w:val="24"/>
          <w:szCs w:val="24"/>
        </w:rPr>
      </w:pPr>
      <w:r w:rsidRPr="0087524C">
        <w:rPr>
          <w:rFonts w:ascii="Arial" w:hAnsi="Arial" w:cs="Arial"/>
          <w:sz w:val="24"/>
          <w:szCs w:val="24"/>
        </w:rPr>
        <w:t>According to Newman (2016),</w:t>
      </w:r>
      <w:r w:rsidR="0030010B" w:rsidRPr="0087524C">
        <w:rPr>
          <w:rFonts w:ascii="Arial" w:hAnsi="Arial" w:cs="Arial"/>
          <w:sz w:val="24"/>
          <w:szCs w:val="24"/>
        </w:rPr>
        <w:t xml:space="preserve"> previous evidence has </w:t>
      </w:r>
      <w:r w:rsidR="00405A87" w:rsidRPr="0087524C">
        <w:rPr>
          <w:rFonts w:ascii="Arial" w:hAnsi="Arial" w:cs="Arial"/>
          <w:sz w:val="24"/>
          <w:szCs w:val="24"/>
        </w:rPr>
        <w:t>revealed</w:t>
      </w:r>
      <w:r w:rsidR="0030010B" w:rsidRPr="0087524C">
        <w:rPr>
          <w:rFonts w:ascii="Arial" w:hAnsi="Arial" w:cs="Arial"/>
          <w:sz w:val="24"/>
          <w:szCs w:val="24"/>
        </w:rPr>
        <w:t xml:space="preserve"> </w:t>
      </w:r>
      <w:r w:rsidR="00405A87" w:rsidRPr="0087524C">
        <w:rPr>
          <w:rFonts w:ascii="Arial" w:hAnsi="Arial" w:cs="Arial"/>
          <w:sz w:val="24"/>
          <w:szCs w:val="24"/>
        </w:rPr>
        <w:t xml:space="preserve">that numerous aspects normally occur that influence the advancement of generalised anxiety disorder. Certain factors include hereditary susceptibility, </w:t>
      </w:r>
      <w:r w:rsidR="00095841" w:rsidRPr="0087524C">
        <w:rPr>
          <w:rFonts w:ascii="Arial" w:hAnsi="Arial" w:cs="Arial"/>
          <w:sz w:val="24"/>
          <w:szCs w:val="24"/>
        </w:rPr>
        <w:t xml:space="preserve">upbringing, social pressure and life events. Genetics has also been shown to determine whether an individual will develop generalised anxiety disorder or not. This is similar to other psychological well-being conditions; individuals may be hereditarily susceptible for developing specific indications (Newman, 2016). </w:t>
      </w:r>
      <w:r w:rsidR="00882CB8" w:rsidRPr="0087524C">
        <w:rPr>
          <w:rFonts w:ascii="Arial" w:hAnsi="Arial" w:cs="Arial"/>
          <w:sz w:val="24"/>
          <w:szCs w:val="24"/>
        </w:rPr>
        <w:t xml:space="preserve"> </w:t>
      </w:r>
    </w:p>
    <w:p w14:paraId="44357804" w14:textId="5ED6C786" w:rsidR="00682AC9" w:rsidRPr="0087524C" w:rsidRDefault="00095841" w:rsidP="00EC7EA9">
      <w:pPr>
        <w:spacing w:line="360" w:lineRule="auto"/>
        <w:rPr>
          <w:rFonts w:ascii="Arial" w:hAnsi="Arial" w:cs="Arial"/>
          <w:sz w:val="24"/>
          <w:szCs w:val="24"/>
        </w:rPr>
      </w:pPr>
      <w:r w:rsidRPr="0087524C">
        <w:rPr>
          <w:rFonts w:ascii="Arial" w:hAnsi="Arial" w:cs="Arial"/>
          <w:sz w:val="24"/>
          <w:szCs w:val="24"/>
        </w:rPr>
        <w:t xml:space="preserve">Evidence has shown that the limbic system is implicated in the </w:t>
      </w:r>
      <w:r w:rsidR="00882CB8" w:rsidRPr="0087524C">
        <w:rPr>
          <w:rFonts w:ascii="Arial" w:hAnsi="Arial" w:cs="Arial"/>
          <w:sz w:val="24"/>
          <w:szCs w:val="24"/>
        </w:rPr>
        <w:t xml:space="preserve">control </w:t>
      </w:r>
      <w:r w:rsidRPr="0087524C">
        <w:rPr>
          <w:rFonts w:ascii="Arial" w:hAnsi="Arial" w:cs="Arial"/>
          <w:sz w:val="24"/>
          <w:szCs w:val="24"/>
        </w:rPr>
        <w:t xml:space="preserve">of </w:t>
      </w:r>
      <w:r w:rsidR="00882CB8" w:rsidRPr="0087524C">
        <w:rPr>
          <w:rFonts w:ascii="Arial" w:hAnsi="Arial" w:cs="Arial"/>
          <w:sz w:val="24"/>
          <w:szCs w:val="24"/>
        </w:rPr>
        <w:t>several</w:t>
      </w:r>
      <w:r w:rsidRPr="0087524C">
        <w:rPr>
          <w:rFonts w:ascii="Arial" w:hAnsi="Arial" w:cs="Arial"/>
          <w:sz w:val="24"/>
          <w:szCs w:val="24"/>
        </w:rPr>
        <w:t xml:space="preserve"> basic </w:t>
      </w:r>
      <w:r w:rsidR="00882CB8" w:rsidRPr="0087524C">
        <w:rPr>
          <w:rFonts w:ascii="Arial" w:hAnsi="Arial" w:cs="Arial"/>
          <w:sz w:val="24"/>
          <w:szCs w:val="24"/>
        </w:rPr>
        <w:t>emotive</w:t>
      </w:r>
      <w:r w:rsidRPr="0087524C">
        <w:rPr>
          <w:rFonts w:ascii="Arial" w:hAnsi="Arial" w:cs="Arial"/>
          <w:sz w:val="24"/>
          <w:szCs w:val="24"/>
        </w:rPr>
        <w:t xml:space="preserve"> </w:t>
      </w:r>
      <w:r w:rsidR="00882CB8" w:rsidRPr="0087524C">
        <w:rPr>
          <w:rFonts w:ascii="Arial" w:hAnsi="Arial" w:cs="Arial"/>
          <w:sz w:val="24"/>
          <w:szCs w:val="24"/>
        </w:rPr>
        <w:t>responses</w:t>
      </w:r>
      <w:r w:rsidRPr="0087524C">
        <w:rPr>
          <w:rFonts w:ascii="Arial" w:hAnsi="Arial" w:cs="Arial"/>
          <w:sz w:val="24"/>
          <w:szCs w:val="24"/>
        </w:rPr>
        <w:t xml:space="preserve">. </w:t>
      </w:r>
      <w:r w:rsidR="00882CB8" w:rsidRPr="0087524C">
        <w:rPr>
          <w:rFonts w:ascii="Arial" w:hAnsi="Arial" w:cs="Arial"/>
          <w:sz w:val="24"/>
          <w:szCs w:val="24"/>
        </w:rPr>
        <w:t xml:space="preserve">While it is normally influenced by the part of the brain responsible for generating thoughts, it can also react to stimuli by itself as well. Also, the amygdala is the fragment of the limbic system implicated in the involuntary fear reaction, in addition to the integration of memory and emotion (Newman, 2016). </w:t>
      </w:r>
      <w:r w:rsidR="00682AC9" w:rsidRPr="0087524C">
        <w:rPr>
          <w:rFonts w:ascii="Arial" w:hAnsi="Arial" w:cs="Arial"/>
          <w:sz w:val="24"/>
          <w:szCs w:val="24"/>
        </w:rPr>
        <w:t>I</w:t>
      </w:r>
      <w:r w:rsidR="00682AC9" w:rsidRPr="0087524C">
        <w:rPr>
          <w:rFonts w:ascii="Arial" w:hAnsi="Arial" w:cs="Arial"/>
          <w:sz w:val="24"/>
          <w:szCs w:val="24"/>
        </w:rPr>
        <w:t xml:space="preserve">t is understood that some of the symptoms of generalised anxiety disorder are created by an imbalance of certain neurotransmitters. The neurotransmitter that is normally linked with apprehension is serotonin. Researchers believe that individuals who </w:t>
      </w:r>
      <w:r w:rsidR="00682AC9" w:rsidRPr="0087524C">
        <w:rPr>
          <w:rFonts w:ascii="Arial" w:hAnsi="Arial" w:cs="Arial"/>
          <w:sz w:val="24"/>
          <w:szCs w:val="24"/>
        </w:rPr>
        <w:lastRenderedPageBreak/>
        <w:t>experience generalised anxiety disorders have reduced amounts of serotonin (</w:t>
      </w:r>
      <w:proofErr w:type="spellStart"/>
      <w:r w:rsidR="00682AC9" w:rsidRPr="0087524C">
        <w:rPr>
          <w:rFonts w:ascii="Arial" w:hAnsi="Arial" w:cs="Arial"/>
          <w:sz w:val="24"/>
          <w:szCs w:val="24"/>
        </w:rPr>
        <w:t>Jacofsky</w:t>
      </w:r>
      <w:proofErr w:type="spellEnd"/>
      <w:r w:rsidR="00682AC9" w:rsidRPr="0087524C">
        <w:rPr>
          <w:rFonts w:ascii="Arial" w:hAnsi="Arial" w:cs="Arial"/>
          <w:sz w:val="24"/>
          <w:szCs w:val="24"/>
        </w:rPr>
        <w:t xml:space="preserve"> et al., 2013).</w:t>
      </w:r>
    </w:p>
    <w:p w14:paraId="6F716A1F" w14:textId="0A4277A5" w:rsidR="007A74CE" w:rsidRPr="0087524C" w:rsidRDefault="007A74CE" w:rsidP="00EC7EA9">
      <w:pPr>
        <w:spacing w:line="360" w:lineRule="auto"/>
        <w:rPr>
          <w:rFonts w:ascii="Arial" w:hAnsi="Arial" w:cs="Arial"/>
          <w:sz w:val="24"/>
          <w:szCs w:val="24"/>
        </w:rPr>
      </w:pPr>
      <w:r w:rsidRPr="0087524C">
        <w:rPr>
          <w:rFonts w:ascii="Arial" w:hAnsi="Arial" w:cs="Arial"/>
          <w:sz w:val="24"/>
          <w:szCs w:val="24"/>
        </w:rPr>
        <w:t>Previous research has discovered valuable evidence that generalised anxiety disorder is characterised by noteworthy functional variations in the brain, mainly within areas associated with anxiety. For instance, enlarged grey matter volume in the amygdala was formerly found in generalised anxiety patients (</w:t>
      </w:r>
      <w:proofErr w:type="spellStart"/>
      <w:r w:rsidRPr="0087524C">
        <w:rPr>
          <w:rFonts w:ascii="Arial" w:hAnsi="Arial" w:cs="Arial"/>
          <w:sz w:val="24"/>
          <w:szCs w:val="24"/>
        </w:rPr>
        <w:t>Etkin</w:t>
      </w:r>
      <w:proofErr w:type="spellEnd"/>
      <w:r w:rsidRPr="0087524C">
        <w:rPr>
          <w:rFonts w:ascii="Arial" w:hAnsi="Arial" w:cs="Arial"/>
          <w:sz w:val="24"/>
          <w:szCs w:val="24"/>
        </w:rPr>
        <w:t xml:space="preserve"> et al., 2009). Particularly,</w:t>
      </w:r>
      <w:r w:rsidR="002075BC" w:rsidRPr="0087524C">
        <w:rPr>
          <w:rFonts w:ascii="Arial" w:hAnsi="Arial" w:cs="Arial"/>
          <w:sz w:val="24"/>
          <w:szCs w:val="24"/>
        </w:rPr>
        <w:t xml:space="preserve"> in a study by </w:t>
      </w:r>
      <w:proofErr w:type="spellStart"/>
      <w:r w:rsidR="00381AC1" w:rsidRPr="0087524C">
        <w:rPr>
          <w:rFonts w:ascii="Arial" w:hAnsi="Arial" w:cs="Arial"/>
          <w:sz w:val="24"/>
          <w:szCs w:val="24"/>
        </w:rPr>
        <w:t>Makovac</w:t>
      </w:r>
      <w:proofErr w:type="spellEnd"/>
      <w:r w:rsidR="00381AC1" w:rsidRPr="0087524C">
        <w:rPr>
          <w:rFonts w:ascii="Arial" w:hAnsi="Arial" w:cs="Arial"/>
          <w:sz w:val="24"/>
          <w:szCs w:val="24"/>
        </w:rPr>
        <w:t xml:space="preserve"> (</w:t>
      </w:r>
      <w:r w:rsidR="00381AC1" w:rsidRPr="0087524C">
        <w:rPr>
          <w:rFonts w:ascii="Arial" w:hAnsi="Arial" w:cs="Arial"/>
          <w:sz w:val="24"/>
          <w:szCs w:val="24"/>
        </w:rPr>
        <w:t>2015)</w:t>
      </w:r>
      <w:r w:rsidR="00381AC1" w:rsidRPr="0087524C">
        <w:rPr>
          <w:rFonts w:ascii="Arial" w:hAnsi="Arial" w:cs="Arial"/>
          <w:sz w:val="24"/>
          <w:szCs w:val="24"/>
        </w:rPr>
        <w:t xml:space="preserve">, </w:t>
      </w:r>
      <w:r w:rsidRPr="0087524C">
        <w:rPr>
          <w:rFonts w:ascii="Arial" w:hAnsi="Arial" w:cs="Arial"/>
          <w:sz w:val="24"/>
          <w:szCs w:val="24"/>
        </w:rPr>
        <w:t xml:space="preserve">increased </w:t>
      </w:r>
      <w:r w:rsidR="002075BC" w:rsidRPr="0087524C">
        <w:rPr>
          <w:rFonts w:ascii="Arial" w:hAnsi="Arial" w:cs="Arial"/>
          <w:sz w:val="24"/>
          <w:szCs w:val="24"/>
        </w:rPr>
        <w:t>volume on the right side of the amygdala in females who experience generalised anxiety disorder were linked to extended response periods on the tracking task, signifying attentional damage (</w:t>
      </w:r>
      <w:proofErr w:type="spellStart"/>
      <w:r w:rsidR="002075BC" w:rsidRPr="0087524C">
        <w:rPr>
          <w:rFonts w:ascii="Arial" w:hAnsi="Arial" w:cs="Arial"/>
          <w:sz w:val="24"/>
          <w:szCs w:val="24"/>
        </w:rPr>
        <w:t>Makovac</w:t>
      </w:r>
      <w:proofErr w:type="spellEnd"/>
      <w:r w:rsidR="002075BC" w:rsidRPr="0087524C">
        <w:rPr>
          <w:rFonts w:ascii="Arial" w:hAnsi="Arial" w:cs="Arial"/>
          <w:sz w:val="24"/>
          <w:szCs w:val="24"/>
        </w:rPr>
        <w:t xml:space="preserve">, 2015). This suggests that this attentional damage in specific areas of the brain related to anxiety may be connected to gender predisposition for generalised anxiety disorder. On the other hand, grey matter volume in the right putamen was significantly bigger in generalised anxiety disorder patients than in individuals who were relatively healthy, while a noteworthy gender outcome was discovered in the left latter Cingular cortex, with grey matter volumes bigger in men than in women. However, no gender interaction effect was discovered, suggesting that grey matter volume in patients with generalised anxiety disorder is not influenced by gender. </w:t>
      </w:r>
    </w:p>
    <w:p w14:paraId="3FB74303" w14:textId="6114C5FC" w:rsidR="009A75C8" w:rsidRPr="0087524C" w:rsidRDefault="00882CB8" w:rsidP="00EC7EA9">
      <w:pPr>
        <w:spacing w:line="360" w:lineRule="auto"/>
        <w:rPr>
          <w:rFonts w:ascii="Arial" w:hAnsi="Arial" w:cs="Arial"/>
          <w:sz w:val="24"/>
          <w:szCs w:val="24"/>
        </w:rPr>
      </w:pPr>
      <w:r w:rsidRPr="0087524C">
        <w:rPr>
          <w:rFonts w:ascii="Arial" w:hAnsi="Arial" w:cs="Arial"/>
          <w:sz w:val="24"/>
          <w:szCs w:val="24"/>
        </w:rPr>
        <w:t xml:space="preserve">In addition, research has shown that </w:t>
      </w:r>
      <w:r w:rsidR="009530A7" w:rsidRPr="0087524C">
        <w:rPr>
          <w:rFonts w:ascii="Arial" w:hAnsi="Arial" w:cs="Arial"/>
          <w:sz w:val="24"/>
          <w:szCs w:val="24"/>
        </w:rPr>
        <w:t>juvenile</w:t>
      </w:r>
      <w:r w:rsidRPr="0087524C">
        <w:rPr>
          <w:rFonts w:ascii="Arial" w:hAnsi="Arial" w:cs="Arial"/>
          <w:sz w:val="24"/>
          <w:szCs w:val="24"/>
        </w:rPr>
        <w:t xml:space="preserve"> trauma can increase the risk of developing generalised anxiety disorder. </w:t>
      </w:r>
      <w:r w:rsidR="009530A7" w:rsidRPr="0087524C">
        <w:rPr>
          <w:rFonts w:ascii="Arial" w:hAnsi="Arial" w:cs="Arial"/>
          <w:sz w:val="24"/>
          <w:szCs w:val="24"/>
        </w:rPr>
        <w:t>Contributing factors are things like; bodily harm, psychological abuse, abandonment, separation or seclusion (Fryers, 2013).</w:t>
      </w:r>
      <w:r w:rsidR="00381AC1" w:rsidRPr="0087524C">
        <w:rPr>
          <w:rFonts w:ascii="Arial" w:hAnsi="Arial" w:cs="Arial"/>
          <w:sz w:val="24"/>
          <w:szCs w:val="24"/>
        </w:rPr>
        <w:t xml:space="preserve"> Nevertheless</w:t>
      </w:r>
      <w:r w:rsidR="009530A7" w:rsidRPr="0087524C">
        <w:rPr>
          <w:rFonts w:ascii="Arial" w:hAnsi="Arial" w:cs="Arial"/>
          <w:sz w:val="24"/>
          <w:szCs w:val="24"/>
        </w:rPr>
        <w:t xml:space="preserve">, </w:t>
      </w:r>
      <w:r w:rsidR="009A75C8" w:rsidRPr="0087524C">
        <w:rPr>
          <w:rFonts w:ascii="Arial" w:hAnsi="Arial" w:cs="Arial"/>
          <w:sz w:val="24"/>
          <w:szCs w:val="24"/>
        </w:rPr>
        <w:t xml:space="preserve">in a research study by </w:t>
      </w:r>
      <w:r w:rsidR="009A75C8" w:rsidRPr="0087524C">
        <w:rPr>
          <w:rFonts w:ascii="Arial" w:hAnsi="Arial" w:cs="Arial"/>
          <w:sz w:val="24"/>
          <w:szCs w:val="24"/>
        </w:rPr>
        <w:t>Klonsky</w:t>
      </w:r>
      <w:r w:rsidR="009A75C8" w:rsidRPr="0087524C">
        <w:rPr>
          <w:rFonts w:ascii="Arial" w:hAnsi="Arial" w:cs="Arial"/>
          <w:sz w:val="24"/>
          <w:szCs w:val="24"/>
        </w:rPr>
        <w:t xml:space="preserve"> et al., (1</w:t>
      </w:r>
      <w:r w:rsidR="009A75C8" w:rsidRPr="0087524C">
        <w:rPr>
          <w:rFonts w:ascii="Arial" w:hAnsi="Arial" w:cs="Arial"/>
          <w:sz w:val="24"/>
          <w:szCs w:val="24"/>
        </w:rPr>
        <w:t>990)</w:t>
      </w:r>
      <w:r w:rsidR="009A75C8" w:rsidRPr="0087524C">
        <w:rPr>
          <w:rFonts w:ascii="Arial" w:hAnsi="Arial" w:cs="Arial"/>
          <w:sz w:val="24"/>
          <w:szCs w:val="24"/>
        </w:rPr>
        <w:t>, they support Fryers (2013) notion by stating that bodily and psychological abuse, negligence and emotive denial are important factors in the development of generalised anxiety disorder. For example, in an experiment conducted by Klonsky (1990), women who had experienced these contributing factors had reported higher levels of anxiety compared to women who do not experience these contributing factors</w:t>
      </w:r>
      <w:r w:rsidR="002075BC" w:rsidRPr="0087524C">
        <w:rPr>
          <w:rFonts w:ascii="Arial" w:hAnsi="Arial" w:cs="Arial"/>
          <w:sz w:val="24"/>
          <w:szCs w:val="24"/>
        </w:rPr>
        <w:t xml:space="preserve"> (Liao, 2014). </w:t>
      </w:r>
      <w:bookmarkStart w:id="0" w:name="_GoBack"/>
      <w:bookmarkEnd w:id="0"/>
    </w:p>
    <w:p w14:paraId="1E235D27" w14:textId="77777777" w:rsidR="00882CB8" w:rsidRPr="0087524C" w:rsidRDefault="00882CB8" w:rsidP="00EC7EA9">
      <w:pPr>
        <w:spacing w:line="360" w:lineRule="auto"/>
        <w:rPr>
          <w:rFonts w:ascii="Arial" w:hAnsi="Arial" w:cs="Arial"/>
          <w:sz w:val="24"/>
          <w:szCs w:val="24"/>
        </w:rPr>
      </w:pPr>
    </w:p>
    <w:p w14:paraId="55EB74D2" w14:textId="062CA16D" w:rsidR="00200295" w:rsidRPr="0087524C" w:rsidRDefault="00200295" w:rsidP="00EC7EA9">
      <w:pPr>
        <w:spacing w:line="276" w:lineRule="auto"/>
        <w:rPr>
          <w:rFonts w:ascii="Arial" w:hAnsi="Arial" w:cs="Arial"/>
          <w:color w:val="FF0000"/>
          <w:sz w:val="24"/>
          <w:szCs w:val="24"/>
        </w:rPr>
      </w:pPr>
    </w:p>
    <w:sectPr w:rsidR="00200295" w:rsidRPr="008752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9A14A4"/>
    <w:multiLevelType w:val="hybridMultilevel"/>
    <w:tmpl w:val="CB40F6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C3205E"/>
    <w:multiLevelType w:val="hybridMultilevel"/>
    <w:tmpl w:val="CB40F6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FE3327"/>
    <w:multiLevelType w:val="multilevel"/>
    <w:tmpl w:val="5A76F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295"/>
    <w:rsid w:val="00095841"/>
    <w:rsid w:val="000B0FD5"/>
    <w:rsid w:val="00130324"/>
    <w:rsid w:val="00200295"/>
    <w:rsid w:val="002075BC"/>
    <w:rsid w:val="002F3CA3"/>
    <w:rsid w:val="0030010B"/>
    <w:rsid w:val="0035658C"/>
    <w:rsid w:val="00381AC1"/>
    <w:rsid w:val="003F600C"/>
    <w:rsid w:val="00405A87"/>
    <w:rsid w:val="0057570A"/>
    <w:rsid w:val="005D2FD2"/>
    <w:rsid w:val="005F2115"/>
    <w:rsid w:val="005F6074"/>
    <w:rsid w:val="006465AC"/>
    <w:rsid w:val="00682AC9"/>
    <w:rsid w:val="006960D3"/>
    <w:rsid w:val="006A33E6"/>
    <w:rsid w:val="007018EA"/>
    <w:rsid w:val="0072761F"/>
    <w:rsid w:val="00731E4F"/>
    <w:rsid w:val="00761A5F"/>
    <w:rsid w:val="007A74CE"/>
    <w:rsid w:val="008263BD"/>
    <w:rsid w:val="0087524C"/>
    <w:rsid w:val="00882CB8"/>
    <w:rsid w:val="008D0B8F"/>
    <w:rsid w:val="009530A7"/>
    <w:rsid w:val="00982109"/>
    <w:rsid w:val="009A75C8"/>
    <w:rsid w:val="00A96753"/>
    <w:rsid w:val="00B013F4"/>
    <w:rsid w:val="00B27EB0"/>
    <w:rsid w:val="00B372E4"/>
    <w:rsid w:val="00BC4363"/>
    <w:rsid w:val="00C53A27"/>
    <w:rsid w:val="00C56462"/>
    <w:rsid w:val="00D714C6"/>
    <w:rsid w:val="00EC7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3C3F7"/>
  <w15:chartTrackingRefBased/>
  <w15:docId w15:val="{D3F5C88C-4FB3-4ECE-81D4-ABF0963F6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0295"/>
    <w:pPr>
      <w:spacing w:after="0" w:line="240" w:lineRule="auto"/>
      <w:ind w:left="720"/>
      <w:contextualSpacing/>
    </w:pPr>
    <w:rPr>
      <w:rFonts w:ascii="Times New Roman" w:eastAsia="Times New Roman" w:hAnsi="Times New Roman" w:cs="Times New Roman"/>
      <w:sz w:val="24"/>
      <w:szCs w:val="20"/>
    </w:rPr>
  </w:style>
  <w:style w:type="character" w:styleId="Hyperlink">
    <w:name w:val="Hyperlink"/>
    <w:basedOn w:val="DefaultParagraphFont"/>
    <w:uiPriority w:val="99"/>
    <w:unhideWhenUsed/>
    <w:rsid w:val="002F3CA3"/>
    <w:rPr>
      <w:color w:val="0563C1" w:themeColor="hyperlink"/>
      <w:u w:val="single"/>
    </w:rPr>
  </w:style>
  <w:style w:type="character" w:styleId="UnresolvedMention">
    <w:name w:val="Unresolved Mention"/>
    <w:basedOn w:val="DefaultParagraphFont"/>
    <w:uiPriority w:val="99"/>
    <w:semiHidden/>
    <w:unhideWhenUsed/>
    <w:rsid w:val="002F3CA3"/>
    <w:rPr>
      <w:color w:val="605E5C"/>
      <w:shd w:val="clear" w:color="auto" w:fill="E1DFDD"/>
    </w:rPr>
  </w:style>
  <w:style w:type="paragraph" w:styleId="NormalWeb">
    <w:name w:val="Normal (Web)"/>
    <w:basedOn w:val="Normal"/>
    <w:uiPriority w:val="99"/>
    <w:semiHidden/>
    <w:unhideWhenUsed/>
    <w:rsid w:val="00C53A2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28249">
      <w:bodyDiv w:val="1"/>
      <w:marLeft w:val="0"/>
      <w:marRight w:val="0"/>
      <w:marTop w:val="0"/>
      <w:marBottom w:val="0"/>
      <w:divBdr>
        <w:top w:val="none" w:sz="0" w:space="0" w:color="auto"/>
        <w:left w:val="none" w:sz="0" w:space="0" w:color="auto"/>
        <w:bottom w:val="none" w:sz="0" w:space="0" w:color="auto"/>
        <w:right w:val="none" w:sz="0" w:space="0" w:color="auto"/>
      </w:divBdr>
      <w:divsChild>
        <w:div w:id="684526232">
          <w:marLeft w:val="0"/>
          <w:marRight w:val="0"/>
          <w:marTop w:val="0"/>
          <w:marBottom w:val="0"/>
          <w:divBdr>
            <w:top w:val="none" w:sz="0" w:space="0" w:color="auto"/>
            <w:left w:val="single" w:sz="36" w:space="0" w:color="2EBE7E"/>
            <w:bottom w:val="none" w:sz="0" w:space="0" w:color="auto"/>
            <w:right w:val="none" w:sz="0" w:space="0" w:color="auto"/>
          </w:divBdr>
          <w:divsChild>
            <w:div w:id="183487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22903">
      <w:bodyDiv w:val="1"/>
      <w:marLeft w:val="0"/>
      <w:marRight w:val="0"/>
      <w:marTop w:val="0"/>
      <w:marBottom w:val="0"/>
      <w:divBdr>
        <w:top w:val="none" w:sz="0" w:space="0" w:color="auto"/>
        <w:left w:val="none" w:sz="0" w:space="0" w:color="auto"/>
        <w:bottom w:val="none" w:sz="0" w:space="0" w:color="auto"/>
        <w:right w:val="none" w:sz="0" w:space="0" w:color="auto"/>
      </w:divBdr>
    </w:div>
    <w:div w:id="209391081">
      <w:bodyDiv w:val="1"/>
      <w:marLeft w:val="0"/>
      <w:marRight w:val="0"/>
      <w:marTop w:val="0"/>
      <w:marBottom w:val="0"/>
      <w:divBdr>
        <w:top w:val="none" w:sz="0" w:space="0" w:color="auto"/>
        <w:left w:val="none" w:sz="0" w:space="0" w:color="auto"/>
        <w:bottom w:val="none" w:sz="0" w:space="0" w:color="auto"/>
        <w:right w:val="none" w:sz="0" w:space="0" w:color="auto"/>
      </w:divBdr>
    </w:div>
    <w:div w:id="244458556">
      <w:bodyDiv w:val="1"/>
      <w:marLeft w:val="0"/>
      <w:marRight w:val="0"/>
      <w:marTop w:val="0"/>
      <w:marBottom w:val="0"/>
      <w:divBdr>
        <w:top w:val="none" w:sz="0" w:space="0" w:color="auto"/>
        <w:left w:val="none" w:sz="0" w:space="0" w:color="auto"/>
        <w:bottom w:val="none" w:sz="0" w:space="0" w:color="auto"/>
        <w:right w:val="none" w:sz="0" w:space="0" w:color="auto"/>
      </w:divBdr>
    </w:div>
    <w:div w:id="259223453">
      <w:bodyDiv w:val="1"/>
      <w:marLeft w:val="0"/>
      <w:marRight w:val="0"/>
      <w:marTop w:val="0"/>
      <w:marBottom w:val="0"/>
      <w:divBdr>
        <w:top w:val="none" w:sz="0" w:space="0" w:color="auto"/>
        <w:left w:val="none" w:sz="0" w:space="0" w:color="auto"/>
        <w:bottom w:val="none" w:sz="0" w:space="0" w:color="auto"/>
        <w:right w:val="none" w:sz="0" w:space="0" w:color="auto"/>
      </w:divBdr>
    </w:div>
    <w:div w:id="372969826">
      <w:bodyDiv w:val="1"/>
      <w:marLeft w:val="0"/>
      <w:marRight w:val="0"/>
      <w:marTop w:val="0"/>
      <w:marBottom w:val="0"/>
      <w:divBdr>
        <w:top w:val="none" w:sz="0" w:space="0" w:color="auto"/>
        <w:left w:val="none" w:sz="0" w:space="0" w:color="auto"/>
        <w:bottom w:val="none" w:sz="0" w:space="0" w:color="auto"/>
        <w:right w:val="none" w:sz="0" w:space="0" w:color="auto"/>
      </w:divBdr>
    </w:div>
    <w:div w:id="421806594">
      <w:bodyDiv w:val="1"/>
      <w:marLeft w:val="0"/>
      <w:marRight w:val="0"/>
      <w:marTop w:val="0"/>
      <w:marBottom w:val="0"/>
      <w:divBdr>
        <w:top w:val="none" w:sz="0" w:space="0" w:color="auto"/>
        <w:left w:val="none" w:sz="0" w:space="0" w:color="auto"/>
        <w:bottom w:val="none" w:sz="0" w:space="0" w:color="auto"/>
        <w:right w:val="none" w:sz="0" w:space="0" w:color="auto"/>
      </w:divBdr>
    </w:div>
    <w:div w:id="845944655">
      <w:bodyDiv w:val="1"/>
      <w:marLeft w:val="0"/>
      <w:marRight w:val="0"/>
      <w:marTop w:val="0"/>
      <w:marBottom w:val="0"/>
      <w:divBdr>
        <w:top w:val="none" w:sz="0" w:space="0" w:color="auto"/>
        <w:left w:val="none" w:sz="0" w:space="0" w:color="auto"/>
        <w:bottom w:val="none" w:sz="0" w:space="0" w:color="auto"/>
        <w:right w:val="none" w:sz="0" w:space="0" w:color="auto"/>
      </w:divBdr>
    </w:div>
    <w:div w:id="941381876">
      <w:bodyDiv w:val="1"/>
      <w:marLeft w:val="0"/>
      <w:marRight w:val="0"/>
      <w:marTop w:val="0"/>
      <w:marBottom w:val="0"/>
      <w:divBdr>
        <w:top w:val="none" w:sz="0" w:space="0" w:color="auto"/>
        <w:left w:val="none" w:sz="0" w:space="0" w:color="auto"/>
        <w:bottom w:val="none" w:sz="0" w:space="0" w:color="auto"/>
        <w:right w:val="none" w:sz="0" w:space="0" w:color="auto"/>
      </w:divBdr>
    </w:div>
    <w:div w:id="1012607720">
      <w:bodyDiv w:val="1"/>
      <w:marLeft w:val="0"/>
      <w:marRight w:val="0"/>
      <w:marTop w:val="0"/>
      <w:marBottom w:val="0"/>
      <w:divBdr>
        <w:top w:val="none" w:sz="0" w:space="0" w:color="auto"/>
        <w:left w:val="none" w:sz="0" w:space="0" w:color="auto"/>
        <w:bottom w:val="none" w:sz="0" w:space="0" w:color="auto"/>
        <w:right w:val="none" w:sz="0" w:space="0" w:color="auto"/>
      </w:divBdr>
    </w:div>
    <w:div w:id="1229263541">
      <w:bodyDiv w:val="1"/>
      <w:marLeft w:val="0"/>
      <w:marRight w:val="0"/>
      <w:marTop w:val="0"/>
      <w:marBottom w:val="0"/>
      <w:divBdr>
        <w:top w:val="none" w:sz="0" w:space="0" w:color="auto"/>
        <w:left w:val="none" w:sz="0" w:space="0" w:color="auto"/>
        <w:bottom w:val="none" w:sz="0" w:space="0" w:color="auto"/>
        <w:right w:val="none" w:sz="0" w:space="0" w:color="auto"/>
      </w:divBdr>
    </w:div>
    <w:div w:id="1679582096">
      <w:bodyDiv w:val="1"/>
      <w:marLeft w:val="0"/>
      <w:marRight w:val="0"/>
      <w:marTop w:val="0"/>
      <w:marBottom w:val="0"/>
      <w:divBdr>
        <w:top w:val="none" w:sz="0" w:space="0" w:color="auto"/>
        <w:left w:val="none" w:sz="0" w:space="0" w:color="auto"/>
        <w:bottom w:val="none" w:sz="0" w:space="0" w:color="auto"/>
        <w:right w:val="none" w:sz="0" w:space="0" w:color="auto"/>
      </w:divBdr>
    </w:div>
    <w:div w:id="1907761647">
      <w:bodyDiv w:val="1"/>
      <w:marLeft w:val="0"/>
      <w:marRight w:val="0"/>
      <w:marTop w:val="0"/>
      <w:marBottom w:val="0"/>
      <w:divBdr>
        <w:top w:val="none" w:sz="0" w:space="0" w:color="auto"/>
        <w:left w:val="none" w:sz="0" w:space="0" w:color="auto"/>
        <w:bottom w:val="none" w:sz="0" w:space="0" w:color="auto"/>
        <w:right w:val="none" w:sz="0" w:space="0" w:color="auto"/>
      </w:divBdr>
    </w:div>
    <w:div w:id="2048336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408</TotalTime>
  <Pages>5</Pages>
  <Words>1497</Words>
  <Characters>8535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 Jo Jay</dc:creator>
  <cp:keywords/>
  <dc:description/>
  <cp:lastModifiedBy>Billie Jo Jay</cp:lastModifiedBy>
  <cp:revision>5</cp:revision>
  <dcterms:created xsi:type="dcterms:W3CDTF">2020-05-11T09:03:00Z</dcterms:created>
  <dcterms:modified xsi:type="dcterms:W3CDTF">2020-05-11T17:37:00Z</dcterms:modified>
</cp:coreProperties>
</file>