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1.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2.xml" ContentType="application/vnd.openxmlformats-officedocument.drawingml.chartshape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FCE3AC" w14:textId="77777777" w:rsidR="00A56DA6" w:rsidRPr="008A48EC" w:rsidRDefault="00A56DA6" w:rsidP="00A56DA6">
      <w:pPr>
        <w:rPr>
          <w:rFonts w:ascii="Arial" w:hAnsi="Arial" w:cs="Arial"/>
          <w:sz w:val="24"/>
        </w:rPr>
      </w:pPr>
      <w:r w:rsidRPr="008A48EC">
        <w:rPr>
          <w:rFonts w:ascii="Arial" w:hAnsi="Arial" w:cs="Arial"/>
          <w:sz w:val="24"/>
        </w:rPr>
        <w:t>Based on</w:t>
      </w:r>
      <w:r>
        <w:rPr>
          <w:rFonts w:ascii="Arial" w:hAnsi="Arial" w:cs="Arial"/>
          <w:sz w:val="24"/>
        </w:rPr>
        <w:t xml:space="preserve"> evidence from</w:t>
      </w:r>
      <w:r w:rsidRPr="008A48EC">
        <w:rPr>
          <w:rFonts w:ascii="Arial" w:hAnsi="Arial" w:cs="Arial"/>
          <w:sz w:val="24"/>
        </w:rPr>
        <w:t xml:space="preserve"> current research and policy as well as on</w:t>
      </w:r>
      <w:r>
        <w:rPr>
          <w:rFonts w:ascii="Arial" w:hAnsi="Arial" w:cs="Arial"/>
          <w:sz w:val="24"/>
        </w:rPr>
        <w:t xml:space="preserve"> data </w:t>
      </w:r>
      <w:r w:rsidRPr="008A48EC">
        <w:rPr>
          <w:rFonts w:ascii="Arial" w:hAnsi="Arial" w:cs="Arial"/>
          <w:sz w:val="24"/>
        </w:rPr>
        <w:t xml:space="preserve">gathered from a group questionnaire, critically discuss </w:t>
      </w:r>
      <w:r>
        <w:rPr>
          <w:rFonts w:ascii="Arial" w:hAnsi="Arial" w:cs="Arial"/>
          <w:sz w:val="24"/>
        </w:rPr>
        <w:t xml:space="preserve">an inclusive approach to supporting </w:t>
      </w:r>
      <w:r w:rsidRPr="008A48EC">
        <w:rPr>
          <w:rFonts w:ascii="Arial" w:hAnsi="Arial" w:cs="Arial"/>
          <w:sz w:val="24"/>
        </w:rPr>
        <w:t xml:space="preserve">the needs of a particular group of pupils.  Focus on </w:t>
      </w:r>
      <w:r w:rsidRPr="008A48EC">
        <w:rPr>
          <w:rFonts w:ascii="Arial Bold" w:hAnsi="Arial Bold" w:cs="Arial"/>
          <w:b/>
          <w:sz w:val="24"/>
          <w:u w:val="single"/>
        </w:rPr>
        <w:t>one</w:t>
      </w:r>
      <w:r w:rsidRPr="008A48EC">
        <w:rPr>
          <w:rFonts w:ascii="Arial" w:hAnsi="Arial" w:cs="Arial"/>
          <w:sz w:val="24"/>
        </w:rPr>
        <w:t xml:space="preserve"> </w:t>
      </w:r>
      <w:r>
        <w:rPr>
          <w:rFonts w:ascii="Arial" w:hAnsi="Arial" w:cs="Arial"/>
          <w:sz w:val="24"/>
        </w:rPr>
        <w:t xml:space="preserve">specific learning difficulty, </w:t>
      </w:r>
      <w:r w:rsidRPr="008A48EC">
        <w:rPr>
          <w:rFonts w:ascii="Arial" w:hAnsi="Arial" w:cs="Arial"/>
          <w:sz w:val="24"/>
        </w:rPr>
        <w:t>disability</w:t>
      </w:r>
      <w:r>
        <w:rPr>
          <w:rFonts w:ascii="Arial" w:hAnsi="Arial" w:cs="Arial"/>
          <w:sz w:val="24"/>
        </w:rPr>
        <w:t xml:space="preserve"> or additional need</w:t>
      </w:r>
      <w:r w:rsidRPr="008A48EC">
        <w:rPr>
          <w:rFonts w:ascii="Arial" w:hAnsi="Arial" w:cs="Arial"/>
          <w:sz w:val="24"/>
        </w:rPr>
        <w:t xml:space="preserve"> for your discussion.</w:t>
      </w:r>
    </w:p>
    <w:p w14:paraId="10B73094" w14:textId="77777777" w:rsidR="00A56DA6" w:rsidRPr="008A48EC" w:rsidRDefault="00A56DA6" w:rsidP="00A56DA6">
      <w:pPr>
        <w:rPr>
          <w:rFonts w:ascii="Arial" w:hAnsi="Arial" w:cs="Arial"/>
          <w:sz w:val="24"/>
        </w:rPr>
      </w:pPr>
      <w:r w:rsidRPr="008A48EC">
        <w:rPr>
          <w:rFonts w:ascii="Arial" w:hAnsi="Arial" w:cs="Arial"/>
          <w:sz w:val="24"/>
        </w:rPr>
        <w:t>Use ICT skills developed within the module to present your findings.</w:t>
      </w:r>
    </w:p>
    <w:p w14:paraId="5ECF513D" w14:textId="77777777" w:rsidR="00CC4116" w:rsidRDefault="00CC4116" w:rsidP="00A56DA6">
      <w:pPr>
        <w:spacing w:line="360" w:lineRule="auto"/>
      </w:pPr>
    </w:p>
    <w:p w14:paraId="526C8932" w14:textId="77777777" w:rsidR="00A56DA6" w:rsidRDefault="00AB47CC" w:rsidP="00A56DA6">
      <w:pPr>
        <w:spacing w:line="360" w:lineRule="auto"/>
        <w:rPr>
          <w:b/>
          <w:sz w:val="24"/>
          <w:szCs w:val="24"/>
        </w:rPr>
      </w:pPr>
      <w:r w:rsidRPr="00AB47CC">
        <w:rPr>
          <w:b/>
          <w:sz w:val="24"/>
          <w:szCs w:val="24"/>
        </w:rPr>
        <w:t>Introduction</w:t>
      </w:r>
    </w:p>
    <w:p w14:paraId="28D81C8E" w14:textId="77777777" w:rsidR="0088629E" w:rsidRDefault="00AB47CC" w:rsidP="00A56DA6">
      <w:pPr>
        <w:spacing w:line="360" w:lineRule="auto"/>
        <w:rPr>
          <w:sz w:val="24"/>
          <w:szCs w:val="24"/>
        </w:rPr>
      </w:pPr>
      <w:r>
        <w:rPr>
          <w:sz w:val="24"/>
          <w:szCs w:val="24"/>
        </w:rPr>
        <w:t>Inclusion is the involvement of all pupils within learning by minimising the barriers that individuals have to learning and participation to ensure everyone is involved (Booth et al.</w:t>
      </w:r>
      <w:r w:rsidR="00757BEF">
        <w:rPr>
          <w:sz w:val="24"/>
          <w:szCs w:val="24"/>
        </w:rPr>
        <w:t xml:space="preserve"> </w:t>
      </w:r>
      <w:r>
        <w:rPr>
          <w:sz w:val="24"/>
          <w:szCs w:val="24"/>
        </w:rPr>
        <w:t xml:space="preserve">2000, cited in </w:t>
      </w:r>
      <w:proofErr w:type="spellStart"/>
      <w:r>
        <w:rPr>
          <w:sz w:val="24"/>
          <w:szCs w:val="24"/>
        </w:rPr>
        <w:t>Glazzard</w:t>
      </w:r>
      <w:proofErr w:type="spellEnd"/>
      <w:r>
        <w:rPr>
          <w:sz w:val="24"/>
          <w:szCs w:val="24"/>
        </w:rPr>
        <w:t xml:space="preserve"> et al. 2010, p. 3).</w:t>
      </w:r>
      <w:r w:rsidR="000B7951">
        <w:rPr>
          <w:sz w:val="24"/>
          <w:szCs w:val="24"/>
        </w:rPr>
        <w:t xml:space="preserve"> </w:t>
      </w:r>
      <w:r w:rsidR="00F77CA1">
        <w:rPr>
          <w:sz w:val="24"/>
          <w:szCs w:val="24"/>
        </w:rPr>
        <w:t>Highlighted within this definition is that the role of participation is important but doe</w:t>
      </w:r>
      <w:r w:rsidR="00A97584">
        <w:rPr>
          <w:sz w:val="24"/>
          <w:szCs w:val="24"/>
        </w:rPr>
        <w:t>s</w:t>
      </w:r>
      <w:r w:rsidR="00F77CA1">
        <w:rPr>
          <w:sz w:val="24"/>
          <w:szCs w:val="24"/>
        </w:rPr>
        <w:t xml:space="preserve"> not discuss the importance of pupil’s achievement</w:t>
      </w:r>
      <w:r w:rsidR="00A97584">
        <w:rPr>
          <w:sz w:val="24"/>
          <w:szCs w:val="24"/>
        </w:rPr>
        <w:t>.</w:t>
      </w:r>
      <w:r w:rsidR="00365F17">
        <w:rPr>
          <w:sz w:val="24"/>
          <w:szCs w:val="24"/>
        </w:rPr>
        <w:t xml:space="preserve"> Improving inclusion is about both the content and process of the curriculum for all pupils, adapting the curriculum to suit the pupils’ needs is vital to improve pupils’ involvement and achievement</w:t>
      </w:r>
      <w:r w:rsidR="00333507">
        <w:rPr>
          <w:sz w:val="24"/>
          <w:szCs w:val="24"/>
        </w:rPr>
        <w:t xml:space="preserve"> (Farrell, </w:t>
      </w:r>
      <w:r w:rsidR="00244ABA">
        <w:rPr>
          <w:sz w:val="24"/>
          <w:szCs w:val="24"/>
        </w:rPr>
        <w:t>2012).</w:t>
      </w:r>
      <w:r w:rsidR="0088629E">
        <w:rPr>
          <w:sz w:val="24"/>
          <w:szCs w:val="24"/>
        </w:rPr>
        <w:br/>
      </w:r>
    </w:p>
    <w:p w14:paraId="05CC41D1" w14:textId="1E9F3A0B" w:rsidR="005F5639" w:rsidRPr="005F080C" w:rsidRDefault="0088629E" w:rsidP="005F080C">
      <w:pPr>
        <w:spacing w:line="360" w:lineRule="auto"/>
        <w:rPr>
          <w:sz w:val="24"/>
          <w:szCs w:val="24"/>
        </w:rPr>
      </w:pPr>
      <w:r>
        <w:rPr>
          <w:sz w:val="24"/>
          <w:szCs w:val="24"/>
        </w:rPr>
        <w:t xml:space="preserve">The </w:t>
      </w:r>
      <w:r w:rsidRPr="005F080C">
        <w:rPr>
          <w:sz w:val="24"/>
          <w:szCs w:val="24"/>
        </w:rPr>
        <w:t xml:space="preserve">type of </w:t>
      </w:r>
      <w:r w:rsidR="00216917" w:rsidRPr="005F080C">
        <w:rPr>
          <w:sz w:val="24"/>
          <w:szCs w:val="24"/>
        </w:rPr>
        <w:t>A</w:t>
      </w:r>
      <w:r w:rsidRPr="005F080C">
        <w:rPr>
          <w:sz w:val="24"/>
          <w:szCs w:val="24"/>
        </w:rPr>
        <w:t>ddition</w:t>
      </w:r>
      <w:r w:rsidR="00216917" w:rsidRPr="005F080C">
        <w:rPr>
          <w:sz w:val="24"/>
          <w:szCs w:val="24"/>
        </w:rPr>
        <w:t>al</w:t>
      </w:r>
      <w:r w:rsidRPr="005F080C">
        <w:rPr>
          <w:sz w:val="24"/>
          <w:szCs w:val="24"/>
        </w:rPr>
        <w:t xml:space="preserve"> </w:t>
      </w:r>
      <w:r w:rsidR="00216917" w:rsidRPr="005F080C">
        <w:rPr>
          <w:sz w:val="24"/>
          <w:szCs w:val="24"/>
        </w:rPr>
        <w:t>L</w:t>
      </w:r>
      <w:r w:rsidRPr="005F080C">
        <w:rPr>
          <w:sz w:val="24"/>
          <w:szCs w:val="24"/>
        </w:rPr>
        <w:t xml:space="preserve">earning </w:t>
      </w:r>
      <w:r w:rsidR="00216917" w:rsidRPr="005F080C">
        <w:rPr>
          <w:sz w:val="24"/>
          <w:szCs w:val="24"/>
        </w:rPr>
        <w:t>N</w:t>
      </w:r>
      <w:r w:rsidRPr="005F080C">
        <w:rPr>
          <w:sz w:val="24"/>
          <w:szCs w:val="24"/>
        </w:rPr>
        <w:t xml:space="preserve">eed (ALN) </w:t>
      </w:r>
      <w:r w:rsidR="00CD6854" w:rsidRPr="005F080C">
        <w:rPr>
          <w:sz w:val="24"/>
          <w:szCs w:val="24"/>
        </w:rPr>
        <w:t xml:space="preserve">that this researched has looked at is </w:t>
      </w:r>
      <w:r w:rsidR="00216917" w:rsidRPr="005F080C">
        <w:rPr>
          <w:sz w:val="24"/>
          <w:szCs w:val="24"/>
        </w:rPr>
        <w:t xml:space="preserve">dyslexia which delays a person’s learning. </w:t>
      </w:r>
      <w:r w:rsidR="005F080C" w:rsidRPr="005F080C">
        <w:rPr>
          <w:sz w:val="24"/>
          <w:szCs w:val="24"/>
        </w:rPr>
        <w:t xml:space="preserve">“Dyslexia is evident when accurate fluent reading and/or spelling develops incompletely or with great difficulty.” (British Psychological Society, 1999 </w:t>
      </w:r>
      <w:r w:rsidR="005F080C" w:rsidRPr="00864E50">
        <w:rPr>
          <w:iCs/>
          <w:sz w:val="24"/>
          <w:szCs w:val="24"/>
        </w:rPr>
        <w:t>cited in</w:t>
      </w:r>
      <w:r w:rsidR="005F080C" w:rsidRPr="005F080C">
        <w:rPr>
          <w:i/>
          <w:iCs/>
          <w:sz w:val="24"/>
          <w:szCs w:val="24"/>
        </w:rPr>
        <w:t xml:space="preserve"> </w:t>
      </w:r>
      <w:r w:rsidR="005F080C" w:rsidRPr="005F080C">
        <w:rPr>
          <w:sz w:val="24"/>
          <w:szCs w:val="24"/>
        </w:rPr>
        <w:t>Hall, 2009, p.7)</w:t>
      </w:r>
      <w:r w:rsidR="00A056B0">
        <w:rPr>
          <w:sz w:val="24"/>
          <w:szCs w:val="24"/>
        </w:rPr>
        <w:t>. In contrast Mortimore (200</w:t>
      </w:r>
      <w:r w:rsidR="005D4FA6">
        <w:rPr>
          <w:sz w:val="24"/>
          <w:szCs w:val="24"/>
        </w:rPr>
        <w:t>3</w:t>
      </w:r>
      <w:r w:rsidR="00A056B0">
        <w:rPr>
          <w:sz w:val="24"/>
          <w:szCs w:val="24"/>
        </w:rPr>
        <w:t>) and Squires and McKeown (2006)</w:t>
      </w:r>
      <w:r w:rsidR="00E62A30">
        <w:rPr>
          <w:sz w:val="24"/>
          <w:szCs w:val="24"/>
        </w:rPr>
        <w:t xml:space="preserve"> suggest that there are different definitions which highlight different characteristics of dyslexia which le</w:t>
      </w:r>
      <w:r w:rsidR="00864E50">
        <w:rPr>
          <w:sz w:val="24"/>
          <w:szCs w:val="24"/>
        </w:rPr>
        <w:t>a</w:t>
      </w:r>
      <w:r w:rsidR="00E62A30">
        <w:rPr>
          <w:sz w:val="24"/>
          <w:szCs w:val="24"/>
        </w:rPr>
        <w:t xml:space="preserve">ds to confusion by teachers and explains why there are so many different screenings for </w:t>
      </w:r>
      <w:r w:rsidR="00F61726">
        <w:rPr>
          <w:sz w:val="24"/>
          <w:szCs w:val="24"/>
        </w:rPr>
        <w:t>dyslexia</w:t>
      </w:r>
      <w:r w:rsidR="00E62A30">
        <w:rPr>
          <w:sz w:val="24"/>
          <w:szCs w:val="24"/>
        </w:rPr>
        <w:t>.</w:t>
      </w:r>
      <w:r w:rsidR="005F080C" w:rsidRPr="005F080C">
        <w:rPr>
          <w:sz w:val="24"/>
          <w:szCs w:val="24"/>
        </w:rPr>
        <w:t xml:space="preserve"> </w:t>
      </w:r>
      <w:r w:rsidR="00216917" w:rsidRPr="005F080C">
        <w:rPr>
          <w:sz w:val="24"/>
          <w:szCs w:val="24"/>
        </w:rPr>
        <w:t xml:space="preserve">It has been found that there are 7,764 pupils in Wales that have been identified with dyslexia in school but have no statement of a Special Educational Need (SEN) and only 325 pupils have been statemented with a SEN of dyslexia </w:t>
      </w:r>
      <w:r w:rsidR="00CA7C69" w:rsidRPr="005F080C">
        <w:rPr>
          <w:sz w:val="24"/>
          <w:szCs w:val="24"/>
        </w:rPr>
        <w:t>(WAG, 2018).</w:t>
      </w:r>
      <w:r w:rsidR="00B73592">
        <w:rPr>
          <w:sz w:val="24"/>
          <w:szCs w:val="24"/>
        </w:rPr>
        <w:t xml:space="preserve"> NHS Wales (2018) </w:t>
      </w:r>
      <w:r w:rsidR="0070777A">
        <w:rPr>
          <w:sz w:val="24"/>
          <w:szCs w:val="24"/>
        </w:rPr>
        <w:t>estimate that 1 in every 10 to 20 people have some characteristics of dyslexia. Therefore</w:t>
      </w:r>
      <w:r w:rsidR="00791648">
        <w:rPr>
          <w:sz w:val="24"/>
          <w:szCs w:val="24"/>
        </w:rPr>
        <w:t>,</w:t>
      </w:r>
      <w:r w:rsidR="0070777A">
        <w:rPr>
          <w:sz w:val="24"/>
          <w:szCs w:val="24"/>
        </w:rPr>
        <w:t xml:space="preserve"> it is vital for teachers to be aware of the characteristics to be able to support </w:t>
      </w:r>
      <w:r w:rsidR="00791648">
        <w:rPr>
          <w:sz w:val="24"/>
          <w:szCs w:val="24"/>
        </w:rPr>
        <w:t>the pupils with the dai</w:t>
      </w:r>
      <w:r w:rsidR="003246FF">
        <w:rPr>
          <w:sz w:val="24"/>
          <w:szCs w:val="24"/>
        </w:rPr>
        <w:t>l</w:t>
      </w:r>
      <w:r w:rsidR="00791648">
        <w:rPr>
          <w:sz w:val="24"/>
          <w:szCs w:val="24"/>
        </w:rPr>
        <w:t xml:space="preserve">y challenges they face to improve their achievement and well-being. </w:t>
      </w:r>
      <w:r w:rsidR="00AD044E">
        <w:rPr>
          <w:sz w:val="24"/>
          <w:szCs w:val="24"/>
        </w:rPr>
        <w:t xml:space="preserve">QTS standard S1.1 (WAG, 2009) emphasises the importance of teachers understanding the diverse needs of all pupils to practice an inclusive pedagogy. </w:t>
      </w:r>
      <w:r w:rsidR="005F5639">
        <w:rPr>
          <w:sz w:val="24"/>
          <w:szCs w:val="24"/>
        </w:rPr>
        <w:t xml:space="preserve">There are currently </w:t>
      </w:r>
      <w:r w:rsidR="00AF0F70">
        <w:rPr>
          <w:sz w:val="24"/>
          <w:szCs w:val="24"/>
        </w:rPr>
        <w:t>781,371 pupils at school within Wales (Department for Education, 2016-2017 cited in BESA, date unknown) with only 0.04% of pupils being diagnosed with dyslexia and 0.99% of pupils displaying characteristics of dyslexia without a diagnosis.</w:t>
      </w:r>
      <w:r w:rsidR="002C5FA4">
        <w:rPr>
          <w:sz w:val="24"/>
          <w:szCs w:val="24"/>
        </w:rPr>
        <w:t xml:space="preserve"> </w:t>
      </w:r>
    </w:p>
    <w:p w14:paraId="08059452" w14:textId="77777777" w:rsidR="00757BEF" w:rsidRDefault="00757BEF" w:rsidP="00A56DA6">
      <w:pPr>
        <w:spacing w:line="360" w:lineRule="auto"/>
        <w:rPr>
          <w:sz w:val="24"/>
          <w:szCs w:val="24"/>
        </w:rPr>
      </w:pPr>
    </w:p>
    <w:p w14:paraId="5917B367" w14:textId="2E855178" w:rsidR="002C5FA4" w:rsidRDefault="008D6E63" w:rsidP="00A56DA6">
      <w:pPr>
        <w:spacing w:line="360" w:lineRule="auto"/>
        <w:rPr>
          <w:rFonts w:cstheme="minorHAnsi"/>
          <w:sz w:val="24"/>
          <w:szCs w:val="24"/>
        </w:rPr>
      </w:pPr>
      <w:r>
        <w:rPr>
          <w:sz w:val="24"/>
          <w:szCs w:val="24"/>
        </w:rPr>
        <w:t xml:space="preserve">The secondary research </w:t>
      </w:r>
      <w:r w:rsidR="00CC2E8B">
        <w:rPr>
          <w:sz w:val="24"/>
          <w:szCs w:val="24"/>
        </w:rPr>
        <w:t xml:space="preserve">was carried out firstly looking at children living in poverty but as a group </w:t>
      </w:r>
      <w:r w:rsidR="00C15F44">
        <w:rPr>
          <w:sz w:val="24"/>
          <w:szCs w:val="24"/>
        </w:rPr>
        <w:t xml:space="preserve">it was </w:t>
      </w:r>
      <w:r w:rsidR="00CC2E8B">
        <w:rPr>
          <w:sz w:val="24"/>
          <w:szCs w:val="24"/>
        </w:rPr>
        <w:t xml:space="preserve">found that </w:t>
      </w:r>
      <w:r w:rsidR="00C15F44">
        <w:rPr>
          <w:sz w:val="24"/>
          <w:szCs w:val="24"/>
        </w:rPr>
        <w:t xml:space="preserve">there was not </w:t>
      </w:r>
      <w:r w:rsidR="00CC2E8B">
        <w:rPr>
          <w:sz w:val="24"/>
          <w:szCs w:val="24"/>
        </w:rPr>
        <w:t>enough research in order to carry out primary research</w:t>
      </w:r>
      <w:r w:rsidR="00C15F44">
        <w:rPr>
          <w:sz w:val="24"/>
          <w:szCs w:val="24"/>
        </w:rPr>
        <w:t xml:space="preserve">. </w:t>
      </w:r>
      <w:r w:rsidR="00C62DF7">
        <w:rPr>
          <w:sz w:val="24"/>
          <w:szCs w:val="24"/>
        </w:rPr>
        <w:lastRenderedPageBreak/>
        <w:t>Secondary research was completed on dyslexia to find sufficient research which led to the primary research on dyslexia. The primary research was implemented in 3 counties, Neath Port Talbot, Swansea and Bridgend</w:t>
      </w:r>
      <w:r w:rsidR="00DB1C26">
        <w:rPr>
          <w:sz w:val="24"/>
          <w:szCs w:val="24"/>
        </w:rPr>
        <w:t xml:space="preserve"> to find out the inclusive approaches in these schools. </w:t>
      </w:r>
      <w:r w:rsidR="003E59E8">
        <w:rPr>
          <w:sz w:val="24"/>
          <w:szCs w:val="24"/>
        </w:rPr>
        <w:t>The questionnaire was sent out to 15 different schools with hope that they would be dist</w:t>
      </w:r>
      <w:r w:rsidR="008C7CFB">
        <w:rPr>
          <w:sz w:val="24"/>
          <w:szCs w:val="24"/>
        </w:rPr>
        <w:t>ribu</w:t>
      </w:r>
      <w:r w:rsidR="003E59E8">
        <w:rPr>
          <w:sz w:val="24"/>
          <w:szCs w:val="24"/>
        </w:rPr>
        <w:t>ted to at least 5 members of staff within the schools</w:t>
      </w:r>
      <w:r w:rsidR="009D17E6">
        <w:rPr>
          <w:sz w:val="24"/>
          <w:szCs w:val="24"/>
        </w:rPr>
        <w:t xml:space="preserve"> aiming for 75 responses</w:t>
      </w:r>
      <w:r w:rsidR="003E59E8">
        <w:rPr>
          <w:sz w:val="24"/>
          <w:szCs w:val="24"/>
        </w:rPr>
        <w:t xml:space="preserve">. </w:t>
      </w:r>
      <w:r w:rsidR="009D17E6">
        <w:rPr>
          <w:sz w:val="24"/>
          <w:szCs w:val="24"/>
        </w:rPr>
        <w:t xml:space="preserve">The response rate was 12%. The low response rate was disappointing as some members of staff </w:t>
      </w:r>
      <w:r w:rsidR="00864E50">
        <w:rPr>
          <w:sz w:val="24"/>
          <w:szCs w:val="24"/>
        </w:rPr>
        <w:t xml:space="preserve">were contacted </w:t>
      </w:r>
      <w:r w:rsidR="009D17E6">
        <w:rPr>
          <w:sz w:val="24"/>
          <w:szCs w:val="24"/>
        </w:rPr>
        <w:t>individually to help to distribute them to o</w:t>
      </w:r>
      <w:r w:rsidR="00864E50">
        <w:rPr>
          <w:sz w:val="24"/>
          <w:szCs w:val="24"/>
        </w:rPr>
        <w:t>ther</w:t>
      </w:r>
      <w:r w:rsidR="009D17E6">
        <w:rPr>
          <w:sz w:val="24"/>
          <w:szCs w:val="24"/>
        </w:rPr>
        <w:t xml:space="preserve"> members of staff to complete but </w:t>
      </w:r>
      <w:r w:rsidR="00864E50">
        <w:rPr>
          <w:sz w:val="24"/>
          <w:szCs w:val="24"/>
        </w:rPr>
        <w:t xml:space="preserve">this </w:t>
      </w:r>
      <w:r w:rsidR="009D17E6">
        <w:rPr>
          <w:sz w:val="24"/>
          <w:szCs w:val="24"/>
        </w:rPr>
        <w:t>could be due to the questionnaire being sent out electronically and not handing them out personally face to face (</w:t>
      </w:r>
      <w:r w:rsidR="008213C5">
        <w:rPr>
          <w:sz w:val="24"/>
          <w:szCs w:val="24"/>
        </w:rPr>
        <w:t>Fink, 1995</w:t>
      </w:r>
      <w:r w:rsidR="00766B4A">
        <w:rPr>
          <w:sz w:val="24"/>
          <w:szCs w:val="24"/>
        </w:rPr>
        <w:t>a</w:t>
      </w:r>
      <w:r w:rsidR="009D17E6">
        <w:rPr>
          <w:sz w:val="24"/>
          <w:szCs w:val="24"/>
        </w:rPr>
        <w:t xml:space="preserve">). </w:t>
      </w:r>
      <w:r w:rsidR="00811776">
        <w:rPr>
          <w:sz w:val="24"/>
          <w:szCs w:val="24"/>
        </w:rPr>
        <w:t xml:space="preserve">The </w:t>
      </w:r>
      <w:r w:rsidR="00811776" w:rsidRPr="00111784">
        <w:rPr>
          <w:sz w:val="24"/>
          <w:szCs w:val="24"/>
        </w:rPr>
        <w:t xml:space="preserve">schools that did participate had more time to complete during staff meetings and had personal connections with members of the group. </w:t>
      </w:r>
      <w:r w:rsidR="007D2D1B" w:rsidRPr="00111784">
        <w:rPr>
          <w:sz w:val="24"/>
          <w:szCs w:val="24"/>
        </w:rPr>
        <w:t>The questionnaire was carried out</w:t>
      </w:r>
      <w:r w:rsidR="00111784" w:rsidRPr="00111784">
        <w:rPr>
          <w:sz w:val="24"/>
          <w:szCs w:val="24"/>
        </w:rPr>
        <w:t xml:space="preserve"> ethically adhering to </w:t>
      </w:r>
      <w:r w:rsidR="00111784" w:rsidRPr="00111784">
        <w:rPr>
          <w:rFonts w:cstheme="minorHAnsi"/>
          <w:sz w:val="24"/>
          <w:szCs w:val="24"/>
        </w:rPr>
        <w:t xml:space="preserve">BERA </w:t>
      </w:r>
      <w:r w:rsidR="00111784">
        <w:rPr>
          <w:rFonts w:cstheme="minorHAnsi"/>
          <w:sz w:val="24"/>
          <w:szCs w:val="24"/>
        </w:rPr>
        <w:t>(</w:t>
      </w:r>
      <w:r w:rsidR="00111784" w:rsidRPr="00111784">
        <w:rPr>
          <w:rFonts w:cstheme="minorHAnsi"/>
          <w:sz w:val="24"/>
          <w:szCs w:val="24"/>
        </w:rPr>
        <w:t>2018</w:t>
      </w:r>
      <w:r w:rsidR="00111784">
        <w:rPr>
          <w:rFonts w:cstheme="minorHAnsi"/>
          <w:sz w:val="24"/>
          <w:szCs w:val="24"/>
        </w:rPr>
        <w:t>)</w:t>
      </w:r>
      <w:r w:rsidR="00111784" w:rsidRPr="00111784">
        <w:rPr>
          <w:rFonts w:cstheme="minorHAnsi"/>
          <w:sz w:val="24"/>
          <w:szCs w:val="24"/>
        </w:rPr>
        <w:t xml:space="preserve"> guidelines and the GDPR </w:t>
      </w:r>
      <w:r w:rsidR="00B07305">
        <w:rPr>
          <w:rFonts w:cstheme="minorHAnsi"/>
          <w:sz w:val="24"/>
          <w:szCs w:val="24"/>
        </w:rPr>
        <w:t>(ICO, 2018)</w:t>
      </w:r>
      <w:r w:rsidR="00111784" w:rsidRPr="00111784">
        <w:rPr>
          <w:rFonts w:cstheme="minorHAnsi"/>
          <w:sz w:val="24"/>
          <w:szCs w:val="24"/>
        </w:rPr>
        <w:t xml:space="preserve"> </w:t>
      </w:r>
      <w:r w:rsidR="00743BE6">
        <w:rPr>
          <w:rFonts w:cstheme="minorHAnsi"/>
          <w:sz w:val="24"/>
          <w:szCs w:val="24"/>
        </w:rPr>
        <w:t xml:space="preserve">and </w:t>
      </w:r>
      <w:r w:rsidR="00111784" w:rsidRPr="00111784">
        <w:rPr>
          <w:rFonts w:cstheme="minorHAnsi"/>
          <w:sz w:val="24"/>
          <w:szCs w:val="24"/>
        </w:rPr>
        <w:t>ethical, legal and professional frameworks, guidelines, standards required by statutory and local authorities as well as the University Research Code of Ethics and Integrity and the EWC Research Guidelines.</w:t>
      </w:r>
      <w:r w:rsidR="00376EAE">
        <w:rPr>
          <w:rFonts w:cstheme="minorHAnsi"/>
          <w:sz w:val="24"/>
          <w:szCs w:val="24"/>
        </w:rPr>
        <w:t xml:space="preserve"> Overall, 9 response</w:t>
      </w:r>
      <w:r w:rsidR="00864E50">
        <w:rPr>
          <w:rFonts w:cstheme="minorHAnsi"/>
          <w:sz w:val="24"/>
          <w:szCs w:val="24"/>
        </w:rPr>
        <w:t>s</w:t>
      </w:r>
      <w:r w:rsidR="00376EAE">
        <w:rPr>
          <w:rFonts w:cstheme="minorHAnsi"/>
          <w:sz w:val="24"/>
          <w:szCs w:val="24"/>
        </w:rPr>
        <w:t xml:space="preserve"> may not be a true reflection of general inclusive practice of children with dyslexia but will give an insight to some of the approaches practised. </w:t>
      </w:r>
    </w:p>
    <w:p w14:paraId="7D4A574C" w14:textId="77777777" w:rsidR="006C797D" w:rsidRDefault="006C797D" w:rsidP="00A56DA6">
      <w:pPr>
        <w:spacing w:line="360" w:lineRule="auto"/>
        <w:rPr>
          <w:rFonts w:cstheme="minorHAnsi"/>
          <w:sz w:val="24"/>
          <w:szCs w:val="24"/>
        </w:rPr>
      </w:pPr>
    </w:p>
    <w:p w14:paraId="2803F97E" w14:textId="55AAE008" w:rsidR="00376EAE" w:rsidRPr="006B094B" w:rsidRDefault="006C797D" w:rsidP="00A56DA6">
      <w:pPr>
        <w:spacing w:line="360" w:lineRule="auto"/>
        <w:rPr>
          <w:rFonts w:cstheme="minorHAnsi"/>
          <w:sz w:val="24"/>
          <w:szCs w:val="24"/>
        </w:rPr>
      </w:pPr>
      <w:r>
        <w:rPr>
          <w:rFonts w:cstheme="minorHAnsi"/>
          <w:sz w:val="24"/>
          <w:szCs w:val="24"/>
        </w:rPr>
        <w:t>Within this assignment, there will be a critical analysis on the inclusive approach of dyslexia with the focus o</w:t>
      </w:r>
      <w:r w:rsidR="00C1492A">
        <w:rPr>
          <w:rFonts w:cstheme="minorHAnsi"/>
          <w:sz w:val="24"/>
          <w:szCs w:val="24"/>
        </w:rPr>
        <w:t>n</w:t>
      </w:r>
      <w:r>
        <w:rPr>
          <w:rFonts w:cstheme="minorHAnsi"/>
          <w:sz w:val="24"/>
          <w:szCs w:val="24"/>
        </w:rPr>
        <w:t xml:space="preserve"> the comparison of the questionnaire responses and existing secondary research </w:t>
      </w:r>
      <w:r w:rsidR="00C1492A">
        <w:rPr>
          <w:rFonts w:cstheme="minorHAnsi"/>
          <w:sz w:val="24"/>
          <w:szCs w:val="24"/>
        </w:rPr>
        <w:t>on children with dyslexia. Moreover, there will be a reflection of the effectiveness of the questionnaire and its results.</w:t>
      </w:r>
      <w:r w:rsidR="00AB5986">
        <w:rPr>
          <w:rFonts w:cstheme="minorHAnsi"/>
          <w:sz w:val="24"/>
          <w:szCs w:val="24"/>
        </w:rPr>
        <w:t xml:space="preserve"> </w:t>
      </w:r>
      <w:r w:rsidR="00515818">
        <w:rPr>
          <w:rFonts w:cstheme="minorHAnsi"/>
          <w:sz w:val="24"/>
          <w:szCs w:val="24"/>
        </w:rPr>
        <w:t xml:space="preserve">WAG (2004) advise that children </w:t>
      </w:r>
      <w:r w:rsidR="00885608">
        <w:rPr>
          <w:rFonts w:cstheme="minorHAnsi"/>
          <w:sz w:val="24"/>
          <w:szCs w:val="24"/>
        </w:rPr>
        <w:t>with a</w:t>
      </w:r>
      <w:r w:rsidR="00B1219C">
        <w:rPr>
          <w:rFonts w:cstheme="minorHAnsi"/>
          <w:sz w:val="24"/>
          <w:szCs w:val="24"/>
        </w:rPr>
        <w:t>n</w:t>
      </w:r>
      <w:r w:rsidR="00CC0E14">
        <w:rPr>
          <w:rFonts w:cstheme="minorHAnsi"/>
          <w:sz w:val="24"/>
          <w:szCs w:val="24"/>
        </w:rPr>
        <w:t xml:space="preserve"> ALN</w:t>
      </w:r>
      <w:r w:rsidR="001E1CC2">
        <w:rPr>
          <w:rFonts w:cstheme="minorHAnsi"/>
          <w:sz w:val="24"/>
          <w:szCs w:val="24"/>
        </w:rPr>
        <w:t xml:space="preserve"> </w:t>
      </w:r>
      <w:r w:rsidR="00885608">
        <w:rPr>
          <w:rFonts w:cstheme="minorHAnsi"/>
          <w:sz w:val="24"/>
          <w:szCs w:val="24"/>
        </w:rPr>
        <w:t>such as dyslexia should be taught at mainstream and be included within their class and work with the children to help their participation within the school. Dyslexia is a hidden disability that has effect on a person’s ability to carry out daily tasks (</w:t>
      </w:r>
      <w:r w:rsidR="00C52B6F">
        <w:rPr>
          <w:rFonts w:cstheme="minorHAnsi"/>
          <w:sz w:val="24"/>
          <w:szCs w:val="24"/>
        </w:rPr>
        <w:t>UK Government, 2015</w:t>
      </w:r>
      <w:r w:rsidR="00885608">
        <w:rPr>
          <w:rFonts w:cstheme="minorHAnsi"/>
          <w:sz w:val="24"/>
          <w:szCs w:val="24"/>
        </w:rPr>
        <w:t>)</w:t>
      </w:r>
      <w:r w:rsidR="006B4CC1">
        <w:rPr>
          <w:rFonts w:cstheme="minorHAnsi"/>
          <w:sz w:val="24"/>
          <w:szCs w:val="24"/>
        </w:rPr>
        <w:t xml:space="preserve"> so it is important that a child with dyslexia</w:t>
      </w:r>
      <w:r w:rsidR="001E1013">
        <w:rPr>
          <w:rFonts w:cstheme="minorHAnsi"/>
          <w:sz w:val="24"/>
          <w:szCs w:val="24"/>
        </w:rPr>
        <w:t xml:space="preserve">’s </w:t>
      </w:r>
      <w:r w:rsidR="006B4CC1">
        <w:rPr>
          <w:rFonts w:cstheme="minorHAnsi"/>
          <w:sz w:val="24"/>
          <w:szCs w:val="24"/>
        </w:rPr>
        <w:t>needs are met and have full access to the curriculum</w:t>
      </w:r>
      <w:r w:rsidR="0036320F">
        <w:rPr>
          <w:rFonts w:cstheme="minorHAnsi"/>
          <w:sz w:val="24"/>
          <w:szCs w:val="24"/>
        </w:rPr>
        <w:t xml:space="preserve"> with their parents playing a vital role in their education</w:t>
      </w:r>
      <w:r w:rsidR="0036320F" w:rsidRPr="006B094B">
        <w:rPr>
          <w:rFonts w:cstheme="minorHAnsi"/>
          <w:sz w:val="24"/>
          <w:szCs w:val="24"/>
        </w:rPr>
        <w:t>.</w:t>
      </w:r>
      <w:r w:rsidR="00723DA1" w:rsidRPr="006B094B">
        <w:rPr>
          <w:rFonts w:cstheme="minorHAnsi"/>
          <w:sz w:val="24"/>
          <w:szCs w:val="24"/>
        </w:rPr>
        <w:t xml:space="preserve"> </w:t>
      </w:r>
      <w:r w:rsidR="006B094B" w:rsidRPr="006B094B">
        <w:rPr>
          <w:rFonts w:cstheme="minorHAnsi"/>
          <w:sz w:val="24"/>
          <w:szCs w:val="24"/>
        </w:rPr>
        <w:t>Special Educational Needs</w:t>
      </w:r>
      <w:r w:rsidR="006B094B">
        <w:rPr>
          <w:rFonts w:cstheme="minorHAnsi"/>
          <w:sz w:val="24"/>
          <w:szCs w:val="24"/>
        </w:rPr>
        <w:t xml:space="preserve"> (SEN) </w:t>
      </w:r>
      <w:r w:rsidR="002C5E65">
        <w:rPr>
          <w:rFonts w:cstheme="minorHAnsi"/>
          <w:sz w:val="24"/>
          <w:szCs w:val="24"/>
        </w:rPr>
        <w:t xml:space="preserve">and Learning difficulties and/or disabilities (LDD) </w:t>
      </w:r>
      <w:r w:rsidR="006B094B">
        <w:rPr>
          <w:rFonts w:cstheme="minorHAnsi"/>
          <w:sz w:val="24"/>
          <w:szCs w:val="24"/>
        </w:rPr>
        <w:t xml:space="preserve">is now going to be </w:t>
      </w:r>
      <w:r w:rsidR="002C5E65">
        <w:rPr>
          <w:rFonts w:cstheme="minorHAnsi"/>
          <w:sz w:val="24"/>
          <w:szCs w:val="24"/>
        </w:rPr>
        <w:t>referred as</w:t>
      </w:r>
      <w:r w:rsidR="006B094B">
        <w:rPr>
          <w:rFonts w:cstheme="minorHAnsi"/>
          <w:sz w:val="24"/>
          <w:szCs w:val="24"/>
        </w:rPr>
        <w:t xml:space="preserve"> ALN </w:t>
      </w:r>
      <w:r w:rsidR="00286F14">
        <w:rPr>
          <w:rFonts w:cstheme="minorHAnsi"/>
          <w:sz w:val="24"/>
          <w:szCs w:val="24"/>
        </w:rPr>
        <w:t xml:space="preserve">through the ALN transformation programme (WAG, 2017) </w:t>
      </w:r>
      <w:r w:rsidR="006B094B">
        <w:rPr>
          <w:rFonts w:cstheme="minorHAnsi"/>
          <w:sz w:val="24"/>
          <w:szCs w:val="24"/>
        </w:rPr>
        <w:t xml:space="preserve">to create a unified system that supports all young people with additional needs to provide an inclusive environment for all. </w:t>
      </w:r>
      <w:r w:rsidR="007C21BE">
        <w:rPr>
          <w:rFonts w:cstheme="minorHAnsi"/>
          <w:sz w:val="24"/>
          <w:szCs w:val="24"/>
        </w:rPr>
        <w:t>The ALN transformation programme is currently in draft form and each individual will have a</w:t>
      </w:r>
      <w:r w:rsidR="00BC15BF">
        <w:rPr>
          <w:rFonts w:cstheme="minorHAnsi"/>
          <w:sz w:val="24"/>
          <w:szCs w:val="24"/>
        </w:rPr>
        <w:t>n</w:t>
      </w:r>
      <w:r w:rsidR="007C21BE">
        <w:rPr>
          <w:rFonts w:cstheme="minorHAnsi"/>
          <w:sz w:val="24"/>
          <w:szCs w:val="24"/>
        </w:rPr>
        <w:t xml:space="preserve"> individual development plan (IDP) </w:t>
      </w:r>
      <w:r w:rsidR="00BC15BF">
        <w:rPr>
          <w:rFonts w:cstheme="minorHAnsi"/>
          <w:sz w:val="24"/>
          <w:szCs w:val="24"/>
        </w:rPr>
        <w:t>which learners have a legal right to have.</w:t>
      </w:r>
    </w:p>
    <w:p w14:paraId="3B872C6B" w14:textId="72AC5884" w:rsidR="00376EAE" w:rsidRDefault="00376EAE" w:rsidP="00A56DA6">
      <w:pPr>
        <w:spacing w:line="360" w:lineRule="auto"/>
        <w:rPr>
          <w:b/>
          <w:sz w:val="24"/>
          <w:szCs w:val="24"/>
        </w:rPr>
      </w:pPr>
    </w:p>
    <w:p w14:paraId="58CCC300" w14:textId="4261CB5D" w:rsidR="00596C6D" w:rsidRDefault="00596C6D" w:rsidP="00A56DA6">
      <w:pPr>
        <w:spacing w:line="360" w:lineRule="auto"/>
        <w:rPr>
          <w:b/>
          <w:sz w:val="24"/>
          <w:szCs w:val="24"/>
        </w:rPr>
      </w:pPr>
    </w:p>
    <w:p w14:paraId="3CC38BFF" w14:textId="77777777" w:rsidR="00596C6D" w:rsidRPr="00D90A79" w:rsidRDefault="00596C6D" w:rsidP="00A56DA6">
      <w:pPr>
        <w:spacing w:line="360" w:lineRule="auto"/>
        <w:rPr>
          <w:b/>
          <w:sz w:val="24"/>
          <w:szCs w:val="24"/>
        </w:rPr>
      </w:pPr>
    </w:p>
    <w:p w14:paraId="4BBFCFF3" w14:textId="77777777" w:rsidR="00D90A79" w:rsidRDefault="00D90A79" w:rsidP="00A56DA6">
      <w:pPr>
        <w:spacing w:line="360" w:lineRule="auto"/>
        <w:rPr>
          <w:b/>
          <w:sz w:val="24"/>
          <w:szCs w:val="24"/>
        </w:rPr>
      </w:pPr>
      <w:r w:rsidRPr="00D90A79">
        <w:rPr>
          <w:b/>
          <w:sz w:val="24"/>
          <w:szCs w:val="24"/>
        </w:rPr>
        <w:lastRenderedPageBreak/>
        <w:t>Main body</w:t>
      </w:r>
    </w:p>
    <w:p w14:paraId="18997745" w14:textId="5892F592" w:rsidR="00D90A79" w:rsidRDefault="00E06628" w:rsidP="00A56DA6">
      <w:pPr>
        <w:spacing w:line="360" w:lineRule="auto"/>
        <w:rPr>
          <w:rFonts w:cstheme="minorHAnsi"/>
          <w:sz w:val="24"/>
          <w:szCs w:val="24"/>
        </w:rPr>
      </w:pPr>
      <w:r>
        <w:rPr>
          <w:sz w:val="24"/>
          <w:szCs w:val="24"/>
        </w:rPr>
        <w:t>The questionnaire consisted of 27 questions</w:t>
      </w:r>
      <w:r w:rsidR="009A4F91">
        <w:rPr>
          <w:sz w:val="24"/>
          <w:szCs w:val="24"/>
        </w:rPr>
        <w:t xml:space="preserve"> including questions about individuals’ experiences and schools’ policies towards an inclusive practice of children with dyslexia. This number of questions was decided as it was felt that there needed to be sufficient amount of questions to receive both qualitative and quantitative data. </w:t>
      </w:r>
      <w:r w:rsidR="00AA3F7C">
        <w:rPr>
          <w:sz w:val="24"/>
          <w:szCs w:val="24"/>
        </w:rPr>
        <w:t>Too many questions would have discouraged participants to answer the questionnaire as it would have been too time consumin</w:t>
      </w:r>
      <w:r w:rsidR="00AA3F7C" w:rsidRPr="00082BD9">
        <w:rPr>
          <w:sz w:val="24"/>
          <w:szCs w:val="24"/>
        </w:rPr>
        <w:t>g (</w:t>
      </w:r>
      <w:r w:rsidR="00082BD9" w:rsidRPr="00082BD9">
        <w:rPr>
          <w:sz w:val="24"/>
          <w:szCs w:val="24"/>
        </w:rPr>
        <w:t>Fink, 1995b</w:t>
      </w:r>
      <w:r w:rsidR="00AA3F7C" w:rsidRPr="00082BD9">
        <w:rPr>
          <w:sz w:val="24"/>
          <w:szCs w:val="24"/>
        </w:rPr>
        <w:t>).</w:t>
      </w:r>
      <w:r w:rsidR="00AA3F7C">
        <w:rPr>
          <w:sz w:val="24"/>
          <w:szCs w:val="24"/>
        </w:rPr>
        <w:t xml:space="preserve"> </w:t>
      </w:r>
      <w:r w:rsidR="00343674">
        <w:rPr>
          <w:sz w:val="24"/>
          <w:szCs w:val="24"/>
        </w:rPr>
        <w:t xml:space="preserve">Teacher’s </w:t>
      </w:r>
      <w:r w:rsidR="00FF4509">
        <w:rPr>
          <w:sz w:val="24"/>
          <w:szCs w:val="24"/>
        </w:rPr>
        <w:t>workloads</w:t>
      </w:r>
      <w:r w:rsidR="00343674">
        <w:rPr>
          <w:sz w:val="24"/>
          <w:szCs w:val="24"/>
        </w:rPr>
        <w:t xml:space="preserve"> having become increasingly demanding and time consuming as Speck (2019) </w:t>
      </w:r>
      <w:r w:rsidR="00D56E0A">
        <w:rPr>
          <w:sz w:val="24"/>
          <w:szCs w:val="24"/>
        </w:rPr>
        <w:t>suggests from research that 56% of respondents believe that their work load has become worse within the past year.</w:t>
      </w:r>
      <w:r w:rsidR="00FF4509">
        <w:rPr>
          <w:sz w:val="24"/>
          <w:szCs w:val="24"/>
        </w:rPr>
        <w:t xml:space="preserve"> This was another element taken into consideration whilst creating the questionnaire to ensure it was not impacting on participants free time.</w:t>
      </w:r>
      <w:r w:rsidR="00BD7FB0">
        <w:rPr>
          <w:sz w:val="24"/>
          <w:szCs w:val="24"/>
        </w:rPr>
        <w:t xml:space="preserve"> Within the email with the link to the questionnaire contained a covering letter to explain why the research was being carried out and that responses remained anonymous in line with </w:t>
      </w:r>
      <w:r w:rsidR="00BD7FB0" w:rsidRPr="00111784">
        <w:rPr>
          <w:rFonts w:cstheme="minorHAnsi"/>
          <w:sz w:val="24"/>
          <w:szCs w:val="24"/>
        </w:rPr>
        <w:t xml:space="preserve">BERA </w:t>
      </w:r>
      <w:r w:rsidR="00BD7FB0">
        <w:rPr>
          <w:rFonts w:cstheme="minorHAnsi"/>
          <w:sz w:val="24"/>
          <w:szCs w:val="24"/>
        </w:rPr>
        <w:t>(</w:t>
      </w:r>
      <w:r w:rsidR="00BD7FB0" w:rsidRPr="00111784">
        <w:rPr>
          <w:rFonts w:cstheme="minorHAnsi"/>
          <w:sz w:val="24"/>
          <w:szCs w:val="24"/>
        </w:rPr>
        <w:t>2018</w:t>
      </w:r>
      <w:r w:rsidR="00BD7FB0">
        <w:rPr>
          <w:rFonts w:cstheme="minorHAnsi"/>
          <w:sz w:val="24"/>
          <w:szCs w:val="24"/>
        </w:rPr>
        <w:t>)</w:t>
      </w:r>
      <w:r w:rsidR="00BD7FB0" w:rsidRPr="00111784">
        <w:rPr>
          <w:rFonts w:cstheme="minorHAnsi"/>
          <w:sz w:val="24"/>
          <w:szCs w:val="24"/>
        </w:rPr>
        <w:t xml:space="preserve"> guidelines and the GDPR </w:t>
      </w:r>
      <w:r w:rsidR="00BD7FB0">
        <w:rPr>
          <w:rFonts w:cstheme="minorHAnsi"/>
          <w:sz w:val="24"/>
          <w:szCs w:val="24"/>
        </w:rPr>
        <w:t>(ICO, 2018).</w:t>
      </w:r>
    </w:p>
    <w:p w14:paraId="52814B50" w14:textId="77777777" w:rsidR="001612FB" w:rsidRDefault="00E33886" w:rsidP="00A56DA6">
      <w:pPr>
        <w:spacing w:line="360" w:lineRule="auto"/>
        <w:rPr>
          <w:rFonts w:cstheme="minorHAnsi"/>
          <w:sz w:val="24"/>
          <w:szCs w:val="24"/>
        </w:rPr>
      </w:pPr>
      <w:r>
        <w:rPr>
          <w:rFonts w:cstheme="minorHAnsi"/>
          <w:sz w:val="24"/>
          <w:szCs w:val="24"/>
        </w:rPr>
        <w:t xml:space="preserve"> </w:t>
      </w:r>
    </w:p>
    <w:p w14:paraId="45330D36" w14:textId="6E00060E" w:rsidR="00E33886" w:rsidRPr="00E33886" w:rsidRDefault="00E33886" w:rsidP="00A56DA6">
      <w:pPr>
        <w:spacing w:line="360" w:lineRule="auto"/>
        <w:rPr>
          <w:sz w:val="24"/>
          <w:szCs w:val="24"/>
        </w:rPr>
      </w:pPr>
      <w:r>
        <w:rPr>
          <w:rFonts w:cstheme="minorHAnsi"/>
          <w:sz w:val="24"/>
          <w:szCs w:val="24"/>
        </w:rPr>
        <w:t>The questionnaire contained mostly closed questions to receive quantitative data as it is more time efficient and easier to gather and categorise data</w:t>
      </w:r>
      <w:r w:rsidR="00392ED5">
        <w:rPr>
          <w:rFonts w:cstheme="minorHAnsi"/>
          <w:sz w:val="24"/>
          <w:szCs w:val="24"/>
        </w:rPr>
        <w:t xml:space="preserve"> (McNeil and Chapman, 2005</w:t>
      </w:r>
      <w:r>
        <w:rPr>
          <w:rFonts w:cstheme="minorHAnsi"/>
          <w:sz w:val="24"/>
          <w:szCs w:val="24"/>
        </w:rPr>
        <w:t xml:space="preserve">). There were also open questions to be able to gather qualitative data allowing participants to give more information and opinions </w:t>
      </w:r>
      <w:r w:rsidRPr="008360DC">
        <w:rPr>
          <w:rFonts w:cstheme="minorHAnsi"/>
          <w:sz w:val="24"/>
          <w:szCs w:val="24"/>
        </w:rPr>
        <w:t>(</w:t>
      </w:r>
      <w:r w:rsidR="008360DC">
        <w:rPr>
          <w:rFonts w:cstheme="minorHAnsi"/>
          <w:sz w:val="24"/>
          <w:szCs w:val="24"/>
        </w:rPr>
        <w:t>Fink, 1995b</w:t>
      </w:r>
      <w:r w:rsidRPr="008360DC">
        <w:rPr>
          <w:rFonts w:cstheme="minorHAnsi"/>
          <w:sz w:val="24"/>
          <w:szCs w:val="24"/>
        </w:rPr>
        <w:t>).</w:t>
      </w:r>
      <w:r>
        <w:rPr>
          <w:rFonts w:cstheme="minorHAnsi"/>
          <w:b/>
          <w:sz w:val="24"/>
          <w:szCs w:val="24"/>
        </w:rPr>
        <w:t xml:space="preserve"> </w:t>
      </w:r>
      <w:r w:rsidR="00CE3D86">
        <w:rPr>
          <w:rFonts w:cstheme="minorHAnsi"/>
          <w:sz w:val="24"/>
          <w:szCs w:val="24"/>
        </w:rPr>
        <w:t>The closed questions used a mixture of multiple-choice questions to enable the researchers to categorise the data and Likert scales to measure opinions and perceptions of different approaches to dyslexia</w:t>
      </w:r>
      <w:r w:rsidR="008360DC">
        <w:rPr>
          <w:rFonts w:cstheme="minorHAnsi"/>
          <w:sz w:val="24"/>
          <w:szCs w:val="24"/>
        </w:rPr>
        <w:t xml:space="preserve">. </w:t>
      </w:r>
      <w:r w:rsidR="00553532">
        <w:rPr>
          <w:rFonts w:cstheme="minorHAnsi"/>
          <w:sz w:val="24"/>
          <w:szCs w:val="24"/>
        </w:rPr>
        <w:t xml:space="preserve">In the questions that included a Likert scale, there was no option for no opinion as it may cause the respondent to </w:t>
      </w:r>
      <w:r w:rsidR="006E765B">
        <w:rPr>
          <w:rFonts w:cstheme="minorHAnsi"/>
          <w:sz w:val="24"/>
          <w:szCs w:val="24"/>
        </w:rPr>
        <w:t xml:space="preserve">pick no opinion which would not be helpful for the research. </w:t>
      </w:r>
      <w:r w:rsidR="00A34CF5">
        <w:rPr>
          <w:rFonts w:cstheme="minorHAnsi"/>
          <w:sz w:val="24"/>
          <w:szCs w:val="24"/>
        </w:rPr>
        <w:t>However, this could be seen as pushing respondents into an answer but there was an option to not answer the question to overcome this</w:t>
      </w:r>
      <w:r w:rsidR="002B7374">
        <w:rPr>
          <w:rFonts w:cstheme="minorHAnsi"/>
          <w:sz w:val="24"/>
          <w:szCs w:val="24"/>
        </w:rPr>
        <w:t xml:space="preserve"> (McNeil and Chapman, 2005).</w:t>
      </w:r>
    </w:p>
    <w:p w14:paraId="528E9F97" w14:textId="77777777" w:rsidR="00757BEF" w:rsidRDefault="00757BEF" w:rsidP="00A56DA6">
      <w:pPr>
        <w:spacing w:line="360" w:lineRule="auto"/>
        <w:rPr>
          <w:sz w:val="24"/>
          <w:szCs w:val="24"/>
        </w:rPr>
      </w:pPr>
    </w:p>
    <w:p w14:paraId="448D4EEE" w14:textId="24DBE922" w:rsidR="00757BEF" w:rsidRDefault="005A3AE2" w:rsidP="00A56DA6">
      <w:pPr>
        <w:spacing w:line="360" w:lineRule="auto"/>
        <w:rPr>
          <w:sz w:val="24"/>
          <w:szCs w:val="24"/>
        </w:rPr>
      </w:pPr>
      <w:r>
        <w:rPr>
          <w:sz w:val="24"/>
          <w:szCs w:val="24"/>
        </w:rPr>
        <w:t xml:space="preserve">Dyslexia was chosen as the ALN topic for the group research as all members of the group had experiences working with a child with dyslexia whilst on PTE but had little knowledge of how to support a child with dyslexia. </w:t>
      </w:r>
      <w:r w:rsidR="00911578">
        <w:rPr>
          <w:sz w:val="24"/>
          <w:szCs w:val="24"/>
        </w:rPr>
        <w:t xml:space="preserve">Dyslexia has major links with people having challenges with literacy which raised a major interest in the group as it is found that literacy levels in Wales </w:t>
      </w:r>
      <w:r w:rsidR="00035DF6">
        <w:rPr>
          <w:sz w:val="24"/>
          <w:szCs w:val="24"/>
        </w:rPr>
        <w:t>are low as 12% of the population in Wales have not re</w:t>
      </w:r>
      <w:r w:rsidR="009A2796">
        <w:rPr>
          <w:sz w:val="24"/>
          <w:szCs w:val="24"/>
        </w:rPr>
        <w:t>ached</w:t>
      </w:r>
      <w:r w:rsidR="00035DF6">
        <w:rPr>
          <w:sz w:val="24"/>
          <w:szCs w:val="24"/>
        </w:rPr>
        <w:t xml:space="preserve"> level 1 in basic literacy skills (Furlong, 2015).</w:t>
      </w:r>
      <w:r w:rsidR="009A2796">
        <w:rPr>
          <w:sz w:val="24"/>
          <w:szCs w:val="24"/>
        </w:rPr>
        <w:t xml:space="preserve"> </w:t>
      </w:r>
      <w:r w:rsidR="00164DD9">
        <w:rPr>
          <w:sz w:val="24"/>
          <w:szCs w:val="24"/>
        </w:rPr>
        <w:t xml:space="preserve">This could be due to the lack of support from teachers in school as they have not received training on dyslexia leading to children leaving school without basic literacy skills. </w:t>
      </w:r>
      <w:r w:rsidR="003943B3">
        <w:rPr>
          <w:sz w:val="24"/>
          <w:szCs w:val="24"/>
        </w:rPr>
        <w:t>Teachers having a negative</w:t>
      </w:r>
      <w:r w:rsidR="005704E8">
        <w:rPr>
          <w:sz w:val="24"/>
          <w:szCs w:val="24"/>
        </w:rPr>
        <w:t xml:space="preserve"> </w:t>
      </w:r>
      <w:r w:rsidR="003943B3">
        <w:rPr>
          <w:sz w:val="24"/>
          <w:szCs w:val="24"/>
        </w:rPr>
        <w:t xml:space="preserve">attitude </w:t>
      </w:r>
      <w:r w:rsidR="00A11A96">
        <w:rPr>
          <w:sz w:val="24"/>
          <w:szCs w:val="24"/>
        </w:rPr>
        <w:t>and</w:t>
      </w:r>
      <w:r w:rsidR="007549F3">
        <w:rPr>
          <w:sz w:val="24"/>
          <w:szCs w:val="24"/>
        </w:rPr>
        <w:t xml:space="preserve"> not giving </w:t>
      </w:r>
      <w:r w:rsidR="00A11A96">
        <w:rPr>
          <w:sz w:val="24"/>
          <w:szCs w:val="24"/>
        </w:rPr>
        <w:t>children with dyslexia support leads to children lack</w:t>
      </w:r>
      <w:r w:rsidR="007549F3">
        <w:rPr>
          <w:sz w:val="24"/>
          <w:szCs w:val="24"/>
        </w:rPr>
        <w:t>ing</w:t>
      </w:r>
      <w:r w:rsidR="00A11A96">
        <w:rPr>
          <w:sz w:val="24"/>
          <w:szCs w:val="24"/>
        </w:rPr>
        <w:t xml:space="preserve"> confidence and contribut</w:t>
      </w:r>
      <w:r w:rsidR="007549F3">
        <w:rPr>
          <w:sz w:val="24"/>
          <w:szCs w:val="24"/>
        </w:rPr>
        <w:t>ing</w:t>
      </w:r>
      <w:r w:rsidR="00A11A96">
        <w:rPr>
          <w:sz w:val="24"/>
          <w:szCs w:val="24"/>
        </w:rPr>
        <w:t xml:space="preserve"> to poor achievement in school </w:t>
      </w:r>
      <w:r w:rsidR="00A11A96">
        <w:rPr>
          <w:sz w:val="24"/>
          <w:szCs w:val="24"/>
        </w:rPr>
        <w:lastRenderedPageBreak/>
        <w:t>(</w:t>
      </w:r>
      <w:r w:rsidR="009409CD">
        <w:rPr>
          <w:sz w:val="24"/>
          <w:szCs w:val="24"/>
        </w:rPr>
        <w:t>Gibson and Kendall, 2010).</w:t>
      </w:r>
      <w:r w:rsidR="00C669B4">
        <w:rPr>
          <w:sz w:val="24"/>
          <w:szCs w:val="24"/>
        </w:rPr>
        <w:t xml:space="preserve"> </w:t>
      </w:r>
      <w:r w:rsidR="009F61F7">
        <w:rPr>
          <w:sz w:val="24"/>
          <w:szCs w:val="24"/>
        </w:rPr>
        <w:t xml:space="preserve">Children with dyslexia are found to have poor time management and 80-90% are found to have difficulties with balance leading them to face challenges in other subjects not just literacy as these difficulties come up across the curriculum (Fawcett, Nicolson and Dean, 1996 cited in WAG, 2012, p. 14). </w:t>
      </w:r>
      <w:r w:rsidR="000821BC">
        <w:rPr>
          <w:sz w:val="24"/>
          <w:szCs w:val="24"/>
        </w:rPr>
        <w:t xml:space="preserve"> Dyslexia has a different impact on each individual, there is a large number of children with dyslexia that underachieve </w:t>
      </w:r>
      <w:r w:rsidR="00BB114D">
        <w:rPr>
          <w:sz w:val="24"/>
          <w:szCs w:val="24"/>
        </w:rPr>
        <w:t>as they face fewer career opportunities and difficulties socialising (</w:t>
      </w:r>
      <w:proofErr w:type="spellStart"/>
      <w:r w:rsidR="00BB114D">
        <w:rPr>
          <w:sz w:val="24"/>
          <w:szCs w:val="24"/>
        </w:rPr>
        <w:t>Rojewski</w:t>
      </w:r>
      <w:proofErr w:type="spellEnd"/>
      <w:r w:rsidR="00BB114D">
        <w:rPr>
          <w:sz w:val="24"/>
          <w:szCs w:val="24"/>
        </w:rPr>
        <w:t>, 19</w:t>
      </w:r>
      <w:r w:rsidR="000A53ED">
        <w:rPr>
          <w:sz w:val="24"/>
          <w:szCs w:val="24"/>
        </w:rPr>
        <w:t>9</w:t>
      </w:r>
      <w:r w:rsidR="00BB114D">
        <w:rPr>
          <w:sz w:val="24"/>
          <w:szCs w:val="24"/>
        </w:rPr>
        <w:t xml:space="preserve">9 cited in WAG, 2012, p.29). In contrast, </w:t>
      </w:r>
      <w:proofErr w:type="spellStart"/>
      <w:r w:rsidR="00BB114D">
        <w:rPr>
          <w:sz w:val="24"/>
          <w:szCs w:val="24"/>
        </w:rPr>
        <w:t>Seo</w:t>
      </w:r>
      <w:proofErr w:type="spellEnd"/>
      <w:r w:rsidR="00BB114D">
        <w:rPr>
          <w:sz w:val="24"/>
          <w:szCs w:val="24"/>
        </w:rPr>
        <w:t>, Abbott and Hawkins (2008, cited in WAG, 2012, p. 29) believe that children with dyslexia do not have any difficulties achieving academically in line with other peers</w:t>
      </w:r>
      <w:r w:rsidR="00AE1736">
        <w:rPr>
          <w:sz w:val="24"/>
          <w:szCs w:val="24"/>
        </w:rPr>
        <w:t>.</w:t>
      </w:r>
    </w:p>
    <w:p w14:paraId="66BD44AC" w14:textId="06005A40" w:rsidR="00A96DFB" w:rsidRDefault="00A96DFB" w:rsidP="00A56DA6">
      <w:pPr>
        <w:spacing w:line="360" w:lineRule="auto"/>
        <w:rPr>
          <w:sz w:val="24"/>
          <w:szCs w:val="24"/>
        </w:rPr>
      </w:pPr>
    </w:p>
    <w:p w14:paraId="5692F29C" w14:textId="650E45CE" w:rsidR="00A96DFB" w:rsidRDefault="008C5771" w:rsidP="00A56DA6">
      <w:pPr>
        <w:spacing w:line="360" w:lineRule="auto"/>
        <w:rPr>
          <w:sz w:val="24"/>
          <w:szCs w:val="24"/>
        </w:rPr>
      </w:pPr>
      <w:r>
        <w:rPr>
          <w:sz w:val="24"/>
          <w:szCs w:val="24"/>
        </w:rPr>
        <w:t>From the 9 responses from the questionnaire 67% of participants were teachers within a school, 22% were teaching assistants and 11% were SENCOs. The data gathered from the questionnaire will not give an even over view of what school</w:t>
      </w:r>
      <w:r w:rsidR="000A53ED">
        <w:rPr>
          <w:sz w:val="24"/>
          <w:szCs w:val="24"/>
        </w:rPr>
        <w:t>s’</w:t>
      </w:r>
      <w:r>
        <w:rPr>
          <w:sz w:val="24"/>
          <w:szCs w:val="24"/>
        </w:rPr>
        <w:t xml:space="preserve"> approach</w:t>
      </w:r>
      <w:r w:rsidR="000A53ED">
        <w:rPr>
          <w:sz w:val="24"/>
          <w:szCs w:val="24"/>
        </w:rPr>
        <w:t>es</w:t>
      </w:r>
      <w:r>
        <w:rPr>
          <w:sz w:val="24"/>
          <w:szCs w:val="24"/>
        </w:rPr>
        <w:t xml:space="preserve"> </w:t>
      </w:r>
      <w:r w:rsidR="000A53ED">
        <w:rPr>
          <w:sz w:val="24"/>
          <w:szCs w:val="24"/>
        </w:rPr>
        <w:t>are to</w:t>
      </w:r>
      <w:r>
        <w:rPr>
          <w:sz w:val="24"/>
          <w:szCs w:val="24"/>
        </w:rPr>
        <w:t xml:space="preserve"> </w:t>
      </w:r>
      <w:r w:rsidR="00B1219C">
        <w:rPr>
          <w:sz w:val="24"/>
          <w:szCs w:val="24"/>
        </w:rPr>
        <w:t xml:space="preserve">supporting </w:t>
      </w:r>
      <w:r>
        <w:rPr>
          <w:sz w:val="24"/>
          <w:szCs w:val="24"/>
        </w:rPr>
        <w:t>dyslexia but will give an insight into what teachers’ views of support</w:t>
      </w:r>
      <w:r w:rsidR="0024023E">
        <w:rPr>
          <w:sz w:val="24"/>
          <w:szCs w:val="24"/>
        </w:rPr>
        <w:t>ing</w:t>
      </w:r>
      <w:r>
        <w:rPr>
          <w:sz w:val="24"/>
          <w:szCs w:val="24"/>
        </w:rPr>
        <w:t xml:space="preserve"> children with dyslexia are.</w:t>
      </w:r>
      <w:r w:rsidR="0024023E">
        <w:rPr>
          <w:sz w:val="24"/>
          <w:szCs w:val="24"/>
        </w:rPr>
        <w:t xml:space="preserve"> </w:t>
      </w:r>
      <w:r w:rsidR="007C17B1">
        <w:rPr>
          <w:sz w:val="24"/>
          <w:szCs w:val="24"/>
        </w:rPr>
        <w:t>89% of respondents have over 10 years’ experience working within the primary sector. From this data the group pr</w:t>
      </w:r>
      <w:r w:rsidR="00F93D09">
        <w:rPr>
          <w:sz w:val="24"/>
          <w:szCs w:val="24"/>
        </w:rPr>
        <w:t>edicted</w:t>
      </w:r>
      <w:r w:rsidR="007C17B1">
        <w:rPr>
          <w:sz w:val="24"/>
          <w:szCs w:val="24"/>
        </w:rPr>
        <w:t xml:space="preserve"> that the more years’ experience they have within a school the more likely they are </w:t>
      </w:r>
      <w:r w:rsidR="00D14214">
        <w:rPr>
          <w:sz w:val="24"/>
          <w:szCs w:val="24"/>
        </w:rPr>
        <w:t xml:space="preserve">to </w:t>
      </w:r>
      <w:r w:rsidR="007C17B1">
        <w:rPr>
          <w:sz w:val="24"/>
          <w:szCs w:val="24"/>
        </w:rPr>
        <w:t>have to experience</w:t>
      </w:r>
      <w:r w:rsidR="00D14214">
        <w:rPr>
          <w:sz w:val="24"/>
          <w:szCs w:val="24"/>
        </w:rPr>
        <w:t>d</w:t>
      </w:r>
      <w:r w:rsidR="007C17B1">
        <w:rPr>
          <w:sz w:val="24"/>
          <w:szCs w:val="24"/>
        </w:rPr>
        <w:t xml:space="preserve"> child</w:t>
      </w:r>
      <w:r w:rsidR="00D14214">
        <w:rPr>
          <w:sz w:val="24"/>
          <w:szCs w:val="24"/>
        </w:rPr>
        <w:t>ren</w:t>
      </w:r>
      <w:r w:rsidR="007C17B1">
        <w:rPr>
          <w:sz w:val="24"/>
          <w:szCs w:val="24"/>
        </w:rPr>
        <w:t xml:space="preserve"> with dyslexia.</w:t>
      </w:r>
      <w:r w:rsidR="00D14214">
        <w:rPr>
          <w:sz w:val="24"/>
          <w:szCs w:val="24"/>
        </w:rPr>
        <w:t xml:space="preserve"> On the other hand, this was not the case as only 2 out of the 9 participants</w:t>
      </w:r>
      <w:r w:rsidR="000A53ED">
        <w:rPr>
          <w:sz w:val="24"/>
          <w:szCs w:val="24"/>
        </w:rPr>
        <w:t xml:space="preserve"> (22%) have</w:t>
      </w:r>
      <w:r w:rsidR="00D14214">
        <w:rPr>
          <w:sz w:val="24"/>
          <w:szCs w:val="24"/>
        </w:rPr>
        <w:t xml:space="preserve"> children diagnosed with dyslexia within their class (see figure 1)</w:t>
      </w:r>
      <w:r w:rsidR="00830844">
        <w:rPr>
          <w:sz w:val="24"/>
          <w:szCs w:val="24"/>
        </w:rPr>
        <w:t>.</w:t>
      </w:r>
      <w:r w:rsidR="00F36FA0">
        <w:rPr>
          <w:sz w:val="24"/>
          <w:szCs w:val="24"/>
        </w:rPr>
        <w:t xml:space="preserve"> The respondent with the least amount of experience in schools had </w:t>
      </w:r>
      <w:r w:rsidR="00D75F4C">
        <w:rPr>
          <w:sz w:val="24"/>
          <w:szCs w:val="24"/>
        </w:rPr>
        <w:t>the greatest</w:t>
      </w:r>
      <w:r w:rsidR="00F36FA0">
        <w:rPr>
          <w:sz w:val="24"/>
          <w:szCs w:val="24"/>
        </w:rPr>
        <w:t xml:space="preserve"> number of pupils with dyslexia within </w:t>
      </w:r>
      <w:r w:rsidR="000A53ED">
        <w:rPr>
          <w:sz w:val="24"/>
          <w:szCs w:val="24"/>
        </w:rPr>
        <w:t>their</w:t>
      </w:r>
      <w:r w:rsidR="00F36FA0">
        <w:rPr>
          <w:sz w:val="24"/>
          <w:szCs w:val="24"/>
        </w:rPr>
        <w:t xml:space="preserve"> class. </w:t>
      </w:r>
      <w:r w:rsidR="00D75F4C">
        <w:rPr>
          <w:sz w:val="24"/>
          <w:szCs w:val="24"/>
        </w:rPr>
        <w:t>As 78% of respondents did not have any pupils with dyslexia in their class their answers may not be as reliable as the data gathered from those with pupils with dyslexia in their class.</w:t>
      </w:r>
      <w:r w:rsidR="00B85FED">
        <w:rPr>
          <w:sz w:val="24"/>
          <w:szCs w:val="24"/>
        </w:rPr>
        <w:t xml:space="preserve"> It would have been more useless to ask the participants if they had experienced children with dyslexia in their careers rather than their current class.</w:t>
      </w:r>
    </w:p>
    <w:p w14:paraId="55DC5872" w14:textId="0139F20C" w:rsidR="00D14214" w:rsidRDefault="00D14214" w:rsidP="00A56DA6">
      <w:pPr>
        <w:spacing w:line="360" w:lineRule="auto"/>
        <w:rPr>
          <w:sz w:val="24"/>
          <w:szCs w:val="24"/>
        </w:rPr>
      </w:pPr>
    </w:p>
    <w:tbl>
      <w:tblPr>
        <w:tblW w:w="7080" w:type="dxa"/>
        <w:tblLook w:val="04A0" w:firstRow="1" w:lastRow="0" w:firstColumn="1" w:lastColumn="0" w:noHBand="0" w:noVBand="1"/>
      </w:tblPr>
      <w:tblGrid>
        <w:gridCol w:w="1480"/>
        <w:gridCol w:w="3500"/>
        <w:gridCol w:w="2100"/>
      </w:tblGrid>
      <w:tr w:rsidR="00830844" w:rsidRPr="00830844" w14:paraId="538EE6EB" w14:textId="77777777" w:rsidTr="00830844">
        <w:trPr>
          <w:trHeight w:val="320"/>
        </w:trPr>
        <w:tc>
          <w:tcPr>
            <w:tcW w:w="1480" w:type="dxa"/>
            <w:tcBorders>
              <w:top w:val="nil"/>
              <w:left w:val="nil"/>
              <w:bottom w:val="single" w:sz="12" w:space="0" w:color="FFFFFF"/>
              <w:right w:val="single" w:sz="4" w:space="0" w:color="FFFFFF"/>
            </w:tcBorders>
            <w:shd w:val="clear" w:color="4472C4" w:fill="4472C4"/>
            <w:noWrap/>
            <w:vAlign w:val="bottom"/>
            <w:hideMark/>
          </w:tcPr>
          <w:p w14:paraId="4F445DCE" w14:textId="77777777" w:rsidR="00830844" w:rsidRPr="00830844" w:rsidRDefault="00830844" w:rsidP="00830844">
            <w:pPr>
              <w:jc w:val="center"/>
              <w:rPr>
                <w:rFonts w:ascii="Calibri" w:hAnsi="Calibri" w:cs="Calibri"/>
                <w:b/>
                <w:bCs/>
                <w:color w:val="FFFFFF"/>
                <w:sz w:val="24"/>
                <w:szCs w:val="24"/>
                <w:lang w:eastAsia="en-US"/>
              </w:rPr>
            </w:pPr>
            <w:r w:rsidRPr="00830844">
              <w:rPr>
                <w:rFonts w:ascii="Calibri" w:hAnsi="Calibri" w:cs="Calibri"/>
                <w:b/>
                <w:bCs/>
                <w:color w:val="FFFFFF"/>
                <w:sz w:val="24"/>
                <w:szCs w:val="24"/>
                <w:lang w:eastAsia="en-US"/>
              </w:rPr>
              <w:t>Participant</w:t>
            </w:r>
          </w:p>
        </w:tc>
        <w:tc>
          <w:tcPr>
            <w:tcW w:w="3500" w:type="dxa"/>
            <w:tcBorders>
              <w:top w:val="nil"/>
              <w:left w:val="single" w:sz="4" w:space="0" w:color="FFFFFF"/>
              <w:bottom w:val="single" w:sz="12" w:space="0" w:color="FFFFFF"/>
              <w:right w:val="single" w:sz="4" w:space="0" w:color="FFFFFF"/>
            </w:tcBorders>
            <w:shd w:val="clear" w:color="4472C4" w:fill="4472C4"/>
            <w:noWrap/>
            <w:vAlign w:val="bottom"/>
            <w:hideMark/>
          </w:tcPr>
          <w:p w14:paraId="0CCF98D5" w14:textId="77777777" w:rsidR="00830844" w:rsidRPr="00830844" w:rsidRDefault="00830844" w:rsidP="00830844">
            <w:pPr>
              <w:jc w:val="center"/>
              <w:rPr>
                <w:rFonts w:ascii="Calibri" w:hAnsi="Calibri" w:cs="Calibri"/>
                <w:b/>
                <w:bCs/>
                <w:color w:val="FFFFFF"/>
                <w:sz w:val="24"/>
                <w:szCs w:val="24"/>
                <w:lang w:eastAsia="en-US"/>
              </w:rPr>
            </w:pPr>
            <w:r w:rsidRPr="00830844">
              <w:rPr>
                <w:rFonts w:ascii="Calibri" w:hAnsi="Calibri" w:cs="Calibri"/>
                <w:b/>
                <w:bCs/>
                <w:color w:val="FFFFFF"/>
                <w:sz w:val="24"/>
                <w:szCs w:val="24"/>
                <w:lang w:eastAsia="en-US"/>
              </w:rPr>
              <w:t>Number of pupils with dyslexia</w:t>
            </w:r>
          </w:p>
        </w:tc>
        <w:tc>
          <w:tcPr>
            <w:tcW w:w="2100" w:type="dxa"/>
            <w:tcBorders>
              <w:top w:val="nil"/>
              <w:left w:val="single" w:sz="4" w:space="0" w:color="FFFFFF"/>
              <w:bottom w:val="single" w:sz="12" w:space="0" w:color="FFFFFF"/>
              <w:right w:val="nil"/>
            </w:tcBorders>
            <w:shd w:val="clear" w:color="4472C4" w:fill="4472C4"/>
            <w:noWrap/>
            <w:vAlign w:val="bottom"/>
            <w:hideMark/>
          </w:tcPr>
          <w:p w14:paraId="1326D390" w14:textId="77777777" w:rsidR="00830844" w:rsidRPr="00830844" w:rsidRDefault="00830844" w:rsidP="00830844">
            <w:pPr>
              <w:jc w:val="center"/>
              <w:rPr>
                <w:rFonts w:ascii="Calibri" w:hAnsi="Calibri" w:cs="Calibri"/>
                <w:b/>
                <w:bCs/>
                <w:color w:val="FFFFFF"/>
                <w:sz w:val="24"/>
                <w:szCs w:val="24"/>
                <w:lang w:eastAsia="en-US"/>
              </w:rPr>
            </w:pPr>
            <w:proofErr w:type="spellStart"/>
            <w:r w:rsidRPr="00830844">
              <w:rPr>
                <w:rFonts w:ascii="Calibri" w:hAnsi="Calibri" w:cs="Calibri"/>
                <w:b/>
                <w:bCs/>
                <w:color w:val="FFFFFF"/>
                <w:sz w:val="24"/>
                <w:szCs w:val="24"/>
                <w:lang w:eastAsia="en-US"/>
              </w:rPr>
              <w:t>Years experience</w:t>
            </w:r>
            <w:proofErr w:type="spellEnd"/>
          </w:p>
        </w:tc>
      </w:tr>
      <w:tr w:rsidR="00830844" w:rsidRPr="00830844" w14:paraId="506031DE" w14:textId="77777777" w:rsidTr="00830844">
        <w:trPr>
          <w:trHeight w:val="320"/>
        </w:trPr>
        <w:tc>
          <w:tcPr>
            <w:tcW w:w="1480" w:type="dxa"/>
            <w:tcBorders>
              <w:top w:val="single" w:sz="4" w:space="0" w:color="FFFFFF"/>
              <w:left w:val="nil"/>
              <w:bottom w:val="single" w:sz="4" w:space="0" w:color="FFFFFF"/>
              <w:right w:val="single" w:sz="4" w:space="0" w:color="FFFFFF"/>
            </w:tcBorders>
            <w:shd w:val="clear" w:color="B4C6E7" w:fill="B4C6E7"/>
            <w:noWrap/>
            <w:vAlign w:val="bottom"/>
            <w:hideMark/>
          </w:tcPr>
          <w:p w14:paraId="2C3DBAA3"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1</w:t>
            </w:r>
          </w:p>
        </w:tc>
        <w:tc>
          <w:tcPr>
            <w:tcW w:w="35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572DBCF4"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0</w:t>
            </w:r>
          </w:p>
        </w:tc>
        <w:tc>
          <w:tcPr>
            <w:tcW w:w="2100" w:type="dxa"/>
            <w:tcBorders>
              <w:top w:val="single" w:sz="4" w:space="0" w:color="FFFFFF"/>
              <w:left w:val="single" w:sz="4" w:space="0" w:color="FFFFFF"/>
              <w:bottom w:val="single" w:sz="4" w:space="0" w:color="FFFFFF"/>
              <w:right w:val="nil"/>
            </w:tcBorders>
            <w:shd w:val="clear" w:color="B4C6E7" w:fill="B4C6E7"/>
            <w:noWrap/>
            <w:vAlign w:val="bottom"/>
            <w:hideMark/>
          </w:tcPr>
          <w:p w14:paraId="10B6D042"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10+</w:t>
            </w:r>
          </w:p>
        </w:tc>
      </w:tr>
      <w:tr w:rsidR="00830844" w:rsidRPr="00830844" w14:paraId="108920B2" w14:textId="77777777" w:rsidTr="00830844">
        <w:trPr>
          <w:trHeight w:val="320"/>
        </w:trPr>
        <w:tc>
          <w:tcPr>
            <w:tcW w:w="1480" w:type="dxa"/>
            <w:tcBorders>
              <w:top w:val="single" w:sz="4" w:space="0" w:color="FFFFFF"/>
              <w:left w:val="nil"/>
              <w:bottom w:val="single" w:sz="4" w:space="0" w:color="FFFFFF"/>
              <w:right w:val="single" w:sz="4" w:space="0" w:color="FFFFFF"/>
            </w:tcBorders>
            <w:shd w:val="clear" w:color="D9E1F2" w:fill="D9E1F2"/>
            <w:noWrap/>
            <w:vAlign w:val="bottom"/>
            <w:hideMark/>
          </w:tcPr>
          <w:p w14:paraId="1565ECD7"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2</w:t>
            </w:r>
          </w:p>
        </w:tc>
        <w:tc>
          <w:tcPr>
            <w:tcW w:w="35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023BA9C2"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0</w:t>
            </w:r>
          </w:p>
        </w:tc>
        <w:tc>
          <w:tcPr>
            <w:tcW w:w="2100" w:type="dxa"/>
            <w:tcBorders>
              <w:top w:val="single" w:sz="4" w:space="0" w:color="FFFFFF"/>
              <w:left w:val="single" w:sz="4" w:space="0" w:color="FFFFFF"/>
              <w:bottom w:val="single" w:sz="4" w:space="0" w:color="FFFFFF"/>
              <w:right w:val="nil"/>
            </w:tcBorders>
            <w:shd w:val="clear" w:color="D9E1F2" w:fill="D9E1F2"/>
            <w:noWrap/>
            <w:vAlign w:val="bottom"/>
            <w:hideMark/>
          </w:tcPr>
          <w:p w14:paraId="45EC2D0D"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10+</w:t>
            </w:r>
          </w:p>
        </w:tc>
      </w:tr>
      <w:tr w:rsidR="00830844" w:rsidRPr="00830844" w14:paraId="0E194879" w14:textId="77777777" w:rsidTr="00830844">
        <w:trPr>
          <w:trHeight w:val="320"/>
        </w:trPr>
        <w:tc>
          <w:tcPr>
            <w:tcW w:w="1480" w:type="dxa"/>
            <w:tcBorders>
              <w:top w:val="single" w:sz="4" w:space="0" w:color="FFFFFF"/>
              <w:left w:val="nil"/>
              <w:bottom w:val="single" w:sz="4" w:space="0" w:color="FFFFFF"/>
              <w:right w:val="single" w:sz="4" w:space="0" w:color="FFFFFF"/>
            </w:tcBorders>
            <w:shd w:val="clear" w:color="B4C6E7" w:fill="B4C6E7"/>
            <w:noWrap/>
            <w:vAlign w:val="bottom"/>
            <w:hideMark/>
          </w:tcPr>
          <w:p w14:paraId="77B81664"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3</w:t>
            </w:r>
          </w:p>
        </w:tc>
        <w:tc>
          <w:tcPr>
            <w:tcW w:w="35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C3FF056"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0</w:t>
            </w:r>
          </w:p>
        </w:tc>
        <w:tc>
          <w:tcPr>
            <w:tcW w:w="2100" w:type="dxa"/>
            <w:tcBorders>
              <w:top w:val="single" w:sz="4" w:space="0" w:color="FFFFFF"/>
              <w:left w:val="single" w:sz="4" w:space="0" w:color="FFFFFF"/>
              <w:bottom w:val="single" w:sz="4" w:space="0" w:color="FFFFFF"/>
              <w:right w:val="nil"/>
            </w:tcBorders>
            <w:shd w:val="clear" w:color="B4C6E7" w:fill="B4C6E7"/>
            <w:noWrap/>
            <w:vAlign w:val="bottom"/>
            <w:hideMark/>
          </w:tcPr>
          <w:p w14:paraId="6BF416BD"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10+</w:t>
            </w:r>
          </w:p>
        </w:tc>
      </w:tr>
      <w:tr w:rsidR="00830844" w:rsidRPr="00830844" w14:paraId="319C14D1" w14:textId="77777777" w:rsidTr="00830844">
        <w:trPr>
          <w:trHeight w:val="320"/>
        </w:trPr>
        <w:tc>
          <w:tcPr>
            <w:tcW w:w="1480" w:type="dxa"/>
            <w:tcBorders>
              <w:top w:val="single" w:sz="4" w:space="0" w:color="FFFFFF"/>
              <w:left w:val="nil"/>
              <w:bottom w:val="single" w:sz="4" w:space="0" w:color="FFFFFF"/>
              <w:right w:val="single" w:sz="4" w:space="0" w:color="FFFFFF"/>
            </w:tcBorders>
            <w:shd w:val="clear" w:color="D9E1F2" w:fill="D9E1F2"/>
            <w:noWrap/>
            <w:vAlign w:val="bottom"/>
            <w:hideMark/>
          </w:tcPr>
          <w:p w14:paraId="7AFE0E83"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4</w:t>
            </w:r>
          </w:p>
        </w:tc>
        <w:tc>
          <w:tcPr>
            <w:tcW w:w="35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F7FBF82"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2</w:t>
            </w:r>
          </w:p>
        </w:tc>
        <w:tc>
          <w:tcPr>
            <w:tcW w:w="2100" w:type="dxa"/>
            <w:tcBorders>
              <w:top w:val="single" w:sz="4" w:space="0" w:color="FFFFFF"/>
              <w:left w:val="single" w:sz="4" w:space="0" w:color="FFFFFF"/>
              <w:bottom w:val="single" w:sz="4" w:space="0" w:color="FFFFFF"/>
              <w:right w:val="nil"/>
            </w:tcBorders>
            <w:shd w:val="clear" w:color="D9E1F2" w:fill="D9E1F2"/>
            <w:noWrap/>
            <w:vAlign w:val="bottom"/>
            <w:hideMark/>
          </w:tcPr>
          <w:p w14:paraId="62E2CB3F"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3 to 5</w:t>
            </w:r>
          </w:p>
        </w:tc>
      </w:tr>
      <w:tr w:rsidR="00830844" w:rsidRPr="00830844" w14:paraId="41DE9829" w14:textId="77777777" w:rsidTr="00830844">
        <w:trPr>
          <w:trHeight w:val="320"/>
        </w:trPr>
        <w:tc>
          <w:tcPr>
            <w:tcW w:w="1480" w:type="dxa"/>
            <w:tcBorders>
              <w:top w:val="single" w:sz="4" w:space="0" w:color="FFFFFF"/>
              <w:left w:val="nil"/>
              <w:bottom w:val="single" w:sz="4" w:space="0" w:color="FFFFFF"/>
              <w:right w:val="single" w:sz="4" w:space="0" w:color="FFFFFF"/>
            </w:tcBorders>
            <w:shd w:val="clear" w:color="B4C6E7" w:fill="B4C6E7"/>
            <w:noWrap/>
            <w:vAlign w:val="bottom"/>
            <w:hideMark/>
          </w:tcPr>
          <w:p w14:paraId="4BD7631A"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5</w:t>
            </w:r>
          </w:p>
        </w:tc>
        <w:tc>
          <w:tcPr>
            <w:tcW w:w="35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2101B9BC"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0</w:t>
            </w:r>
          </w:p>
        </w:tc>
        <w:tc>
          <w:tcPr>
            <w:tcW w:w="2100" w:type="dxa"/>
            <w:tcBorders>
              <w:top w:val="single" w:sz="4" w:space="0" w:color="FFFFFF"/>
              <w:left w:val="single" w:sz="4" w:space="0" w:color="FFFFFF"/>
              <w:bottom w:val="single" w:sz="4" w:space="0" w:color="FFFFFF"/>
              <w:right w:val="nil"/>
            </w:tcBorders>
            <w:shd w:val="clear" w:color="B4C6E7" w:fill="B4C6E7"/>
            <w:noWrap/>
            <w:vAlign w:val="bottom"/>
            <w:hideMark/>
          </w:tcPr>
          <w:p w14:paraId="5A3F1A3E"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10+</w:t>
            </w:r>
          </w:p>
        </w:tc>
      </w:tr>
      <w:tr w:rsidR="00830844" w:rsidRPr="00830844" w14:paraId="46C0AC7B" w14:textId="77777777" w:rsidTr="00830844">
        <w:trPr>
          <w:trHeight w:val="320"/>
        </w:trPr>
        <w:tc>
          <w:tcPr>
            <w:tcW w:w="1480" w:type="dxa"/>
            <w:tcBorders>
              <w:top w:val="single" w:sz="4" w:space="0" w:color="FFFFFF"/>
              <w:left w:val="nil"/>
              <w:bottom w:val="single" w:sz="4" w:space="0" w:color="FFFFFF"/>
              <w:right w:val="single" w:sz="4" w:space="0" w:color="FFFFFF"/>
            </w:tcBorders>
            <w:shd w:val="clear" w:color="D9E1F2" w:fill="D9E1F2"/>
            <w:noWrap/>
            <w:vAlign w:val="bottom"/>
            <w:hideMark/>
          </w:tcPr>
          <w:p w14:paraId="13803C5B"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6</w:t>
            </w:r>
          </w:p>
        </w:tc>
        <w:tc>
          <w:tcPr>
            <w:tcW w:w="35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9983245"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1</w:t>
            </w:r>
          </w:p>
        </w:tc>
        <w:tc>
          <w:tcPr>
            <w:tcW w:w="2100" w:type="dxa"/>
            <w:tcBorders>
              <w:top w:val="single" w:sz="4" w:space="0" w:color="FFFFFF"/>
              <w:left w:val="single" w:sz="4" w:space="0" w:color="FFFFFF"/>
              <w:bottom w:val="single" w:sz="4" w:space="0" w:color="FFFFFF"/>
              <w:right w:val="nil"/>
            </w:tcBorders>
            <w:shd w:val="clear" w:color="D9E1F2" w:fill="D9E1F2"/>
            <w:noWrap/>
            <w:vAlign w:val="bottom"/>
            <w:hideMark/>
          </w:tcPr>
          <w:p w14:paraId="1ECD5849"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10+</w:t>
            </w:r>
          </w:p>
        </w:tc>
      </w:tr>
      <w:tr w:rsidR="00830844" w:rsidRPr="00830844" w14:paraId="7BF0580F" w14:textId="77777777" w:rsidTr="00830844">
        <w:trPr>
          <w:trHeight w:val="320"/>
        </w:trPr>
        <w:tc>
          <w:tcPr>
            <w:tcW w:w="1480" w:type="dxa"/>
            <w:tcBorders>
              <w:top w:val="single" w:sz="4" w:space="0" w:color="FFFFFF"/>
              <w:left w:val="nil"/>
              <w:bottom w:val="single" w:sz="4" w:space="0" w:color="FFFFFF"/>
              <w:right w:val="single" w:sz="4" w:space="0" w:color="FFFFFF"/>
            </w:tcBorders>
            <w:shd w:val="clear" w:color="B4C6E7" w:fill="B4C6E7"/>
            <w:noWrap/>
            <w:vAlign w:val="bottom"/>
            <w:hideMark/>
          </w:tcPr>
          <w:p w14:paraId="68A5BADB"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7</w:t>
            </w:r>
          </w:p>
        </w:tc>
        <w:tc>
          <w:tcPr>
            <w:tcW w:w="35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8FE4B09"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0</w:t>
            </w:r>
          </w:p>
        </w:tc>
        <w:tc>
          <w:tcPr>
            <w:tcW w:w="2100" w:type="dxa"/>
            <w:tcBorders>
              <w:top w:val="single" w:sz="4" w:space="0" w:color="FFFFFF"/>
              <w:left w:val="single" w:sz="4" w:space="0" w:color="FFFFFF"/>
              <w:bottom w:val="single" w:sz="4" w:space="0" w:color="FFFFFF"/>
              <w:right w:val="nil"/>
            </w:tcBorders>
            <w:shd w:val="clear" w:color="B4C6E7" w:fill="B4C6E7"/>
            <w:noWrap/>
            <w:vAlign w:val="bottom"/>
            <w:hideMark/>
          </w:tcPr>
          <w:p w14:paraId="0E916C31"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10+</w:t>
            </w:r>
          </w:p>
        </w:tc>
      </w:tr>
      <w:tr w:rsidR="00830844" w:rsidRPr="00830844" w14:paraId="59D55719" w14:textId="77777777" w:rsidTr="00830844">
        <w:trPr>
          <w:trHeight w:val="320"/>
        </w:trPr>
        <w:tc>
          <w:tcPr>
            <w:tcW w:w="1480" w:type="dxa"/>
            <w:tcBorders>
              <w:top w:val="single" w:sz="4" w:space="0" w:color="FFFFFF"/>
              <w:left w:val="nil"/>
              <w:bottom w:val="single" w:sz="4" w:space="0" w:color="FFFFFF"/>
              <w:right w:val="single" w:sz="4" w:space="0" w:color="FFFFFF"/>
            </w:tcBorders>
            <w:shd w:val="clear" w:color="D9E1F2" w:fill="D9E1F2"/>
            <w:noWrap/>
            <w:vAlign w:val="bottom"/>
            <w:hideMark/>
          </w:tcPr>
          <w:p w14:paraId="4E6F237F"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8</w:t>
            </w:r>
          </w:p>
        </w:tc>
        <w:tc>
          <w:tcPr>
            <w:tcW w:w="35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8B19648"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0</w:t>
            </w:r>
          </w:p>
        </w:tc>
        <w:tc>
          <w:tcPr>
            <w:tcW w:w="2100" w:type="dxa"/>
            <w:tcBorders>
              <w:top w:val="single" w:sz="4" w:space="0" w:color="FFFFFF"/>
              <w:left w:val="single" w:sz="4" w:space="0" w:color="FFFFFF"/>
              <w:bottom w:val="single" w:sz="4" w:space="0" w:color="FFFFFF"/>
              <w:right w:val="nil"/>
            </w:tcBorders>
            <w:shd w:val="clear" w:color="D9E1F2" w:fill="D9E1F2"/>
            <w:noWrap/>
            <w:vAlign w:val="bottom"/>
            <w:hideMark/>
          </w:tcPr>
          <w:p w14:paraId="6FDF0525"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10+</w:t>
            </w:r>
          </w:p>
        </w:tc>
      </w:tr>
      <w:tr w:rsidR="00830844" w:rsidRPr="00830844" w14:paraId="47B9634D" w14:textId="77777777" w:rsidTr="00830844">
        <w:trPr>
          <w:trHeight w:val="320"/>
        </w:trPr>
        <w:tc>
          <w:tcPr>
            <w:tcW w:w="1480" w:type="dxa"/>
            <w:tcBorders>
              <w:top w:val="single" w:sz="4" w:space="0" w:color="FFFFFF"/>
              <w:left w:val="nil"/>
              <w:bottom w:val="nil"/>
              <w:right w:val="single" w:sz="4" w:space="0" w:color="FFFFFF"/>
            </w:tcBorders>
            <w:shd w:val="clear" w:color="B4C6E7" w:fill="B4C6E7"/>
            <w:noWrap/>
            <w:vAlign w:val="bottom"/>
            <w:hideMark/>
          </w:tcPr>
          <w:p w14:paraId="687B4142"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9</w:t>
            </w:r>
          </w:p>
        </w:tc>
        <w:tc>
          <w:tcPr>
            <w:tcW w:w="3500" w:type="dxa"/>
            <w:tcBorders>
              <w:top w:val="single" w:sz="4" w:space="0" w:color="FFFFFF"/>
              <w:left w:val="single" w:sz="4" w:space="0" w:color="FFFFFF"/>
              <w:bottom w:val="nil"/>
              <w:right w:val="single" w:sz="4" w:space="0" w:color="FFFFFF"/>
            </w:tcBorders>
            <w:shd w:val="clear" w:color="B4C6E7" w:fill="B4C6E7"/>
            <w:noWrap/>
            <w:vAlign w:val="bottom"/>
            <w:hideMark/>
          </w:tcPr>
          <w:p w14:paraId="5B835F63"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0</w:t>
            </w:r>
          </w:p>
        </w:tc>
        <w:tc>
          <w:tcPr>
            <w:tcW w:w="2100" w:type="dxa"/>
            <w:tcBorders>
              <w:top w:val="single" w:sz="4" w:space="0" w:color="FFFFFF"/>
              <w:left w:val="single" w:sz="4" w:space="0" w:color="FFFFFF"/>
              <w:bottom w:val="nil"/>
              <w:right w:val="nil"/>
            </w:tcBorders>
            <w:shd w:val="clear" w:color="B4C6E7" w:fill="B4C6E7"/>
            <w:noWrap/>
            <w:vAlign w:val="bottom"/>
            <w:hideMark/>
          </w:tcPr>
          <w:p w14:paraId="59EF2DB5" w14:textId="77777777" w:rsidR="00830844" w:rsidRPr="00830844" w:rsidRDefault="00830844" w:rsidP="00830844">
            <w:pPr>
              <w:jc w:val="center"/>
              <w:rPr>
                <w:rFonts w:ascii="Calibri" w:hAnsi="Calibri" w:cs="Calibri"/>
                <w:color w:val="000000"/>
                <w:sz w:val="24"/>
                <w:szCs w:val="24"/>
                <w:lang w:eastAsia="en-US"/>
              </w:rPr>
            </w:pPr>
            <w:r w:rsidRPr="00830844">
              <w:rPr>
                <w:rFonts w:ascii="Calibri" w:hAnsi="Calibri" w:cs="Calibri"/>
                <w:color w:val="000000"/>
                <w:sz w:val="24"/>
                <w:szCs w:val="24"/>
                <w:lang w:eastAsia="en-US"/>
              </w:rPr>
              <w:t>10+</w:t>
            </w:r>
          </w:p>
        </w:tc>
      </w:tr>
    </w:tbl>
    <w:p w14:paraId="270767AA" w14:textId="3F0C22F0" w:rsidR="00D14214" w:rsidRDefault="00830844" w:rsidP="00A56DA6">
      <w:pPr>
        <w:spacing w:line="360" w:lineRule="auto"/>
        <w:rPr>
          <w:sz w:val="24"/>
          <w:szCs w:val="24"/>
        </w:rPr>
      </w:pPr>
      <w:r>
        <w:rPr>
          <w:sz w:val="24"/>
          <w:szCs w:val="24"/>
        </w:rPr>
        <w:t>Figure 1</w:t>
      </w:r>
    </w:p>
    <w:p w14:paraId="7C19C996" w14:textId="6B90E965" w:rsidR="00757BEF" w:rsidRDefault="00757BEF" w:rsidP="00A56DA6">
      <w:pPr>
        <w:spacing w:line="360" w:lineRule="auto"/>
        <w:rPr>
          <w:sz w:val="24"/>
          <w:szCs w:val="24"/>
        </w:rPr>
      </w:pPr>
    </w:p>
    <w:p w14:paraId="3156C3A0" w14:textId="75241D3F" w:rsidR="000A3E04" w:rsidRDefault="00574682" w:rsidP="00A56DA6">
      <w:pPr>
        <w:spacing w:line="360" w:lineRule="auto"/>
        <w:rPr>
          <w:sz w:val="24"/>
          <w:szCs w:val="24"/>
        </w:rPr>
      </w:pPr>
      <w:r>
        <w:rPr>
          <w:sz w:val="24"/>
          <w:szCs w:val="24"/>
        </w:rPr>
        <w:t>The data gathered from the questionnaire</w:t>
      </w:r>
      <w:r w:rsidR="005068EE">
        <w:rPr>
          <w:sz w:val="24"/>
          <w:szCs w:val="24"/>
        </w:rPr>
        <w:t xml:space="preserve"> was 56% from the county of Neath Port Talbot </w:t>
      </w:r>
      <w:r w:rsidR="00F821B5">
        <w:rPr>
          <w:sz w:val="24"/>
          <w:szCs w:val="24"/>
        </w:rPr>
        <w:t xml:space="preserve">due to personal connections within the school </w:t>
      </w:r>
      <w:r w:rsidR="005068EE">
        <w:rPr>
          <w:sz w:val="24"/>
          <w:szCs w:val="24"/>
        </w:rPr>
        <w:t>(see figure 2)</w:t>
      </w:r>
      <w:r w:rsidR="00F821B5">
        <w:rPr>
          <w:sz w:val="24"/>
          <w:szCs w:val="24"/>
        </w:rPr>
        <w:t>.</w:t>
      </w:r>
      <w:r w:rsidR="005068EE">
        <w:rPr>
          <w:sz w:val="24"/>
          <w:szCs w:val="24"/>
        </w:rPr>
        <w:t xml:space="preserve"> This gives a good representation of how Neath Port Talbot give training and support to children with dyslexia and support for educational professionals. However, it does not give a clear overview as to what training and support is available across all counties in Wales.</w:t>
      </w:r>
      <w:r w:rsidR="00340C49">
        <w:rPr>
          <w:sz w:val="24"/>
          <w:szCs w:val="24"/>
        </w:rPr>
        <w:t xml:space="preserve"> Reid (1998) claims that </w:t>
      </w:r>
      <w:r w:rsidR="00846D13">
        <w:rPr>
          <w:sz w:val="24"/>
          <w:szCs w:val="24"/>
        </w:rPr>
        <w:t xml:space="preserve">the </w:t>
      </w:r>
      <w:r w:rsidR="00340C49">
        <w:rPr>
          <w:sz w:val="24"/>
          <w:szCs w:val="24"/>
        </w:rPr>
        <w:t xml:space="preserve">understanding of dyslexia differs from counties and countries so having a wider spread of participants from different countries would have provided more validity. </w:t>
      </w:r>
      <w:r w:rsidR="005068EE">
        <w:rPr>
          <w:sz w:val="24"/>
          <w:szCs w:val="24"/>
        </w:rPr>
        <w:t xml:space="preserve"> </w:t>
      </w:r>
      <w:r w:rsidR="00C25FB5">
        <w:rPr>
          <w:sz w:val="24"/>
          <w:szCs w:val="24"/>
        </w:rPr>
        <w:t>Visiting the schools and explaining the questionnaire face to face would have been more person with clear communication and could have resulted in more responses across the different counties (Fink, 1995</w:t>
      </w:r>
      <w:r w:rsidR="00E81440">
        <w:rPr>
          <w:sz w:val="24"/>
          <w:szCs w:val="24"/>
        </w:rPr>
        <w:t>a</w:t>
      </w:r>
      <w:r w:rsidR="00C25FB5">
        <w:rPr>
          <w:sz w:val="24"/>
          <w:szCs w:val="24"/>
        </w:rPr>
        <w:t>).</w:t>
      </w:r>
      <w:r w:rsidR="00340C49">
        <w:rPr>
          <w:sz w:val="24"/>
          <w:szCs w:val="24"/>
        </w:rPr>
        <w:t xml:space="preserve"> </w:t>
      </w:r>
    </w:p>
    <w:p w14:paraId="088D8ACE" w14:textId="3912B06B" w:rsidR="003658A5" w:rsidRDefault="003658A5" w:rsidP="00A56DA6">
      <w:pPr>
        <w:spacing w:line="360" w:lineRule="auto"/>
        <w:rPr>
          <w:sz w:val="24"/>
          <w:szCs w:val="24"/>
        </w:rPr>
      </w:pPr>
    </w:p>
    <w:p w14:paraId="1D06B976" w14:textId="52BBB8A1" w:rsidR="003658A5" w:rsidRDefault="00E90CCF" w:rsidP="00E90CCF">
      <w:pPr>
        <w:spacing w:line="360" w:lineRule="auto"/>
        <w:jc w:val="center"/>
        <w:rPr>
          <w:sz w:val="24"/>
          <w:szCs w:val="24"/>
        </w:rPr>
      </w:pPr>
      <w:r>
        <w:rPr>
          <w:noProof/>
        </w:rPr>
        <w:drawing>
          <wp:inline distT="0" distB="0" distL="0" distR="0" wp14:anchorId="2C2B8923" wp14:editId="2B8A833E">
            <wp:extent cx="4572000" cy="2743200"/>
            <wp:effectExtent l="0" t="0" r="12700" b="12700"/>
            <wp:docPr id="1" name="Chart 1">
              <a:extLst xmlns:a="http://schemas.openxmlformats.org/drawingml/2006/main">
                <a:ext uri="{FF2B5EF4-FFF2-40B4-BE49-F238E27FC236}">
                  <a16:creationId xmlns:a16="http://schemas.microsoft.com/office/drawing/2014/main" id="{902F5F25-DCAA-9F41-BF8C-BB32BF05F1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4578A7D" w14:textId="672B9087" w:rsidR="00757BEF" w:rsidRDefault="00E90CCF" w:rsidP="0002644B">
      <w:pPr>
        <w:spacing w:line="360" w:lineRule="auto"/>
        <w:jc w:val="center"/>
        <w:rPr>
          <w:sz w:val="24"/>
          <w:szCs w:val="24"/>
        </w:rPr>
      </w:pPr>
      <w:r>
        <w:rPr>
          <w:sz w:val="24"/>
          <w:szCs w:val="24"/>
        </w:rPr>
        <w:t>Figure 2</w:t>
      </w:r>
    </w:p>
    <w:p w14:paraId="1D29A25C" w14:textId="0A4BD8F6" w:rsidR="00757BEF" w:rsidRDefault="00487C22" w:rsidP="00A56DA6">
      <w:pPr>
        <w:spacing w:line="360" w:lineRule="auto"/>
        <w:rPr>
          <w:sz w:val="24"/>
          <w:szCs w:val="24"/>
        </w:rPr>
      </w:pPr>
      <w:r>
        <w:rPr>
          <w:sz w:val="24"/>
          <w:szCs w:val="24"/>
        </w:rPr>
        <w:tab/>
      </w:r>
    </w:p>
    <w:p w14:paraId="1ACF186E" w14:textId="1E35978C" w:rsidR="00487C22" w:rsidRDefault="00487C22" w:rsidP="00A56DA6">
      <w:pPr>
        <w:spacing w:line="360" w:lineRule="auto"/>
        <w:rPr>
          <w:sz w:val="24"/>
          <w:szCs w:val="24"/>
        </w:rPr>
      </w:pPr>
      <w:r>
        <w:rPr>
          <w:sz w:val="24"/>
          <w:szCs w:val="24"/>
        </w:rPr>
        <w:t>In order to find out more about how children with dyslexia are supported within a class room</w:t>
      </w:r>
      <w:r w:rsidR="002D5D14">
        <w:rPr>
          <w:sz w:val="24"/>
          <w:szCs w:val="24"/>
        </w:rPr>
        <w:t xml:space="preserve"> to provide an inclusive environment</w:t>
      </w:r>
      <w:r>
        <w:rPr>
          <w:sz w:val="24"/>
          <w:szCs w:val="24"/>
        </w:rPr>
        <w:t xml:space="preserve">, research was undertaken to find out the most popular strategies that are used. </w:t>
      </w:r>
      <w:r w:rsidR="003C6E66">
        <w:rPr>
          <w:sz w:val="24"/>
          <w:szCs w:val="24"/>
        </w:rPr>
        <w:t>Hall (2009) and Wales Dyslexia (date unknown) suggest that memory games, slanted surfaces, pastel coloured paper, extra thinking time, pencil grips and intervention groups help support children with dyslexia</w:t>
      </w:r>
      <w:r w:rsidR="00D86960">
        <w:rPr>
          <w:sz w:val="24"/>
          <w:szCs w:val="24"/>
        </w:rPr>
        <w:t>, so these were the options used for the question 7 in the questionnaire.</w:t>
      </w:r>
      <w:r w:rsidR="003C6E66">
        <w:rPr>
          <w:sz w:val="24"/>
          <w:szCs w:val="24"/>
        </w:rPr>
        <w:t xml:space="preserve"> </w:t>
      </w:r>
      <w:r w:rsidR="004756E9">
        <w:rPr>
          <w:sz w:val="24"/>
          <w:szCs w:val="24"/>
        </w:rPr>
        <w:t>Through the questionnaire it was found that not one strategy was the most useful but use of many different strategies allowed children with dyslexia to help deal with the challenges t</w:t>
      </w:r>
      <w:r w:rsidR="00950514">
        <w:rPr>
          <w:sz w:val="24"/>
          <w:szCs w:val="24"/>
        </w:rPr>
        <w:t>h</w:t>
      </w:r>
      <w:r w:rsidR="004756E9">
        <w:rPr>
          <w:sz w:val="24"/>
          <w:szCs w:val="24"/>
        </w:rPr>
        <w:t>ey face on a daily basis (see figure 3). Moreover, from the questionnaire there was an option for other which was chosen by 14% of the respondents which does not give much</w:t>
      </w:r>
      <w:r w:rsidR="002E1B24">
        <w:rPr>
          <w:sz w:val="24"/>
          <w:szCs w:val="24"/>
        </w:rPr>
        <w:t xml:space="preserve"> information to what other strategies they may use. </w:t>
      </w:r>
      <w:r w:rsidR="00950514">
        <w:rPr>
          <w:sz w:val="24"/>
          <w:szCs w:val="24"/>
        </w:rPr>
        <w:t xml:space="preserve">It </w:t>
      </w:r>
      <w:r w:rsidR="00950514">
        <w:rPr>
          <w:sz w:val="24"/>
          <w:szCs w:val="24"/>
        </w:rPr>
        <w:lastRenderedPageBreak/>
        <w:t>would have been more beneficial to ha</w:t>
      </w:r>
      <w:r w:rsidR="00F044C8">
        <w:rPr>
          <w:sz w:val="24"/>
          <w:szCs w:val="24"/>
        </w:rPr>
        <w:t>ve an</w:t>
      </w:r>
      <w:r w:rsidR="00950514">
        <w:rPr>
          <w:sz w:val="24"/>
          <w:szCs w:val="24"/>
        </w:rPr>
        <w:t xml:space="preserve"> open question after question 7 to name other strategies used to help support children with dyslexia.</w:t>
      </w:r>
      <w:r w:rsidR="00A86F7F">
        <w:rPr>
          <w:sz w:val="24"/>
          <w:szCs w:val="24"/>
        </w:rPr>
        <w:t xml:space="preserve"> </w:t>
      </w:r>
      <w:r w:rsidR="005C4488">
        <w:rPr>
          <w:sz w:val="24"/>
          <w:szCs w:val="24"/>
        </w:rPr>
        <w:t>5 participants believed that question 7 was not applicable for them, this could be because they not have any children with dyslexia in their class</w:t>
      </w:r>
      <w:r w:rsidR="0044126E">
        <w:rPr>
          <w:sz w:val="24"/>
          <w:szCs w:val="24"/>
        </w:rPr>
        <w:t xml:space="preserve">, making the data gathered less valid and not creating a true picture (McNeil and Chapman, 2005). </w:t>
      </w:r>
      <w:r w:rsidR="00A86F7F">
        <w:rPr>
          <w:sz w:val="24"/>
          <w:szCs w:val="24"/>
        </w:rPr>
        <w:t xml:space="preserve">From interviewing a head teacher with a </w:t>
      </w:r>
      <w:proofErr w:type="gramStart"/>
      <w:r w:rsidR="00A86F7F">
        <w:rPr>
          <w:sz w:val="24"/>
          <w:szCs w:val="24"/>
        </w:rPr>
        <w:t>dyslexia</w:t>
      </w:r>
      <w:proofErr w:type="gramEnd"/>
      <w:r w:rsidR="00A86F7F">
        <w:rPr>
          <w:sz w:val="24"/>
          <w:szCs w:val="24"/>
        </w:rPr>
        <w:t xml:space="preserve"> friendly award it was discovered that they use a variety of strategies including sensory felt tip pens, pastel colour paper, reading rulers and intervention groups. </w:t>
      </w:r>
      <w:r w:rsidR="004B4187">
        <w:rPr>
          <w:sz w:val="24"/>
          <w:szCs w:val="24"/>
        </w:rPr>
        <w:t>This shows that schools need to have a variety of resources available for children with dyslexia to be supported on a daily basis to incorporate an inclusive approach.</w:t>
      </w:r>
      <w:r w:rsidR="00F044C8">
        <w:rPr>
          <w:sz w:val="24"/>
          <w:szCs w:val="24"/>
        </w:rPr>
        <w:t xml:space="preserve"> In contrast, the headteacher from the interview did advise that they used to provide pastel paper books for all children to ensure an inclusive </w:t>
      </w:r>
      <w:r w:rsidR="00BA335C">
        <w:rPr>
          <w:sz w:val="24"/>
          <w:szCs w:val="24"/>
        </w:rPr>
        <w:t>approach,</w:t>
      </w:r>
      <w:r w:rsidR="00F044C8">
        <w:rPr>
          <w:sz w:val="24"/>
          <w:szCs w:val="24"/>
        </w:rPr>
        <w:t xml:space="preserve"> but the costing of the books </w:t>
      </w:r>
      <w:r w:rsidR="0002644B">
        <w:rPr>
          <w:sz w:val="24"/>
          <w:szCs w:val="24"/>
        </w:rPr>
        <w:t>was</w:t>
      </w:r>
      <w:r w:rsidR="00F044C8">
        <w:rPr>
          <w:sz w:val="24"/>
          <w:szCs w:val="24"/>
        </w:rPr>
        <w:t xml:space="preserve"> too </w:t>
      </w:r>
      <w:r w:rsidR="0002644B">
        <w:rPr>
          <w:sz w:val="24"/>
          <w:szCs w:val="24"/>
        </w:rPr>
        <w:t>high,</w:t>
      </w:r>
      <w:r w:rsidR="00F044C8">
        <w:rPr>
          <w:sz w:val="24"/>
          <w:szCs w:val="24"/>
        </w:rPr>
        <w:t xml:space="preserve"> so these books are only available now to children with dyslexia.</w:t>
      </w:r>
    </w:p>
    <w:p w14:paraId="1CB8EDEE" w14:textId="7D8C7236" w:rsidR="00BE4582" w:rsidRDefault="00BE4582" w:rsidP="00A56DA6">
      <w:pPr>
        <w:spacing w:line="360" w:lineRule="auto"/>
        <w:rPr>
          <w:sz w:val="24"/>
          <w:szCs w:val="24"/>
        </w:rPr>
      </w:pPr>
    </w:p>
    <w:p w14:paraId="10068F03" w14:textId="0869F94D" w:rsidR="00BE4582" w:rsidRDefault="00BE4582" w:rsidP="00BE4582">
      <w:pPr>
        <w:spacing w:line="360" w:lineRule="auto"/>
        <w:jc w:val="center"/>
        <w:rPr>
          <w:sz w:val="24"/>
          <w:szCs w:val="24"/>
        </w:rPr>
      </w:pPr>
      <w:r>
        <w:rPr>
          <w:noProof/>
        </w:rPr>
        <w:drawing>
          <wp:inline distT="0" distB="0" distL="0" distR="0" wp14:anchorId="654DBDA1" wp14:editId="39B17927">
            <wp:extent cx="4572000" cy="2743200"/>
            <wp:effectExtent l="0" t="0" r="12700" b="12700"/>
            <wp:docPr id="2" name="Chart 2">
              <a:extLst xmlns:a="http://schemas.openxmlformats.org/drawingml/2006/main">
                <a:ext uri="{FF2B5EF4-FFF2-40B4-BE49-F238E27FC236}">
                  <a16:creationId xmlns:a16="http://schemas.microsoft.com/office/drawing/2014/main" id="{00A804CE-985D-8543-83BC-988BD17A17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48DA928" w14:textId="515ED237" w:rsidR="009913A6" w:rsidRDefault="009913A6" w:rsidP="00BE4582">
      <w:pPr>
        <w:spacing w:line="360" w:lineRule="auto"/>
        <w:jc w:val="center"/>
        <w:rPr>
          <w:sz w:val="24"/>
          <w:szCs w:val="24"/>
        </w:rPr>
      </w:pPr>
      <w:r>
        <w:rPr>
          <w:sz w:val="24"/>
          <w:szCs w:val="24"/>
        </w:rPr>
        <w:t>Figure 3</w:t>
      </w:r>
    </w:p>
    <w:p w14:paraId="3DB35981" w14:textId="247D7551" w:rsidR="009913A6" w:rsidRDefault="009913A6" w:rsidP="00BE4582">
      <w:pPr>
        <w:spacing w:line="360" w:lineRule="auto"/>
        <w:jc w:val="center"/>
        <w:rPr>
          <w:sz w:val="24"/>
          <w:szCs w:val="24"/>
        </w:rPr>
      </w:pPr>
    </w:p>
    <w:p w14:paraId="7C0A7AE4" w14:textId="732F2B5C" w:rsidR="009913A6" w:rsidRDefault="00EB53B1" w:rsidP="009913A6">
      <w:pPr>
        <w:spacing w:line="360" w:lineRule="auto"/>
        <w:rPr>
          <w:sz w:val="24"/>
          <w:szCs w:val="24"/>
        </w:rPr>
      </w:pPr>
      <w:r>
        <w:rPr>
          <w:sz w:val="24"/>
          <w:szCs w:val="24"/>
        </w:rPr>
        <w:t xml:space="preserve">The number of pupils from the participants classes that have been diagnosed with dyslexia is only 1%. However, 67% of the participants believe that they have pupils in their class that have characteristics of dyslexia but are yet to be formally assessed (see figure 4). This suggests that there are lot more children who face the challenges of dyslexia but do not have the diagnosis. Participants gave a variety of reasons why the children may not have had a diagnosis generally most said that it was very </w:t>
      </w:r>
      <w:r w:rsidR="00B5315C">
        <w:rPr>
          <w:sz w:val="24"/>
          <w:szCs w:val="24"/>
        </w:rPr>
        <w:t>time-consuming</w:t>
      </w:r>
      <w:r>
        <w:rPr>
          <w:sz w:val="24"/>
          <w:szCs w:val="24"/>
        </w:rPr>
        <w:t xml:space="preserve"> process that </w:t>
      </w:r>
      <w:r w:rsidR="001F7BDE">
        <w:rPr>
          <w:sz w:val="24"/>
          <w:szCs w:val="24"/>
        </w:rPr>
        <w:t xml:space="preserve">children with other challenging behaviour such as ADHD are prioritised. </w:t>
      </w:r>
      <w:r w:rsidR="00B5315C">
        <w:rPr>
          <w:sz w:val="24"/>
          <w:szCs w:val="24"/>
        </w:rPr>
        <w:t xml:space="preserve"> Also, many children </w:t>
      </w:r>
      <w:r w:rsidR="006A023F">
        <w:rPr>
          <w:sz w:val="24"/>
          <w:szCs w:val="24"/>
        </w:rPr>
        <w:t>m</w:t>
      </w:r>
      <w:r w:rsidR="00B5315C">
        <w:rPr>
          <w:sz w:val="24"/>
          <w:szCs w:val="24"/>
        </w:rPr>
        <w:t xml:space="preserve">ay show traits of dyslexia but are too young to be able to undergo formal assessment and resources are </w:t>
      </w:r>
      <w:r w:rsidR="00B5315C">
        <w:rPr>
          <w:sz w:val="24"/>
          <w:szCs w:val="24"/>
        </w:rPr>
        <w:lastRenderedPageBreak/>
        <w:t xml:space="preserve">not suitable for their age. </w:t>
      </w:r>
      <w:r w:rsidR="00F000FC">
        <w:rPr>
          <w:sz w:val="24"/>
          <w:szCs w:val="24"/>
        </w:rPr>
        <w:t xml:space="preserve">WAG (2012) suggests that teachers lack confidence in identifying characteristics of dyslexia and the responsibility </w:t>
      </w:r>
      <w:r w:rsidR="008B2B65">
        <w:rPr>
          <w:sz w:val="24"/>
          <w:szCs w:val="24"/>
        </w:rPr>
        <w:t>relies</w:t>
      </w:r>
      <w:r w:rsidR="00F000FC">
        <w:rPr>
          <w:sz w:val="24"/>
          <w:szCs w:val="24"/>
        </w:rPr>
        <w:t xml:space="preserve"> on specialist teachers. </w:t>
      </w:r>
      <w:r w:rsidR="00C209B9">
        <w:rPr>
          <w:sz w:val="24"/>
          <w:szCs w:val="24"/>
        </w:rPr>
        <w:t xml:space="preserve">From the interview it was discovered that the school does not have the ability to give diagnosis of dyslexia but is able to screen children to see if they are at risk of having </w:t>
      </w:r>
      <w:r w:rsidR="00D93423">
        <w:rPr>
          <w:sz w:val="24"/>
          <w:szCs w:val="24"/>
        </w:rPr>
        <w:t>dyslexia,</w:t>
      </w:r>
      <w:r w:rsidR="00C209B9">
        <w:rPr>
          <w:sz w:val="24"/>
          <w:szCs w:val="24"/>
        </w:rPr>
        <w:t xml:space="preserve"> but this requires parental </w:t>
      </w:r>
      <w:r w:rsidR="00CD343F">
        <w:rPr>
          <w:sz w:val="24"/>
          <w:szCs w:val="24"/>
        </w:rPr>
        <w:t>consent</w:t>
      </w:r>
      <w:r w:rsidR="00C209B9">
        <w:rPr>
          <w:sz w:val="24"/>
          <w:szCs w:val="24"/>
        </w:rPr>
        <w:t xml:space="preserve">. </w:t>
      </w:r>
      <w:r w:rsidR="00D93423">
        <w:rPr>
          <w:sz w:val="24"/>
          <w:szCs w:val="24"/>
        </w:rPr>
        <w:t>The SENCO of the school interviewed claimed that the screening process is complicated and requires a number of different tests in order to screen a child and a number of the tests would be challenging for a child without dyslexia.</w:t>
      </w:r>
      <w:r w:rsidR="005815FD">
        <w:rPr>
          <w:sz w:val="24"/>
          <w:szCs w:val="24"/>
        </w:rPr>
        <w:t xml:space="preserve"> </w:t>
      </w:r>
      <w:r w:rsidR="00AC2B0E">
        <w:rPr>
          <w:sz w:val="24"/>
          <w:szCs w:val="24"/>
        </w:rPr>
        <w:t xml:space="preserve">However, Lord and Jones (2006, cited in Grigg, 2015, pp. 307) believe that putting pupil through screenings and tests can cause stress and anxiety. </w:t>
      </w:r>
      <w:r w:rsidR="005815FD">
        <w:rPr>
          <w:sz w:val="24"/>
          <w:szCs w:val="24"/>
        </w:rPr>
        <w:t>Furthermore, this could be improved by schools having dyslexia groups within schools to help support the pupils at every level and continue to monitor the pupils (Estyn, 2016).</w:t>
      </w:r>
      <w:r w:rsidR="005D75FD">
        <w:rPr>
          <w:sz w:val="24"/>
          <w:szCs w:val="24"/>
        </w:rPr>
        <w:t xml:space="preserve"> The participants questioned claimed that they supported the children with characteristics of dyslexia the same as the children who have a diagnosis as in regard to </w:t>
      </w:r>
      <w:r w:rsidR="00655927">
        <w:rPr>
          <w:sz w:val="24"/>
          <w:szCs w:val="24"/>
        </w:rPr>
        <w:t xml:space="preserve">strategies using a </w:t>
      </w:r>
      <w:r w:rsidR="00EF25CA">
        <w:rPr>
          <w:sz w:val="24"/>
          <w:szCs w:val="24"/>
        </w:rPr>
        <w:t>variety</w:t>
      </w:r>
      <w:r w:rsidR="00655927">
        <w:rPr>
          <w:sz w:val="24"/>
          <w:szCs w:val="24"/>
        </w:rPr>
        <w:t xml:space="preserve"> of different ones the most popular being guidance and support from a teaching assistant (TA) (see figure 5). </w:t>
      </w:r>
      <w:r w:rsidR="00430183">
        <w:rPr>
          <w:sz w:val="24"/>
          <w:szCs w:val="24"/>
        </w:rPr>
        <w:t>However, funding for schools was cut 5% per head in 2017-18 and is estimated to be cut in a total of  9% per head by 2020-21 so without having the funding</w:t>
      </w:r>
      <w:r w:rsidR="000C7E31">
        <w:rPr>
          <w:sz w:val="24"/>
          <w:szCs w:val="24"/>
        </w:rPr>
        <w:t>,</w:t>
      </w:r>
      <w:r w:rsidR="00430183">
        <w:rPr>
          <w:sz w:val="24"/>
          <w:szCs w:val="24"/>
        </w:rPr>
        <w:t xml:space="preserve"> schools are finding </w:t>
      </w:r>
      <w:r w:rsidR="000C7E31">
        <w:rPr>
          <w:sz w:val="24"/>
          <w:szCs w:val="24"/>
        </w:rPr>
        <w:t xml:space="preserve">it </w:t>
      </w:r>
      <w:r w:rsidR="00430183">
        <w:rPr>
          <w:sz w:val="24"/>
          <w:szCs w:val="24"/>
        </w:rPr>
        <w:t xml:space="preserve">more difficult to be able to have the money to spend on TAs to support children with dyslexia (Lewis, 2019). </w:t>
      </w:r>
      <w:r w:rsidR="00F86B5F">
        <w:rPr>
          <w:sz w:val="24"/>
          <w:szCs w:val="24"/>
        </w:rPr>
        <w:t xml:space="preserve">As previously </w:t>
      </w:r>
      <w:r w:rsidR="00EF6B9C">
        <w:rPr>
          <w:sz w:val="24"/>
          <w:szCs w:val="24"/>
        </w:rPr>
        <w:t>stated,</w:t>
      </w:r>
      <w:r w:rsidR="00F86B5F">
        <w:rPr>
          <w:sz w:val="24"/>
          <w:szCs w:val="24"/>
        </w:rPr>
        <w:t xml:space="preserve"> the option of other on question 10 is not useful as there is no extra information given to know what other strategies are used within schools to help children that are not yet formally assessed so including an open question would help discover more information.</w:t>
      </w:r>
    </w:p>
    <w:p w14:paraId="53819246" w14:textId="2CD562C5" w:rsidR="000B6A2A" w:rsidRDefault="000B6A2A" w:rsidP="009913A6">
      <w:pPr>
        <w:spacing w:line="360" w:lineRule="auto"/>
        <w:rPr>
          <w:sz w:val="24"/>
          <w:szCs w:val="24"/>
        </w:rPr>
      </w:pPr>
    </w:p>
    <w:p w14:paraId="113AE328" w14:textId="7FE1023B" w:rsidR="000B6A2A" w:rsidRDefault="000B6A2A" w:rsidP="000B6A2A">
      <w:pPr>
        <w:spacing w:line="360" w:lineRule="auto"/>
        <w:jc w:val="center"/>
        <w:rPr>
          <w:sz w:val="24"/>
          <w:szCs w:val="24"/>
        </w:rPr>
      </w:pPr>
      <w:r>
        <w:rPr>
          <w:noProof/>
        </w:rPr>
        <w:drawing>
          <wp:inline distT="0" distB="0" distL="0" distR="0" wp14:anchorId="4A05758F" wp14:editId="126D22E9">
            <wp:extent cx="4572000" cy="2743200"/>
            <wp:effectExtent l="0" t="0" r="12700" b="12700"/>
            <wp:docPr id="3" name="Chart 3">
              <a:extLst xmlns:a="http://schemas.openxmlformats.org/drawingml/2006/main">
                <a:ext uri="{FF2B5EF4-FFF2-40B4-BE49-F238E27FC236}">
                  <a16:creationId xmlns:a16="http://schemas.microsoft.com/office/drawing/2014/main" id="{C4D6A3C4-63E4-704C-8D2B-D64DFE538B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1465EB0" w14:textId="668D6B40" w:rsidR="00757BEF" w:rsidRDefault="001A7ED3" w:rsidP="0037561F">
      <w:pPr>
        <w:spacing w:line="360" w:lineRule="auto"/>
        <w:jc w:val="center"/>
        <w:rPr>
          <w:sz w:val="24"/>
          <w:szCs w:val="24"/>
        </w:rPr>
      </w:pPr>
      <w:r>
        <w:rPr>
          <w:sz w:val="24"/>
          <w:szCs w:val="24"/>
        </w:rPr>
        <w:t>Figure 4</w:t>
      </w:r>
    </w:p>
    <w:p w14:paraId="5A585F73" w14:textId="0B529985" w:rsidR="0037561F" w:rsidRDefault="0037561F" w:rsidP="0037561F">
      <w:pPr>
        <w:spacing w:line="360" w:lineRule="auto"/>
        <w:jc w:val="center"/>
        <w:rPr>
          <w:sz w:val="24"/>
          <w:szCs w:val="24"/>
        </w:rPr>
      </w:pPr>
    </w:p>
    <w:p w14:paraId="7AD83584" w14:textId="4529338A" w:rsidR="0037561F" w:rsidRDefault="00585AAD" w:rsidP="0037561F">
      <w:pPr>
        <w:spacing w:line="360" w:lineRule="auto"/>
        <w:jc w:val="center"/>
        <w:rPr>
          <w:sz w:val="24"/>
          <w:szCs w:val="24"/>
        </w:rPr>
      </w:pPr>
      <w:r>
        <w:rPr>
          <w:noProof/>
        </w:rPr>
        <w:lastRenderedPageBreak/>
        <mc:AlternateContent>
          <mc:Choice Requires="wps">
            <w:drawing>
              <wp:anchor distT="0" distB="0" distL="114300" distR="114300" simplePos="0" relativeHeight="251659264" behindDoc="0" locked="0" layoutInCell="1" allowOverlap="1" wp14:anchorId="58AB04B5" wp14:editId="73484B97">
                <wp:simplePos x="0" y="0"/>
                <wp:positionH relativeFrom="column">
                  <wp:posOffset>3008671</wp:posOffset>
                </wp:positionH>
                <wp:positionV relativeFrom="paragraph">
                  <wp:posOffset>2521974</wp:posOffset>
                </wp:positionV>
                <wp:extent cx="604684" cy="221226"/>
                <wp:effectExtent l="0" t="0" r="5080" b="0"/>
                <wp:wrapNone/>
                <wp:docPr id="9" name="Text Box 9"/>
                <wp:cNvGraphicFramePr/>
                <a:graphic xmlns:a="http://schemas.openxmlformats.org/drawingml/2006/main">
                  <a:graphicData uri="http://schemas.microsoft.com/office/word/2010/wordprocessingShape">
                    <wps:wsp>
                      <wps:cNvSpPr txBox="1"/>
                      <wps:spPr>
                        <a:xfrm>
                          <a:off x="0" y="0"/>
                          <a:ext cx="604684" cy="221226"/>
                        </a:xfrm>
                        <a:prstGeom prst="rect">
                          <a:avLst/>
                        </a:prstGeom>
                        <a:solidFill>
                          <a:schemeClr val="bg1"/>
                        </a:solidFill>
                        <a:ln w="6350">
                          <a:noFill/>
                        </a:ln>
                      </wps:spPr>
                      <wps:txbx>
                        <w:txbxContent>
                          <w:p w14:paraId="7E8E756D" w14:textId="0B3EEB36" w:rsidR="00585AAD" w:rsidRPr="00585AAD" w:rsidRDefault="00585AAD">
                            <w:pPr>
                              <w:rPr>
                                <w:rFonts w:asciiTheme="minorHAnsi" w:hAnsiTheme="minorHAnsi" w:cstheme="minorHAnsi"/>
                                <w:sz w:val="16"/>
                                <w:szCs w:val="21"/>
                              </w:rPr>
                            </w:pPr>
                            <w:r>
                              <w:rPr>
                                <w:rFonts w:asciiTheme="minorHAnsi" w:hAnsiTheme="minorHAnsi" w:cstheme="minorHAnsi"/>
                                <w:sz w:val="16"/>
                                <w:szCs w:val="21"/>
                              </w:rPr>
                              <w:t>f</w:t>
                            </w:r>
                            <w:r w:rsidRPr="00585AAD">
                              <w:rPr>
                                <w:rFonts w:asciiTheme="minorHAnsi" w:hAnsiTheme="minorHAnsi" w:cstheme="minorHAnsi"/>
                                <w:sz w:val="16"/>
                                <w:szCs w:val="21"/>
                              </w:rPr>
                              <w:t>rom 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AB04B5" id="_x0000_t202" coordsize="21600,21600" o:spt="202" path="m,l,21600r21600,l21600,xe">
                <v:stroke joinstyle="miter"/>
                <v:path gradientshapeok="t" o:connecttype="rect"/>
              </v:shapetype>
              <v:shape id="Text Box 9" o:spid="_x0000_s1026" type="#_x0000_t202" style="position:absolute;left:0;text-align:left;margin-left:236.9pt;margin-top:198.6pt;width:47.6pt;height:17.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" fillcolor="white [3212]" stroked="f" strokeweight=".5pt">
                <v:textbox>
                  <w:txbxContent>
                    <w:p w14:paraId="7E8E756D" w14:textId="0B3EEB36" w:rsidR="00585AAD" w:rsidRPr="00585AAD" w:rsidRDefault="00585AAD">
                      <w:pPr>
                        <w:rPr>
                          <w:rFonts w:asciiTheme="minorHAnsi" w:hAnsiTheme="minorHAnsi" w:cstheme="minorHAnsi"/>
                          <w:sz w:val="16"/>
                          <w:szCs w:val="21"/>
                        </w:rPr>
                      </w:pPr>
                      <w:r>
                        <w:rPr>
                          <w:rFonts w:asciiTheme="minorHAnsi" w:hAnsiTheme="minorHAnsi" w:cstheme="minorHAnsi"/>
                          <w:sz w:val="16"/>
                          <w:szCs w:val="21"/>
                        </w:rPr>
                        <w:t>f</w:t>
                      </w:r>
                      <w:r w:rsidRPr="00585AAD">
                        <w:rPr>
                          <w:rFonts w:asciiTheme="minorHAnsi" w:hAnsiTheme="minorHAnsi" w:cstheme="minorHAnsi"/>
                          <w:sz w:val="16"/>
                          <w:szCs w:val="21"/>
                        </w:rPr>
                        <w:t>rom TA</w:t>
                      </w:r>
                    </w:p>
                  </w:txbxContent>
                </v:textbox>
              </v:shape>
            </w:pict>
          </mc:Fallback>
        </mc:AlternateContent>
      </w:r>
      <w:r w:rsidR="0052287F">
        <w:rPr>
          <w:noProof/>
        </w:rPr>
        <w:softHyphen/>
      </w:r>
      <w:r w:rsidR="0037561F">
        <w:rPr>
          <w:noProof/>
        </w:rPr>
        <w:drawing>
          <wp:inline distT="0" distB="0" distL="0" distR="0" wp14:anchorId="00AE75DC" wp14:editId="5D1625BB">
            <wp:extent cx="4572000" cy="2743200"/>
            <wp:effectExtent l="0" t="0" r="12700" b="12700"/>
            <wp:docPr id="4" name="Chart 4">
              <a:extLst xmlns:a="http://schemas.openxmlformats.org/drawingml/2006/main">
                <a:ext uri="{FF2B5EF4-FFF2-40B4-BE49-F238E27FC236}">
                  <a16:creationId xmlns:a16="http://schemas.microsoft.com/office/drawing/2014/main" id="{FFA0F805-6C58-FE49-AD06-39AE57AA86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9A16BC6" w14:textId="46BD097E" w:rsidR="0037561F" w:rsidRDefault="0037561F" w:rsidP="0037561F">
      <w:pPr>
        <w:spacing w:line="360" w:lineRule="auto"/>
        <w:jc w:val="center"/>
        <w:rPr>
          <w:sz w:val="24"/>
          <w:szCs w:val="24"/>
        </w:rPr>
      </w:pPr>
      <w:r>
        <w:rPr>
          <w:sz w:val="24"/>
          <w:szCs w:val="24"/>
        </w:rPr>
        <w:t>Figure 5</w:t>
      </w:r>
    </w:p>
    <w:p w14:paraId="5D221092" w14:textId="02560EE2" w:rsidR="0037561F" w:rsidRDefault="0037561F" w:rsidP="0037561F">
      <w:pPr>
        <w:spacing w:line="360" w:lineRule="auto"/>
        <w:jc w:val="center"/>
        <w:rPr>
          <w:sz w:val="24"/>
          <w:szCs w:val="24"/>
        </w:rPr>
      </w:pPr>
    </w:p>
    <w:p w14:paraId="3A85B1C5" w14:textId="5704167D" w:rsidR="00EF6B9C" w:rsidRDefault="00781988" w:rsidP="00781988">
      <w:pPr>
        <w:spacing w:line="360" w:lineRule="auto"/>
        <w:rPr>
          <w:sz w:val="24"/>
          <w:szCs w:val="24"/>
        </w:rPr>
      </w:pPr>
      <w:r>
        <w:rPr>
          <w:sz w:val="24"/>
          <w:szCs w:val="24"/>
        </w:rPr>
        <w:t xml:space="preserve">56% of respondents believe that low self-esteem is the most affected area of well-being for a child with dyslexia as the children get frustrated when they have to write large amount of writing as “they have good ideas but cannot transfer their ideas down on paper”. One participant wrote that “low self-esteem will massively stop children working and achieving their full potential” as they are often placed in lower ability groups when this is not the correct group for them. </w:t>
      </w:r>
      <w:r w:rsidR="00340C49">
        <w:rPr>
          <w:sz w:val="24"/>
          <w:szCs w:val="24"/>
        </w:rPr>
        <w:t xml:space="preserve">Children with dyslexia </w:t>
      </w:r>
      <w:r w:rsidR="005D4FA6">
        <w:rPr>
          <w:sz w:val="24"/>
          <w:szCs w:val="24"/>
        </w:rPr>
        <w:t xml:space="preserve">often feel alienated as they are unable to complete work as quickly as their peers and feel like failures (Mortimore, 2003). </w:t>
      </w:r>
      <w:r w:rsidR="00A91DD1">
        <w:rPr>
          <w:sz w:val="24"/>
          <w:szCs w:val="24"/>
        </w:rPr>
        <w:t xml:space="preserve">37.5% of respondents believe that low self-esteem is the most challenging aspect of supporting children with dyslexia. </w:t>
      </w:r>
      <w:r w:rsidR="002104B1">
        <w:rPr>
          <w:sz w:val="24"/>
          <w:szCs w:val="24"/>
        </w:rPr>
        <w:t xml:space="preserve">Also, one respondent claims that children with </w:t>
      </w:r>
      <w:r w:rsidR="00973BF1">
        <w:rPr>
          <w:sz w:val="24"/>
          <w:szCs w:val="24"/>
        </w:rPr>
        <w:t>dyslexia</w:t>
      </w:r>
      <w:r w:rsidR="002104B1">
        <w:rPr>
          <w:sz w:val="24"/>
          <w:szCs w:val="24"/>
        </w:rPr>
        <w:t xml:space="preserve"> are misunderstood by their peers as they cannot read their writing when peer assessing which </w:t>
      </w:r>
      <w:proofErr w:type="spellStart"/>
      <w:r w:rsidR="002104B1">
        <w:rPr>
          <w:sz w:val="24"/>
          <w:szCs w:val="24"/>
        </w:rPr>
        <w:t>Glazzard</w:t>
      </w:r>
      <w:proofErr w:type="spellEnd"/>
      <w:r w:rsidR="002104B1">
        <w:rPr>
          <w:sz w:val="24"/>
          <w:szCs w:val="24"/>
        </w:rPr>
        <w:t xml:space="preserve"> (2010) </w:t>
      </w:r>
      <w:r w:rsidR="00DA251B">
        <w:rPr>
          <w:sz w:val="24"/>
          <w:szCs w:val="24"/>
        </w:rPr>
        <w:t xml:space="preserve"> and Pollock, Waller and </w:t>
      </w:r>
      <w:proofErr w:type="spellStart"/>
      <w:r w:rsidR="00DA251B">
        <w:rPr>
          <w:sz w:val="24"/>
          <w:szCs w:val="24"/>
        </w:rPr>
        <w:t>Politt</w:t>
      </w:r>
      <w:proofErr w:type="spellEnd"/>
      <w:r w:rsidR="00DA251B">
        <w:rPr>
          <w:sz w:val="24"/>
          <w:szCs w:val="24"/>
        </w:rPr>
        <w:t xml:space="preserve"> (2004) </w:t>
      </w:r>
      <w:r w:rsidR="002104B1">
        <w:rPr>
          <w:sz w:val="24"/>
          <w:szCs w:val="24"/>
        </w:rPr>
        <w:t>suggest</w:t>
      </w:r>
      <w:r w:rsidR="00DA251B">
        <w:rPr>
          <w:sz w:val="24"/>
          <w:szCs w:val="24"/>
        </w:rPr>
        <w:t xml:space="preserve"> that it</w:t>
      </w:r>
      <w:r w:rsidR="002104B1">
        <w:rPr>
          <w:sz w:val="24"/>
          <w:szCs w:val="24"/>
        </w:rPr>
        <w:t xml:space="preserve"> leads children to withdraw from activities but having the label of dyslexia has a positive impact on children’s self-esteem. </w:t>
      </w:r>
      <w:r w:rsidR="00F80498">
        <w:rPr>
          <w:sz w:val="24"/>
          <w:szCs w:val="24"/>
        </w:rPr>
        <w:t>Whilst on PTE this was overcome by allowing the child with dyslexia to use a laptop to write up his work to prevent him getting frustrated by his peer</w:t>
      </w:r>
      <w:r w:rsidR="007E29A5">
        <w:rPr>
          <w:sz w:val="24"/>
          <w:szCs w:val="24"/>
        </w:rPr>
        <w:t>s</w:t>
      </w:r>
      <w:r w:rsidR="00F80498">
        <w:rPr>
          <w:sz w:val="24"/>
          <w:szCs w:val="24"/>
        </w:rPr>
        <w:t xml:space="preserve"> not understanding his handwriting and practising fine motor skills such as writing in shaving foam to improve his handwriting. </w:t>
      </w:r>
      <w:r w:rsidR="00973BF1">
        <w:rPr>
          <w:sz w:val="24"/>
          <w:szCs w:val="24"/>
        </w:rPr>
        <w:t xml:space="preserve">As stated earlier that 67% of pupils from participants classes have traits of dyslexia but no diagnosis, getting more children </w:t>
      </w:r>
      <w:r w:rsidR="00D877DE">
        <w:rPr>
          <w:sz w:val="24"/>
          <w:szCs w:val="24"/>
        </w:rPr>
        <w:t>diagnosed</w:t>
      </w:r>
      <w:r w:rsidR="00973BF1">
        <w:rPr>
          <w:sz w:val="24"/>
          <w:szCs w:val="24"/>
        </w:rPr>
        <w:t xml:space="preserve"> with dyslexia rather than just screening will help to improve the well-being of the children and improve achievement (Barnes, 2015).</w:t>
      </w:r>
      <w:r w:rsidR="005573F6">
        <w:rPr>
          <w:sz w:val="24"/>
          <w:szCs w:val="24"/>
        </w:rPr>
        <w:t xml:space="preserve"> </w:t>
      </w:r>
      <w:r w:rsidR="00B13D6E">
        <w:rPr>
          <w:sz w:val="24"/>
          <w:szCs w:val="24"/>
        </w:rPr>
        <w:t>The Well-being of Future Generations Act (WAG, 2015) has 7 well-being goals including a healthier Wales concentrating on the physical and mental health of young people putting a legal responsibility on schools to improve the well-being of children</w:t>
      </w:r>
      <w:r w:rsidR="00EE045B">
        <w:rPr>
          <w:sz w:val="24"/>
          <w:szCs w:val="24"/>
        </w:rPr>
        <w:t xml:space="preserve"> along </w:t>
      </w:r>
      <w:r w:rsidR="00EE045B">
        <w:rPr>
          <w:sz w:val="24"/>
          <w:szCs w:val="24"/>
        </w:rPr>
        <w:lastRenderedPageBreak/>
        <w:t>with Donaldson (2015:19) putting one of the 4 purposes as “healthy, confident individuals”.</w:t>
      </w:r>
      <w:r w:rsidR="00B13D6E">
        <w:rPr>
          <w:sz w:val="24"/>
          <w:szCs w:val="24"/>
        </w:rPr>
        <w:t xml:space="preserve"> </w:t>
      </w:r>
      <w:r w:rsidR="00D8766D">
        <w:rPr>
          <w:sz w:val="24"/>
          <w:szCs w:val="24"/>
        </w:rPr>
        <w:t>Furthermore</w:t>
      </w:r>
      <w:r w:rsidR="009B52F8">
        <w:rPr>
          <w:sz w:val="24"/>
          <w:szCs w:val="24"/>
        </w:rPr>
        <w:t xml:space="preserve">, children have the right to be healthy </w:t>
      </w:r>
      <w:r w:rsidR="00EE045B">
        <w:rPr>
          <w:sz w:val="24"/>
          <w:szCs w:val="24"/>
        </w:rPr>
        <w:t xml:space="preserve">with </w:t>
      </w:r>
      <w:r w:rsidR="009B52F8">
        <w:rPr>
          <w:sz w:val="24"/>
          <w:szCs w:val="24"/>
        </w:rPr>
        <w:t xml:space="preserve">their well-being taken care of and have the right to </w:t>
      </w:r>
      <w:r w:rsidR="009A0484">
        <w:rPr>
          <w:sz w:val="24"/>
          <w:szCs w:val="24"/>
        </w:rPr>
        <w:t>h</w:t>
      </w:r>
      <w:r w:rsidR="009B52F8">
        <w:rPr>
          <w:sz w:val="24"/>
          <w:szCs w:val="24"/>
        </w:rPr>
        <w:t xml:space="preserve">ave their best interests at the top priority when decisions are </w:t>
      </w:r>
      <w:r w:rsidR="00D8766D">
        <w:rPr>
          <w:sz w:val="24"/>
          <w:szCs w:val="24"/>
        </w:rPr>
        <w:t>made that affect them (UNICEF, 1991).</w:t>
      </w:r>
      <w:r w:rsidR="00EE045B">
        <w:rPr>
          <w:sz w:val="24"/>
          <w:szCs w:val="24"/>
        </w:rPr>
        <w:t xml:space="preserve"> </w:t>
      </w:r>
    </w:p>
    <w:p w14:paraId="0B7D3671" w14:textId="5D9E34C3" w:rsidR="004350E1" w:rsidRDefault="004350E1" w:rsidP="00781988">
      <w:pPr>
        <w:spacing w:line="360" w:lineRule="auto"/>
        <w:rPr>
          <w:sz w:val="24"/>
          <w:szCs w:val="24"/>
        </w:rPr>
      </w:pPr>
    </w:p>
    <w:p w14:paraId="1A719366" w14:textId="669071A3" w:rsidR="00D85073" w:rsidRDefault="004350E1" w:rsidP="00781988">
      <w:pPr>
        <w:spacing w:line="360" w:lineRule="auto"/>
        <w:rPr>
          <w:sz w:val="24"/>
          <w:szCs w:val="24"/>
        </w:rPr>
      </w:pPr>
      <w:r>
        <w:rPr>
          <w:sz w:val="24"/>
          <w:szCs w:val="24"/>
        </w:rPr>
        <w:t xml:space="preserve">In regard to teacher training for dyslexia only </w:t>
      </w:r>
      <w:r w:rsidR="008F5DAB">
        <w:rPr>
          <w:sz w:val="24"/>
          <w:szCs w:val="24"/>
        </w:rPr>
        <w:t>16</w:t>
      </w:r>
      <w:r>
        <w:rPr>
          <w:sz w:val="24"/>
          <w:szCs w:val="24"/>
        </w:rPr>
        <w:t xml:space="preserve">% of participants have received dyslexia training but some explain that it is outdated and only a day long course. </w:t>
      </w:r>
      <w:r w:rsidR="00170FE6">
        <w:rPr>
          <w:sz w:val="24"/>
          <w:szCs w:val="24"/>
        </w:rPr>
        <w:t>WAG (2012) found that only 3 local authorities are up to date with a database of their training in dyslexia and th</w:t>
      </w:r>
      <w:r w:rsidR="00430183">
        <w:rPr>
          <w:sz w:val="24"/>
          <w:szCs w:val="24"/>
        </w:rPr>
        <w:t>ere</w:t>
      </w:r>
      <w:r w:rsidR="00170FE6">
        <w:rPr>
          <w:sz w:val="24"/>
          <w:szCs w:val="24"/>
        </w:rPr>
        <w:t xml:space="preserve"> is not enough funding available for schools to equip staff with the skills and resources in order to support children with dyslexia. </w:t>
      </w:r>
      <w:r w:rsidR="008F5DAB">
        <w:rPr>
          <w:sz w:val="24"/>
          <w:szCs w:val="24"/>
        </w:rPr>
        <w:t>In contrast</w:t>
      </w:r>
      <w:r w:rsidR="007E29A5">
        <w:rPr>
          <w:sz w:val="24"/>
          <w:szCs w:val="24"/>
        </w:rPr>
        <w:t>,</w:t>
      </w:r>
      <w:r w:rsidR="008F5DAB">
        <w:rPr>
          <w:sz w:val="24"/>
          <w:szCs w:val="24"/>
        </w:rPr>
        <w:t xml:space="preserve"> 28% of participants have received training for </w:t>
      </w:r>
      <w:r w:rsidR="00D85073">
        <w:rPr>
          <w:sz w:val="24"/>
          <w:szCs w:val="24"/>
        </w:rPr>
        <w:t>autism</w:t>
      </w:r>
      <w:r w:rsidR="008F5DAB">
        <w:rPr>
          <w:sz w:val="24"/>
          <w:szCs w:val="24"/>
        </w:rPr>
        <w:t xml:space="preserve"> and 16% have received training for English as an additional language showing that there is more support available for other ALNs</w:t>
      </w:r>
      <w:r w:rsidR="00D85073">
        <w:rPr>
          <w:sz w:val="24"/>
          <w:szCs w:val="24"/>
        </w:rPr>
        <w:t xml:space="preserve"> </w:t>
      </w:r>
      <w:r w:rsidR="008F5DAB">
        <w:rPr>
          <w:sz w:val="24"/>
          <w:szCs w:val="24"/>
        </w:rPr>
        <w:t xml:space="preserve">(see figure 6). The new ALN programme will allow for a more inclusive approach for schools in Wales with more emphasis </w:t>
      </w:r>
      <w:r w:rsidR="00D85073">
        <w:rPr>
          <w:sz w:val="24"/>
          <w:szCs w:val="24"/>
        </w:rPr>
        <w:t xml:space="preserve">on increased participation for all pupils with a simpler system, making schools legally responsible for children with ALNs (WAG, 2017). </w:t>
      </w:r>
      <w:r w:rsidR="008F5DAB">
        <w:rPr>
          <w:sz w:val="24"/>
          <w:szCs w:val="24"/>
        </w:rPr>
        <w:t xml:space="preserve"> </w:t>
      </w:r>
    </w:p>
    <w:p w14:paraId="207FBFF3" w14:textId="158C8A44" w:rsidR="00D85073" w:rsidRDefault="00D85073" w:rsidP="00781988">
      <w:pPr>
        <w:spacing w:line="360" w:lineRule="auto"/>
        <w:rPr>
          <w:sz w:val="24"/>
          <w:szCs w:val="24"/>
        </w:rPr>
      </w:pPr>
      <w:r>
        <w:rPr>
          <w:noProof/>
        </w:rPr>
        <w:drawing>
          <wp:inline distT="0" distB="0" distL="0" distR="0" wp14:anchorId="2AECAF29" wp14:editId="0A84F7FF">
            <wp:extent cx="5727700" cy="3213100"/>
            <wp:effectExtent l="0" t="0" r="12700" b="12700"/>
            <wp:docPr id="6" name="Chart 6">
              <a:extLst xmlns:a="http://schemas.openxmlformats.org/drawingml/2006/main">
                <a:ext uri="{FF2B5EF4-FFF2-40B4-BE49-F238E27FC236}">
                  <a16:creationId xmlns:a16="http://schemas.microsoft.com/office/drawing/2014/main" id="{65C37894-F435-E843-8285-B98434CA57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BA12161" w14:textId="690FD2A7" w:rsidR="00D85073" w:rsidRDefault="00D85073" w:rsidP="00D85073">
      <w:pPr>
        <w:spacing w:line="360" w:lineRule="auto"/>
        <w:jc w:val="center"/>
        <w:rPr>
          <w:sz w:val="24"/>
          <w:szCs w:val="24"/>
        </w:rPr>
      </w:pPr>
      <w:r>
        <w:rPr>
          <w:sz w:val="24"/>
          <w:szCs w:val="24"/>
        </w:rPr>
        <w:t>Figure 6</w:t>
      </w:r>
    </w:p>
    <w:p w14:paraId="6835C9BF" w14:textId="77777777" w:rsidR="00D85073" w:rsidRDefault="00D85073" w:rsidP="00781988">
      <w:pPr>
        <w:spacing w:line="360" w:lineRule="auto"/>
        <w:rPr>
          <w:sz w:val="24"/>
          <w:szCs w:val="24"/>
        </w:rPr>
      </w:pPr>
    </w:p>
    <w:p w14:paraId="195B0C86" w14:textId="202C19F1" w:rsidR="004350E1" w:rsidRDefault="00697D4C" w:rsidP="00781988">
      <w:pPr>
        <w:spacing w:line="360" w:lineRule="auto"/>
        <w:rPr>
          <w:sz w:val="24"/>
          <w:szCs w:val="24"/>
        </w:rPr>
      </w:pPr>
      <w:r>
        <w:rPr>
          <w:sz w:val="24"/>
          <w:szCs w:val="24"/>
        </w:rPr>
        <w:t>For children who are at risk of having dyslexia or have dyslexia to progress academically, educational professionals need</w:t>
      </w:r>
      <w:r w:rsidR="00EF5EDC">
        <w:rPr>
          <w:sz w:val="24"/>
          <w:szCs w:val="24"/>
        </w:rPr>
        <w:t xml:space="preserve"> </w:t>
      </w:r>
      <w:r>
        <w:rPr>
          <w:sz w:val="24"/>
          <w:szCs w:val="24"/>
        </w:rPr>
        <w:t>to be trained to identify the key traits in order to help boost the children’s self-esteem and achievement to ensure an inclusi</w:t>
      </w:r>
      <w:r w:rsidR="00430183">
        <w:rPr>
          <w:sz w:val="24"/>
          <w:szCs w:val="24"/>
        </w:rPr>
        <w:t>ve</w:t>
      </w:r>
      <w:r>
        <w:rPr>
          <w:sz w:val="24"/>
          <w:szCs w:val="24"/>
        </w:rPr>
        <w:t xml:space="preserve"> environment for all </w:t>
      </w:r>
      <w:r w:rsidR="00EF5EDC">
        <w:rPr>
          <w:sz w:val="24"/>
          <w:szCs w:val="24"/>
        </w:rPr>
        <w:t>pupils,</w:t>
      </w:r>
      <w:r>
        <w:rPr>
          <w:sz w:val="24"/>
          <w:szCs w:val="24"/>
        </w:rPr>
        <w:t xml:space="preserve"> </w:t>
      </w:r>
      <w:r w:rsidR="00430183">
        <w:rPr>
          <w:sz w:val="24"/>
          <w:szCs w:val="24"/>
        </w:rPr>
        <w:t>with</w:t>
      </w:r>
      <w:r>
        <w:rPr>
          <w:sz w:val="24"/>
          <w:szCs w:val="24"/>
        </w:rPr>
        <w:t xml:space="preserve"> no one is left behind.</w:t>
      </w:r>
      <w:r w:rsidR="006A37F2">
        <w:rPr>
          <w:sz w:val="24"/>
          <w:szCs w:val="24"/>
        </w:rPr>
        <w:t xml:space="preserve"> Donaldson (2015) suggests that teachers need to embrace </w:t>
      </w:r>
      <w:r w:rsidR="006A37F2">
        <w:rPr>
          <w:sz w:val="24"/>
          <w:szCs w:val="24"/>
        </w:rPr>
        <w:lastRenderedPageBreak/>
        <w:t xml:space="preserve">personalised learning to ensure that every pupil can progress at their own pace and reach their full </w:t>
      </w:r>
      <w:r w:rsidR="00EF5EDC">
        <w:rPr>
          <w:sz w:val="24"/>
          <w:szCs w:val="24"/>
        </w:rPr>
        <w:t>potential,</w:t>
      </w:r>
      <w:r w:rsidR="006A37F2">
        <w:rPr>
          <w:sz w:val="24"/>
          <w:szCs w:val="24"/>
        </w:rPr>
        <w:t xml:space="preserve"> but this cannot be achieved without teachers having the training and the skills</w:t>
      </w:r>
      <w:r w:rsidR="00ED6CBE">
        <w:rPr>
          <w:sz w:val="24"/>
          <w:szCs w:val="24"/>
        </w:rPr>
        <w:t xml:space="preserve"> to adapt learning for children with dyslexia.</w:t>
      </w:r>
      <w:r w:rsidR="00CA7D12">
        <w:rPr>
          <w:sz w:val="24"/>
          <w:szCs w:val="24"/>
        </w:rPr>
        <w:t xml:space="preserve"> </w:t>
      </w:r>
      <w:r w:rsidR="00A15A03">
        <w:rPr>
          <w:sz w:val="24"/>
          <w:szCs w:val="24"/>
        </w:rPr>
        <w:t xml:space="preserve">12.5% of </w:t>
      </w:r>
      <w:r w:rsidR="00777EB2">
        <w:rPr>
          <w:sz w:val="24"/>
          <w:szCs w:val="24"/>
        </w:rPr>
        <w:t>participants</w:t>
      </w:r>
      <w:r w:rsidR="00A15A03">
        <w:rPr>
          <w:sz w:val="24"/>
          <w:szCs w:val="24"/>
        </w:rPr>
        <w:t xml:space="preserve"> </w:t>
      </w:r>
      <w:r w:rsidR="007E29A5">
        <w:rPr>
          <w:sz w:val="24"/>
          <w:szCs w:val="24"/>
        </w:rPr>
        <w:t xml:space="preserve">suggest </w:t>
      </w:r>
      <w:r w:rsidR="00A15A03">
        <w:rPr>
          <w:sz w:val="24"/>
          <w:szCs w:val="24"/>
        </w:rPr>
        <w:t>having the lack of</w:t>
      </w:r>
      <w:r w:rsidR="00777EB2">
        <w:rPr>
          <w:sz w:val="24"/>
          <w:szCs w:val="24"/>
        </w:rPr>
        <w:t xml:space="preserve"> dyslexia training as the most challenging aspect of supporting children with dyslexia. </w:t>
      </w:r>
      <w:r w:rsidR="00CA7D12">
        <w:rPr>
          <w:sz w:val="24"/>
          <w:szCs w:val="24"/>
        </w:rPr>
        <w:t xml:space="preserve">Although only </w:t>
      </w:r>
      <w:r w:rsidR="008F5DAB">
        <w:rPr>
          <w:sz w:val="24"/>
          <w:szCs w:val="24"/>
        </w:rPr>
        <w:t>16</w:t>
      </w:r>
      <w:r w:rsidR="00CA7D12">
        <w:rPr>
          <w:sz w:val="24"/>
          <w:szCs w:val="24"/>
        </w:rPr>
        <w:t xml:space="preserve">% of participants have received dyslexia training it would be assumed that they would not be confident in supporting and addressing the needs of children with dyslexia. However, </w:t>
      </w:r>
      <w:r w:rsidR="008B0944">
        <w:rPr>
          <w:sz w:val="24"/>
          <w:szCs w:val="24"/>
        </w:rPr>
        <w:t>56% of the respondents believe they are confident support</w:t>
      </w:r>
      <w:r w:rsidR="007E29A5">
        <w:rPr>
          <w:sz w:val="24"/>
          <w:szCs w:val="24"/>
        </w:rPr>
        <w:t>ing</w:t>
      </w:r>
      <w:r w:rsidR="008B0944">
        <w:rPr>
          <w:sz w:val="24"/>
          <w:szCs w:val="24"/>
        </w:rPr>
        <w:t xml:space="preserve"> children with dyslexia and only 22% suggest that they are not so confident (see figure </w:t>
      </w:r>
      <w:r w:rsidR="00D85073">
        <w:rPr>
          <w:sz w:val="24"/>
          <w:szCs w:val="24"/>
        </w:rPr>
        <w:t>7</w:t>
      </w:r>
      <w:r w:rsidR="008B0944">
        <w:rPr>
          <w:sz w:val="24"/>
          <w:szCs w:val="24"/>
        </w:rPr>
        <w:t xml:space="preserve">). </w:t>
      </w:r>
      <w:r w:rsidR="007A28E3">
        <w:rPr>
          <w:sz w:val="24"/>
          <w:szCs w:val="24"/>
        </w:rPr>
        <w:t>This could be due to the amount of experience they have had over the number of years they have been teaching and support they have from TAs within the classroom (Grigg, 2015).</w:t>
      </w:r>
      <w:r w:rsidR="009B52F8">
        <w:rPr>
          <w:sz w:val="24"/>
          <w:szCs w:val="24"/>
        </w:rPr>
        <w:t xml:space="preserve"> </w:t>
      </w:r>
    </w:p>
    <w:p w14:paraId="55EBD3FF" w14:textId="5330B201" w:rsidR="00877F6F" w:rsidRDefault="00877F6F" w:rsidP="00781988">
      <w:pPr>
        <w:spacing w:line="360" w:lineRule="auto"/>
        <w:rPr>
          <w:sz w:val="24"/>
          <w:szCs w:val="24"/>
        </w:rPr>
      </w:pPr>
    </w:p>
    <w:p w14:paraId="0E29BE70" w14:textId="0111E32E" w:rsidR="00877F6F" w:rsidRDefault="00877F6F" w:rsidP="00877F6F">
      <w:pPr>
        <w:spacing w:line="360" w:lineRule="auto"/>
        <w:jc w:val="center"/>
        <w:rPr>
          <w:sz w:val="24"/>
          <w:szCs w:val="24"/>
        </w:rPr>
      </w:pPr>
      <w:r>
        <w:rPr>
          <w:noProof/>
        </w:rPr>
        <w:drawing>
          <wp:inline distT="0" distB="0" distL="0" distR="0" wp14:anchorId="20E09FBE" wp14:editId="76E720C8">
            <wp:extent cx="5295900" cy="3251200"/>
            <wp:effectExtent l="0" t="0" r="12700" b="12700"/>
            <wp:docPr id="5" name="Chart 5">
              <a:extLst xmlns:a="http://schemas.openxmlformats.org/drawingml/2006/main">
                <a:ext uri="{FF2B5EF4-FFF2-40B4-BE49-F238E27FC236}">
                  <a16:creationId xmlns:a16="http://schemas.microsoft.com/office/drawing/2014/main" id="{72E0A32C-F04C-EC41-A143-A934A6B1F0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6451136" w14:textId="293F928F" w:rsidR="00877F6F" w:rsidRDefault="00877F6F" w:rsidP="00877F6F">
      <w:pPr>
        <w:spacing w:line="360" w:lineRule="auto"/>
        <w:jc w:val="center"/>
        <w:rPr>
          <w:sz w:val="24"/>
          <w:szCs w:val="24"/>
        </w:rPr>
      </w:pPr>
      <w:r>
        <w:rPr>
          <w:sz w:val="24"/>
          <w:szCs w:val="24"/>
        </w:rPr>
        <w:t xml:space="preserve">Figure </w:t>
      </w:r>
      <w:r w:rsidR="00D85073">
        <w:rPr>
          <w:sz w:val="24"/>
          <w:szCs w:val="24"/>
        </w:rPr>
        <w:t>7</w:t>
      </w:r>
    </w:p>
    <w:p w14:paraId="61F38924" w14:textId="6EC011CB" w:rsidR="00877F6F" w:rsidRDefault="00877F6F" w:rsidP="00877F6F">
      <w:pPr>
        <w:spacing w:line="360" w:lineRule="auto"/>
        <w:jc w:val="center"/>
        <w:rPr>
          <w:sz w:val="24"/>
          <w:szCs w:val="24"/>
        </w:rPr>
      </w:pPr>
    </w:p>
    <w:p w14:paraId="463637FF" w14:textId="62460E80" w:rsidR="00F64E9F" w:rsidRDefault="00DA251B" w:rsidP="00F64E9F">
      <w:pPr>
        <w:spacing w:line="360" w:lineRule="auto"/>
        <w:rPr>
          <w:sz w:val="24"/>
          <w:szCs w:val="24"/>
        </w:rPr>
      </w:pPr>
      <w:r>
        <w:rPr>
          <w:sz w:val="24"/>
          <w:szCs w:val="24"/>
        </w:rPr>
        <w:t xml:space="preserve">Children with dyslexia </w:t>
      </w:r>
      <w:r w:rsidR="00132F11">
        <w:rPr>
          <w:sz w:val="24"/>
          <w:szCs w:val="24"/>
        </w:rPr>
        <w:t>face daily challenges mostly within literacy</w:t>
      </w:r>
      <w:r w:rsidR="00B12070">
        <w:rPr>
          <w:sz w:val="24"/>
          <w:szCs w:val="24"/>
        </w:rPr>
        <w:t xml:space="preserve"> including short term memory and phonological awareness (Farrell, 2012). </w:t>
      </w:r>
      <w:r w:rsidR="00CB3BF1">
        <w:rPr>
          <w:sz w:val="24"/>
          <w:szCs w:val="24"/>
        </w:rPr>
        <w:t xml:space="preserve">88.9% of respondents said that literacy was hardest challenge for pupils with dyslexia and 33.3% said that Physical Education </w:t>
      </w:r>
      <w:r w:rsidR="000F6ADC">
        <w:rPr>
          <w:sz w:val="24"/>
          <w:szCs w:val="24"/>
        </w:rPr>
        <w:t xml:space="preserve">(PE) </w:t>
      </w:r>
      <w:r w:rsidR="00CB3BF1">
        <w:rPr>
          <w:sz w:val="24"/>
          <w:szCs w:val="24"/>
        </w:rPr>
        <w:t xml:space="preserve">was the easiest for children with dyslexia. </w:t>
      </w:r>
      <w:r w:rsidR="000F6ADC">
        <w:rPr>
          <w:sz w:val="24"/>
          <w:szCs w:val="24"/>
        </w:rPr>
        <w:t xml:space="preserve">PE could possibly be the easiest subject for children with dyslexia as it is a physical subject and does not require lots of writing however, it does require to memorise sequences which children with dyslexia find challenging. </w:t>
      </w:r>
      <w:r w:rsidR="003E35A9">
        <w:rPr>
          <w:sz w:val="24"/>
          <w:szCs w:val="24"/>
        </w:rPr>
        <w:t xml:space="preserve">From secondary research it was found that dyslexia can affect children in a variety of different ways and many common characteristics of dyslexia that may not all be present in a particular </w:t>
      </w:r>
      <w:r w:rsidR="003E35A9">
        <w:rPr>
          <w:sz w:val="24"/>
          <w:szCs w:val="24"/>
        </w:rPr>
        <w:lastRenderedPageBreak/>
        <w:t>child (Lawrence, 2009).</w:t>
      </w:r>
      <w:r w:rsidR="008823A5">
        <w:rPr>
          <w:sz w:val="24"/>
          <w:szCs w:val="24"/>
        </w:rPr>
        <w:t xml:space="preserve"> From the primary research it was found that 57% of participants believe that from their experiences children with dyslexia most commonly have errors in their spellings.</w:t>
      </w:r>
      <w:r w:rsidR="00286F62">
        <w:rPr>
          <w:sz w:val="24"/>
          <w:szCs w:val="24"/>
        </w:rPr>
        <w:t xml:space="preserve"> Therefore, teachers need to work with these pupils individually to improve their spelling through many different approaches such as visual recall of words, fine motor skills and phonetics (Pollock, Waller and </w:t>
      </w:r>
      <w:proofErr w:type="spellStart"/>
      <w:r w:rsidR="00286F62">
        <w:rPr>
          <w:sz w:val="24"/>
          <w:szCs w:val="24"/>
        </w:rPr>
        <w:t>Politt</w:t>
      </w:r>
      <w:proofErr w:type="spellEnd"/>
      <w:r w:rsidR="00286F62">
        <w:rPr>
          <w:sz w:val="24"/>
          <w:szCs w:val="24"/>
        </w:rPr>
        <w:t>, 2004).</w:t>
      </w:r>
      <w:r w:rsidR="00625BD8">
        <w:rPr>
          <w:sz w:val="24"/>
          <w:szCs w:val="24"/>
        </w:rPr>
        <w:t xml:space="preserve"> However, the pupils should not be singled out as this will </w:t>
      </w:r>
      <w:r w:rsidR="00BF5C96">
        <w:rPr>
          <w:sz w:val="24"/>
          <w:szCs w:val="24"/>
        </w:rPr>
        <w:t>decrease</w:t>
      </w:r>
      <w:r w:rsidR="00625BD8">
        <w:rPr>
          <w:sz w:val="24"/>
          <w:szCs w:val="24"/>
        </w:rPr>
        <w:t xml:space="preserve"> their self-esteem, doing intervention programmes such as ‘Sing, Spell, Read, Write’ (WAG, 2012) </w:t>
      </w:r>
      <w:r w:rsidR="009E3231">
        <w:rPr>
          <w:sz w:val="24"/>
          <w:szCs w:val="24"/>
        </w:rPr>
        <w:t xml:space="preserve"> can be done as a class and learning is portrayed through play making the learning more engaging </w:t>
      </w:r>
      <w:r w:rsidR="00044E49">
        <w:rPr>
          <w:sz w:val="24"/>
          <w:szCs w:val="24"/>
        </w:rPr>
        <w:t xml:space="preserve"> and inclusive </w:t>
      </w:r>
      <w:r w:rsidR="009E3231">
        <w:rPr>
          <w:sz w:val="24"/>
          <w:szCs w:val="24"/>
        </w:rPr>
        <w:t>(Steiner, cited in Pound, 2005, pp. 27)</w:t>
      </w:r>
      <w:r w:rsidR="00044E49">
        <w:rPr>
          <w:sz w:val="24"/>
          <w:szCs w:val="24"/>
        </w:rPr>
        <w:t>.</w:t>
      </w:r>
      <w:r w:rsidR="00680C60">
        <w:rPr>
          <w:sz w:val="24"/>
          <w:szCs w:val="24"/>
        </w:rPr>
        <w:t xml:space="preserve"> </w:t>
      </w:r>
      <w:r w:rsidR="00F64E9F">
        <w:rPr>
          <w:sz w:val="24"/>
          <w:szCs w:val="24"/>
        </w:rPr>
        <w:t>Moreover, 88% of respondents believe that children with dyslexia experience barriers cross-curricular more so than just literacy. This could be due to that the National Literacy and Numeracy Framework is to be embedded in every lesson taking elements of the literacy putting it into other areas of learning. If children with dyslexia are struggling with spelling their basic literacy across the curriculum will suffer as a result</w:t>
      </w:r>
      <w:r w:rsidR="008651F6">
        <w:rPr>
          <w:sz w:val="24"/>
          <w:szCs w:val="24"/>
        </w:rPr>
        <w:t xml:space="preserve"> (Barnes, 2015).</w:t>
      </w:r>
      <w:r w:rsidR="000F6ADC">
        <w:rPr>
          <w:sz w:val="24"/>
          <w:szCs w:val="24"/>
        </w:rPr>
        <w:t xml:space="preserve"> </w:t>
      </w:r>
    </w:p>
    <w:p w14:paraId="59779ABF" w14:textId="22D29C92" w:rsidR="00430183" w:rsidRDefault="00430183" w:rsidP="00430183">
      <w:pPr>
        <w:spacing w:line="360" w:lineRule="auto"/>
        <w:rPr>
          <w:sz w:val="24"/>
          <w:szCs w:val="24"/>
        </w:rPr>
      </w:pPr>
    </w:p>
    <w:p w14:paraId="02D43237" w14:textId="09967089" w:rsidR="00EA7E3B" w:rsidRDefault="00C56B0F" w:rsidP="00430183">
      <w:pPr>
        <w:spacing w:line="360" w:lineRule="auto"/>
        <w:rPr>
          <w:sz w:val="24"/>
          <w:szCs w:val="24"/>
        </w:rPr>
      </w:pPr>
      <w:r>
        <w:rPr>
          <w:sz w:val="24"/>
          <w:szCs w:val="24"/>
        </w:rPr>
        <w:t xml:space="preserve">44% of participants claim that children with dyslexia are sometimes more disruptive than other children in the class (see figure 8). </w:t>
      </w:r>
      <w:r w:rsidR="00BA7288">
        <w:rPr>
          <w:sz w:val="24"/>
          <w:szCs w:val="24"/>
        </w:rPr>
        <w:t>Hall (2009) believes that is because children with dyslexia often behind their peers in academic subjects which leads them to become frustrated and act out as the</w:t>
      </w:r>
      <w:r w:rsidR="00FD0209">
        <w:rPr>
          <w:sz w:val="24"/>
          <w:szCs w:val="24"/>
        </w:rPr>
        <w:t>y</w:t>
      </w:r>
      <w:r w:rsidR="00BA7288">
        <w:rPr>
          <w:sz w:val="24"/>
          <w:szCs w:val="24"/>
        </w:rPr>
        <w:t xml:space="preserve"> lack confidence in themselves. </w:t>
      </w:r>
      <w:r w:rsidR="00DE5839">
        <w:rPr>
          <w:sz w:val="24"/>
          <w:szCs w:val="24"/>
        </w:rPr>
        <w:t xml:space="preserve">Early diagnosis can help to prevent behavioural problems and understanding the needs of every individual will help </w:t>
      </w:r>
      <w:r w:rsidR="00B1172B">
        <w:rPr>
          <w:sz w:val="24"/>
          <w:szCs w:val="24"/>
        </w:rPr>
        <w:t>both the individual and teachers succeed (Estyn, 2017</w:t>
      </w:r>
      <w:r w:rsidR="001F0879">
        <w:rPr>
          <w:sz w:val="24"/>
          <w:szCs w:val="24"/>
        </w:rPr>
        <w:t xml:space="preserve"> and ITV News, 2019</w:t>
      </w:r>
      <w:r w:rsidR="00B1172B">
        <w:rPr>
          <w:sz w:val="24"/>
          <w:szCs w:val="24"/>
        </w:rPr>
        <w:t>).</w:t>
      </w:r>
      <w:r w:rsidR="00B566E9">
        <w:rPr>
          <w:sz w:val="24"/>
          <w:szCs w:val="24"/>
        </w:rPr>
        <w:t xml:space="preserve"> On the other hand, there </w:t>
      </w:r>
      <w:r w:rsidR="00C6679F">
        <w:rPr>
          <w:sz w:val="24"/>
          <w:szCs w:val="24"/>
        </w:rPr>
        <w:t>may be</w:t>
      </w:r>
      <w:r w:rsidR="00B566E9">
        <w:rPr>
          <w:sz w:val="24"/>
          <w:szCs w:val="24"/>
        </w:rPr>
        <w:t xml:space="preserve"> other underlaying conditions such as autism which could be causing the beh</w:t>
      </w:r>
      <w:r w:rsidR="00DC4988">
        <w:rPr>
          <w:sz w:val="24"/>
          <w:szCs w:val="24"/>
        </w:rPr>
        <w:t>av</w:t>
      </w:r>
      <w:r w:rsidR="00B566E9">
        <w:rPr>
          <w:sz w:val="24"/>
          <w:szCs w:val="24"/>
        </w:rPr>
        <w:t>ioural problems (Hall, 2009).</w:t>
      </w:r>
      <w:r w:rsidR="00150E31">
        <w:rPr>
          <w:sz w:val="24"/>
          <w:szCs w:val="24"/>
        </w:rPr>
        <w:t xml:space="preserve"> </w:t>
      </w:r>
      <w:r w:rsidR="001F0879">
        <w:rPr>
          <w:sz w:val="24"/>
          <w:szCs w:val="24"/>
        </w:rPr>
        <w:t xml:space="preserve">Moreover, Cardiff </w:t>
      </w:r>
      <w:r w:rsidR="000E4264">
        <w:rPr>
          <w:sz w:val="24"/>
          <w:szCs w:val="24"/>
        </w:rPr>
        <w:t>Metropolitan</w:t>
      </w:r>
      <w:r w:rsidR="001F0879">
        <w:rPr>
          <w:sz w:val="24"/>
          <w:szCs w:val="24"/>
        </w:rPr>
        <w:t xml:space="preserve"> University are currently carrying out trails on a new technology that will allow for the diagnosis for dyslexia to be quicker allowing children to have more confidence and raise their self-esteem (ITV News, 2019).</w:t>
      </w:r>
    </w:p>
    <w:p w14:paraId="3C0B146E" w14:textId="2F11B994" w:rsidR="00EA7E3B" w:rsidRDefault="00EA7E3B" w:rsidP="00EA7E3B">
      <w:pPr>
        <w:spacing w:line="360" w:lineRule="auto"/>
        <w:jc w:val="center"/>
        <w:rPr>
          <w:sz w:val="24"/>
          <w:szCs w:val="24"/>
        </w:rPr>
      </w:pPr>
      <w:r>
        <w:rPr>
          <w:noProof/>
        </w:rPr>
        <w:lastRenderedPageBreak/>
        <w:drawing>
          <wp:inline distT="0" distB="0" distL="0" distR="0" wp14:anchorId="4B4535DC" wp14:editId="39302784">
            <wp:extent cx="4572000" cy="2743200"/>
            <wp:effectExtent l="0" t="0" r="12700" b="12700"/>
            <wp:docPr id="7" name="Chart 7">
              <a:extLst xmlns:a="http://schemas.openxmlformats.org/drawingml/2006/main">
                <a:ext uri="{FF2B5EF4-FFF2-40B4-BE49-F238E27FC236}">
                  <a16:creationId xmlns:a16="http://schemas.microsoft.com/office/drawing/2014/main" id="{CB84A09B-60C6-7041-BD9F-82BE0AA21D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6091E1C" w14:textId="139374DE" w:rsidR="00EA7E3B" w:rsidRDefault="00EA7E3B" w:rsidP="00EA7E3B">
      <w:pPr>
        <w:spacing w:line="360" w:lineRule="auto"/>
        <w:jc w:val="center"/>
        <w:rPr>
          <w:sz w:val="24"/>
          <w:szCs w:val="24"/>
        </w:rPr>
      </w:pPr>
      <w:r>
        <w:rPr>
          <w:sz w:val="24"/>
          <w:szCs w:val="24"/>
        </w:rPr>
        <w:t>Figure 8</w:t>
      </w:r>
    </w:p>
    <w:p w14:paraId="1AF735AD" w14:textId="7E390FEF" w:rsidR="00EA7E3B" w:rsidRDefault="00150E31" w:rsidP="00150E31">
      <w:pPr>
        <w:spacing w:line="360" w:lineRule="auto"/>
        <w:rPr>
          <w:sz w:val="24"/>
          <w:szCs w:val="24"/>
        </w:rPr>
      </w:pPr>
      <w:r>
        <w:rPr>
          <w:sz w:val="24"/>
          <w:szCs w:val="24"/>
        </w:rPr>
        <w:t>The involvement of parents with the assessment and support of children with dyslexia is vitally important (</w:t>
      </w:r>
      <w:r w:rsidR="0008345C">
        <w:rPr>
          <w:sz w:val="24"/>
          <w:szCs w:val="24"/>
        </w:rPr>
        <w:t xml:space="preserve">Reid, 1998). Grigg (2015) believes that the earlier the </w:t>
      </w:r>
      <w:r w:rsidR="00722A11">
        <w:rPr>
          <w:sz w:val="24"/>
          <w:szCs w:val="24"/>
        </w:rPr>
        <w:t>parents’</w:t>
      </w:r>
      <w:r w:rsidR="0008345C">
        <w:rPr>
          <w:sz w:val="24"/>
          <w:szCs w:val="24"/>
        </w:rPr>
        <w:t xml:space="preserve"> involvement with their child’s education the more powerful the impact</w:t>
      </w:r>
      <w:r w:rsidR="00DE6D0C">
        <w:rPr>
          <w:sz w:val="24"/>
          <w:szCs w:val="24"/>
        </w:rPr>
        <w:t xml:space="preserve"> and parents prefer when they are informed about their child’s strengthens and weaknesses (Estyn, 2018).</w:t>
      </w:r>
      <w:r w:rsidR="00A757D7">
        <w:rPr>
          <w:sz w:val="24"/>
          <w:szCs w:val="24"/>
        </w:rPr>
        <w:t xml:space="preserve"> From the questionnaire, it was found that parents were involved in the planning of the child’s Individual Educatio</w:t>
      </w:r>
      <w:r w:rsidR="0049243A">
        <w:rPr>
          <w:sz w:val="24"/>
          <w:szCs w:val="24"/>
        </w:rPr>
        <w:t>n Plan (IEP) and</w:t>
      </w:r>
      <w:r w:rsidR="00A25A7A">
        <w:rPr>
          <w:sz w:val="24"/>
          <w:szCs w:val="24"/>
        </w:rPr>
        <w:t xml:space="preserve"> had</w:t>
      </w:r>
      <w:r w:rsidR="0049243A">
        <w:rPr>
          <w:sz w:val="24"/>
          <w:szCs w:val="24"/>
        </w:rPr>
        <w:t xml:space="preserve"> regular contact and support. Also, in one school parents are given training on how to support their child when accessing a computer programme at home called LEXIA. </w:t>
      </w:r>
      <w:r w:rsidR="00C65B0F">
        <w:rPr>
          <w:sz w:val="24"/>
          <w:szCs w:val="24"/>
        </w:rPr>
        <w:t>Consulting and involving parents in the educational development of their child with dyslexia allows for an inclusive approach as the child is receiving support both at school and at home</w:t>
      </w:r>
      <w:r w:rsidR="00C060CE">
        <w:rPr>
          <w:sz w:val="24"/>
          <w:szCs w:val="24"/>
        </w:rPr>
        <w:t xml:space="preserve"> to enhance their learning. </w:t>
      </w:r>
      <w:r w:rsidR="001A5E24">
        <w:rPr>
          <w:sz w:val="24"/>
          <w:szCs w:val="24"/>
        </w:rPr>
        <w:t xml:space="preserve">From the interview, the school often </w:t>
      </w:r>
      <w:r w:rsidR="00A25A7A">
        <w:rPr>
          <w:sz w:val="24"/>
          <w:szCs w:val="24"/>
        </w:rPr>
        <w:t>gives</w:t>
      </w:r>
      <w:r w:rsidR="001A5E24">
        <w:rPr>
          <w:sz w:val="24"/>
          <w:szCs w:val="24"/>
        </w:rPr>
        <w:t xml:space="preserve"> open Maths and English days where parents would go into their child’s class and see how both </w:t>
      </w:r>
      <w:r w:rsidR="00A25A7A">
        <w:rPr>
          <w:sz w:val="24"/>
          <w:szCs w:val="24"/>
        </w:rPr>
        <w:t>are</w:t>
      </w:r>
      <w:r w:rsidR="001A5E24">
        <w:rPr>
          <w:sz w:val="24"/>
          <w:szCs w:val="24"/>
        </w:rPr>
        <w:t xml:space="preserve"> taught in order for them to be able to help their child at home with homework. </w:t>
      </w:r>
      <w:r w:rsidR="00C060CE">
        <w:rPr>
          <w:sz w:val="24"/>
          <w:szCs w:val="24"/>
        </w:rPr>
        <w:t xml:space="preserve">However, not all schools receive the funding and support to enable parents to have the training in order to support their child with dyslexia at home. </w:t>
      </w:r>
    </w:p>
    <w:p w14:paraId="04CD50B4" w14:textId="7177F320" w:rsidR="00CC4116" w:rsidRDefault="00CC4116" w:rsidP="00EA7E3B">
      <w:pPr>
        <w:spacing w:line="360" w:lineRule="auto"/>
        <w:jc w:val="center"/>
        <w:rPr>
          <w:sz w:val="24"/>
          <w:szCs w:val="24"/>
        </w:rPr>
      </w:pPr>
    </w:p>
    <w:p w14:paraId="7DD5BB1C" w14:textId="790FA043" w:rsidR="00680C60" w:rsidRPr="002A0B89" w:rsidRDefault="002A0B89" w:rsidP="00430183">
      <w:pPr>
        <w:spacing w:line="360" w:lineRule="auto"/>
        <w:rPr>
          <w:b/>
          <w:sz w:val="24"/>
          <w:szCs w:val="24"/>
        </w:rPr>
      </w:pPr>
      <w:r w:rsidRPr="002A0B89">
        <w:rPr>
          <w:b/>
          <w:sz w:val="24"/>
          <w:szCs w:val="24"/>
        </w:rPr>
        <w:t>Conclusion</w:t>
      </w:r>
    </w:p>
    <w:p w14:paraId="67841110" w14:textId="2EFEEC9A" w:rsidR="002A0B89" w:rsidRDefault="002A0B89" w:rsidP="00430183">
      <w:pPr>
        <w:spacing w:line="360" w:lineRule="auto"/>
        <w:rPr>
          <w:sz w:val="24"/>
          <w:szCs w:val="24"/>
        </w:rPr>
      </w:pPr>
      <w:r>
        <w:rPr>
          <w:sz w:val="24"/>
          <w:szCs w:val="24"/>
        </w:rPr>
        <w:t xml:space="preserve">In conclusion, through the primary research elements </w:t>
      </w:r>
      <w:r w:rsidR="00686F9E">
        <w:rPr>
          <w:sz w:val="24"/>
          <w:szCs w:val="24"/>
        </w:rPr>
        <w:t>colligated</w:t>
      </w:r>
      <w:r>
        <w:rPr>
          <w:sz w:val="24"/>
          <w:szCs w:val="24"/>
        </w:rPr>
        <w:t xml:space="preserve"> with existing secondary research and practice seen whilst on PTE. The group’s knowledge of how to support children with dyslexia and the training available for educational professionals surrounding dyslexia has increased to ensure they are able to portray an inclusive approach for children who are dyslexic whilst on practice. </w:t>
      </w:r>
      <w:r w:rsidR="007B6679">
        <w:rPr>
          <w:sz w:val="24"/>
          <w:szCs w:val="24"/>
        </w:rPr>
        <w:t xml:space="preserve">It was also found that dyslexia </w:t>
      </w:r>
      <w:proofErr w:type="gramStart"/>
      <w:r w:rsidR="007B6679">
        <w:rPr>
          <w:sz w:val="24"/>
          <w:szCs w:val="24"/>
        </w:rPr>
        <w:t>has</w:t>
      </w:r>
      <w:proofErr w:type="gramEnd"/>
      <w:r w:rsidR="007B6679">
        <w:rPr>
          <w:sz w:val="24"/>
          <w:szCs w:val="24"/>
        </w:rPr>
        <w:t xml:space="preserve"> many characteristics and is difficult to support children with dyslexia in the same way. </w:t>
      </w:r>
      <w:r w:rsidR="00011878">
        <w:rPr>
          <w:sz w:val="24"/>
          <w:szCs w:val="24"/>
        </w:rPr>
        <w:t xml:space="preserve">Personalised learning would be </w:t>
      </w:r>
      <w:r w:rsidR="00011878">
        <w:rPr>
          <w:sz w:val="24"/>
          <w:szCs w:val="24"/>
        </w:rPr>
        <w:lastRenderedPageBreak/>
        <w:t xml:space="preserve">beneficial for children with dyslexia as they all have different needs. </w:t>
      </w:r>
      <w:r w:rsidR="001C7781">
        <w:rPr>
          <w:sz w:val="24"/>
          <w:szCs w:val="24"/>
        </w:rPr>
        <w:t xml:space="preserve">If the research was to be carried out again, the group would visit the schools to inform them about why they are carrying out the research to ensure a higher response rate to make the research more valid. </w:t>
      </w:r>
      <w:r w:rsidR="00F61A8F">
        <w:rPr>
          <w:sz w:val="24"/>
          <w:szCs w:val="24"/>
        </w:rPr>
        <w:t xml:space="preserve">It would be useful to have open questions following a question that a participant gave an answer as ‘other’ in order to gather more information and inside into schools’ inclusive approaches. </w:t>
      </w:r>
      <w:r w:rsidR="006A3F11">
        <w:rPr>
          <w:sz w:val="24"/>
          <w:szCs w:val="24"/>
        </w:rPr>
        <w:t xml:space="preserve">Also, getting responses from other professionals such as secondary </w:t>
      </w:r>
      <w:r w:rsidR="006C3135">
        <w:rPr>
          <w:sz w:val="24"/>
          <w:szCs w:val="24"/>
        </w:rPr>
        <w:t>schools’</w:t>
      </w:r>
      <w:r w:rsidR="006A3F11">
        <w:rPr>
          <w:sz w:val="24"/>
          <w:szCs w:val="24"/>
        </w:rPr>
        <w:t xml:space="preserve"> teachers to be able to see how the transition from primary school to comprehensive school </w:t>
      </w:r>
      <w:r w:rsidR="000C6295">
        <w:rPr>
          <w:sz w:val="24"/>
          <w:szCs w:val="24"/>
        </w:rPr>
        <w:t>is</w:t>
      </w:r>
      <w:r w:rsidR="006A3F11">
        <w:rPr>
          <w:sz w:val="24"/>
          <w:szCs w:val="24"/>
        </w:rPr>
        <w:t xml:space="preserve"> for challenging for children with dyslexia than others. </w:t>
      </w:r>
      <w:r w:rsidR="00BD57EF">
        <w:rPr>
          <w:sz w:val="24"/>
          <w:szCs w:val="24"/>
        </w:rPr>
        <w:t>Asking a question on how the attainment level of children with dyslexia differs to their peers would have been useful to discover whether their needs affects their attainment.</w:t>
      </w:r>
      <w:r w:rsidR="00494702">
        <w:rPr>
          <w:sz w:val="24"/>
          <w:szCs w:val="24"/>
        </w:rPr>
        <w:t xml:space="preserve"> Schools will be able to ad</w:t>
      </w:r>
      <w:r w:rsidR="00286BFF">
        <w:rPr>
          <w:sz w:val="24"/>
          <w:szCs w:val="24"/>
        </w:rPr>
        <w:t>o</w:t>
      </w:r>
      <w:r w:rsidR="00494702">
        <w:rPr>
          <w:sz w:val="24"/>
          <w:szCs w:val="24"/>
        </w:rPr>
        <w:t xml:space="preserve">pt an inclusive approach with the Successful Futures (Donaldson, 2015) as participants suggest that the new curriculum is </w:t>
      </w:r>
      <w:r w:rsidR="000C6295">
        <w:rPr>
          <w:sz w:val="24"/>
          <w:szCs w:val="24"/>
        </w:rPr>
        <w:t>“</w:t>
      </w:r>
      <w:r w:rsidR="00494702">
        <w:rPr>
          <w:sz w:val="24"/>
          <w:szCs w:val="24"/>
        </w:rPr>
        <w:t>more child friendly approach to learning</w:t>
      </w:r>
      <w:r w:rsidR="000C6295">
        <w:rPr>
          <w:sz w:val="24"/>
          <w:szCs w:val="24"/>
        </w:rPr>
        <w:t>”</w:t>
      </w:r>
      <w:r w:rsidR="00494702">
        <w:rPr>
          <w:sz w:val="24"/>
          <w:szCs w:val="24"/>
        </w:rPr>
        <w:t xml:space="preserve"> and </w:t>
      </w:r>
      <w:r w:rsidR="000C6295">
        <w:rPr>
          <w:sz w:val="24"/>
          <w:szCs w:val="24"/>
        </w:rPr>
        <w:t xml:space="preserve">will </w:t>
      </w:r>
      <w:r w:rsidR="00494702">
        <w:rPr>
          <w:sz w:val="24"/>
          <w:szCs w:val="24"/>
        </w:rPr>
        <w:t xml:space="preserve">offer more opportunities for </w:t>
      </w:r>
      <w:r w:rsidR="00286BFF">
        <w:rPr>
          <w:sz w:val="24"/>
          <w:szCs w:val="24"/>
        </w:rPr>
        <w:t>creativity</w:t>
      </w:r>
      <w:r w:rsidR="00494702">
        <w:rPr>
          <w:sz w:val="24"/>
          <w:szCs w:val="24"/>
        </w:rPr>
        <w:t xml:space="preserve"> and the use ICT </w:t>
      </w:r>
      <w:r w:rsidR="00286BFF">
        <w:rPr>
          <w:sz w:val="24"/>
          <w:szCs w:val="24"/>
        </w:rPr>
        <w:t>which</w:t>
      </w:r>
      <w:r w:rsidR="00494702">
        <w:rPr>
          <w:sz w:val="24"/>
          <w:szCs w:val="24"/>
        </w:rPr>
        <w:t xml:space="preserve"> will allow children with dyslexia to excel. </w:t>
      </w:r>
      <w:r w:rsidR="00286BFF">
        <w:rPr>
          <w:sz w:val="24"/>
          <w:szCs w:val="24"/>
        </w:rPr>
        <w:t xml:space="preserve">The well-being of </w:t>
      </w:r>
      <w:r w:rsidR="006C3135">
        <w:rPr>
          <w:sz w:val="24"/>
          <w:szCs w:val="24"/>
        </w:rPr>
        <w:t xml:space="preserve">these </w:t>
      </w:r>
      <w:r w:rsidR="00286BFF">
        <w:rPr>
          <w:sz w:val="24"/>
          <w:szCs w:val="24"/>
        </w:rPr>
        <w:t xml:space="preserve">children must be top priorities at schools to allow children to build their self-esteem in order to improve attainment through an inclusive approach allowing everyone access to the curriculum and reach their potential. </w:t>
      </w:r>
      <w:r w:rsidR="006C3135">
        <w:rPr>
          <w:sz w:val="24"/>
          <w:szCs w:val="24"/>
        </w:rPr>
        <w:t>The teachers</w:t>
      </w:r>
      <w:r w:rsidR="000C6295">
        <w:rPr>
          <w:sz w:val="24"/>
          <w:szCs w:val="24"/>
        </w:rPr>
        <w:t>’</w:t>
      </w:r>
      <w:r w:rsidR="006C3135">
        <w:rPr>
          <w:sz w:val="24"/>
          <w:szCs w:val="24"/>
        </w:rPr>
        <w:t xml:space="preserve"> and TAs</w:t>
      </w:r>
      <w:r w:rsidR="000C6295">
        <w:rPr>
          <w:sz w:val="24"/>
          <w:szCs w:val="24"/>
        </w:rPr>
        <w:t>’</w:t>
      </w:r>
      <w:r w:rsidR="006C3135">
        <w:rPr>
          <w:sz w:val="24"/>
          <w:szCs w:val="24"/>
        </w:rPr>
        <w:t xml:space="preserve"> training in dyslexia must improve dramatically for them to be able to be confident to support these children equally alongside their peers.</w:t>
      </w:r>
      <w:r w:rsidR="00C7721E">
        <w:rPr>
          <w:sz w:val="24"/>
          <w:szCs w:val="24"/>
        </w:rPr>
        <w:t xml:space="preserve"> However, the government needs to allow more funding for schools to be able to participate in dyslexia </w:t>
      </w:r>
      <w:r w:rsidR="00714221">
        <w:rPr>
          <w:sz w:val="24"/>
          <w:szCs w:val="24"/>
        </w:rPr>
        <w:t>training,</w:t>
      </w:r>
      <w:r w:rsidR="00C7721E">
        <w:rPr>
          <w:sz w:val="24"/>
          <w:szCs w:val="24"/>
        </w:rPr>
        <w:t xml:space="preserve"> so the children’s well-being is not affected. </w:t>
      </w:r>
      <w:r w:rsidR="00714221">
        <w:rPr>
          <w:sz w:val="24"/>
          <w:szCs w:val="24"/>
        </w:rPr>
        <w:t>Every child ha</w:t>
      </w:r>
      <w:r w:rsidR="00AE7DFF">
        <w:rPr>
          <w:sz w:val="24"/>
          <w:szCs w:val="24"/>
        </w:rPr>
        <w:t>s</w:t>
      </w:r>
      <w:r w:rsidR="00714221">
        <w:rPr>
          <w:sz w:val="24"/>
          <w:szCs w:val="24"/>
        </w:rPr>
        <w:t xml:space="preserve"> the right to education and should not be disadvantaged because of an ALN </w:t>
      </w:r>
      <w:r w:rsidR="00AE7DFF">
        <w:rPr>
          <w:sz w:val="24"/>
          <w:szCs w:val="24"/>
        </w:rPr>
        <w:t xml:space="preserve">(UNICEF, 1991) </w:t>
      </w:r>
      <w:r w:rsidR="00714221">
        <w:rPr>
          <w:sz w:val="24"/>
          <w:szCs w:val="24"/>
        </w:rPr>
        <w:t xml:space="preserve">so schools should have more resources, dedicated staff, more access to ICT, earlier testing and more awareness to allow for a more inclusive approach </w:t>
      </w:r>
      <w:r w:rsidR="000C6295">
        <w:rPr>
          <w:sz w:val="24"/>
          <w:szCs w:val="24"/>
        </w:rPr>
        <w:t>in order to</w:t>
      </w:r>
      <w:r w:rsidR="00714221">
        <w:rPr>
          <w:sz w:val="24"/>
          <w:szCs w:val="24"/>
        </w:rPr>
        <w:t xml:space="preserve"> reach their potential.</w:t>
      </w:r>
      <w:r w:rsidR="001F0879">
        <w:rPr>
          <w:sz w:val="24"/>
          <w:szCs w:val="24"/>
        </w:rPr>
        <w:t xml:space="preserve"> </w:t>
      </w:r>
    </w:p>
    <w:p w14:paraId="1C238059" w14:textId="77777777" w:rsidR="00680C60" w:rsidRDefault="00680C60" w:rsidP="00430183">
      <w:pPr>
        <w:spacing w:line="360" w:lineRule="auto"/>
        <w:rPr>
          <w:sz w:val="24"/>
          <w:szCs w:val="24"/>
        </w:rPr>
      </w:pPr>
    </w:p>
    <w:p w14:paraId="56B40BDB" w14:textId="77777777" w:rsidR="0037561F" w:rsidRDefault="0037561F" w:rsidP="0037561F">
      <w:pPr>
        <w:spacing w:line="360" w:lineRule="auto"/>
        <w:jc w:val="center"/>
        <w:rPr>
          <w:sz w:val="24"/>
          <w:szCs w:val="24"/>
        </w:rPr>
      </w:pPr>
    </w:p>
    <w:p w14:paraId="63AB79C6" w14:textId="77777777" w:rsidR="00757BEF" w:rsidRDefault="00757BEF" w:rsidP="00A56DA6">
      <w:pPr>
        <w:spacing w:line="360" w:lineRule="auto"/>
        <w:rPr>
          <w:sz w:val="24"/>
          <w:szCs w:val="24"/>
        </w:rPr>
      </w:pPr>
    </w:p>
    <w:p w14:paraId="446B9A17" w14:textId="77777777" w:rsidR="00757BEF" w:rsidRDefault="00757BEF" w:rsidP="00A56DA6">
      <w:pPr>
        <w:spacing w:line="360" w:lineRule="auto"/>
        <w:rPr>
          <w:sz w:val="24"/>
          <w:szCs w:val="24"/>
        </w:rPr>
      </w:pPr>
    </w:p>
    <w:p w14:paraId="6F03332D" w14:textId="77777777" w:rsidR="00757BEF" w:rsidRDefault="00757BEF" w:rsidP="00A56DA6">
      <w:pPr>
        <w:spacing w:line="360" w:lineRule="auto"/>
        <w:rPr>
          <w:sz w:val="24"/>
          <w:szCs w:val="24"/>
        </w:rPr>
      </w:pPr>
    </w:p>
    <w:p w14:paraId="68CF48D8" w14:textId="77777777" w:rsidR="00757BEF" w:rsidRDefault="00757BEF" w:rsidP="00A56DA6">
      <w:pPr>
        <w:spacing w:line="360" w:lineRule="auto"/>
        <w:rPr>
          <w:sz w:val="24"/>
          <w:szCs w:val="24"/>
        </w:rPr>
      </w:pPr>
    </w:p>
    <w:p w14:paraId="732A7E47" w14:textId="77777777" w:rsidR="00757BEF" w:rsidRDefault="00757BEF" w:rsidP="00A56DA6">
      <w:pPr>
        <w:spacing w:line="360" w:lineRule="auto"/>
        <w:rPr>
          <w:sz w:val="24"/>
          <w:szCs w:val="24"/>
        </w:rPr>
      </w:pPr>
    </w:p>
    <w:p w14:paraId="403B54A4" w14:textId="77777777" w:rsidR="00757BEF" w:rsidRDefault="00757BEF" w:rsidP="00A56DA6">
      <w:pPr>
        <w:spacing w:line="360" w:lineRule="auto"/>
        <w:rPr>
          <w:sz w:val="24"/>
          <w:szCs w:val="24"/>
        </w:rPr>
      </w:pPr>
    </w:p>
    <w:p w14:paraId="3F2AF251" w14:textId="77777777" w:rsidR="00757BEF" w:rsidRDefault="00757BEF" w:rsidP="00A56DA6">
      <w:pPr>
        <w:spacing w:line="360" w:lineRule="auto"/>
        <w:rPr>
          <w:sz w:val="24"/>
          <w:szCs w:val="24"/>
        </w:rPr>
      </w:pPr>
    </w:p>
    <w:p w14:paraId="49E7D712" w14:textId="2D4A3F16" w:rsidR="00EA14D0" w:rsidRDefault="00EA14D0" w:rsidP="004D1D10">
      <w:pPr>
        <w:spacing w:line="360" w:lineRule="auto"/>
        <w:rPr>
          <w:sz w:val="24"/>
          <w:szCs w:val="24"/>
        </w:rPr>
      </w:pPr>
    </w:p>
    <w:p w14:paraId="1462F6C7" w14:textId="77777777" w:rsidR="00F53CE7" w:rsidRDefault="00F53CE7" w:rsidP="004D1D10">
      <w:pPr>
        <w:spacing w:line="360" w:lineRule="auto"/>
        <w:rPr>
          <w:sz w:val="24"/>
          <w:szCs w:val="24"/>
        </w:rPr>
      </w:pPr>
      <w:bookmarkStart w:id="0" w:name="_GoBack"/>
      <w:bookmarkEnd w:id="0"/>
    </w:p>
    <w:p w14:paraId="33B8A8F1" w14:textId="146A37B5" w:rsidR="00111784" w:rsidRDefault="00757BEF" w:rsidP="004D1D10">
      <w:pPr>
        <w:spacing w:line="360" w:lineRule="auto"/>
        <w:rPr>
          <w:b/>
          <w:sz w:val="24"/>
          <w:szCs w:val="24"/>
        </w:rPr>
      </w:pPr>
      <w:r w:rsidRPr="00C22BF3">
        <w:rPr>
          <w:b/>
          <w:sz w:val="24"/>
          <w:szCs w:val="24"/>
        </w:rPr>
        <w:lastRenderedPageBreak/>
        <w:t>References</w:t>
      </w:r>
    </w:p>
    <w:p w14:paraId="706A16A6" w14:textId="72DD5131" w:rsidR="00AC06DE" w:rsidRPr="00AC06DE" w:rsidRDefault="00AC06DE" w:rsidP="004D1D10">
      <w:pPr>
        <w:spacing w:line="360" w:lineRule="auto"/>
        <w:rPr>
          <w:sz w:val="24"/>
          <w:szCs w:val="24"/>
        </w:rPr>
      </w:pPr>
      <w:r w:rsidRPr="00AC06DE">
        <w:rPr>
          <w:sz w:val="24"/>
          <w:szCs w:val="24"/>
        </w:rPr>
        <w:t xml:space="preserve">Barnes, J. (2015) </w:t>
      </w:r>
      <w:r w:rsidRPr="00AC06DE">
        <w:rPr>
          <w:i/>
          <w:sz w:val="24"/>
          <w:szCs w:val="24"/>
        </w:rPr>
        <w:t>Cross-curricular Learning 3-14</w:t>
      </w:r>
      <w:r w:rsidRPr="00AC06DE">
        <w:rPr>
          <w:sz w:val="24"/>
          <w:szCs w:val="24"/>
        </w:rPr>
        <w:t>. 3</w:t>
      </w:r>
      <w:r w:rsidRPr="00AC06DE">
        <w:rPr>
          <w:sz w:val="24"/>
          <w:szCs w:val="24"/>
          <w:vertAlign w:val="superscript"/>
        </w:rPr>
        <w:t>rd</w:t>
      </w:r>
      <w:r w:rsidRPr="00AC06DE">
        <w:rPr>
          <w:sz w:val="24"/>
          <w:szCs w:val="24"/>
        </w:rPr>
        <w:t xml:space="preserve"> </w:t>
      </w:r>
      <w:proofErr w:type="spellStart"/>
      <w:r>
        <w:rPr>
          <w:sz w:val="24"/>
          <w:szCs w:val="24"/>
        </w:rPr>
        <w:t>edn</w:t>
      </w:r>
      <w:proofErr w:type="spellEnd"/>
      <w:r w:rsidRPr="00AC06DE">
        <w:rPr>
          <w:sz w:val="24"/>
          <w:szCs w:val="24"/>
        </w:rPr>
        <w:t>. London: SAGE.</w:t>
      </w:r>
    </w:p>
    <w:p w14:paraId="313E34C1" w14:textId="71FB90DA" w:rsidR="00141038" w:rsidRPr="002D7FD8" w:rsidRDefault="00111784" w:rsidP="004D1D10">
      <w:pPr>
        <w:spacing w:line="360" w:lineRule="auto"/>
        <w:rPr>
          <w:sz w:val="24"/>
          <w:szCs w:val="24"/>
        </w:rPr>
      </w:pPr>
      <w:r>
        <w:rPr>
          <w:sz w:val="24"/>
          <w:szCs w:val="24"/>
        </w:rPr>
        <w:t xml:space="preserve">BERA. (2018) </w:t>
      </w:r>
      <w:r w:rsidRPr="00111784">
        <w:rPr>
          <w:i/>
          <w:sz w:val="24"/>
          <w:szCs w:val="24"/>
        </w:rPr>
        <w:t>Ethical Guidelines for Educational Research</w:t>
      </w:r>
      <w:r>
        <w:rPr>
          <w:sz w:val="24"/>
          <w:szCs w:val="24"/>
        </w:rPr>
        <w:t>. 4</w:t>
      </w:r>
      <w:r w:rsidRPr="00111784">
        <w:rPr>
          <w:sz w:val="24"/>
          <w:szCs w:val="24"/>
          <w:vertAlign w:val="superscript"/>
        </w:rPr>
        <w:t>th</w:t>
      </w:r>
      <w:r>
        <w:rPr>
          <w:sz w:val="24"/>
          <w:szCs w:val="24"/>
        </w:rPr>
        <w:t xml:space="preserve"> </w:t>
      </w:r>
      <w:proofErr w:type="spellStart"/>
      <w:r>
        <w:rPr>
          <w:sz w:val="24"/>
          <w:szCs w:val="24"/>
        </w:rPr>
        <w:t>edn</w:t>
      </w:r>
      <w:proofErr w:type="spellEnd"/>
      <w:r>
        <w:rPr>
          <w:sz w:val="24"/>
          <w:szCs w:val="24"/>
        </w:rPr>
        <w:t>. London: BERA.</w:t>
      </w:r>
      <w:r w:rsidR="003E4A2C">
        <w:rPr>
          <w:sz w:val="24"/>
          <w:szCs w:val="24"/>
        </w:rPr>
        <w:br/>
        <w:t xml:space="preserve">BESA. (date unknown) </w:t>
      </w:r>
      <w:r w:rsidR="003E4A2C" w:rsidRPr="003E4A2C">
        <w:rPr>
          <w:i/>
          <w:sz w:val="24"/>
          <w:szCs w:val="24"/>
        </w:rPr>
        <w:t xml:space="preserve">Key UK Education Statistics. </w:t>
      </w:r>
      <w:r w:rsidR="003E4A2C">
        <w:rPr>
          <w:sz w:val="24"/>
          <w:szCs w:val="24"/>
        </w:rPr>
        <w:t xml:space="preserve">Available at: </w:t>
      </w:r>
      <w:hyperlink r:id="rId13" w:history="1">
        <w:r w:rsidR="003E4A2C" w:rsidRPr="002D7FD8">
          <w:rPr>
            <w:rStyle w:val="Hyperlink"/>
            <w:sz w:val="24"/>
            <w:szCs w:val="24"/>
          </w:rPr>
          <w:t>https://www.besa.org.uk/key-uk-education-statistics/</w:t>
        </w:r>
      </w:hyperlink>
      <w:r w:rsidR="003E4A2C" w:rsidRPr="002D7FD8">
        <w:rPr>
          <w:sz w:val="24"/>
          <w:szCs w:val="24"/>
        </w:rPr>
        <w:t xml:space="preserve"> (Accessed: 17</w:t>
      </w:r>
      <w:r w:rsidR="003E4A2C" w:rsidRPr="002D7FD8">
        <w:rPr>
          <w:sz w:val="24"/>
          <w:szCs w:val="24"/>
          <w:vertAlign w:val="superscript"/>
        </w:rPr>
        <w:t>th</w:t>
      </w:r>
      <w:r w:rsidR="003E4A2C" w:rsidRPr="002D7FD8">
        <w:rPr>
          <w:sz w:val="24"/>
          <w:szCs w:val="24"/>
        </w:rPr>
        <w:t xml:space="preserve"> April 2019).</w:t>
      </w:r>
    </w:p>
    <w:p w14:paraId="5AF0E06C" w14:textId="727552E5" w:rsidR="002D7FD8" w:rsidRDefault="002D7FD8" w:rsidP="004D1D10">
      <w:pPr>
        <w:spacing w:line="360" w:lineRule="auto"/>
        <w:rPr>
          <w:sz w:val="24"/>
          <w:szCs w:val="24"/>
        </w:rPr>
      </w:pPr>
      <w:r w:rsidRPr="002D7FD8">
        <w:rPr>
          <w:sz w:val="24"/>
          <w:szCs w:val="24"/>
        </w:rPr>
        <w:t xml:space="preserve">Donaldson, G. (2015) </w:t>
      </w:r>
      <w:r w:rsidRPr="002D7FD8">
        <w:rPr>
          <w:i/>
          <w:sz w:val="24"/>
          <w:szCs w:val="24"/>
        </w:rPr>
        <w:t>Successful Futures</w:t>
      </w:r>
      <w:r w:rsidRPr="002D7FD8">
        <w:rPr>
          <w:sz w:val="24"/>
          <w:szCs w:val="24"/>
        </w:rPr>
        <w:t>. Cardiff: Crown.</w:t>
      </w:r>
    </w:p>
    <w:p w14:paraId="19FA0152" w14:textId="629567F9" w:rsidR="0001546B" w:rsidRPr="002D7FD8" w:rsidRDefault="0001546B" w:rsidP="004D1D10">
      <w:pPr>
        <w:spacing w:line="360" w:lineRule="auto"/>
        <w:rPr>
          <w:sz w:val="24"/>
          <w:szCs w:val="24"/>
        </w:rPr>
      </w:pPr>
      <w:r>
        <w:rPr>
          <w:sz w:val="24"/>
          <w:szCs w:val="24"/>
        </w:rPr>
        <w:t>Estyn. (2017) E</w:t>
      </w:r>
      <w:r w:rsidRPr="005605AA">
        <w:rPr>
          <w:i/>
          <w:sz w:val="24"/>
          <w:szCs w:val="24"/>
        </w:rPr>
        <w:t xml:space="preserve">nsuring the best provision for pupils with additional learning needs. </w:t>
      </w:r>
      <w:r>
        <w:rPr>
          <w:sz w:val="24"/>
          <w:szCs w:val="24"/>
        </w:rPr>
        <w:t xml:space="preserve">Available at: </w:t>
      </w:r>
      <w:hyperlink r:id="rId14" w:history="1">
        <w:r w:rsidRPr="00510FC9">
          <w:rPr>
            <w:rStyle w:val="Hyperlink"/>
            <w:sz w:val="24"/>
            <w:szCs w:val="24"/>
          </w:rPr>
          <w:t>https://www.estyn.gov.wales/effective-practice/ensuring-best-provision-pupils-additional-learning-needs</w:t>
        </w:r>
      </w:hyperlink>
      <w:r>
        <w:rPr>
          <w:sz w:val="24"/>
          <w:szCs w:val="24"/>
        </w:rPr>
        <w:t xml:space="preserve"> (Accessed</w:t>
      </w:r>
      <w:r w:rsidR="00227F66">
        <w:rPr>
          <w:sz w:val="24"/>
          <w:szCs w:val="24"/>
        </w:rPr>
        <w:t>:</w:t>
      </w:r>
      <w:r>
        <w:rPr>
          <w:sz w:val="24"/>
          <w:szCs w:val="24"/>
        </w:rPr>
        <w:t xml:space="preserve"> 25th April 2019).</w:t>
      </w:r>
    </w:p>
    <w:p w14:paraId="003F0FE8" w14:textId="02506DEA" w:rsidR="0001546B" w:rsidRDefault="00141038" w:rsidP="004D1D10">
      <w:pPr>
        <w:spacing w:line="360" w:lineRule="auto"/>
        <w:rPr>
          <w:sz w:val="24"/>
          <w:szCs w:val="24"/>
        </w:rPr>
      </w:pPr>
      <w:r>
        <w:rPr>
          <w:sz w:val="24"/>
          <w:szCs w:val="24"/>
        </w:rPr>
        <w:t xml:space="preserve">Estyn. (2016) </w:t>
      </w:r>
      <w:r w:rsidRPr="00141038">
        <w:rPr>
          <w:i/>
          <w:sz w:val="24"/>
          <w:szCs w:val="24"/>
        </w:rPr>
        <w:t>Helping children with additional learning needs to help reach their potential.</w:t>
      </w:r>
      <w:r>
        <w:rPr>
          <w:sz w:val="24"/>
          <w:szCs w:val="24"/>
        </w:rPr>
        <w:t xml:space="preserve">  Available at: </w:t>
      </w:r>
      <w:hyperlink r:id="rId15" w:history="1">
        <w:r w:rsidRPr="00510FC9">
          <w:rPr>
            <w:rStyle w:val="Hyperlink"/>
            <w:sz w:val="24"/>
            <w:szCs w:val="24"/>
          </w:rPr>
          <w:t>https://www.estyn.gov.wales/effective-practice/helping-children-additional-learning-needs-reach-their-potential</w:t>
        </w:r>
      </w:hyperlink>
      <w:r>
        <w:rPr>
          <w:sz w:val="24"/>
          <w:szCs w:val="24"/>
        </w:rPr>
        <w:t xml:space="preserve"> (Accessed</w:t>
      </w:r>
      <w:r w:rsidR="00227F66">
        <w:rPr>
          <w:sz w:val="24"/>
          <w:szCs w:val="24"/>
        </w:rPr>
        <w:t>:</w:t>
      </w:r>
      <w:r>
        <w:rPr>
          <w:sz w:val="24"/>
          <w:szCs w:val="24"/>
        </w:rPr>
        <w:t xml:space="preserve"> 22</w:t>
      </w:r>
      <w:r w:rsidRPr="00141038">
        <w:rPr>
          <w:sz w:val="24"/>
          <w:szCs w:val="24"/>
          <w:vertAlign w:val="superscript"/>
        </w:rPr>
        <w:t>nd</w:t>
      </w:r>
      <w:r>
        <w:rPr>
          <w:sz w:val="24"/>
          <w:szCs w:val="24"/>
        </w:rPr>
        <w:t xml:space="preserve"> April 2019).</w:t>
      </w:r>
    </w:p>
    <w:p w14:paraId="24661914" w14:textId="581D97AB" w:rsidR="00D50F0C" w:rsidRDefault="0001546B" w:rsidP="004D1D10">
      <w:pPr>
        <w:spacing w:line="360" w:lineRule="auto"/>
        <w:rPr>
          <w:sz w:val="24"/>
          <w:szCs w:val="24"/>
        </w:rPr>
      </w:pPr>
      <w:r>
        <w:rPr>
          <w:sz w:val="24"/>
          <w:szCs w:val="24"/>
        </w:rPr>
        <w:t xml:space="preserve">Estyn. (2018) </w:t>
      </w:r>
      <w:r w:rsidRPr="0001546B">
        <w:rPr>
          <w:i/>
          <w:sz w:val="24"/>
          <w:szCs w:val="24"/>
        </w:rPr>
        <w:t>Involving Parents – Communication between schools and parents of school-aged children</w:t>
      </w:r>
      <w:r>
        <w:rPr>
          <w:sz w:val="24"/>
          <w:szCs w:val="24"/>
        </w:rPr>
        <w:t xml:space="preserve">. Available at: </w:t>
      </w:r>
      <w:hyperlink r:id="rId16" w:history="1">
        <w:r w:rsidRPr="00510FC9">
          <w:rPr>
            <w:rStyle w:val="Hyperlink"/>
            <w:sz w:val="24"/>
            <w:szCs w:val="24"/>
          </w:rPr>
          <w:t>https://www.estyn.gov.wales/sites/default/files/documents/Involving%20parents%20-%20en.pdf</w:t>
        </w:r>
      </w:hyperlink>
      <w:r>
        <w:rPr>
          <w:sz w:val="24"/>
          <w:szCs w:val="24"/>
        </w:rPr>
        <w:t xml:space="preserve"> (Accessed</w:t>
      </w:r>
      <w:r w:rsidR="00227F66">
        <w:rPr>
          <w:sz w:val="24"/>
          <w:szCs w:val="24"/>
        </w:rPr>
        <w:t>:</w:t>
      </w:r>
      <w:r>
        <w:rPr>
          <w:sz w:val="24"/>
          <w:szCs w:val="24"/>
        </w:rPr>
        <w:t xml:space="preserve"> 25</w:t>
      </w:r>
      <w:r w:rsidRPr="0001546B">
        <w:rPr>
          <w:sz w:val="24"/>
          <w:szCs w:val="24"/>
          <w:vertAlign w:val="superscript"/>
        </w:rPr>
        <w:t>th</w:t>
      </w:r>
      <w:r>
        <w:rPr>
          <w:sz w:val="24"/>
          <w:szCs w:val="24"/>
        </w:rPr>
        <w:t xml:space="preserve"> April 2019).</w:t>
      </w:r>
      <w:r w:rsidR="007037AE">
        <w:rPr>
          <w:sz w:val="24"/>
          <w:szCs w:val="24"/>
        </w:rPr>
        <w:br/>
        <w:t xml:space="preserve">Farrell, </w:t>
      </w:r>
      <w:r w:rsidR="00DA251B">
        <w:rPr>
          <w:sz w:val="24"/>
          <w:szCs w:val="24"/>
        </w:rPr>
        <w:t>M</w:t>
      </w:r>
      <w:r w:rsidR="007037AE" w:rsidRPr="00F17CB9">
        <w:rPr>
          <w:sz w:val="24"/>
          <w:szCs w:val="24"/>
        </w:rPr>
        <w:t xml:space="preserve">. (2012) </w:t>
      </w:r>
      <w:r w:rsidR="007037AE" w:rsidRPr="00F17CB9">
        <w:rPr>
          <w:i/>
          <w:sz w:val="24"/>
          <w:szCs w:val="24"/>
        </w:rPr>
        <w:t>Educating Special Children</w:t>
      </w:r>
      <w:r w:rsidR="007037AE" w:rsidRPr="00F17CB9">
        <w:rPr>
          <w:sz w:val="24"/>
          <w:szCs w:val="24"/>
        </w:rPr>
        <w:t>. 2</w:t>
      </w:r>
      <w:r w:rsidR="007037AE" w:rsidRPr="00F17CB9">
        <w:rPr>
          <w:sz w:val="24"/>
          <w:szCs w:val="24"/>
          <w:vertAlign w:val="superscript"/>
        </w:rPr>
        <w:t>nd</w:t>
      </w:r>
      <w:r w:rsidR="007037AE" w:rsidRPr="00F17CB9">
        <w:rPr>
          <w:sz w:val="24"/>
          <w:szCs w:val="24"/>
        </w:rPr>
        <w:t xml:space="preserve"> </w:t>
      </w:r>
      <w:proofErr w:type="spellStart"/>
      <w:r w:rsidR="007037AE" w:rsidRPr="00F17CB9">
        <w:rPr>
          <w:sz w:val="24"/>
          <w:szCs w:val="24"/>
        </w:rPr>
        <w:t>edn</w:t>
      </w:r>
      <w:proofErr w:type="spellEnd"/>
      <w:r w:rsidR="007037AE" w:rsidRPr="00F17CB9">
        <w:rPr>
          <w:sz w:val="24"/>
          <w:szCs w:val="24"/>
        </w:rPr>
        <w:t>. London: Routledge.</w:t>
      </w:r>
    </w:p>
    <w:p w14:paraId="4E35E790" w14:textId="2EA3AC81" w:rsidR="007037AE" w:rsidRDefault="00D50F0C" w:rsidP="004D1D10">
      <w:pPr>
        <w:spacing w:line="360" w:lineRule="auto"/>
        <w:rPr>
          <w:sz w:val="24"/>
          <w:szCs w:val="24"/>
        </w:rPr>
      </w:pPr>
      <w:r>
        <w:rPr>
          <w:sz w:val="24"/>
          <w:szCs w:val="24"/>
        </w:rPr>
        <w:t xml:space="preserve">Fink, A. (1995b) </w:t>
      </w:r>
      <w:r w:rsidRPr="005214A6">
        <w:rPr>
          <w:i/>
          <w:sz w:val="24"/>
          <w:szCs w:val="24"/>
        </w:rPr>
        <w:t>How to Ask Survey Questions</w:t>
      </w:r>
      <w:r>
        <w:rPr>
          <w:sz w:val="24"/>
          <w:szCs w:val="24"/>
        </w:rPr>
        <w:t xml:space="preserve">. </w:t>
      </w:r>
      <w:r w:rsidR="005214A6">
        <w:rPr>
          <w:sz w:val="24"/>
          <w:szCs w:val="24"/>
        </w:rPr>
        <w:t>London: SAGE Publications.</w:t>
      </w:r>
      <w:r w:rsidR="005166E7">
        <w:rPr>
          <w:sz w:val="24"/>
          <w:szCs w:val="24"/>
        </w:rPr>
        <w:br/>
        <w:t>Fink, A. (1995</w:t>
      </w:r>
      <w:r w:rsidR="00082BD9">
        <w:rPr>
          <w:sz w:val="24"/>
          <w:szCs w:val="24"/>
        </w:rPr>
        <w:t>a</w:t>
      </w:r>
      <w:r w:rsidR="005166E7">
        <w:rPr>
          <w:sz w:val="24"/>
          <w:szCs w:val="24"/>
        </w:rPr>
        <w:t xml:space="preserve">) </w:t>
      </w:r>
      <w:r w:rsidR="005166E7" w:rsidRPr="005166E7">
        <w:rPr>
          <w:i/>
          <w:sz w:val="24"/>
          <w:szCs w:val="24"/>
        </w:rPr>
        <w:t>How to Design Surveys.</w:t>
      </w:r>
      <w:r w:rsidR="005166E7">
        <w:rPr>
          <w:sz w:val="24"/>
          <w:szCs w:val="24"/>
        </w:rPr>
        <w:t xml:space="preserve"> London: SAGE Publications.</w:t>
      </w:r>
      <w:r w:rsidR="00C22BF3">
        <w:rPr>
          <w:sz w:val="24"/>
          <w:szCs w:val="24"/>
        </w:rPr>
        <w:br/>
        <w:t xml:space="preserve">Furlong, C. (2015) ‘Literacy skills lacking in Wales’, </w:t>
      </w:r>
      <w:r w:rsidR="00C22BF3" w:rsidRPr="00C22BF3">
        <w:rPr>
          <w:i/>
          <w:sz w:val="24"/>
          <w:szCs w:val="24"/>
        </w:rPr>
        <w:t>IWA</w:t>
      </w:r>
      <w:r w:rsidR="00C22BF3">
        <w:rPr>
          <w:sz w:val="24"/>
          <w:szCs w:val="24"/>
        </w:rPr>
        <w:t>, 21</w:t>
      </w:r>
      <w:r w:rsidR="00C22BF3" w:rsidRPr="00C22BF3">
        <w:rPr>
          <w:sz w:val="24"/>
          <w:szCs w:val="24"/>
          <w:vertAlign w:val="superscript"/>
        </w:rPr>
        <w:t>st</w:t>
      </w:r>
      <w:r w:rsidR="00C22BF3">
        <w:rPr>
          <w:sz w:val="24"/>
          <w:szCs w:val="24"/>
        </w:rPr>
        <w:t xml:space="preserve"> September. Available at: </w:t>
      </w:r>
      <w:hyperlink r:id="rId17" w:history="1">
        <w:r w:rsidR="00643167" w:rsidRPr="00510FC9">
          <w:rPr>
            <w:rStyle w:val="Hyperlink"/>
            <w:sz w:val="24"/>
            <w:szCs w:val="24"/>
          </w:rPr>
          <w:t>https://www.iwa.wales/click/2015/09/literacy-skills-lacking-in-wales/</w:t>
        </w:r>
      </w:hyperlink>
      <w:r w:rsidR="00C22BF3">
        <w:rPr>
          <w:sz w:val="24"/>
          <w:szCs w:val="24"/>
        </w:rPr>
        <w:t xml:space="preserve"> (Accessed</w:t>
      </w:r>
      <w:r w:rsidR="00227F66">
        <w:rPr>
          <w:sz w:val="24"/>
          <w:szCs w:val="24"/>
        </w:rPr>
        <w:t>:</w:t>
      </w:r>
      <w:r w:rsidR="00C22BF3">
        <w:rPr>
          <w:sz w:val="24"/>
          <w:szCs w:val="24"/>
        </w:rPr>
        <w:t xml:space="preserve"> 18</w:t>
      </w:r>
      <w:r w:rsidR="00C22BF3" w:rsidRPr="00C22BF3">
        <w:rPr>
          <w:sz w:val="24"/>
          <w:szCs w:val="24"/>
          <w:vertAlign w:val="superscript"/>
        </w:rPr>
        <w:t>th</w:t>
      </w:r>
      <w:r w:rsidR="00C22BF3">
        <w:rPr>
          <w:sz w:val="24"/>
          <w:szCs w:val="24"/>
        </w:rPr>
        <w:t xml:space="preserve"> April 2018).</w:t>
      </w:r>
    </w:p>
    <w:p w14:paraId="6A8B4D71" w14:textId="33127101" w:rsidR="00643167" w:rsidRDefault="00643167" w:rsidP="004D1D10">
      <w:pPr>
        <w:spacing w:line="360" w:lineRule="auto"/>
        <w:rPr>
          <w:sz w:val="24"/>
          <w:szCs w:val="24"/>
        </w:rPr>
      </w:pPr>
      <w:r>
        <w:rPr>
          <w:sz w:val="24"/>
          <w:szCs w:val="24"/>
        </w:rPr>
        <w:t xml:space="preserve">Gibson, S. and Kendall, L. (2010) ‘Stories from school: dyslexia and learners’ voices on factors impacting on achievement’, </w:t>
      </w:r>
      <w:r w:rsidRPr="00643167">
        <w:rPr>
          <w:i/>
          <w:sz w:val="24"/>
          <w:szCs w:val="24"/>
        </w:rPr>
        <w:t>Support for Learning</w:t>
      </w:r>
      <w:r>
        <w:rPr>
          <w:sz w:val="24"/>
          <w:szCs w:val="24"/>
        </w:rPr>
        <w:t>, 25(4), pp. 187-192.</w:t>
      </w:r>
    </w:p>
    <w:p w14:paraId="658600E9" w14:textId="3DE37BDB" w:rsidR="00A1766B" w:rsidRPr="00F17CB9" w:rsidRDefault="00A1766B" w:rsidP="004D1D10">
      <w:pPr>
        <w:spacing w:line="360" w:lineRule="auto"/>
        <w:rPr>
          <w:sz w:val="24"/>
          <w:szCs w:val="24"/>
        </w:rPr>
      </w:pPr>
      <w:proofErr w:type="spellStart"/>
      <w:r>
        <w:rPr>
          <w:sz w:val="24"/>
          <w:szCs w:val="24"/>
        </w:rPr>
        <w:t>Glazzard</w:t>
      </w:r>
      <w:proofErr w:type="spellEnd"/>
      <w:r>
        <w:rPr>
          <w:sz w:val="24"/>
          <w:szCs w:val="24"/>
        </w:rPr>
        <w:t xml:space="preserve">, J. (2010) ‘The impact of dyslexia on pupils’ self-esteem’, </w:t>
      </w:r>
      <w:r w:rsidRPr="00A1766B">
        <w:rPr>
          <w:i/>
          <w:sz w:val="24"/>
          <w:szCs w:val="24"/>
        </w:rPr>
        <w:t>Support for learning</w:t>
      </w:r>
      <w:r>
        <w:rPr>
          <w:sz w:val="24"/>
          <w:szCs w:val="24"/>
        </w:rPr>
        <w:t>, 25 (2), pp. 63-69.</w:t>
      </w:r>
    </w:p>
    <w:p w14:paraId="1C6707C7" w14:textId="67BA737A" w:rsidR="00D636D5" w:rsidRDefault="00757BEF" w:rsidP="004D1D10">
      <w:pPr>
        <w:spacing w:line="360" w:lineRule="auto"/>
        <w:rPr>
          <w:sz w:val="24"/>
          <w:szCs w:val="24"/>
        </w:rPr>
      </w:pPr>
      <w:proofErr w:type="spellStart"/>
      <w:r w:rsidRPr="00F17CB9">
        <w:rPr>
          <w:sz w:val="24"/>
          <w:szCs w:val="24"/>
        </w:rPr>
        <w:t>Glazzard</w:t>
      </w:r>
      <w:proofErr w:type="spellEnd"/>
      <w:r w:rsidRPr="00F17CB9">
        <w:rPr>
          <w:sz w:val="24"/>
          <w:szCs w:val="24"/>
        </w:rPr>
        <w:t xml:space="preserve">, J. et al. (2010) </w:t>
      </w:r>
      <w:r w:rsidRPr="00F17CB9">
        <w:rPr>
          <w:i/>
          <w:sz w:val="24"/>
          <w:szCs w:val="24"/>
        </w:rPr>
        <w:t>Teaching Primary Special Educational Needs</w:t>
      </w:r>
      <w:r w:rsidRPr="00F17CB9">
        <w:rPr>
          <w:sz w:val="24"/>
          <w:szCs w:val="24"/>
        </w:rPr>
        <w:t>. Exeter: Learning Matters.</w:t>
      </w:r>
      <w:r w:rsidR="00E334D4">
        <w:rPr>
          <w:sz w:val="24"/>
          <w:szCs w:val="24"/>
        </w:rPr>
        <w:br/>
      </w:r>
      <w:r w:rsidR="00E334D4" w:rsidRPr="00E334D4">
        <w:rPr>
          <w:sz w:val="24"/>
          <w:szCs w:val="24"/>
        </w:rPr>
        <w:t xml:space="preserve">Grigg, R. (2015) </w:t>
      </w:r>
      <w:r w:rsidR="00E334D4" w:rsidRPr="00E334D4">
        <w:rPr>
          <w:i/>
          <w:sz w:val="24"/>
          <w:szCs w:val="24"/>
        </w:rPr>
        <w:t>Becoming an Outstanding Primary School Teacher.</w:t>
      </w:r>
      <w:r w:rsidR="00E334D4" w:rsidRPr="00E334D4">
        <w:rPr>
          <w:sz w:val="24"/>
          <w:szCs w:val="24"/>
        </w:rPr>
        <w:t xml:space="preserve"> 2</w:t>
      </w:r>
      <w:r w:rsidR="00E334D4" w:rsidRPr="00E334D4">
        <w:rPr>
          <w:sz w:val="24"/>
          <w:szCs w:val="24"/>
          <w:vertAlign w:val="superscript"/>
        </w:rPr>
        <w:t>nd</w:t>
      </w:r>
      <w:r w:rsidR="00E334D4" w:rsidRPr="00E334D4">
        <w:rPr>
          <w:sz w:val="24"/>
          <w:szCs w:val="24"/>
        </w:rPr>
        <w:t xml:space="preserve"> </w:t>
      </w:r>
      <w:proofErr w:type="spellStart"/>
      <w:r w:rsidR="00E334D4" w:rsidRPr="00E334D4">
        <w:rPr>
          <w:sz w:val="24"/>
          <w:szCs w:val="24"/>
        </w:rPr>
        <w:t>edn</w:t>
      </w:r>
      <w:proofErr w:type="spellEnd"/>
      <w:r w:rsidR="00E334D4" w:rsidRPr="00E334D4">
        <w:rPr>
          <w:sz w:val="24"/>
          <w:szCs w:val="24"/>
        </w:rPr>
        <w:t>. London: Routledge.</w:t>
      </w:r>
      <w:r w:rsidR="00954101">
        <w:rPr>
          <w:sz w:val="24"/>
          <w:szCs w:val="24"/>
        </w:rPr>
        <w:br/>
      </w:r>
      <w:r w:rsidR="00F17CB9" w:rsidRPr="00F17CB9">
        <w:rPr>
          <w:sz w:val="24"/>
          <w:szCs w:val="24"/>
        </w:rPr>
        <w:t xml:space="preserve">Hall, W. (2009) </w:t>
      </w:r>
      <w:r w:rsidR="00F17CB9" w:rsidRPr="00F17CB9">
        <w:rPr>
          <w:i/>
          <w:iCs/>
          <w:sz w:val="24"/>
          <w:szCs w:val="24"/>
        </w:rPr>
        <w:t xml:space="preserve">Dyslexia in the Primary Classroom, </w:t>
      </w:r>
      <w:r w:rsidR="00F17CB9" w:rsidRPr="00F17CB9">
        <w:rPr>
          <w:sz w:val="24"/>
          <w:szCs w:val="24"/>
        </w:rPr>
        <w:t>Exeter: Learning Matters Ltd.</w:t>
      </w:r>
      <w:r w:rsidR="00C66954">
        <w:rPr>
          <w:sz w:val="24"/>
          <w:szCs w:val="24"/>
        </w:rPr>
        <w:br/>
        <w:t xml:space="preserve">ICO. (2018) </w:t>
      </w:r>
      <w:r w:rsidR="00C66954" w:rsidRPr="00C66954">
        <w:rPr>
          <w:i/>
          <w:sz w:val="24"/>
          <w:szCs w:val="24"/>
        </w:rPr>
        <w:t>Guide to General Data Protection Regulation (GDPR).</w:t>
      </w:r>
      <w:r w:rsidR="00C66954">
        <w:rPr>
          <w:sz w:val="24"/>
          <w:szCs w:val="24"/>
        </w:rPr>
        <w:t xml:space="preserve"> Cheshire: ICO.</w:t>
      </w:r>
    </w:p>
    <w:p w14:paraId="76ED0F5F" w14:textId="569BF5EB" w:rsidR="000E4264" w:rsidRDefault="000E4264" w:rsidP="004D1D10">
      <w:pPr>
        <w:spacing w:line="360" w:lineRule="auto"/>
        <w:rPr>
          <w:sz w:val="24"/>
          <w:szCs w:val="24"/>
        </w:rPr>
      </w:pPr>
      <w:r>
        <w:rPr>
          <w:sz w:val="24"/>
          <w:szCs w:val="24"/>
        </w:rPr>
        <w:lastRenderedPageBreak/>
        <w:t>ITV News. (2019) ‘The dyslexia test that could help people get earlier diagnosis’, ITV News, 19</w:t>
      </w:r>
      <w:r w:rsidRPr="000E4264">
        <w:rPr>
          <w:sz w:val="24"/>
          <w:szCs w:val="24"/>
          <w:vertAlign w:val="superscript"/>
        </w:rPr>
        <w:t>th</w:t>
      </w:r>
      <w:r>
        <w:rPr>
          <w:sz w:val="24"/>
          <w:szCs w:val="24"/>
        </w:rPr>
        <w:t xml:space="preserve"> April. Available at: </w:t>
      </w:r>
      <w:hyperlink r:id="rId18" w:history="1">
        <w:r w:rsidRPr="00E011F3">
          <w:rPr>
            <w:rStyle w:val="Hyperlink"/>
            <w:sz w:val="24"/>
            <w:szCs w:val="24"/>
          </w:rPr>
          <w:t>https://www.itv.com/news/wales/2019-04-19/the-dyslexia-test-that-could-help-people-get-earlier-diagnosis/</w:t>
        </w:r>
      </w:hyperlink>
      <w:r>
        <w:rPr>
          <w:sz w:val="24"/>
          <w:szCs w:val="24"/>
        </w:rPr>
        <w:t xml:space="preserve"> (Accessed: 26</w:t>
      </w:r>
      <w:r w:rsidRPr="000E4264">
        <w:rPr>
          <w:sz w:val="24"/>
          <w:szCs w:val="24"/>
          <w:vertAlign w:val="superscript"/>
        </w:rPr>
        <w:t>th</w:t>
      </w:r>
      <w:r>
        <w:rPr>
          <w:sz w:val="24"/>
          <w:szCs w:val="24"/>
        </w:rPr>
        <w:t xml:space="preserve"> April 2019).</w:t>
      </w:r>
    </w:p>
    <w:p w14:paraId="05015A21" w14:textId="2E12D60C" w:rsidR="006231E4" w:rsidRPr="00E334D4" w:rsidRDefault="00D636D5" w:rsidP="004D1D10">
      <w:pPr>
        <w:spacing w:line="360" w:lineRule="auto"/>
      </w:pPr>
      <w:r>
        <w:rPr>
          <w:sz w:val="24"/>
          <w:szCs w:val="24"/>
        </w:rPr>
        <w:t xml:space="preserve">Lawrence, D. (2009) </w:t>
      </w:r>
      <w:r w:rsidRPr="00D636D5">
        <w:rPr>
          <w:i/>
          <w:sz w:val="24"/>
          <w:szCs w:val="24"/>
        </w:rPr>
        <w:t>Understanding Dyslexia</w:t>
      </w:r>
      <w:r>
        <w:rPr>
          <w:sz w:val="24"/>
          <w:szCs w:val="24"/>
        </w:rPr>
        <w:t>. Maidenhead: Open University Press.</w:t>
      </w:r>
      <w:r w:rsidR="00F00AD3">
        <w:rPr>
          <w:sz w:val="24"/>
          <w:szCs w:val="24"/>
        </w:rPr>
        <w:br/>
        <w:t>Lewis, B. (2019) ‘School funding ‘down £500 per pupil</w:t>
      </w:r>
      <w:r w:rsidR="000E4264">
        <w:rPr>
          <w:sz w:val="24"/>
          <w:szCs w:val="24"/>
        </w:rPr>
        <w:t>’</w:t>
      </w:r>
      <w:r w:rsidR="00F00AD3">
        <w:rPr>
          <w:sz w:val="24"/>
          <w:szCs w:val="24"/>
        </w:rPr>
        <w:t xml:space="preserve"> over 10 years’, </w:t>
      </w:r>
      <w:r w:rsidR="00F00AD3" w:rsidRPr="00F00AD3">
        <w:rPr>
          <w:i/>
          <w:sz w:val="24"/>
          <w:szCs w:val="24"/>
        </w:rPr>
        <w:t>BBC News</w:t>
      </w:r>
      <w:r w:rsidR="00F00AD3">
        <w:rPr>
          <w:sz w:val="24"/>
          <w:szCs w:val="24"/>
        </w:rPr>
        <w:t>, 9</w:t>
      </w:r>
      <w:r w:rsidR="00F00AD3" w:rsidRPr="00F00AD3">
        <w:rPr>
          <w:sz w:val="24"/>
          <w:szCs w:val="24"/>
          <w:vertAlign w:val="superscript"/>
        </w:rPr>
        <w:t>th</w:t>
      </w:r>
      <w:r w:rsidR="00F00AD3">
        <w:rPr>
          <w:sz w:val="24"/>
          <w:szCs w:val="24"/>
        </w:rPr>
        <w:t xml:space="preserve"> April. Available at: </w:t>
      </w:r>
      <w:hyperlink r:id="rId19" w:history="1">
        <w:r w:rsidR="00F00AD3" w:rsidRPr="00510FC9">
          <w:rPr>
            <w:rStyle w:val="Hyperlink"/>
            <w:sz w:val="24"/>
            <w:szCs w:val="24"/>
          </w:rPr>
          <w:t>https://www.bbc.co.uk/news/uk-wales-47828736</w:t>
        </w:r>
      </w:hyperlink>
      <w:r w:rsidR="00F00AD3">
        <w:rPr>
          <w:sz w:val="24"/>
          <w:szCs w:val="24"/>
        </w:rPr>
        <w:t xml:space="preserve"> (Accessed</w:t>
      </w:r>
      <w:r w:rsidR="000E4264">
        <w:rPr>
          <w:sz w:val="24"/>
          <w:szCs w:val="24"/>
        </w:rPr>
        <w:t>:</w:t>
      </w:r>
      <w:r w:rsidR="00F00AD3">
        <w:rPr>
          <w:sz w:val="24"/>
          <w:szCs w:val="24"/>
        </w:rPr>
        <w:t xml:space="preserve"> 25th April 2019).</w:t>
      </w:r>
    </w:p>
    <w:p w14:paraId="59600489" w14:textId="0EF9A64C" w:rsidR="00FE2E01" w:rsidRDefault="00FE2E01" w:rsidP="004D1D10">
      <w:pPr>
        <w:spacing w:line="360" w:lineRule="auto"/>
        <w:rPr>
          <w:sz w:val="24"/>
          <w:szCs w:val="24"/>
        </w:rPr>
      </w:pPr>
      <w:r>
        <w:rPr>
          <w:sz w:val="24"/>
          <w:szCs w:val="24"/>
        </w:rPr>
        <w:t xml:space="preserve">McNeil, P. and Chapman, S. (2005) </w:t>
      </w:r>
      <w:r w:rsidRPr="00FE2E01">
        <w:rPr>
          <w:i/>
          <w:sz w:val="24"/>
          <w:szCs w:val="24"/>
        </w:rPr>
        <w:t>Research Methods</w:t>
      </w:r>
      <w:r>
        <w:rPr>
          <w:sz w:val="24"/>
          <w:szCs w:val="24"/>
        </w:rPr>
        <w:t>. 3</w:t>
      </w:r>
      <w:r w:rsidRPr="00FE2E01">
        <w:rPr>
          <w:sz w:val="24"/>
          <w:szCs w:val="24"/>
          <w:vertAlign w:val="superscript"/>
        </w:rPr>
        <w:t>rd</w:t>
      </w:r>
      <w:r>
        <w:rPr>
          <w:sz w:val="24"/>
          <w:szCs w:val="24"/>
        </w:rPr>
        <w:t xml:space="preserve"> </w:t>
      </w:r>
      <w:proofErr w:type="spellStart"/>
      <w:r>
        <w:rPr>
          <w:sz w:val="24"/>
          <w:szCs w:val="24"/>
        </w:rPr>
        <w:t>edn</w:t>
      </w:r>
      <w:proofErr w:type="spellEnd"/>
      <w:r>
        <w:rPr>
          <w:sz w:val="24"/>
          <w:szCs w:val="24"/>
        </w:rPr>
        <w:t>. Oxon: Routledge</w:t>
      </w:r>
    </w:p>
    <w:p w14:paraId="1FEB5D29" w14:textId="32082F3D" w:rsidR="0082393F" w:rsidRDefault="006231E4" w:rsidP="004D1D10">
      <w:pPr>
        <w:spacing w:line="360" w:lineRule="auto"/>
        <w:rPr>
          <w:sz w:val="24"/>
          <w:szCs w:val="24"/>
        </w:rPr>
      </w:pPr>
      <w:r>
        <w:rPr>
          <w:sz w:val="24"/>
          <w:szCs w:val="24"/>
        </w:rPr>
        <w:t>Mortimore, T. (200</w:t>
      </w:r>
      <w:r w:rsidR="005D4FA6">
        <w:rPr>
          <w:sz w:val="24"/>
          <w:szCs w:val="24"/>
        </w:rPr>
        <w:t>3</w:t>
      </w:r>
      <w:r>
        <w:rPr>
          <w:sz w:val="24"/>
          <w:szCs w:val="24"/>
        </w:rPr>
        <w:t xml:space="preserve">) </w:t>
      </w:r>
      <w:r w:rsidRPr="006231E4">
        <w:rPr>
          <w:i/>
          <w:sz w:val="24"/>
          <w:szCs w:val="24"/>
        </w:rPr>
        <w:t>Dyslexia and Learning Style: A Practitioner’s Handbook</w:t>
      </w:r>
      <w:r>
        <w:rPr>
          <w:sz w:val="24"/>
          <w:szCs w:val="24"/>
        </w:rPr>
        <w:t>. 2</w:t>
      </w:r>
      <w:r w:rsidRPr="006231E4">
        <w:rPr>
          <w:sz w:val="24"/>
          <w:szCs w:val="24"/>
          <w:vertAlign w:val="superscript"/>
        </w:rPr>
        <w:t>nd</w:t>
      </w:r>
      <w:r>
        <w:rPr>
          <w:sz w:val="24"/>
          <w:szCs w:val="24"/>
        </w:rPr>
        <w:t xml:space="preserve"> </w:t>
      </w:r>
      <w:proofErr w:type="spellStart"/>
      <w:r>
        <w:rPr>
          <w:sz w:val="24"/>
          <w:szCs w:val="24"/>
        </w:rPr>
        <w:t>edn</w:t>
      </w:r>
      <w:proofErr w:type="spellEnd"/>
      <w:r>
        <w:rPr>
          <w:sz w:val="24"/>
          <w:szCs w:val="24"/>
        </w:rPr>
        <w:t>. West Sussex: John Wiley and Sons, Ltd.</w:t>
      </w:r>
      <w:r w:rsidR="00856E76">
        <w:rPr>
          <w:sz w:val="24"/>
          <w:szCs w:val="24"/>
        </w:rPr>
        <w:br/>
        <w:t xml:space="preserve">NHS Wales. (2018) </w:t>
      </w:r>
      <w:r w:rsidR="002725E5" w:rsidRPr="00B21A5B">
        <w:rPr>
          <w:i/>
          <w:sz w:val="24"/>
          <w:szCs w:val="24"/>
        </w:rPr>
        <w:t>Dyslexia</w:t>
      </w:r>
      <w:r w:rsidR="002725E5">
        <w:rPr>
          <w:sz w:val="24"/>
          <w:szCs w:val="24"/>
        </w:rPr>
        <w:t xml:space="preserve">. Available at: </w:t>
      </w:r>
      <w:hyperlink r:id="rId20" w:history="1">
        <w:r w:rsidR="002725E5" w:rsidRPr="00F35CA4">
          <w:rPr>
            <w:rStyle w:val="Hyperlink"/>
            <w:sz w:val="24"/>
            <w:szCs w:val="24"/>
          </w:rPr>
          <w:t>https://www.nhsdirect.wales.nhs.uk/encyclopaedia/d/article/dyslexia</w:t>
        </w:r>
      </w:hyperlink>
      <w:r w:rsidR="002725E5">
        <w:rPr>
          <w:sz w:val="24"/>
          <w:szCs w:val="24"/>
        </w:rPr>
        <w:t xml:space="preserve"> (Accessed: 17</w:t>
      </w:r>
      <w:r w:rsidR="002725E5" w:rsidRPr="002725E5">
        <w:rPr>
          <w:sz w:val="24"/>
          <w:szCs w:val="24"/>
          <w:vertAlign w:val="superscript"/>
        </w:rPr>
        <w:t>t</w:t>
      </w:r>
      <w:r w:rsidR="002725E5">
        <w:rPr>
          <w:sz w:val="24"/>
          <w:szCs w:val="24"/>
          <w:vertAlign w:val="superscript"/>
        </w:rPr>
        <w:t xml:space="preserve">h </w:t>
      </w:r>
      <w:r w:rsidR="002725E5">
        <w:rPr>
          <w:sz w:val="24"/>
          <w:szCs w:val="24"/>
        </w:rPr>
        <w:t>April 2019).</w:t>
      </w:r>
    </w:p>
    <w:p w14:paraId="7F090B60" w14:textId="0C2D9243" w:rsidR="00DA251B" w:rsidRDefault="00DA251B" w:rsidP="004D1D10">
      <w:pPr>
        <w:spacing w:line="360" w:lineRule="auto"/>
        <w:rPr>
          <w:sz w:val="24"/>
          <w:szCs w:val="24"/>
        </w:rPr>
      </w:pPr>
      <w:r>
        <w:rPr>
          <w:sz w:val="24"/>
          <w:szCs w:val="24"/>
        </w:rPr>
        <w:t xml:space="preserve">Pollock, J., Waller, E. and </w:t>
      </w:r>
      <w:proofErr w:type="spellStart"/>
      <w:r>
        <w:rPr>
          <w:sz w:val="24"/>
          <w:szCs w:val="24"/>
        </w:rPr>
        <w:t>Politt</w:t>
      </w:r>
      <w:proofErr w:type="spellEnd"/>
      <w:r>
        <w:rPr>
          <w:sz w:val="24"/>
          <w:szCs w:val="24"/>
        </w:rPr>
        <w:t xml:space="preserve">, R. (2004) </w:t>
      </w:r>
      <w:r w:rsidRPr="00DA251B">
        <w:rPr>
          <w:i/>
          <w:sz w:val="24"/>
          <w:szCs w:val="24"/>
        </w:rPr>
        <w:t>Day-to-Day Dyslexia in the Classroom</w:t>
      </w:r>
      <w:r>
        <w:rPr>
          <w:sz w:val="24"/>
          <w:szCs w:val="24"/>
        </w:rPr>
        <w:t>. 2</w:t>
      </w:r>
      <w:r w:rsidRPr="00DA251B">
        <w:rPr>
          <w:sz w:val="24"/>
          <w:szCs w:val="24"/>
          <w:vertAlign w:val="superscript"/>
        </w:rPr>
        <w:t>nd</w:t>
      </w:r>
      <w:r>
        <w:rPr>
          <w:sz w:val="24"/>
          <w:szCs w:val="24"/>
        </w:rPr>
        <w:t xml:space="preserve"> </w:t>
      </w:r>
      <w:proofErr w:type="spellStart"/>
      <w:r>
        <w:rPr>
          <w:sz w:val="24"/>
          <w:szCs w:val="24"/>
        </w:rPr>
        <w:t>edn</w:t>
      </w:r>
      <w:proofErr w:type="spellEnd"/>
      <w:r>
        <w:rPr>
          <w:sz w:val="24"/>
          <w:szCs w:val="24"/>
        </w:rPr>
        <w:t>. Oxon: Routledge.</w:t>
      </w:r>
    </w:p>
    <w:p w14:paraId="4B50BEF9" w14:textId="461A42BA" w:rsidR="00FC6AEB" w:rsidRDefault="00FC6AEB" w:rsidP="004D1D10">
      <w:pPr>
        <w:spacing w:line="360" w:lineRule="auto"/>
        <w:rPr>
          <w:sz w:val="24"/>
          <w:szCs w:val="24"/>
        </w:rPr>
      </w:pPr>
      <w:r>
        <w:rPr>
          <w:sz w:val="24"/>
          <w:szCs w:val="24"/>
        </w:rPr>
        <w:t xml:space="preserve">Pound, L. (2005) </w:t>
      </w:r>
      <w:r w:rsidRPr="00FC6AEB">
        <w:rPr>
          <w:i/>
          <w:sz w:val="24"/>
          <w:szCs w:val="24"/>
        </w:rPr>
        <w:t>How Children Learn</w:t>
      </w:r>
      <w:r>
        <w:rPr>
          <w:sz w:val="24"/>
          <w:szCs w:val="24"/>
        </w:rPr>
        <w:t>. Leamington Spa: Step Forward Publishing Limited.</w:t>
      </w:r>
    </w:p>
    <w:p w14:paraId="53E1B0B2" w14:textId="18F96461" w:rsidR="00792B72" w:rsidRDefault="00792B72" w:rsidP="004D1D10">
      <w:pPr>
        <w:spacing w:line="360" w:lineRule="auto"/>
        <w:rPr>
          <w:sz w:val="24"/>
          <w:szCs w:val="24"/>
        </w:rPr>
      </w:pPr>
      <w:r>
        <w:rPr>
          <w:sz w:val="24"/>
          <w:szCs w:val="24"/>
        </w:rPr>
        <w:t xml:space="preserve">Reid, G. (1998) </w:t>
      </w:r>
      <w:r w:rsidRPr="00792B72">
        <w:rPr>
          <w:i/>
          <w:sz w:val="24"/>
          <w:szCs w:val="24"/>
        </w:rPr>
        <w:t>Dyslexia: A Practi</w:t>
      </w:r>
      <w:r>
        <w:rPr>
          <w:i/>
          <w:sz w:val="24"/>
          <w:szCs w:val="24"/>
        </w:rPr>
        <w:t>ti</w:t>
      </w:r>
      <w:r w:rsidRPr="00792B72">
        <w:rPr>
          <w:i/>
          <w:sz w:val="24"/>
          <w:szCs w:val="24"/>
        </w:rPr>
        <w:t>oner’s Handbook.</w:t>
      </w:r>
      <w:r>
        <w:rPr>
          <w:sz w:val="24"/>
          <w:szCs w:val="24"/>
        </w:rPr>
        <w:t xml:space="preserve"> 2</w:t>
      </w:r>
      <w:r w:rsidRPr="00792B72">
        <w:rPr>
          <w:sz w:val="24"/>
          <w:szCs w:val="24"/>
          <w:vertAlign w:val="superscript"/>
        </w:rPr>
        <w:t>nd</w:t>
      </w:r>
      <w:r>
        <w:rPr>
          <w:sz w:val="24"/>
          <w:szCs w:val="24"/>
        </w:rPr>
        <w:t xml:space="preserve"> </w:t>
      </w:r>
      <w:proofErr w:type="spellStart"/>
      <w:r>
        <w:rPr>
          <w:sz w:val="24"/>
          <w:szCs w:val="24"/>
        </w:rPr>
        <w:t>edn</w:t>
      </w:r>
      <w:proofErr w:type="spellEnd"/>
      <w:r>
        <w:rPr>
          <w:sz w:val="24"/>
          <w:szCs w:val="24"/>
        </w:rPr>
        <w:t>. West Sussex: John Wiley and Sons Ltd.</w:t>
      </w:r>
    </w:p>
    <w:p w14:paraId="6AD23CC1" w14:textId="22D7124B" w:rsidR="00A90572" w:rsidRDefault="0082393F" w:rsidP="004D1D10">
      <w:pPr>
        <w:spacing w:line="360" w:lineRule="auto"/>
        <w:rPr>
          <w:sz w:val="24"/>
          <w:szCs w:val="24"/>
        </w:rPr>
      </w:pPr>
      <w:r>
        <w:rPr>
          <w:sz w:val="24"/>
          <w:szCs w:val="24"/>
        </w:rPr>
        <w:t xml:space="preserve">Speck, D. (2019) ‘Exhausted teachers to blame workload for predicted exodus’, </w:t>
      </w:r>
      <w:r w:rsidRPr="0082393F">
        <w:rPr>
          <w:i/>
          <w:sz w:val="24"/>
          <w:szCs w:val="24"/>
        </w:rPr>
        <w:t>TES</w:t>
      </w:r>
      <w:r>
        <w:rPr>
          <w:sz w:val="24"/>
          <w:szCs w:val="24"/>
        </w:rPr>
        <w:t>, 16</w:t>
      </w:r>
      <w:r>
        <w:rPr>
          <w:sz w:val="24"/>
          <w:szCs w:val="24"/>
          <w:vertAlign w:val="superscript"/>
        </w:rPr>
        <w:t xml:space="preserve">th </w:t>
      </w:r>
      <w:r>
        <w:rPr>
          <w:sz w:val="24"/>
          <w:szCs w:val="24"/>
        </w:rPr>
        <w:t xml:space="preserve">April. Available at: </w:t>
      </w:r>
      <w:hyperlink r:id="rId21" w:history="1">
        <w:r w:rsidRPr="00F35CA4">
          <w:rPr>
            <w:rStyle w:val="Hyperlink"/>
            <w:sz w:val="24"/>
            <w:szCs w:val="24"/>
          </w:rPr>
          <w:t>https://www.tes.com/news/exhausted-teachers-blame-workload-predicted-exodus</w:t>
        </w:r>
      </w:hyperlink>
      <w:r>
        <w:rPr>
          <w:sz w:val="24"/>
          <w:szCs w:val="24"/>
        </w:rPr>
        <w:t xml:space="preserve"> (Accessed: 17</w:t>
      </w:r>
      <w:r>
        <w:rPr>
          <w:sz w:val="24"/>
          <w:szCs w:val="24"/>
          <w:vertAlign w:val="superscript"/>
        </w:rPr>
        <w:t xml:space="preserve">th </w:t>
      </w:r>
      <w:r>
        <w:rPr>
          <w:sz w:val="24"/>
          <w:szCs w:val="24"/>
        </w:rPr>
        <w:t>April 2019).</w:t>
      </w:r>
      <w:r w:rsidR="00C417C9">
        <w:rPr>
          <w:sz w:val="24"/>
          <w:szCs w:val="24"/>
        </w:rPr>
        <w:br/>
        <w:t>Squires, G</w:t>
      </w:r>
      <w:r w:rsidR="004912EC">
        <w:rPr>
          <w:sz w:val="24"/>
          <w:szCs w:val="24"/>
        </w:rPr>
        <w:t xml:space="preserve">. and McKeown, S. (2006) </w:t>
      </w:r>
      <w:r w:rsidR="004912EC" w:rsidRPr="004912EC">
        <w:rPr>
          <w:i/>
          <w:sz w:val="24"/>
          <w:szCs w:val="24"/>
        </w:rPr>
        <w:t>Supporting Children with Dyslexia</w:t>
      </w:r>
      <w:r w:rsidR="004912EC">
        <w:rPr>
          <w:sz w:val="24"/>
          <w:szCs w:val="24"/>
        </w:rPr>
        <w:t>. 2</w:t>
      </w:r>
      <w:r w:rsidR="004912EC" w:rsidRPr="004912EC">
        <w:rPr>
          <w:sz w:val="24"/>
          <w:szCs w:val="24"/>
          <w:vertAlign w:val="superscript"/>
        </w:rPr>
        <w:t>nd</w:t>
      </w:r>
      <w:r w:rsidR="004912EC">
        <w:rPr>
          <w:sz w:val="24"/>
          <w:szCs w:val="24"/>
        </w:rPr>
        <w:t xml:space="preserve"> </w:t>
      </w:r>
      <w:proofErr w:type="spellStart"/>
      <w:r w:rsidR="004912EC">
        <w:rPr>
          <w:sz w:val="24"/>
          <w:szCs w:val="24"/>
        </w:rPr>
        <w:t>edn</w:t>
      </w:r>
      <w:proofErr w:type="spellEnd"/>
      <w:r w:rsidR="004912EC">
        <w:rPr>
          <w:sz w:val="24"/>
          <w:szCs w:val="24"/>
        </w:rPr>
        <w:t>. London: Continuum International Publishing Group.</w:t>
      </w:r>
    </w:p>
    <w:p w14:paraId="2FE57A59" w14:textId="31866BEA" w:rsidR="0046365F" w:rsidRDefault="0046365F" w:rsidP="004D1D10">
      <w:pPr>
        <w:spacing w:line="360" w:lineRule="auto"/>
        <w:rPr>
          <w:sz w:val="24"/>
          <w:szCs w:val="24"/>
        </w:rPr>
      </w:pPr>
      <w:r>
        <w:rPr>
          <w:sz w:val="24"/>
          <w:szCs w:val="24"/>
        </w:rPr>
        <w:t xml:space="preserve">UK Government. (2015) </w:t>
      </w:r>
      <w:r w:rsidRPr="00397C4F">
        <w:rPr>
          <w:i/>
          <w:sz w:val="24"/>
          <w:szCs w:val="24"/>
        </w:rPr>
        <w:t>Equality Act 2010: Guidance.</w:t>
      </w:r>
      <w:r>
        <w:rPr>
          <w:sz w:val="24"/>
          <w:szCs w:val="24"/>
        </w:rPr>
        <w:t xml:space="preserve"> Available at: </w:t>
      </w:r>
      <w:hyperlink r:id="rId22" w:history="1">
        <w:r w:rsidRPr="00E011F3">
          <w:rPr>
            <w:rStyle w:val="Hyperlink"/>
            <w:sz w:val="24"/>
            <w:szCs w:val="24"/>
          </w:rPr>
          <w:t>https://www.gov.uk/guidance/equality-act-2010-guidance#equalities-act-2010-legislation</w:t>
        </w:r>
      </w:hyperlink>
    </w:p>
    <w:p w14:paraId="42E7136C" w14:textId="58F55604" w:rsidR="0046365F" w:rsidRDefault="0046365F" w:rsidP="004D1D10">
      <w:pPr>
        <w:spacing w:line="360" w:lineRule="auto"/>
        <w:rPr>
          <w:sz w:val="24"/>
          <w:szCs w:val="24"/>
        </w:rPr>
      </w:pPr>
      <w:r>
        <w:rPr>
          <w:sz w:val="24"/>
          <w:szCs w:val="24"/>
        </w:rPr>
        <w:t>(Accessed: 25</w:t>
      </w:r>
      <w:r w:rsidRPr="0046365F">
        <w:rPr>
          <w:sz w:val="24"/>
          <w:szCs w:val="24"/>
          <w:vertAlign w:val="superscript"/>
        </w:rPr>
        <w:t>th</w:t>
      </w:r>
      <w:r>
        <w:rPr>
          <w:sz w:val="24"/>
          <w:szCs w:val="24"/>
        </w:rPr>
        <w:t xml:space="preserve"> April 2019).</w:t>
      </w:r>
    </w:p>
    <w:p w14:paraId="5CBAE0EE" w14:textId="219F0716" w:rsidR="009A0484" w:rsidRDefault="009A0484" w:rsidP="004D1D10">
      <w:pPr>
        <w:spacing w:line="360" w:lineRule="auto"/>
        <w:rPr>
          <w:sz w:val="24"/>
          <w:szCs w:val="24"/>
        </w:rPr>
      </w:pPr>
      <w:r>
        <w:rPr>
          <w:sz w:val="24"/>
          <w:szCs w:val="24"/>
        </w:rPr>
        <w:t xml:space="preserve">UNICEF. (1991) </w:t>
      </w:r>
      <w:r w:rsidRPr="00846476">
        <w:rPr>
          <w:i/>
          <w:sz w:val="24"/>
          <w:szCs w:val="24"/>
        </w:rPr>
        <w:t>The Rights of Every Child</w:t>
      </w:r>
      <w:r>
        <w:rPr>
          <w:sz w:val="24"/>
          <w:szCs w:val="24"/>
        </w:rPr>
        <w:t xml:space="preserve">. Available at: </w:t>
      </w:r>
      <w:hyperlink r:id="rId23" w:history="1">
        <w:r w:rsidR="00846476" w:rsidRPr="00510FC9">
          <w:rPr>
            <w:rStyle w:val="Hyperlink"/>
            <w:sz w:val="24"/>
            <w:szCs w:val="24"/>
          </w:rPr>
          <w:t>https://www.unicef.org.uk/child-rights-partners/wp-content/uploads/sites/3/2016/08/CRC_summary_leaflet_Child_Rights_Partners_web_final.pdf</w:t>
        </w:r>
      </w:hyperlink>
      <w:r w:rsidR="00846476">
        <w:rPr>
          <w:sz w:val="24"/>
          <w:szCs w:val="24"/>
        </w:rPr>
        <w:t xml:space="preserve"> (Accessed</w:t>
      </w:r>
      <w:r w:rsidR="0046365F">
        <w:rPr>
          <w:sz w:val="24"/>
          <w:szCs w:val="24"/>
        </w:rPr>
        <w:t>:</w:t>
      </w:r>
      <w:r w:rsidR="00846476">
        <w:rPr>
          <w:sz w:val="24"/>
          <w:szCs w:val="24"/>
        </w:rPr>
        <w:t xml:space="preserve"> 25th April 2019).</w:t>
      </w:r>
    </w:p>
    <w:p w14:paraId="2361B813" w14:textId="45C44E43" w:rsidR="00757BEF" w:rsidRDefault="00A90572" w:rsidP="004D1D10">
      <w:pPr>
        <w:spacing w:line="360" w:lineRule="auto"/>
        <w:rPr>
          <w:sz w:val="24"/>
          <w:szCs w:val="24"/>
        </w:rPr>
      </w:pPr>
      <w:r>
        <w:rPr>
          <w:sz w:val="24"/>
          <w:szCs w:val="24"/>
        </w:rPr>
        <w:t xml:space="preserve">WAG. (2017) </w:t>
      </w:r>
      <w:r w:rsidRPr="00A90572">
        <w:rPr>
          <w:i/>
          <w:sz w:val="24"/>
          <w:szCs w:val="24"/>
        </w:rPr>
        <w:t>Additional Learning Needs (ALN) Transformation Programme</w:t>
      </w:r>
      <w:r>
        <w:rPr>
          <w:sz w:val="24"/>
          <w:szCs w:val="24"/>
        </w:rPr>
        <w:t>. Cardiff: Crown.</w:t>
      </w:r>
      <w:r w:rsidR="00725090">
        <w:rPr>
          <w:sz w:val="24"/>
          <w:szCs w:val="24"/>
        </w:rPr>
        <w:br/>
        <w:t xml:space="preserve">WAG. (2009) QTS Standards Wales 2009. Available at: </w:t>
      </w:r>
      <w:hyperlink r:id="rId24" w:history="1">
        <w:r w:rsidR="00725090" w:rsidRPr="00F35CA4">
          <w:rPr>
            <w:rStyle w:val="Hyperlink"/>
            <w:sz w:val="24"/>
            <w:szCs w:val="24"/>
          </w:rPr>
          <w:t>https://gweddill.gov.wales/legislation/subordinate/nonsi/educationwales/2009/3220099/?lang</w:t>
        </w:r>
        <w:r w:rsidR="00725090" w:rsidRPr="00F35CA4">
          <w:rPr>
            <w:rStyle w:val="Hyperlink"/>
            <w:sz w:val="24"/>
            <w:szCs w:val="24"/>
          </w:rPr>
          <w:lastRenderedPageBreak/>
          <w:t>=en</w:t>
        </w:r>
      </w:hyperlink>
      <w:r w:rsidR="00725090">
        <w:rPr>
          <w:sz w:val="24"/>
          <w:szCs w:val="24"/>
        </w:rPr>
        <w:t xml:space="preserve"> (Accessed: 17</w:t>
      </w:r>
      <w:r w:rsidR="00725090" w:rsidRPr="00725090">
        <w:rPr>
          <w:sz w:val="24"/>
          <w:szCs w:val="24"/>
          <w:vertAlign w:val="superscript"/>
        </w:rPr>
        <w:t>th</w:t>
      </w:r>
      <w:r w:rsidR="00725090">
        <w:rPr>
          <w:sz w:val="24"/>
          <w:szCs w:val="24"/>
        </w:rPr>
        <w:t xml:space="preserve"> April 2019).</w:t>
      </w:r>
      <w:r w:rsidR="00484FC9" w:rsidRPr="00F17CB9">
        <w:rPr>
          <w:sz w:val="24"/>
          <w:szCs w:val="24"/>
        </w:rPr>
        <w:br/>
        <w:t>WAG. (2018)</w:t>
      </w:r>
      <w:r w:rsidR="00484FC9" w:rsidRPr="00F17CB9">
        <w:rPr>
          <w:i/>
          <w:sz w:val="24"/>
          <w:szCs w:val="24"/>
        </w:rPr>
        <w:t xml:space="preserve"> Reports of Special Educational Needs (SEN) by type of need and type of provision. </w:t>
      </w:r>
      <w:r w:rsidR="00484FC9" w:rsidRPr="00F17CB9">
        <w:rPr>
          <w:sz w:val="24"/>
          <w:szCs w:val="24"/>
        </w:rPr>
        <w:t xml:space="preserve">Available at: </w:t>
      </w:r>
      <w:hyperlink r:id="rId25" w:history="1">
        <w:r w:rsidR="00484FC9" w:rsidRPr="00F17CB9">
          <w:rPr>
            <w:rStyle w:val="Hyperlink"/>
            <w:sz w:val="24"/>
            <w:szCs w:val="24"/>
          </w:rPr>
          <w:t>https://statswales.gov.wales/Catalogue/Education-and-Skills/Schools-and-Teachers/Schools-Census/Pupil-Level-Annual-School-Census/Special-Educational-Needs/reportsofspecialeducationalneeds-by-typeofneed-typeofprovision</w:t>
        </w:r>
      </w:hyperlink>
      <w:r w:rsidR="00484FC9" w:rsidRPr="00F17CB9">
        <w:rPr>
          <w:sz w:val="24"/>
          <w:szCs w:val="24"/>
        </w:rPr>
        <w:t xml:space="preserve"> (Accessed: 17</w:t>
      </w:r>
      <w:r w:rsidR="00484FC9" w:rsidRPr="00F17CB9">
        <w:rPr>
          <w:sz w:val="24"/>
          <w:szCs w:val="24"/>
          <w:vertAlign w:val="superscript"/>
        </w:rPr>
        <w:t>th</w:t>
      </w:r>
      <w:r w:rsidR="00484FC9" w:rsidRPr="00F17CB9">
        <w:rPr>
          <w:sz w:val="24"/>
          <w:szCs w:val="24"/>
        </w:rPr>
        <w:t xml:space="preserve"> April 2019).</w:t>
      </w:r>
    </w:p>
    <w:p w14:paraId="48794BE3" w14:textId="7061216C" w:rsidR="00AE1736" w:rsidRDefault="00AE1736" w:rsidP="004D1D10">
      <w:pPr>
        <w:spacing w:line="360" w:lineRule="auto"/>
        <w:rPr>
          <w:sz w:val="24"/>
          <w:szCs w:val="24"/>
        </w:rPr>
      </w:pPr>
      <w:r>
        <w:rPr>
          <w:sz w:val="24"/>
          <w:szCs w:val="24"/>
        </w:rPr>
        <w:t xml:space="preserve">WAG. (2012) </w:t>
      </w:r>
      <w:r w:rsidRPr="00AE1736">
        <w:rPr>
          <w:i/>
          <w:sz w:val="24"/>
          <w:szCs w:val="24"/>
        </w:rPr>
        <w:t xml:space="preserve">Research into </w:t>
      </w:r>
      <w:r>
        <w:rPr>
          <w:i/>
          <w:sz w:val="24"/>
          <w:szCs w:val="24"/>
        </w:rPr>
        <w:t>D</w:t>
      </w:r>
      <w:r w:rsidRPr="00AE1736">
        <w:rPr>
          <w:i/>
          <w:sz w:val="24"/>
          <w:szCs w:val="24"/>
        </w:rPr>
        <w:t xml:space="preserve">yslexia </w:t>
      </w:r>
      <w:r>
        <w:rPr>
          <w:i/>
          <w:sz w:val="24"/>
          <w:szCs w:val="24"/>
        </w:rPr>
        <w:t>P</w:t>
      </w:r>
      <w:r w:rsidRPr="00AE1736">
        <w:rPr>
          <w:i/>
          <w:sz w:val="24"/>
          <w:szCs w:val="24"/>
        </w:rPr>
        <w:t>rovision in Wales.</w:t>
      </w:r>
      <w:r>
        <w:rPr>
          <w:sz w:val="24"/>
          <w:szCs w:val="24"/>
        </w:rPr>
        <w:t xml:space="preserve"> Cardiff: Crown.</w:t>
      </w:r>
    </w:p>
    <w:p w14:paraId="76DF83FF" w14:textId="5D4A787E" w:rsidR="006250A4" w:rsidRDefault="006250A4" w:rsidP="004D1D10">
      <w:pPr>
        <w:spacing w:line="360" w:lineRule="auto"/>
        <w:rPr>
          <w:sz w:val="24"/>
          <w:szCs w:val="24"/>
        </w:rPr>
      </w:pPr>
      <w:r>
        <w:rPr>
          <w:sz w:val="24"/>
          <w:szCs w:val="24"/>
        </w:rPr>
        <w:t xml:space="preserve">WAG. (2004) </w:t>
      </w:r>
      <w:r w:rsidRPr="006250A4">
        <w:rPr>
          <w:i/>
          <w:sz w:val="24"/>
          <w:szCs w:val="24"/>
        </w:rPr>
        <w:t>Special Educational Needs Code of Practice for Wales.</w:t>
      </w:r>
      <w:r>
        <w:rPr>
          <w:sz w:val="24"/>
          <w:szCs w:val="24"/>
        </w:rPr>
        <w:t xml:space="preserve"> Cardiff: Crown.</w:t>
      </w:r>
    </w:p>
    <w:p w14:paraId="0CFD6201" w14:textId="05887A32" w:rsidR="00EE0506" w:rsidRDefault="00EE0506" w:rsidP="004D1D10">
      <w:pPr>
        <w:spacing w:line="360" w:lineRule="auto"/>
        <w:rPr>
          <w:sz w:val="24"/>
          <w:szCs w:val="24"/>
        </w:rPr>
      </w:pPr>
      <w:r>
        <w:rPr>
          <w:sz w:val="24"/>
          <w:szCs w:val="24"/>
        </w:rPr>
        <w:t xml:space="preserve">Wales Dyslexia. (date unknown) Help at School. Available at: </w:t>
      </w:r>
      <w:hyperlink r:id="rId26" w:history="1">
        <w:r w:rsidRPr="00510FC9">
          <w:rPr>
            <w:rStyle w:val="Hyperlink"/>
            <w:sz w:val="24"/>
            <w:szCs w:val="24"/>
          </w:rPr>
          <w:t>http://www.walesdyslexia.org.uk/about-dyslexia/help-at-school</w:t>
        </w:r>
      </w:hyperlink>
      <w:r>
        <w:rPr>
          <w:sz w:val="24"/>
          <w:szCs w:val="24"/>
        </w:rPr>
        <w:t xml:space="preserve"> (Accessed: 20</w:t>
      </w:r>
      <w:r w:rsidRPr="00EE0506">
        <w:rPr>
          <w:sz w:val="24"/>
          <w:szCs w:val="24"/>
          <w:vertAlign w:val="superscript"/>
        </w:rPr>
        <w:t>th</w:t>
      </w:r>
      <w:r>
        <w:rPr>
          <w:sz w:val="24"/>
          <w:szCs w:val="24"/>
        </w:rPr>
        <w:t xml:space="preserve"> April 2019). </w:t>
      </w:r>
    </w:p>
    <w:p w14:paraId="5FC48EBA" w14:textId="1ADDF070" w:rsidR="00B13D6E" w:rsidRPr="00F17CB9" w:rsidRDefault="00B13D6E" w:rsidP="004D1D10">
      <w:pPr>
        <w:spacing w:line="360" w:lineRule="auto"/>
        <w:rPr>
          <w:sz w:val="24"/>
          <w:szCs w:val="24"/>
        </w:rPr>
      </w:pPr>
      <w:r>
        <w:rPr>
          <w:sz w:val="24"/>
          <w:szCs w:val="24"/>
        </w:rPr>
        <w:t xml:space="preserve">WAG. (2015) </w:t>
      </w:r>
      <w:r w:rsidRPr="00B13D6E">
        <w:rPr>
          <w:i/>
          <w:sz w:val="24"/>
          <w:szCs w:val="24"/>
        </w:rPr>
        <w:t>Well-being of Future Generations (Wales) Act 2015</w:t>
      </w:r>
      <w:r>
        <w:rPr>
          <w:sz w:val="24"/>
          <w:szCs w:val="24"/>
        </w:rPr>
        <w:t>. Cardiff: Crown.</w:t>
      </w:r>
    </w:p>
    <w:sectPr w:rsidR="00B13D6E" w:rsidRPr="00F17CB9" w:rsidSect="00686078">
      <w:headerReference w:type="default" r:id="rId27"/>
      <w:footerReference w:type="even" r:id="rId28"/>
      <w:footerReference w:type="default" r:id="rId2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F69F75" w14:textId="77777777" w:rsidR="000714CB" w:rsidRDefault="000714CB" w:rsidP="00E25890">
      <w:r>
        <w:separator/>
      </w:r>
    </w:p>
  </w:endnote>
  <w:endnote w:type="continuationSeparator" w:id="0">
    <w:p w14:paraId="576DECE5" w14:textId="77777777" w:rsidR="000714CB" w:rsidRDefault="000714CB" w:rsidP="00E258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Bold">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973726"/>
      <w:docPartObj>
        <w:docPartGallery w:val="Page Numbers (Bottom of Page)"/>
        <w:docPartUnique/>
      </w:docPartObj>
    </w:sdtPr>
    <w:sdtEndPr>
      <w:rPr>
        <w:rStyle w:val="PageNumber"/>
      </w:rPr>
    </w:sdtEndPr>
    <w:sdtContent>
      <w:p w14:paraId="4BD1C1DB" w14:textId="256DB547" w:rsidR="00CC4116" w:rsidRDefault="00CC4116" w:rsidP="00CC41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FD05BB" w14:textId="77777777" w:rsidR="00CC4116" w:rsidRDefault="00CC4116" w:rsidP="00E258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2659656"/>
      <w:docPartObj>
        <w:docPartGallery w:val="Page Numbers (Bottom of Page)"/>
        <w:docPartUnique/>
      </w:docPartObj>
    </w:sdtPr>
    <w:sdtEndPr>
      <w:rPr>
        <w:rStyle w:val="PageNumber"/>
      </w:rPr>
    </w:sdtEndPr>
    <w:sdtContent>
      <w:p w14:paraId="35BB8A6C" w14:textId="17FE8D55" w:rsidR="00CC4116" w:rsidRDefault="00CC4116" w:rsidP="00CC41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AD91B3" w14:textId="77777777" w:rsidR="00CC4116" w:rsidRDefault="00CC4116" w:rsidP="00E258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87D768" w14:textId="77777777" w:rsidR="000714CB" w:rsidRDefault="000714CB" w:rsidP="00E25890">
      <w:r>
        <w:separator/>
      </w:r>
    </w:p>
  </w:footnote>
  <w:footnote w:type="continuationSeparator" w:id="0">
    <w:p w14:paraId="1BB39E42" w14:textId="77777777" w:rsidR="000714CB" w:rsidRDefault="000714CB" w:rsidP="00E258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E7727F" w14:textId="583AF5BF" w:rsidR="00CC4116" w:rsidRDefault="00CC4116">
    <w:pPr>
      <w:pStyle w:val="Header"/>
    </w:pPr>
    <w:r>
      <w:t>1702128</w:t>
    </w:r>
  </w:p>
  <w:p w14:paraId="3CD50D68" w14:textId="77777777" w:rsidR="00CC4116" w:rsidRDefault="00CC41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DA6"/>
    <w:rsid w:val="00011878"/>
    <w:rsid w:val="0001546B"/>
    <w:rsid w:val="0002644B"/>
    <w:rsid w:val="00035DF6"/>
    <w:rsid w:val="00044E49"/>
    <w:rsid w:val="0006596A"/>
    <w:rsid w:val="000714CB"/>
    <w:rsid w:val="000821BC"/>
    <w:rsid w:val="00082BD9"/>
    <w:rsid w:val="0008345C"/>
    <w:rsid w:val="000A1DC0"/>
    <w:rsid w:val="000A3E04"/>
    <w:rsid w:val="000A53ED"/>
    <w:rsid w:val="000B6A2A"/>
    <w:rsid w:val="000B7951"/>
    <w:rsid w:val="000C6295"/>
    <w:rsid w:val="000C7E31"/>
    <w:rsid w:val="000E4264"/>
    <w:rsid w:val="000F6ADC"/>
    <w:rsid w:val="00106187"/>
    <w:rsid w:val="00111784"/>
    <w:rsid w:val="001176B7"/>
    <w:rsid w:val="00126807"/>
    <w:rsid w:val="00132F11"/>
    <w:rsid w:val="00141038"/>
    <w:rsid w:val="00150E31"/>
    <w:rsid w:val="001612FB"/>
    <w:rsid w:val="00164DD9"/>
    <w:rsid w:val="00170D15"/>
    <w:rsid w:val="00170FE6"/>
    <w:rsid w:val="00192093"/>
    <w:rsid w:val="001A5E24"/>
    <w:rsid w:val="001A7ED3"/>
    <w:rsid w:val="001B6A4E"/>
    <w:rsid w:val="001C7781"/>
    <w:rsid w:val="001E1013"/>
    <w:rsid w:val="001E1450"/>
    <w:rsid w:val="001E1CC2"/>
    <w:rsid w:val="001F0879"/>
    <w:rsid w:val="001F7BDE"/>
    <w:rsid w:val="002104B1"/>
    <w:rsid w:val="00216917"/>
    <w:rsid w:val="0022466B"/>
    <w:rsid w:val="00227F66"/>
    <w:rsid w:val="0024023E"/>
    <w:rsid w:val="00244ABA"/>
    <w:rsid w:val="00247204"/>
    <w:rsid w:val="00253F7F"/>
    <w:rsid w:val="0026060F"/>
    <w:rsid w:val="00270EAB"/>
    <w:rsid w:val="002725E5"/>
    <w:rsid w:val="00286BFF"/>
    <w:rsid w:val="00286F14"/>
    <w:rsid w:val="00286F62"/>
    <w:rsid w:val="002A0B89"/>
    <w:rsid w:val="002B7374"/>
    <w:rsid w:val="002C1E53"/>
    <w:rsid w:val="002C5E65"/>
    <w:rsid w:val="002C5FA4"/>
    <w:rsid w:val="002D5D14"/>
    <w:rsid w:val="002D7FD8"/>
    <w:rsid w:val="002E1B24"/>
    <w:rsid w:val="002E2C9B"/>
    <w:rsid w:val="003246FF"/>
    <w:rsid w:val="00333507"/>
    <w:rsid w:val="00340C49"/>
    <w:rsid w:val="00343674"/>
    <w:rsid w:val="0036320F"/>
    <w:rsid w:val="003658A5"/>
    <w:rsid w:val="00365F17"/>
    <w:rsid w:val="0037561F"/>
    <w:rsid w:val="00376EAE"/>
    <w:rsid w:val="00392ED5"/>
    <w:rsid w:val="003943B3"/>
    <w:rsid w:val="00394607"/>
    <w:rsid w:val="00397C4F"/>
    <w:rsid w:val="003C6E66"/>
    <w:rsid w:val="003E35A9"/>
    <w:rsid w:val="003E4A2C"/>
    <w:rsid w:val="003E59E8"/>
    <w:rsid w:val="00414D78"/>
    <w:rsid w:val="004273B7"/>
    <w:rsid w:val="00430183"/>
    <w:rsid w:val="004350E1"/>
    <w:rsid w:val="0044126E"/>
    <w:rsid w:val="0046365F"/>
    <w:rsid w:val="004756E9"/>
    <w:rsid w:val="00484FC9"/>
    <w:rsid w:val="00487C22"/>
    <w:rsid w:val="004912EC"/>
    <w:rsid w:val="0049243A"/>
    <w:rsid w:val="00494702"/>
    <w:rsid w:val="004971D8"/>
    <w:rsid w:val="004A3C09"/>
    <w:rsid w:val="004A5CDB"/>
    <w:rsid w:val="004B4187"/>
    <w:rsid w:val="004C6A52"/>
    <w:rsid w:val="004C6D1A"/>
    <w:rsid w:val="004D1D10"/>
    <w:rsid w:val="005068EE"/>
    <w:rsid w:val="00515818"/>
    <w:rsid w:val="005166E7"/>
    <w:rsid w:val="005214A6"/>
    <w:rsid w:val="0052287F"/>
    <w:rsid w:val="00553532"/>
    <w:rsid w:val="005573F6"/>
    <w:rsid w:val="005605AA"/>
    <w:rsid w:val="005704E8"/>
    <w:rsid w:val="00574682"/>
    <w:rsid w:val="005815FD"/>
    <w:rsid w:val="00585AAD"/>
    <w:rsid w:val="00596C6D"/>
    <w:rsid w:val="005A3AE2"/>
    <w:rsid w:val="005B0166"/>
    <w:rsid w:val="005C4488"/>
    <w:rsid w:val="005D4FA6"/>
    <w:rsid w:val="005D75FD"/>
    <w:rsid w:val="005E0763"/>
    <w:rsid w:val="005E7FEE"/>
    <w:rsid w:val="005F080C"/>
    <w:rsid w:val="005F1684"/>
    <w:rsid w:val="005F5639"/>
    <w:rsid w:val="005F6CAB"/>
    <w:rsid w:val="006231E4"/>
    <w:rsid w:val="006250A4"/>
    <w:rsid w:val="00625BD8"/>
    <w:rsid w:val="00643167"/>
    <w:rsid w:val="0064453A"/>
    <w:rsid w:val="00655927"/>
    <w:rsid w:val="00680C60"/>
    <w:rsid w:val="00686078"/>
    <w:rsid w:val="00686F9E"/>
    <w:rsid w:val="006949CA"/>
    <w:rsid w:val="00697D4C"/>
    <w:rsid w:val="006A023F"/>
    <w:rsid w:val="006A37F2"/>
    <w:rsid w:val="006A3F11"/>
    <w:rsid w:val="006B094B"/>
    <w:rsid w:val="006B4CC1"/>
    <w:rsid w:val="006C3135"/>
    <w:rsid w:val="006C797D"/>
    <w:rsid w:val="006D6A6E"/>
    <w:rsid w:val="006E574A"/>
    <w:rsid w:val="006E765B"/>
    <w:rsid w:val="006F24D0"/>
    <w:rsid w:val="007037AE"/>
    <w:rsid w:val="0070777A"/>
    <w:rsid w:val="00714221"/>
    <w:rsid w:val="00722A11"/>
    <w:rsid w:val="00723DA1"/>
    <w:rsid w:val="00725090"/>
    <w:rsid w:val="00743BE6"/>
    <w:rsid w:val="007549F3"/>
    <w:rsid w:val="00757BEF"/>
    <w:rsid w:val="007651F5"/>
    <w:rsid w:val="00766B4A"/>
    <w:rsid w:val="00777EB2"/>
    <w:rsid w:val="00781988"/>
    <w:rsid w:val="00791648"/>
    <w:rsid w:val="00792B72"/>
    <w:rsid w:val="007A28E3"/>
    <w:rsid w:val="007B6679"/>
    <w:rsid w:val="007C17B1"/>
    <w:rsid w:val="007C21BE"/>
    <w:rsid w:val="007D2D1B"/>
    <w:rsid w:val="007E29A5"/>
    <w:rsid w:val="00811776"/>
    <w:rsid w:val="008213C5"/>
    <w:rsid w:val="0082393F"/>
    <w:rsid w:val="00830844"/>
    <w:rsid w:val="008360DC"/>
    <w:rsid w:val="00846476"/>
    <w:rsid w:val="00846D13"/>
    <w:rsid w:val="00856E76"/>
    <w:rsid w:val="00864E50"/>
    <w:rsid w:val="008651F6"/>
    <w:rsid w:val="008677D9"/>
    <w:rsid w:val="00877F6F"/>
    <w:rsid w:val="008823A5"/>
    <w:rsid w:val="00885608"/>
    <w:rsid w:val="0088629E"/>
    <w:rsid w:val="008B0944"/>
    <w:rsid w:val="008B2B65"/>
    <w:rsid w:val="008C5771"/>
    <w:rsid w:val="008C7CFB"/>
    <w:rsid w:val="008D6E63"/>
    <w:rsid w:val="008E163F"/>
    <w:rsid w:val="008E20F8"/>
    <w:rsid w:val="008F5DAB"/>
    <w:rsid w:val="00904B3D"/>
    <w:rsid w:val="00911578"/>
    <w:rsid w:val="00915F69"/>
    <w:rsid w:val="009409CD"/>
    <w:rsid w:val="009468FA"/>
    <w:rsid w:val="00950514"/>
    <w:rsid w:val="00954101"/>
    <w:rsid w:val="00973BF1"/>
    <w:rsid w:val="009913A6"/>
    <w:rsid w:val="009A0484"/>
    <w:rsid w:val="009A2796"/>
    <w:rsid w:val="009A4F91"/>
    <w:rsid w:val="009A77D4"/>
    <w:rsid w:val="009B52F8"/>
    <w:rsid w:val="009C7912"/>
    <w:rsid w:val="009D17E6"/>
    <w:rsid w:val="009D5EAB"/>
    <w:rsid w:val="009D70C1"/>
    <w:rsid w:val="009E3231"/>
    <w:rsid w:val="009F61F7"/>
    <w:rsid w:val="009F7CAA"/>
    <w:rsid w:val="00A056B0"/>
    <w:rsid w:val="00A11A96"/>
    <w:rsid w:val="00A15A03"/>
    <w:rsid w:val="00A1766B"/>
    <w:rsid w:val="00A25A7A"/>
    <w:rsid w:val="00A34CF5"/>
    <w:rsid w:val="00A47B18"/>
    <w:rsid w:val="00A56DA6"/>
    <w:rsid w:val="00A757D7"/>
    <w:rsid w:val="00A86F7F"/>
    <w:rsid w:val="00A90572"/>
    <w:rsid w:val="00A91DD1"/>
    <w:rsid w:val="00A96DFB"/>
    <w:rsid w:val="00A97584"/>
    <w:rsid w:val="00AA3F7C"/>
    <w:rsid w:val="00AB47CC"/>
    <w:rsid w:val="00AB5986"/>
    <w:rsid w:val="00AC06DE"/>
    <w:rsid w:val="00AC2B0E"/>
    <w:rsid w:val="00AD044E"/>
    <w:rsid w:val="00AE1736"/>
    <w:rsid w:val="00AE7DFF"/>
    <w:rsid w:val="00AF0F70"/>
    <w:rsid w:val="00B07305"/>
    <w:rsid w:val="00B1172B"/>
    <w:rsid w:val="00B12070"/>
    <w:rsid w:val="00B1219C"/>
    <w:rsid w:val="00B13D6E"/>
    <w:rsid w:val="00B21A5B"/>
    <w:rsid w:val="00B22042"/>
    <w:rsid w:val="00B41D2E"/>
    <w:rsid w:val="00B5315C"/>
    <w:rsid w:val="00B566E9"/>
    <w:rsid w:val="00B73592"/>
    <w:rsid w:val="00B85FED"/>
    <w:rsid w:val="00BA335C"/>
    <w:rsid w:val="00BA7288"/>
    <w:rsid w:val="00BB114D"/>
    <w:rsid w:val="00BC15BF"/>
    <w:rsid w:val="00BD57EF"/>
    <w:rsid w:val="00BD7FB0"/>
    <w:rsid w:val="00BE4236"/>
    <w:rsid w:val="00BE4582"/>
    <w:rsid w:val="00BF5C96"/>
    <w:rsid w:val="00C060CE"/>
    <w:rsid w:val="00C1492A"/>
    <w:rsid w:val="00C15F44"/>
    <w:rsid w:val="00C209B9"/>
    <w:rsid w:val="00C22BF3"/>
    <w:rsid w:val="00C25FB5"/>
    <w:rsid w:val="00C337E4"/>
    <w:rsid w:val="00C417C9"/>
    <w:rsid w:val="00C52B6F"/>
    <w:rsid w:val="00C56B0F"/>
    <w:rsid w:val="00C62DF7"/>
    <w:rsid w:val="00C65B0F"/>
    <w:rsid w:val="00C6679F"/>
    <w:rsid w:val="00C66954"/>
    <w:rsid w:val="00C669B4"/>
    <w:rsid w:val="00C7031A"/>
    <w:rsid w:val="00C77099"/>
    <w:rsid w:val="00C7721E"/>
    <w:rsid w:val="00C773F7"/>
    <w:rsid w:val="00CA7C69"/>
    <w:rsid w:val="00CA7D12"/>
    <w:rsid w:val="00CB3BF1"/>
    <w:rsid w:val="00CC0E14"/>
    <w:rsid w:val="00CC2E8B"/>
    <w:rsid w:val="00CC4116"/>
    <w:rsid w:val="00CD343F"/>
    <w:rsid w:val="00CD6854"/>
    <w:rsid w:val="00CE3D86"/>
    <w:rsid w:val="00D14214"/>
    <w:rsid w:val="00D50F0C"/>
    <w:rsid w:val="00D56E0A"/>
    <w:rsid w:val="00D636D5"/>
    <w:rsid w:val="00D75F4C"/>
    <w:rsid w:val="00D77315"/>
    <w:rsid w:val="00D8211B"/>
    <w:rsid w:val="00D85073"/>
    <w:rsid w:val="00D86960"/>
    <w:rsid w:val="00D8766D"/>
    <w:rsid w:val="00D877DE"/>
    <w:rsid w:val="00D90A79"/>
    <w:rsid w:val="00D93423"/>
    <w:rsid w:val="00DA251B"/>
    <w:rsid w:val="00DB1C26"/>
    <w:rsid w:val="00DC4988"/>
    <w:rsid w:val="00DE5839"/>
    <w:rsid w:val="00DE6D0C"/>
    <w:rsid w:val="00E06628"/>
    <w:rsid w:val="00E16BED"/>
    <w:rsid w:val="00E25890"/>
    <w:rsid w:val="00E334D4"/>
    <w:rsid w:val="00E33886"/>
    <w:rsid w:val="00E62A30"/>
    <w:rsid w:val="00E81440"/>
    <w:rsid w:val="00E90CCF"/>
    <w:rsid w:val="00E94420"/>
    <w:rsid w:val="00EA14D0"/>
    <w:rsid w:val="00EA7E3B"/>
    <w:rsid w:val="00EB53B1"/>
    <w:rsid w:val="00ED6CBE"/>
    <w:rsid w:val="00EE045B"/>
    <w:rsid w:val="00EE0506"/>
    <w:rsid w:val="00EF25CA"/>
    <w:rsid w:val="00EF5EDC"/>
    <w:rsid w:val="00EF6B9C"/>
    <w:rsid w:val="00F000FC"/>
    <w:rsid w:val="00F00AD3"/>
    <w:rsid w:val="00F044C8"/>
    <w:rsid w:val="00F17CB9"/>
    <w:rsid w:val="00F36FA0"/>
    <w:rsid w:val="00F53CE7"/>
    <w:rsid w:val="00F61726"/>
    <w:rsid w:val="00F61A8F"/>
    <w:rsid w:val="00F64E9F"/>
    <w:rsid w:val="00F77CA1"/>
    <w:rsid w:val="00F80498"/>
    <w:rsid w:val="00F821B5"/>
    <w:rsid w:val="00F86B5F"/>
    <w:rsid w:val="00F87F1F"/>
    <w:rsid w:val="00F93D09"/>
    <w:rsid w:val="00FA3588"/>
    <w:rsid w:val="00FC6AEB"/>
    <w:rsid w:val="00FD0209"/>
    <w:rsid w:val="00FE2E01"/>
    <w:rsid w:val="00FF4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787E5"/>
  <w14:defaultImageDpi w14:val="32767"/>
  <w15:chartTrackingRefBased/>
  <w15:docId w15:val="{F5D4D0DE-828A-1348-85A7-42CA9CAA4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A56DA6"/>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4FC9"/>
    <w:rPr>
      <w:color w:val="0563C1" w:themeColor="hyperlink"/>
      <w:u w:val="single"/>
    </w:rPr>
  </w:style>
  <w:style w:type="character" w:styleId="UnresolvedMention">
    <w:name w:val="Unresolved Mention"/>
    <w:basedOn w:val="DefaultParagraphFont"/>
    <w:uiPriority w:val="99"/>
    <w:rsid w:val="00484FC9"/>
    <w:rPr>
      <w:color w:val="605E5C"/>
      <w:shd w:val="clear" w:color="auto" w:fill="E1DFDD"/>
    </w:rPr>
  </w:style>
  <w:style w:type="paragraph" w:styleId="NormalWeb">
    <w:name w:val="Normal (Web)"/>
    <w:basedOn w:val="Normal"/>
    <w:uiPriority w:val="99"/>
    <w:semiHidden/>
    <w:unhideWhenUsed/>
    <w:rsid w:val="005F080C"/>
    <w:pPr>
      <w:spacing w:before="100" w:beforeAutospacing="1" w:after="100" w:afterAutospacing="1"/>
    </w:pPr>
    <w:rPr>
      <w:sz w:val="24"/>
      <w:szCs w:val="24"/>
      <w:lang w:eastAsia="en-US"/>
    </w:rPr>
  </w:style>
  <w:style w:type="character" w:styleId="FollowedHyperlink">
    <w:name w:val="FollowedHyperlink"/>
    <w:basedOn w:val="DefaultParagraphFont"/>
    <w:uiPriority w:val="99"/>
    <w:semiHidden/>
    <w:unhideWhenUsed/>
    <w:rsid w:val="00643167"/>
    <w:rPr>
      <w:color w:val="954F72" w:themeColor="followedHyperlink"/>
      <w:u w:val="single"/>
    </w:rPr>
  </w:style>
  <w:style w:type="paragraph" w:styleId="BalloonText">
    <w:name w:val="Balloon Text"/>
    <w:basedOn w:val="Normal"/>
    <w:link w:val="BalloonTextChar"/>
    <w:uiPriority w:val="99"/>
    <w:semiHidden/>
    <w:unhideWhenUsed/>
    <w:rsid w:val="00E90CCF"/>
    <w:rPr>
      <w:sz w:val="18"/>
      <w:szCs w:val="18"/>
    </w:rPr>
  </w:style>
  <w:style w:type="character" w:customStyle="1" w:styleId="BalloonTextChar">
    <w:name w:val="Balloon Text Char"/>
    <w:basedOn w:val="DefaultParagraphFont"/>
    <w:link w:val="BalloonText"/>
    <w:uiPriority w:val="99"/>
    <w:semiHidden/>
    <w:rsid w:val="00E90CCF"/>
    <w:rPr>
      <w:rFonts w:ascii="Times New Roman" w:eastAsia="Times New Roman" w:hAnsi="Times New Roman" w:cs="Times New Roman"/>
      <w:sz w:val="18"/>
      <w:szCs w:val="18"/>
      <w:lang w:eastAsia="en-GB"/>
    </w:rPr>
  </w:style>
  <w:style w:type="paragraph" w:styleId="Header">
    <w:name w:val="header"/>
    <w:basedOn w:val="Normal"/>
    <w:link w:val="HeaderChar"/>
    <w:uiPriority w:val="99"/>
    <w:unhideWhenUsed/>
    <w:rsid w:val="00E25890"/>
    <w:pPr>
      <w:tabs>
        <w:tab w:val="center" w:pos="4680"/>
        <w:tab w:val="right" w:pos="9360"/>
      </w:tabs>
    </w:pPr>
  </w:style>
  <w:style w:type="character" w:customStyle="1" w:styleId="HeaderChar">
    <w:name w:val="Header Char"/>
    <w:basedOn w:val="DefaultParagraphFont"/>
    <w:link w:val="Header"/>
    <w:uiPriority w:val="99"/>
    <w:rsid w:val="00E2589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25890"/>
    <w:pPr>
      <w:tabs>
        <w:tab w:val="center" w:pos="4680"/>
        <w:tab w:val="right" w:pos="9360"/>
      </w:tabs>
    </w:pPr>
  </w:style>
  <w:style w:type="character" w:customStyle="1" w:styleId="FooterChar">
    <w:name w:val="Footer Char"/>
    <w:basedOn w:val="DefaultParagraphFont"/>
    <w:link w:val="Footer"/>
    <w:uiPriority w:val="99"/>
    <w:rsid w:val="00E25890"/>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E258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0306382">
      <w:bodyDiv w:val="1"/>
      <w:marLeft w:val="0"/>
      <w:marRight w:val="0"/>
      <w:marTop w:val="0"/>
      <w:marBottom w:val="0"/>
      <w:divBdr>
        <w:top w:val="none" w:sz="0" w:space="0" w:color="auto"/>
        <w:left w:val="none" w:sz="0" w:space="0" w:color="auto"/>
        <w:bottom w:val="none" w:sz="0" w:space="0" w:color="auto"/>
        <w:right w:val="none" w:sz="0" w:space="0" w:color="auto"/>
      </w:divBdr>
    </w:div>
    <w:div w:id="1346325227">
      <w:bodyDiv w:val="1"/>
      <w:marLeft w:val="0"/>
      <w:marRight w:val="0"/>
      <w:marTop w:val="0"/>
      <w:marBottom w:val="0"/>
      <w:divBdr>
        <w:top w:val="none" w:sz="0" w:space="0" w:color="auto"/>
        <w:left w:val="none" w:sz="0" w:space="0" w:color="auto"/>
        <w:bottom w:val="none" w:sz="0" w:space="0" w:color="auto"/>
        <w:right w:val="none" w:sz="0" w:space="0" w:color="auto"/>
      </w:divBdr>
    </w:div>
    <w:div w:id="1427577606">
      <w:bodyDiv w:val="1"/>
      <w:marLeft w:val="0"/>
      <w:marRight w:val="0"/>
      <w:marTop w:val="0"/>
      <w:marBottom w:val="0"/>
      <w:divBdr>
        <w:top w:val="none" w:sz="0" w:space="0" w:color="auto"/>
        <w:left w:val="none" w:sz="0" w:space="0" w:color="auto"/>
        <w:bottom w:val="none" w:sz="0" w:space="0" w:color="auto"/>
        <w:right w:val="none" w:sz="0" w:space="0" w:color="auto"/>
      </w:divBdr>
    </w:div>
    <w:div w:id="1600411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yperlink" Target="https://www.besa.org.uk/key-uk-education-statistics/" TargetMode="External"/><Relationship Id="rId18" Type="http://schemas.openxmlformats.org/officeDocument/2006/relationships/hyperlink" Target="https://www.itv.com/news/wales/2019-04-19/the-dyslexia-test-that-could-help-people-get-earlier-diagnosis/" TargetMode="External"/><Relationship Id="rId26" Type="http://schemas.openxmlformats.org/officeDocument/2006/relationships/hyperlink" Target="http://www.walesdyslexia.org.uk/about-dyslexia/help-at-school" TargetMode="External"/><Relationship Id="rId3" Type="http://schemas.openxmlformats.org/officeDocument/2006/relationships/webSettings" Target="webSettings.xml"/><Relationship Id="rId21" Type="http://schemas.openxmlformats.org/officeDocument/2006/relationships/hyperlink" Target="https://www.tes.com/news/exhausted-teachers-blame-workload-predicted-exodus" TargetMode="Externa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hyperlink" Target="https://www.iwa.wales/click/2015/09/literacy-skills-lacking-in-wales/" TargetMode="External"/><Relationship Id="rId25" Type="http://schemas.openxmlformats.org/officeDocument/2006/relationships/hyperlink" Target="https://statswales.gov.wales/Catalogue/Education-and-Skills/Schools-and-Teachers/Schools-Census/Pupil-Level-Annual-School-Census/Special-Educational-Needs/reportsofspecialeducationalneeds-by-typeofneed-typeofprovision" TargetMode="External"/><Relationship Id="rId2" Type="http://schemas.openxmlformats.org/officeDocument/2006/relationships/settings" Target="settings.xml"/><Relationship Id="rId16" Type="http://schemas.openxmlformats.org/officeDocument/2006/relationships/hyperlink" Target="https://www.estyn.gov.wales/sites/default/files/documents/Involving%20parents%20-%20en.pdf" TargetMode="External"/><Relationship Id="rId20" Type="http://schemas.openxmlformats.org/officeDocument/2006/relationships/hyperlink" Target="https://www.nhsdirect.wales.nhs.uk/encyclopaedia/d/article/dyslexia" TargetMode="External"/><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chart" Target="charts/chart6.xml"/><Relationship Id="rId24" Type="http://schemas.openxmlformats.org/officeDocument/2006/relationships/hyperlink" Target="https://gweddill.gov.wales/legislation/subordinate/nonsi/educationwales/2009/3220099/?lang=en" TargetMode="External"/><Relationship Id="rId5" Type="http://schemas.openxmlformats.org/officeDocument/2006/relationships/endnotes" Target="endnotes.xml"/><Relationship Id="rId15" Type="http://schemas.openxmlformats.org/officeDocument/2006/relationships/hyperlink" Target="https://www.estyn.gov.wales/effective-practice/helping-children-additional-learning-needs-reach-their-potential" TargetMode="External"/><Relationship Id="rId23" Type="http://schemas.openxmlformats.org/officeDocument/2006/relationships/hyperlink" Target="https://www.unicef.org.uk/child-rights-partners/wp-content/uploads/sites/3/2016/08/CRC_summary_leaflet_Child_Rights_Partners_web_final.pdf" TargetMode="External"/><Relationship Id="rId28" Type="http://schemas.openxmlformats.org/officeDocument/2006/relationships/footer" Target="footer1.xml"/><Relationship Id="rId10" Type="http://schemas.openxmlformats.org/officeDocument/2006/relationships/chart" Target="charts/chart5.xml"/><Relationship Id="rId19" Type="http://schemas.openxmlformats.org/officeDocument/2006/relationships/hyperlink" Target="https://www.bbc.co.uk/news/uk-wales-47828736"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hyperlink" Target="https://www.estyn.gov.wales/effective-practice/ensuring-best-provision-pupils-additional-learning-needs" TargetMode="External"/><Relationship Id="rId22" Type="http://schemas.openxmlformats.org/officeDocument/2006/relationships/hyperlink" Target="https://www.gov.uk/guidance/equality-act-2010-guidance#equalities-act-2010-legislation" TargetMode="External"/><Relationship Id="rId27" Type="http://schemas.openxmlformats.org/officeDocument/2006/relationships/header" Target="header1.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1.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2.xml"/></Relationships>
</file>

<file path=word/charts/_rels/chart5.xml.rels><?xml version="1.0" encoding="UTF-8" standalone="yes"?>
<Relationships xmlns="http://schemas.openxmlformats.org/package/2006/relationships"><Relationship Id="rId3" Type="http://schemas.openxmlformats.org/officeDocument/2006/relationships/oleObject" Target="file:////Users/jessicawood/Downloads/Dyslexia(1-9).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jessicawood/Downloads/Dyslexia(1-9).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Number</a:t>
            </a:r>
            <a:r>
              <a:rPr lang="en-US" baseline="0"/>
              <a:t> of Participants in Each County</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84E-4F4C-B057-0A42338C3C9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84E-4F4C-B057-0A42338C3C9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84E-4F4C-B057-0A42338C3C9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Neath Port Talbot</c:v>
                </c:pt>
                <c:pt idx="1">
                  <c:v>Swansea</c:v>
                </c:pt>
                <c:pt idx="2">
                  <c:v>Bridgend</c:v>
                </c:pt>
              </c:strCache>
            </c:strRef>
          </c:cat>
          <c:val>
            <c:numRef>
              <c:f>Sheet1!$B$2:$B$4</c:f>
              <c:numCache>
                <c:formatCode>General</c:formatCode>
                <c:ptCount val="3"/>
                <c:pt idx="0">
                  <c:v>5</c:v>
                </c:pt>
                <c:pt idx="1">
                  <c:v>3</c:v>
                </c:pt>
                <c:pt idx="2">
                  <c:v>1</c:v>
                </c:pt>
              </c:numCache>
            </c:numRef>
          </c:val>
          <c:extLst>
            <c:ext xmlns:c16="http://schemas.microsoft.com/office/drawing/2014/chart" uri="{C3380CC4-5D6E-409C-BE32-E72D297353CC}">
              <c16:uniqueId val="{00000006-984E-4F4C-B057-0A42338C3C9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Strategies used to help support children with dyslexia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Sheet1!$B$16</c:f>
              <c:strCache>
                <c:ptCount val="1"/>
                <c:pt idx="0">
                  <c:v>Strategy</c:v>
                </c:pt>
              </c:strCache>
            </c:strRef>
          </c:tx>
          <c:spPr>
            <a:solidFill>
              <a:schemeClr val="accent1"/>
            </a:solidFill>
            <a:ln>
              <a:noFill/>
            </a:ln>
            <a:effectLst/>
          </c:spPr>
          <c:invertIfNegative val="0"/>
          <c:cat>
            <c:strRef>
              <c:f>Sheet1!$A$17:$A$24</c:f>
              <c:strCache>
                <c:ptCount val="8"/>
                <c:pt idx="0">
                  <c:v>Slanted surface</c:v>
                </c:pt>
                <c:pt idx="1">
                  <c:v>Pastel colouted paper</c:v>
                </c:pt>
                <c:pt idx="2">
                  <c:v>Use of memory games</c:v>
                </c:pt>
                <c:pt idx="3">
                  <c:v>Extra thinking time</c:v>
                </c:pt>
                <c:pt idx="4">
                  <c:v>Intervention groups</c:v>
                </c:pt>
                <c:pt idx="5">
                  <c:v>Pencil grips</c:v>
                </c:pt>
                <c:pt idx="6">
                  <c:v>N/A</c:v>
                </c:pt>
                <c:pt idx="7">
                  <c:v>Other</c:v>
                </c:pt>
              </c:strCache>
            </c:strRef>
          </c:cat>
          <c:val>
            <c:numRef>
              <c:f>Sheet1!$B$17:$B$24</c:f>
              <c:numCache>
                <c:formatCode>General</c:formatCode>
                <c:ptCount val="8"/>
                <c:pt idx="0">
                  <c:v>0</c:v>
                </c:pt>
                <c:pt idx="1">
                  <c:v>1</c:v>
                </c:pt>
                <c:pt idx="2">
                  <c:v>2</c:v>
                </c:pt>
                <c:pt idx="3">
                  <c:v>2</c:v>
                </c:pt>
                <c:pt idx="4">
                  <c:v>2</c:v>
                </c:pt>
                <c:pt idx="5">
                  <c:v>0</c:v>
                </c:pt>
                <c:pt idx="6">
                  <c:v>5</c:v>
                </c:pt>
                <c:pt idx="7">
                  <c:v>2</c:v>
                </c:pt>
              </c:numCache>
            </c:numRef>
          </c:val>
          <c:extLst>
            <c:ext xmlns:c16="http://schemas.microsoft.com/office/drawing/2014/chart" uri="{C3380CC4-5D6E-409C-BE32-E72D297353CC}">
              <c16:uniqueId val="{00000000-6027-844A-BF22-CB442B644234}"/>
            </c:ext>
          </c:extLst>
        </c:ser>
        <c:dLbls>
          <c:showLegendKey val="0"/>
          <c:showVal val="0"/>
          <c:showCatName val="0"/>
          <c:showSerName val="0"/>
          <c:showPercent val="0"/>
          <c:showBubbleSize val="0"/>
        </c:dLbls>
        <c:gapWidth val="219"/>
        <c:overlap val="-27"/>
        <c:axId val="867839568"/>
        <c:axId val="865293904"/>
      </c:barChart>
      <c:catAx>
        <c:axId val="8678395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Type</a:t>
                </a:r>
                <a:r>
                  <a:rPr lang="en-US" baseline="0"/>
                  <a:t> of strategy</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5293904"/>
        <c:crosses val="autoZero"/>
        <c:auto val="1"/>
        <c:lblAlgn val="ctr"/>
        <c:lblOffset val="100"/>
        <c:tickLblSkip val="1"/>
        <c:noMultiLvlLbl val="0"/>
      </c:catAx>
      <c:valAx>
        <c:axId val="865293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people</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78395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rPr>
              <a:t>Percentage of children with dyslexia characteristics but no diagnosis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c:spPr>
            <c:extLst>
              <c:ext xmlns:c16="http://schemas.microsoft.com/office/drawing/2014/chart" uri="{C3380CC4-5D6E-409C-BE32-E72D297353CC}">
                <c16:uniqueId val="{00000001-5E9D-0F48-9BBC-2E7A7F498270}"/>
              </c:ext>
            </c:extLst>
          </c:dPt>
          <c:dPt>
            <c:idx val="1"/>
            <c:bubble3D val="0"/>
            <c:spPr>
              <a:solidFill>
                <a:schemeClr val="accent2"/>
              </a:solidFill>
              <a:ln>
                <a:noFill/>
              </a:ln>
              <a:effectLst/>
            </c:spPr>
            <c:extLst>
              <c:ext xmlns:c16="http://schemas.microsoft.com/office/drawing/2014/chart" uri="{C3380CC4-5D6E-409C-BE32-E72D297353CC}">
                <c16:uniqueId val="{00000003-5E9D-0F48-9BBC-2E7A7F498270}"/>
              </c:ext>
            </c:extLst>
          </c:dPt>
          <c:dPt>
            <c:idx val="2"/>
            <c:bubble3D val="0"/>
            <c:spPr>
              <a:solidFill>
                <a:schemeClr val="accent3"/>
              </a:solidFill>
              <a:ln>
                <a:noFill/>
              </a:ln>
              <a:effectLst/>
            </c:spPr>
            <c:extLst>
              <c:ext xmlns:c16="http://schemas.microsoft.com/office/drawing/2014/chart" uri="{C3380CC4-5D6E-409C-BE32-E72D297353CC}">
                <c16:uniqueId val="{00000005-5E9D-0F48-9BBC-2E7A7F49827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Sheet1!$A$29:$A$31</c:f>
              <c:numCache>
                <c:formatCode>General</c:formatCode>
                <c:ptCount val="3"/>
                <c:pt idx="0">
                  <c:v>6</c:v>
                </c:pt>
                <c:pt idx="1">
                  <c:v>2</c:v>
                </c:pt>
                <c:pt idx="2">
                  <c:v>1</c:v>
                </c:pt>
              </c:numCache>
            </c:numRef>
          </c:val>
          <c:extLst>
            <c:ext xmlns:c16="http://schemas.microsoft.com/office/drawing/2014/chart" uri="{C3380CC4-5D6E-409C-BE32-E72D297353CC}">
              <c16:uniqueId val="{00000006-5E9D-0F48-9BBC-2E7A7F498270}"/>
            </c:ext>
          </c:extLst>
        </c:ser>
        <c:dLbls>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9599431321084857"/>
          <c:y val="0.44110928842228053"/>
          <c:w val="5.6783464566929134E-2"/>
          <c:h val="0.23430883639545058"/>
        </c:manualLayout>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solidFill>
                  <a:schemeClr val="tx1"/>
                </a:solidFill>
              </a:rPr>
              <a:t>Strategies used to support children that are not yet</a:t>
            </a:r>
            <a:r>
              <a:rPr lang="en-US" baseline="0">
                <a:solidFill>
                  <a:schemeClr val="tx1"/>
                </a:solidFill>
              </a:rPr>
              <a:t> formally assessed</a:t>
            </a:r>
            <a:endParaRPr lang="en-US">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cat>
            <c:strRef>
              <c:f>Sheet1!$A$37:$A$44</c:f>
              <c:strCache>
                <c:ptCount val="8"/>
                <c:pt idx="0">
                  <c:v>Meetings ith SENCO</c:v>
                </c:pt>
                <c:pt idx="1">
                  <c:v>Reading rulers</c:v>
                </c:pt>
                <c:pt idx="2">
                  <c:v>Dyslexic friendly resources</c:v>
                </c:pt>
                <c:pt idx="3">
                  <c:v>Slanted surfaces</c:v>
                </c:pt>
                <c:pt idx="4">
                  <c:v>Guidance and extra support fro TA</c:v>
                </c:pt>
                <c:pt idx="5">
                  <c:v>Use of memory games</c:v>
                </c:pt>
                <c:pt idx="6">
                  <c:v>N/A</c:v>
                </c:pt>
                <c:pt idx="7">
                  <c:v>Other</c:v>
                </c:pt>
              </c:strCache>
            </c:strRef>
          </c:cat>
          <c:val>
            <c:numRef>
              <c:f>Sheet1!$B$37:$B$44</c:f>
              <c:numCache>
                <c:formatCode>General</c:formatCode>
                <c:ptCount val="8"/>
                <c:pt idx="0">
                  <c:v>3</c:v>
                </c:pt>
                <c:pt idx="1">
                  <c:v>2</c:v>
                </c:pt>
                <c:pt idx="2">
                  <c:v>5</c:v>
                </c:pt>
                <c:pt idx="3">
                  <c:v>0</c:v>
                </c:pt>
                <c:pt idx="4">
                  <c:v>6</c:v>
                </c:pt>
                <c:pt idx="5">
                  <c:v>3</c:v>
                </c:pt>
                <c:pt idx="6">
                  <c:v>2</c:v>
                </c:pt>
                <c:pt idx="7">
                  <c:v>3</c:v>
                </c:pt>
              </c:numCache>
            </c:numRef>
          </c:val>
          <c:extLst>
            <c:ext xmlns:c16="http://schemas.microsoft.com/office/drawing/2014/chart" uri="{C3380CC4-5D6E-409C-BE32-E72D297353CC}">
              <c16:uniqueId val="{00000000-B60B-9645-9D53-4A30973CE943}"/>
            </c:ext>
          </c:extLst>
        </c:ser>
        <c:dLbls>
          <c:showLegendKey val="0"/>
          <c:showVal val="0"/>
          <c:showCatName val="0"/>
          <c:showSerName val="0"/>
          <c:showPercent val="0"/>
          <c:showBubbleSize val="0"/>
        </c:dLbls>
        <c:gapWidth val="219"/>
        <c:overlap val="-27"/>
        <c:axId val="864594576"/>
        <c:axId val="889332576"/>
      </c:barChart>
      <c:catAx>
        <c:axId val="8645945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89332576"/>
        <c:crosses val="autoZero"/>
        <c:auto val="1"/>
        <c:lblAlgn val="ctr"/>
        <c:lblOffset val="100"/>
        <c:noMultiLvlLbl val="0"/>
      </c:catAx>
      <c:valAx>
        <c:axId val="889332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US">
                    <a:solidFill>
                      <a:schemeClr val="tx1"/>
                    </a:solidFill>
                  </a:rPr>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645945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Training provided in school for different ALNs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Sheet2!$B$13</c:f>
              <c:strCache>
                <c:ptCount val="1"/>
                <c:pt idx="0">
                  <c:v>Number of people</c:v>
                </c:pt>
              </c:strCache>
            </c:strRef>
          </c:tx>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C8E-F442-AE2C-E5BE1F241A6D}"/>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C8E-F442-AE2C-E5BE1F241A6D}"/>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C8E-F442-AE2C-E5BE1F241A6D}"/>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C8E-F442-AE2C-E5BE1F241A6D}"/>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C8E-F442-AE2C-E5BE1F241A6D}"/>
              </c:ext>
            </c:extLst>
          </c:dPt>
          <c:dPt>
            <c:idx val="5"/>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2C8E-F442-AE2C-E5BE1F241A6D}"/>
              </c:ext>
            </c:extLst>
          </c:dPt>
          <c:dPt>
            <c:idx val="6"/>
            <c:bubble3D val="0"/>
            <c:spPr>
              <a:solidFill>
                <a:schemeClr val="accent2">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2C8E-F442-AE2C-E5BE1F241A6D}"/>
              </c:ext>
            </c:extLst>
          </c:dPt>
          <c:dPt>
            <c:idx val="7"/>
            <c:bubble3D val="0"/>
            <c:spPr>
              <a:solidFill>
                <a:schemeClr val="accent4">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2C8E-F442-AE2C-E5BE1F241A6D}"/>
              </c:ext>
            </c:extLst>
          </c:dPt>
          <c:dPt>
            <c:idx val="8"/>
            <c:bubble3D val="0"/>
            <c:spPr>
              <a:solidFill>
                <a:schemeClr val="accent6">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2C8E-F442-AE2C-E5BE1F241A6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Sheet2!$A$14:$A$22</c:f>
              <c:strCache>
                <c:ptCount val="9"/>
                <c:pt idx="0">
                  <c:v>Down syndrome</c:v>
                </c:pt>
                <c:pt idx="1">
                  <c:v>Dyslexia</c:v>
                </c:pt>
                <c:pt idx="2">
                  <c:v>Dyscalculia</c:v>
                </c:pt>
                <c:pt idx="3">
                  <c:v>Dyspraxia</c:v>
                </c:pt>
                <c:pt idx="4">
                  <c:v>Autism</c:v>
                </c:pt>
                <c:pt idx="5">
                  <c:v>M.A.T Children</c:v>
                </c:pt>
                <c:pt idx="6">
                  <c:v>EAL</c:v>
                </c:pt>
                <c:pt idx="7">
                  <c:v>None</c:v>
                </c:pt>
                <c:pt idx="8">
                  <c:v>Other</c:v>
                </c:pt>
              </c:strCache>
            </c:strRef>
          </c:cat>
          <c:val>
            <c:numRef>
              <c:f>Sheet2!$B$14:$B$22</c:f>
              <c:numCache>
                <c:formatCode>General</c:formatCode>
                <c:ptCount val="9"/>
                <c:pt idx="0">
                  <c:v>2</c:v>
                </c:pt>
                <c:pt idx="1">
                  <c:v>4</c:v>
                </c:pt>
                <c:pt idx="2">
                  <c:v>1</c:v>
                </c:pt>
                <c:pt idx="3">
                  <c:v>2</c:v>
                </c:pt>
                <c:pt idx="4">
                  <c:v>7</c:v>
                </c:pt>
                <c:pt idx="5">
                  <c:v>2</c:v>
                </c:pt>
                <c:pt idx="6">
                  <c:v>4</c:v>
                </c:pt>
                <c:pt idx="7">
                  <c:v>2</c:v>
                </c:pt>
                <c:pt idx="8">
                  <c:v>1</c:v>
                </c:pt>
              </c:numCache>
            </c:numRef>
          </c:val>
          <c:extLst>
            <c:ext xmlns:c16="http://schemas.microsoft.com/office/drawing/2014/chart" uri="{C3380CC4-5D6E-409C-BE32-E72D297353CC}">
              <c16:uniqueId val="{00000012-2C8E-F442-AE2C-E5BE1F241A6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no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rPr>
              <a:t>Confidence</a:t>
            </a:r>
            <a:r>
              <a:rPr lang="en-US" baseline="0">
                <a:solidFill>
                  <a:schemeClr val="tx1"/>
                </a:solidFill>
              </a:rPr>
              <a:t> of educational professionals supporting and addressing the needs of children with dyslexia</a:t>
            </a:r>
            <a:endParaRPr lang="en-US">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6"/>
            </a:solidFill>
            <a:ln>
              <a:noFill/>
            </a:ln>
            <a:effectLst/>
          </c:spPr>
          <c:invertIfNegative val="0"/>
          <c:cat>
            <c:strRef>
              <c:f>Sheet2!$A$1:$A$6</c:f>
              <c:strCache>
                <c:ptCount val="6"/>
                <c:pt idx="0">
                  <c:v>Extremely confident</c:v>
                </c:pt>
                <c:pt idx="1">
                  <c:v>Very confident</c:v>
                </c:pt>
                <c:pt idx="2">
                  <c:v>Confident</c:v>
                </c:pt>
                <c:pt idx="3">
                  <c:v>Somewhat confident</c:v>
                </c:pt>
                <c:pt idx="4">
                  <c:v>Not so confident</c:v>
                </c:pt>
                <c:pt idx="5">
                  <c:v>Not at all confident</c:v>
                </c:pt>
              </c:strCache>
            </c:strRef>
          </c:cat>
          <c:val>
            <c:numRef>
              <c:f>Sheet2!$B$1:$B$6</c:f>
              <c:numCache>
                <c:formatCode>General</c:formatCode>
                <c:ptCount val="6"/>
                <c:pt idx="0">
                  <c:v>1</c:v>
                </c:pt>
                <c:pt idx="1">
                  <c:v>0</c:v>
                </c:pt>
                <c:pt idx="2">
                  <c:v>5</c:v>
                </c:pt>
                <c:pt idx="3">
                  <c:v>1</c:v>
                </c:pt>
                <c:pt idx="4">
                  <c:v>2</c:v>
                </c:pt>
                <c:pt idx="5">
                  <c:v>0</c:v>
                </c:pt>
              </c:numCache>
            </c:numRef>
          </c:val>
          <c:extLst>
            <c:ext xmlns:c16="http://schemas.microsoft.com/office/drawing/2014/chart" uri="{C3380CC4-5D6E-409C-BE32-E72D297353CC}">
              <c16:uniqueId val="{00000000-89A6-8441-8A62-9543FEC92C4D}"/>
            </c:ext>
          </c:extLst>
        </c:ser>
        <c:dLbls>
          <c:showLegendKey val="0"/>
          <c:showVal val="0"/>
          <c:showCatName val="0"/>
          <c:showSerName val="0"/>
          <c:showPercent val="0"/>
          <c:showBubbleSize val="0"/>
        </c:dLbls>
        <c:gapWidth val="219"/>
        <c:overlap val="-27"/>
        <c:axId val="893512736"/>
        <c:axId val="891358256"/>
      </c:barChart>
      <c:catAx>
        <c:axId val="8935127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US">
                    <a:solidFill>
                      <a:schemeClr val="tx1"/>
                    </a:solidFill>
                  </a:rPr>
                  <a:t>Level</a:t>
                </a:r>
                <a:r>
                  <a:rPr lang="en-US" baseline="0">
                    <a:solidFill>
                      <a:schemeClr val="tx1"/>
                    </a:solidFill>
                  </a:rPr>
                  <a:t> of confidence</a:t>
                </a:r>
                <a:endParaRPr lang="en-US">
                  <a:solidFill>
                    <a:schemeClr val="tx1"/>
                  </a:solidFill>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91358256"/>
        <c:crosses val="autoZero"/>
        <c:auto val="1"/>
        <c:lblAlgn val="ctr"/>
        <c:lblOffset val="100"/>
        <c:noMultiLvlLbl val="0"/>
      </c:catAx>
      <c:valAx>
        <c:axId val="891358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US">
                    <a:solidFill>
                      <a:schemeClr val="tx1"/>
                    </a:solidFill>
                  </a:rPr>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935127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Children with</a:t>
            </a:r>
            <a:r>
              <a:rPr lang="en-US" baseline="0"/>
              <a:t> dyslexia more distruptive than others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78C-6E44-AE5B-9D0C9478902A}"/>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78C-6E44-AE5B-9D0C9478902A}"/>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78C-6E44-AE5B-9D0C9478902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Sheet3!$A$1:$A$3</c:f>
              <c:strCache>
                <c:ptCount val="3"/>
                <c:pt idx="0">
                  <c:v>Yes</c:v>
                </c:pt>
                <c:pt idx="1">
                  <c:v>No</c:v>
                </c:pt>
                <c:pt idx="2">
                  <c:v>Sometimes</c:v>
                </c:pt>
              </c:strCache>
            </c:strRef>
          </c:cat>
          <c:val>
            <c:numRef>
              <c:f>Sheet3!$B$1:$B$3</c:f>
              <c:numCache>
                <c:formatCode>0%</c:formatCode>
                <c:ptCount val="3"/>
                <c:pt idx="0">
                  <c:v>0.23</c:v>
                </c:pt>
                <c:pt idx="1">
                  <c:v>0.33</c:v>
                </c:pt>
                <c:pt idx="2">
                  <c:v>0.44</c:v>
                </c:pt>
              </c:numCache>
            </c:numRef>
          </c:val>
          <c:extLst>
            <c:ext xmlns:c16="http://schemas.microsoft.com/office/drawing/2014/chart" uri="{C3380CC4-5D6E-409C-BE32-E72D297353CC}">
              <c16:uniqueId val="{00000006-A78C-6E44-AE5B-9D0C9478902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no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0.8254</cdr:x>
      <cdr:y>0.44445</cdr:y>
    </cdr:from>
    <cdr:to>
      <cdr:x>0.98571</cdr:x>
      <cdr:y>0.69841</cdr:y>
    </cdr:to>
    <cdr:sp macro="" textlink="">
      <cdr:nvSpPr>
        <cdr:cNvPr id="2" name="Text Box 1"/>
        <cdr:cNvSpPr txBox="1"/>
      </cdr:nvSpPr>
      <cdr:spPr>
        <a:xfrm xmlns:a="http://schemas.openxmlformats.org/drawingml/2006/main">
          <a:off x="3773713" y="1219202"/>
          <a:ext cx="732971" cy="696684"/>
        </a:xfrm>
        <a:prstGeom xmlns:a="http://schemas.openxmlformats.org/drawingml/2006/main" prst="rect">
          <a:avLst/>
        </a:prstGeom>
        <a:solidFill xmlns:a="http://schemas.openxmlformats.org/drawingml/2006/main">
          <a:schemeClr val="bg1"/>
        </a:solidFill>
        <a:ln xmlns:a="http://schemas.openxmlformats.org/drawingml/2006/main">
          <a:noFill/>
        </a:ln>
      </cdr:spPr>
      <cdr:txBody>
        <a:bodyPr xmlns:a="http://schemas.openxmlformats.org/drawingml/2006/main" vertOverflow="clip" wrap="square" rtlCol="0"/>
        <a:lstStyle xmlns:a="http://schemas.openxmlformats.org/drawingml/2006/main"/>
        <a:p xmlns:a="http://schemas.openxmlformats.org/drawingml/2006/main">
          <a:r>
            <a:rPr lang="en-US" sz="1200"/>
            <a:t>Yes</a:t>
          </a:r>
        </a:p>
        <a:p xmlns:a="http://schemas.openxmlformats.org/drawingml/2006/main">
          <a:r>
            <a:rPr lang="en-US" sz="1200"/>
            <a:t>No</a:t>
          </a:r>
        </a:p>
        <a:p xmlns:a="http://schemas.openxmlformats.org/drawingml/2006/main">
          <a:r>
            <a:rPr lang="en-US" sz="1200"/>
            <a:t>Maybe</a:t>
          </a:r>
        </a:p>
      </cdr:txBody>
    </cdr:sp>
  </cdr:relSizeAnchor>
</c:userShapes>
</file>

<file path=word/drawings/drawing2.xml><?xml version="1.0" encoding="utf-8"?>
<c:userShapes xmlns:c="http://schemas.openxmlformats.org/drawingml/2006/chart">
  <cdr:relSizeAnchor xmlns:cdr="http://schemas.openxmlformats.org/drawingml/2006/chartDrawing">
    <cdr:from>
      <cdr:x>0.07419</cdr:x>
      <cdr:y>0.7957</cdr:y>
    </cdr:from>
    <cdr:to>
      <cdr:x>0.1371</cdr:x>
      <cdr:y>0.86559</cdr:y>
    </cdr:to>
    <cdr:sp macro="" textlink="">
      <cdr:nvSpPr>
        <cdr:cNvPr id="2" name="Text Box 1"/>
        <cdr:cNvSpPr txBox="1"/>
      </cdr:nvSpPr>
      <cdr:spPr>
        <a:xfrm xmlns:a="http://schemas.openxmlformats.org/drawingml/2006/main">
          <a:off x="339213" y="2182761"/>
          <a:ext cx="287593" cy="19172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1050">
              <a:latin typeface="+mj-lt"/>
            </a:rPr>
            <a:t>w</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633</TotalTime>
  <Pages>16</Pages>
  <Words>4946</Words>
  <Characters>28195</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Wood (1702128)</dc:creator>
  <cp:keywords/>
  <dc:description/>
  <cp:lastModifiedBy>Jessica Wood (1702128)</cp:lastModifiedBy>
  <cp:revision>302</cp:revision>
  <dcterms:created xsi:type="dcterms:W3CDTF">2019-04-17T09:24:00Z</dcterms:created>
  <dcterms:modified xsi:type="dcterms:W3CDTF">2019-04-30T21:30:00Z</dcterms:modified>
</cp:coreProperties>
</file>