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211DB" w14:textId="7AAC4992" w:rsidR="00F33F9A" w:rsidRPr="00F33F9A" w:rsidRDefault="00F33F9A" w:rsidP="00F33F9A">
      <w:pPr>
        <w:jc w:val="center"/>
        <w:rPr>
          <w:b/>
          <w:sz w:val="28"/>
          <w:szCs w:val="28"/>
          <w:lang w:val="en-GB"/>
        </w:rPr>
      </w:pPr>
      <w:r w:rsidRPr="00F33F9A">
        <w:rPr>
          <w:b/>
          <w:noProof/>
          <w:sz w:val="28"/>
          <w:szCs w:val="28"/>
          <w:lang w:val="en-GB"/>
        </w:rPr>
        <w:drawing>
          <wp:inline distT="0" distB="0" distL="0" distR="0" wp14:anchorId="18A2F29C" wp14:editId="6686D7C0">
            <wp:extent cx="3314700" cy="1155700"/>
            <wp:effectExtent l="0" t="0" r="0" b="6350"/>
            <wp:docPr id="18975706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1155700"/>
                    </a:xfrm>
                    <a:prstGeom prst="rect">
                      <a:avLst/>
                    </a:prstGeom>
                    <a:noFill/>
                    <a:ln>
                      <a:noFill/>
                    </a:ln>
                  </pic:spPr>
                </pic:pic>
              </a:graphicData>
            </a:graphic>
          </wp:inline>
        </w:drawing>
      </w:r>
    </w:p>
    <w:p w14:paraId="07B3C778" w14:textId="77777777" w:rsidR="00F33F9A" w:rsidRPr="00F33F9A" w:rsidRDefault="00F33F9A" w:rsidP="00F33F9A">
      <w:pPr>
        <w:rPr>
          <w:b/>
          <w:sz w:val="28"/>
          <w:szCs w:val="28"/>
          <w:lang w:val="en-GB"/>
        </w:rPr>
      </w:pPr>
    </w:p>
    <w:p w14:paraId="16F7EFF5" w14:textId="77777777" w:rsidR="00F33F9A" w:rsidRPr="00F33F9A" w:rsidRDefault="00F33F9A" w:rsidP="00F33F9A">
      <w:pPr>
        <w:rPr>
          <w:b/>
          <w:sz w:val="28"/>
          <w:szCs w:val="28"/>
          <w:lang w:val="en-GB"/>
        </w:rPr>
      </w:pPr>
    </w:p>
    <w:p w14:paraId="40BD47AC" w14:textId="77777777" w:rsidR="00F33F9A" w:rsidRPr="00F33F9A" w:rsidRDefault="00F33F9A" w:rsidP="00F33F9A">
      <w:pPr>
        <w:rPr>
          <w:b/>
          <w:sz w:val="28"/>
          <w:szCs w:val="28"/>
          <w:lang w:val="en-GB"/>
        </w:rPr>
      </w:pPr>
    </w:p>
    <w:p w14:paraId="2941C1DB" w14:textId="07F4B569" w:rsidR="00F33F9A" w:rsidRDefault="00F33F9A" w:rsidP="00BA3C64">
      <w:pPr>
        <w:ind w:left="720"/>
        <w:jc w:val="both"/>
        <w:rPr>
          <w:b/>
          <w:bCs/>
          <w:sz w:val="30"/>
          <w:szCs w:val="30"/>
        </w:rPr>
      </w:pPr>
      <w:r w:rsidRPr="00F33F9A">
        <w:rPr>
          <w:b/>
          <w:bCs/>
          <w:sz w:val="30"/>
          <w:szCs w:val="30"/>
        </w:rPr>
        <w:t xml:space="preserve">Automating Portfolio Management Using Multi-Agent Systems with </w:t>
      </w:r>
      <w:r>
        <w:rPr>
          <w:b/>
          <w:bCs/>
          <w:sz w:val="30"/>
          <w:szCs w:val="30"/>
        </w:rPr>
        <w:t xml:space="preserve">    </w:t>
      </w:r>
      <w:r w:rsidRPr="00F33F9A">
        <w:rPr>
          <w:b/>
          <w:bCs/>
          <w:sz w:val="30"/>
          <w:szCs w:val="30"/>
        </w:rPr>
        <w:t>Dynamic Prompt Optimisation and Feedback Loops</w:t>
      </w:r>
    </w:p>
    <w:p w14:paraId="1E26B2EC" w14:textId="77777777" w:rsidR="00F33F9A" w:rsidRPr="00F33F9A" w:rsidRDefault="00F33F9A" w:rsidP="00F33F9A">
      <w:pPr>
        <w:jc w:val="both"/>
        <w:rPr>
          <w:b/>
          <w:bCs/>
          <w:sz w:val="30"/>
          <w:szCs w:val="30"/>
        </w:rPr>
      </w:pPr>
    </w:p>
    <w:p w14:paraId="5AB6BFB4" w14:textId="6C4FB3D4" w:rsidR="00F33F9A" w:rsidRPr="00F33F9A" w:rsidRDefault="00F33F9A" w:rsidP="00F33F9A">
      <w:pPr>
        <w:ind w:left="3600"/>
        <w:rPr>
          <w:b/>
          <w:sz w:val="28"/>
          <w:szCs w:val="28"/>
          <w:lang w:val="en-GB"/>
        </w:rPr>
      </w:pPr>
      <w:r>
        <w:rPr>
          <w:b/>
          <w:sz w:val="28"/>
          <w:szCs w:val="28"/>
          <w:lang w:val="en-GB"/>
        </w:rPr>
        <w:t xml:space="preserve">  </w:t>
      </w:r>
      <w:r w:rsidR="00F94D4A">
        <w:rPr>
          <w:b/>
          <w:sz w:val="28"/>
          <w:szCs w:val="28"/>
          <w:lang w:val="en-GB"/>
        </w:rPr>
        <w:t xml:space="preserve">      </w:t>
      </w:r>
      <w:r w:rsidRPr="00F33F9A">
        <w:rPr>
          <w:b/>
          <w:sz w:val="28"/>
          <w:szCs w:val="28"/>
          <w:lang w:val="en-GB"/>
        </w:rPr>
        <w:t>by</w:t>
      </w:r>
    </w:p>
    <w:p w14:paraId="2FE551BB" w14:textId="5D000A6B" w:rsidR="00F33F9A" w:rsidRPr="00F33F9A" w:rsidRDefault="00F33F9A" w:rsidP="00F33F9A">
      <w:pPr>
        <w:ind w:left="2160" w:firstLine="720"/>
        <w:rPr>
          <w:b/>
          <w:sz w:val="28"/>
          <w:szCs w:val="28"/>
          <w:lang w:val="en-GB"/>
        </w:rPr>
      </w:pPr>
      <w:r>
        <w:rPr>
          <w:b/>
          <w:sz w:val="28"/>
          <w:szCs w:val="28"/>
          <w:lang w:val="en-GB"/>
        </w:rPr>
        <w:t xml:space="preserve">    Kandarp Sharda</w:t>
      </w:r>
      <w:r w:rsidR="000C0FE2">
        <w:rPr>
          <w:b/>
          <w:sz w:val="28"/>
          <w:szCs w:val="28"/>
          <w:lang w:val="en-GB"/>
        </w:rPr>
        <w:t xml:space="preserve"> (2432187)</w:t>
      </w:r>
    </w:p>
    <w:p w14:paraId="0B7D37A5" w14:textId="77777777" w:rsidR="00F33F9A" w:rsidRPr="00F33F9A" w:rsidRDefault="00F33F9A" w:rsidP="00F33F9A">
      <w:pPr>
        <w:rPr>
          <w:b/>
          <w:sz w:val="28"/>
          <w:szCs w:val="28"/>
          <w:lang w:val="en-GB"/>
        </w:rPr>
      </w:pPr>
    </w:p>
    <w:p w14:paraId="5DCC7E12" w14:textId="77777777" w:rsidR="00F33F9A" w:rsidRPr="00F33F9A" w:rsidRDefault="00F33F9A" w:rsidP="00F33F9A">
      <w:pPr>
        <w:rPr>
          <w:b/>
          <w:sz w:val="28"/>
          <w:szCs w:val="28"/>
          <w:lang w:val="en-GB"/>
        </w:rPr>
      </w:pPr>
    </w:p>
    <w:p w14:paraId="090D5D2C" w14:textId="3ECA7978" w:rsidR="00F33F9A" w:rsidRPr="00F33F9A" w:rsidRDefault="00F33F9A" w:rsidP="00F33F9A">
      <w:pPr>
        <w:rPr>
          <w:b/>
          <w:sz w:val="28"/>
          <w:szCs w:val="28"/>
          <w:lang w:val="en-GB"/>
        </w:rPr>
      </w:pPr>
      <w:r>
        <w:rPr>
          <w:b/>
          <w:sz w:val="28"/>
          <w:szCs w:val="28"/>
          <w:lang w:val="en-GB"/>
        </w:rPr>
        <w:t xml:space="preserve">                                           </w:t>
      </w:r>
      <w:r w:rsidRPr="00F33F9A">
        <w:rPr>
          <w:b/>
          <w:sz w:val="28"/>
          <w:szCs w:val="28"/>
          <w:lang w:val="en-GB"/>
        </w:rPr>
        <w:t xml:space="preserve">Supervisor: </w:t>
      </w:r>
      <w:r>
        <w:rPr>
          <w:b/>
          <w:sz w:val="28"/>
          <w:szCs w:val="28"/>
          <w:lang w:val="en-GB"/>
        </w:rPr>
        <w:t>Dr. Aliy</w:t>
      </w:r>
      <w:r w:rsidR="00BA3C64">
        <w:rPr>
          <w:b/>
          <w:sz w:val="28"/>
          <w:szCs w:val="28"/>
          <w:lang w:val="en-GB"/>
        </w:rPr>
        <w:t>u</w:t>
      </w:r>
      <w:r>
        <w:rPr>
          <w:b/>
          <w:sz w:val="28"/>
          <w:szCs w:val="28"/>
          <w:lang w:val="en-GB"/>
        </w:rPr>
        <w:t xml:space="preserve"> Samb</w:t>
      </w:r>
      <w:r w:rsidR="00BA3C64">
        <w:rPr>
          <w:b/>
          <w:sz w:val="28"/>
          <w:szCs w:val="28"/>
          <w:lang w:val="en-GB"/>
        </w:rPr>
        <w:t>o</w:t>
      </w:r>
    </w:p>
    <w:p w14:paraId="60BC1249" w14:textId="6B4279E3" w:rsidR="00F33F9A" w:rsidRPr="00F33F9A" w:rsidRDefault="00F33F9A" w:rsidP="00F33F9A">
      <w:pPr>
        <w:rPr>
          <w:b/>
          <w:sz w:val="28"/>
          <w:szCs w:val="28"/>
          <w:lang w:val="en-GB"/>
        </w:rPr>
      </w:pPr>
      <w:r>
        <w:rPr>
          <w:b/>
          <w:sz w:val="28"/>
          <w:szCs w:val="28"/>
          <w:lang w:val="en-GB"/>
        </w:rPr>
        <w:t xml:space="preserve">                                        </w:t>
      </w:r>
    </w:p>
    <w:p w14:paraId="2A16684B" w14:textId="77777777" w:rsidR="00F33F9A" w:rsidRPr="00F33F9A" w:rsidRDefault="00F33F9A" w:rsidP="00F33F9A">
      <w:pPr>
        <w:rPr>
          <w:b/>
          <w:sz w:val="28"/>
          <w:szCs w:val="28"/>
          <w:lang w:val="en-GB"/>
        </w:rPr>
      </w:pPr>
    </w:p>
    <w:p w14:paraId="38ABBCB2" w14:textId="77777777" w:rsidR="00F33F9A" w:rsidRPr="00F33F9A" w:rsidRDefault="00F33F9A" w:rsidP="00F33F9A">
      <w:pPr>
        <w:rPr>
          <w:b/>
          <w:sz w:val="28"/>
          <w:szCs w:val="28"/>
          <w:lang w:val="en-GB"/>
        </w:rPr>
      </w:pPr>
    </w:p>
    <w:p w14:paraId="2F72BC07" w14:textId="77777777" w:rsidR="00F33F9A" w:rsidRPr="00F33F9A" w:rsidRDefault="00F33F9A" w:rsidP="00F33F9A">
      <w:pPr>
        <w:rPr>
          <w:b/>
          <w:sz w:val="28"/>
          <w:szCs w:val="28"/>
          <w:lang w:val="en-GB"/>
        </w:rPr>
      </w:pPr>
    </w:p>
    <w:p w14:paraId="169EE89F" w14:textId="77777777" w:rsidR="00BA3C64" w:rsidRDefault="00F33F9A" w:rsidP="00BA3C64">
      <w:pPr>
        <w:ind w:firstLine="720"/>
        <w:rPr>
          <w:b/>
          <w:sz w:val="28"/>
          <w:szCs w:val="28"/>
          <w:lang w:val="en-GB"/>
        </w:rPr>
      </w:pPr>
      <w:r w:rsidRPr="00F33F9A">
        <w:rPr>
          <w:b/>
          <w:sz w:val="28"/>
          <w:szCs w:val="28"/>
          <w:lang w:val="en-GB"/>
        </w:rPr>
        <w:t xml:space="preserve">Project submitted as part of the requirements for the award of </w:t>
      </w:r>
    </w:p>
    <w:p w14:paraId="5FA41755" w14:textId="78A2BFA4" w:rsidR="00F33F9A" w:rsidRPr="00F33F9A" w:rsidRDefault="00F33F9A" w:rsidP="00BA3C64">
      <w:pPr>
        <w:ind w:left="1440" w:firstLine="720"/>
        <w:rPr>
          <w:b/>
          <w:sz w:val="28"/>
          <w:szCs w:val="28"/>
          <w:lang w:val="en-GB"/>
        </w:rPr>
      </w:pPr>
      <w:r w:rsidRPr="00F33F9A">
        <w:rPr>
          <w:b/>
          <w:sz w:val="28"/>
          <w:szCs w:val="28"/>
          <w:lang w:val="en-GB"/>
        </w:rPr>
        <w:t xml:space="preserve">MSc </w:t>
      </w:r>
      <w:r>
        <w:rPr>
          <w:b/>
          <w:sz w:val="28"/>
          <w:szCs w:val="28"/>
          <w:lang w:val="en-GB"/>
        </w:rPr>
        <w:t>Data and Artificial Intelligence</w:t>
      </w:r>
    </w:p>
    <w:p w14:paraId="5645043F" w14:textId="77777777" w:rsidR="00BD1EA7" w:rsidRDefault="00BD1EA7" w:rsidP="00BD1EA7">
      <w:pPr>
        <w:rPr>
          <w:b/>
          <w:sz w:val="28"/>
          <w:szCs w:val="28"/>
          <w:lang w:val="en-US"/>
        </w:rPr>
      </w:pPr>
    </w:p>
    <w:p w14:paraId="000B7CAB" w14:textId="77777777" w:rsidR="00BD1EA7" w:rsidRDefault="00BD1EA7" w:rsidP="00BD1EA7">
      <w:pPr>
        <w:rPr>
          <w:b/>
          <w:sz w:val="28"/>
          <w:szCs w:val="28"/>
          <w:lang w:val="en-US"/>
        </w:rPr>
      </w:pPr>
    </w:p>
    <w:p w14:paraId="2F6B3F55" w14:textId="77777777" w:rsidR="00BD1EA7" w:rsidRDefault="00BD1EA7" w:rsidP="00BD1EA7">
      <w:pPr>
        <w:rPr>
          <w:b/>
          <w:sz w:val="28"/>
          <w:szCs w:val="28"/>
          <w:lang w:val="en-US"/>
        </w:rPr>
      </w:pPr>
    </w:p>
    <w:p w14:paraId="35159A2B" w14:textId="77777777" w:rsidR="00934643" w:rsidRDefault="00934643" w:rsidP="00E3759E"/>
    <w:p w14:paraId="513EB3D4" w14:textId="77777777" w:rsidR="00934643" w:rsidRDefault="00934643" w:rsidP="00E3759E"/>
    <w:p w14:paraId="395C533E" w14:textId="25793237" w:rsidR="00E3759E" w:rsidRPr="00E3759E" w:rsidRDefault="00E3759E" w:rsidP="00E3759E"/>
    <w:sdt>
      <w:sdtPr>
        <w:rPr>
          <w:rFonts w:asciiTheme="minorHAnsi" w:eastAsiaTheme="minorHAnsi" w:hAnsiTheme="minorHAnsi" w:cstheme="minorBidi"/>
          <w:color w:val="auto"/>
          <w:sz w:val="22"/>
          <w:szCs w:val="22"/>
          <w:lang w:val="en-IN"/>
        </w:rPr>
        <w:id w:val="149567796"/>
        <w:docPartObj>
          <w:docPartGallery w:val="Table of Contents"/>
          <w:docPartUnique/>
        </w:docPartObj>
      </w:sdtPr>
      <w:sdtEndPr>
        <w:rPr>
          <w:b/>
          <w:bCs/>
          <w:noProof/>
        </w:rPr>
      </w:sdtEndPr>
      <w:sdtContent>
        <w:p w14:paraId="17C0A214" w14:textId="1DC75E30" w:rsidR="007725E5" w:rsidRDefault="007725E5">
          <w:pPr>
            <w:pStyle w:val="TOCHeading"/>
          </w:pPr>
          <w:r>
            <w:t>Contents</w:t>
          </w:r>
        </w:p>
        <w:p w14:paraId="286DBDB2" w14:textId="77777777" w:rsidR="00267A39" w:rsidRDefault="006A479D" w:rsidP="006A479D">
          <w:pPr>
            <w:pStyle w:val="TOC3"/>
            <w:tabs>
              <w:tab w:val="right" w:leader="dot" w:pos="9016"/>
            </w:tabs>
            <w:ind w:left="0"/>
            <w:rPr>
              <w:noProof/>
            </w:rPr>
          </w:pPr>
          <w:r>
            <w:t xml:space="preserve">     </w:t>
          </w:r>
          <w:r w:rsidR="007725E5">
            <w:fldChar w:fldCharType="begin"/>
          </w:r>
          <w:r w:rsidR="007725E5">
            <w:instrText xml:space="preserve"> TOC \o "1-3" \h \z \u </w:instrText>
          </w:r>
          <w:r w:rsidR="007725E5">
            <w:fldChar w:fldCharType="separate"/>
          </w:r>
        </w:p>
        <w:p w14:paraId="15130CF7" w14:textId="1D16576A"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04" w:history="1">
            <w:r w:rsidRPr="00CF45EB">
              <w:rPr>
                <w:rStyle w:val="Hyperlink"/>
                <w:noProof/>
              </w:rPr>
              <w:t>Figure of Table</w:t>
            </w:r>
            <w:r>
              <w:rPr>
                <w:noProof/>
                <w:webHidden/>
              </w:rPr>
              <w:tab/>
            </w:r>
            <w:r>
              <w:rPr>
                <w:noProof/>
                <w:webHidden/>
              </w:rPr>
              <w:fldChar w:fldCharType="begin"/>
            </w:r>
            <w:r>
              <w:rPr>
                <w:noProof/>
                <w:webHidden/>
              </w:rPr>
              <w:instrText xml:space="preserve"> PAGEREF _Toc228577604 \h </w:instrText>
            </w:r>
            <w:r>
              <w:rPr>
                <w:noProof/>
                <w:webHidden/>
              </w:rPr>
            </w:r>
            <w:r>
              <w:rPr>
                <w:noProof/>
                <w:webHidden/>
              </w:rPr>
              <w:fldChar w:fldCharType="separate"/>
            </w:r>
            <w:r>
              <w:rPr>
                <w:noProof/>
                <w:webHidden/>
              </w:rPr>
              <w:t>4</w:t>
            </w:r>
            <w:r>
              <w:rPr>
                <w:noProof/>
                <w:webHidden/>
              </w:rPr>
              <w:fldChar w:fldCharType="end"/>
            </w:r>
          </w:hyperlink>
        </w:p>
        <w:p w14:paraId="16E51528" w14:textId="72580F9E"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05" w:history="1">
            <w:r w:rsidRPr="00CF45EB">
              <w:rPr>
                <w:rStyle w:val="Hyperlink"/>
                <w:noProof/>
              </w:rPr>
              <w:t>Glossary of Terms</w:t>
            </w:r>
            <w:r>
              <w:rPr>
                <w:noProof/>
                <w:webHidden/>
              </w:rPr>
              <w:tab/>
            </w:r>
            <w:r>
              <w:rPr>
                <w:noProof/>
                <w:webHidden/>
              </w:rPr>
              <w:fldChar w:fldCharType="begin"/>
            </w:r>
            <w:r>
              <w:rPr>
                <w:noProof/>
                <w:webHidden/>
              </w:rPr>
              <w:instrText xml:space="preserve"> PAGEREF _Toc228577605 \h </w:instrText>
            </w:r>
            <w:r>
              <w:rPr>
                <w:noProof/>
                <w:webHidden/>
              </w:rPr>
            </w:r>
            <w:r>
              <w:rPr>
                <w:noProof/>
                <w:webHidden/>
              </w:rPr>
              <w:fldChar w:fldCharType="separate"/>
            </w:r>
            <w:r>
              <w:rPr>
                <w:noProof/>
                <w:webHidden/>
              </w:rPr>
              <w:t>6</w:t>
            </w:r>
            <w:r>
              <w:rPr>
                <w:noProof/>
                <w:webHidden/>
              </w:rPr>
              <w:fldChar w:fldCharType="end"/>
            </w:r>
          </w:hyperlink>
        </w:p>
        <w:p w14:paraId="6D696690" w14:textId="64A64254"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06" w:history="1">
            <w:r w:rsidRPr="00CF45EB">
              <w:rPr>
                <w:rStyle w:val="Hyperlink"/>
                <w:noProof/>
              </w:rPr>
              <w:t>Abstract</w:t>
            </w:r>
            <w:r>
              <w:rPr>
                <w:noProof/>
                <w:webHidden/>
              </w:rPr>
              <w:tab/>
            </w:r>
            <w:r>
              <w:rPr>
                <w:noProof/>
                <w:webHidden/>
              </w:rPr>
              <w:fldChar w:fldCharType="begin"/>
            </w:r>
            <w:r>
              <w:rPr>
                <w:noProof/>
                <w:webHidden/>
              </w:rPr>
              <w:instrText xml:space="preserve"> PAGEREF _Toc228577606 \h </w:instrText>
            </w:r>
            <w:r>
              <w:rPr>
                <w:noProof/>
                <w:webHidden/>
              </w:rPr>
            </w:r>
            <w:r>
              <w:rPr>
                <w:noProof/>
                <w:webHidden/>
              </w:rPr>
              <w:fldChar w:fldCharType="separate"/>
            </w:r>
            <w:r>
              <w:rPr>
                <w:noProof/>
                <w:webHidden/>
              </w:rPr>
              <w:t>10</w:t>
            </w:r>
            <w:r>
              <w:rPr>
                <w:noProof/>
                <w:webHidden/>
              </w:rPr>
              <w:fldChar w:fldCharType="end"/>
            </w:r>
          </w:hyperlink>
        </w:p>
        <w:p w14:paraId="7F9083A4" w14:textId="3F66BDC5"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07" w:history="1">
            <w:r w:rsidRPr="00CF45EB">
              <w:rPr>
                <w:rStyle w:val="Hyperlink"/>
                <w:noProof/>
              </w:rPr>
              <w:t>1. Introduction</w:t>
            </w:r>
            <w:r>
              <w:rPr>
                <w:noProof/>
                <w:webHidden/>
              </w:rPr>
              <w:tab/>
            </w:r>
            <w:r>
              <w:rPr>
                <w:noProof/>
                <w:webHidden/>
              </w:rPr>
              <w:fldChar w:fldCharType="begin"/>
            </w:r>
            <w:r>
              <w:rPr>
                <w:noProof/>
                <w:webHidden/>
              </w:rPr>
              <w:instrText xml:space="preserve"> PAGEREF _Toc228577607 \h </w:instrText>
            </w:r>
            <w:r>
              <w:rPr>
                <w:noProof/>
                <w:webHidden/>
              </w:rPr>
            </w:r>
            <w:r>
              <w:rPr>
                <w:noProof/>
                <w:webHidden/>
              </w:rPr>
              <w:fldChar w:fldCharType="separate"/>
            </w:r>
            <w:r>
              <w:rPr>
                <w:noProof/>
                <w:webHidden/>
              </w:rPr>
              <w:t>11</w:t>
            </w:r>
            <w:r>
              <w:rPr>
                <w:noProof/>
                <w:webHidden/>
              </w:rPr>
              <w:fldChar w:fldCharType="end"/>
            </w:r>
          </w:hyperlink>
        </w:p>
        <w:p w14:paraId="661728FB" w14:textId="6946DE82"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08" w:history="1">
            <w:r w:rsidRPr="00CF45EB">
              <w:rPr>
                <w:rStyle w:val="Hyperlink"/>
                <w:noProof/>
              </w:rPr>
              <w:t>1.1 Background</w:t>
            </w:r>
            <w:r>
              <w:rPr>
                <w:noProof/>
                <w:webHidden/>
              </w:rPr>
              <w:tab/>
            </w:r>
            <w:r>
              <w:rPr>
                <w:noProof/>
                <w:webHidden/>
              </w:rPr>
              <w:fldChar w:fldCharType="begin"/>
            </w:r>
            <w:r>
              <w:rPr>
                <w:noProof/>
                <w:webHidden/>
              </w:rPr>
              <w:instrText xml:space="preserve"> PAGEREF _Toc228577608 \h </w:instrText>
            </w:r>
            <w:r>
              <w:rPr>
                <w:noProof/>
                <w:webHidden/>
              </w:rPr>
            </w:r>
            <w:r>
              <w:rPr>
                <w:noProof/>
                <w:webHidden/>
              </w:rPr>
              <w:fldChar w:fldCharType="separate"/>
            </w:r>
            <w:r>
              <w:rPr>
                <w:noProof/>
                <w:webHidden/>
              </w:rPr>
              <w:t>11</w:t>
            </w:r>
            <w:r>
              <w:rPr>
                <w:noProof/>
                <w:webHidden/>
              </w:rPr>
              <w:fldChar w:fldCharType="end"/>
            </w:r>
          </w:hyperlink>
        </w:p>
        <w:p w14:paraId="218C0F82" w14:textId="643AB031"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09" w:history="1">
            <w:r w:rsidRPr="00CF45EB">
              <w:rPr>
                <w:rStyle w:val="Hyperlink"/>
                <w:noProof/>
              </w:rPr>
              <w:t>1.2 Problem Statement</w:t>
            </w:r>
            <w:r>
              <w:rPr>
                <w:noProof/>
                <w:webHidden/>
              </w:rPr>
              <w:tab/>
            </w:r>
            <w:r>
              <w:rPr>
                <w:noProof/>
                <w:webHidden/>
              </w:rPr>
              <w:fldChar w:fldCharType="begin"/>
            </w:r>
            <w:r>
              <w:rPr>
                <w:noProof/>
                <w:webHidden/>
              </w:rPr>
              <w:instrText xml:space="preserve"> PAGEREF _Toc228577609 \h </w:instrText>
            </w:r>
            <w:r>
              <w:rPr>
                <w:noProof/>
                <w:webHidden/>
              </w:rPr>
            </w:r>
            <w:r>
              <w:rPr>
                <w:noProof/>
                <w:webHidden/>
              </w:rPr>
              <w:fldChar w:fldCharType="separate"/>
            </w:r>
            <w:r>
              <w:rPr>
                <w:noProof/>
                <w:webHidden/>
              </w:rPr>
              <w:t>11</w:t>
            </w:r>
            <w:r>
              <w:rPr>
                <w:noProof/>
                <w:webHidden/>
              </w:rPr>
              <w:fldChar w:fldCharType="end"/>
            </w:r>
          </w:hyperlink>
        </w:p>
        <w:p w14:paraId="153BBE67" w14:textId="4A435A08"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10" w:history="1">
            <w:r w:rsidRPr="00CF45EB">
              <w:rPr>
                <w:rStyle w:val="Hyperlink"/>
                <w:noProof/>
              </w:rPr>
              <w:t>1.3 Research Aims &amp; Objectives</w:t>
            </w:r>
            <w:r>
              <w:rPr>
                <w:noProof/>
                <w:webHidden/>
              </w:rPr>
              <w:tab/>
            </w:r>
            <w:r>
              <w:rPr>
                <w:noProof/>
                <w:webHidden/>
              </w:rPr>
              <w:fldChar w:fldCharType="begin"/>
            </w:r>
            <w:r>
              <w:rPr>
                <w:noProof/>
                <w:webHidden/>
              </w:rPr>
              <w:instrText xml:space="preserve"> PAGEREF _Toc228577610 \h </w:instrText>
            </w:r>
            <w:r>
              <w:rPr>
                <w:noProof/>
                <w:webHidden/>
              </w:rPr>
            </w:r>
            <w:r>
              <w:rPr>
                <w:noProof/>
                <w:webHidden/>
              </w:rPr>
              <w:fldChar w:fldCharType="separate"/>
            </w:r>
            <w:r>
              <w:rPr>
                <w:noProof/>
                <w:webHidden/>
              </w:rPr>
              <w:t>12</w:t>
            </w:r>
            <w:r>
              <w:rPr>
                <w:noProof/>
                <w:webHidden/>
              </w:rPr>
              <w:fldChar w:fldCharType="end"/>
            </w:r>
          </w:hyperlink>
        </w:p>
        <w:p w14:paraId="30043688" w14:textId="30F572DD"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11" w:history="1">
            <w:r w:rsidRPr="00CF45EB">
              <w:rPr>
                <w:rStyle w:val="Hyperlink"/>
                <w:noProof/>
              </w:rPr>
              <w:t>1.4 Research Question</w:t>
            </w:r>
            <w:r>
              <w:rPr>
                <w:noProof/>
                <w:webHidden/>
              </w:rPr>
              <w:tab/>
            </w:r>
            <w:r>
              <w:rPr>
                <w:noProof/>
                <w:webHidden/>
              </w:rPr>
              <w:fldChar w:fldCharType="begin"/>
            </w:r>
            <w:r>
              <w:rPr>
                <w:noProof/>
                <w:webHidden/>
              </w:rPr>
              <w:instrText xml:space="preserve"> PAGEREF _Toc228577611 \h </w:instrText>
            </w:r>
            <w:r>
              <w:rPr>
                <w:noProof/>
                <w:webHidden/>
              </w:rPr>
            </w:r>
            <w:r>
              <w:rPr>
                <w:noProof/>
                <w:webHidden/>
              </w:rPr>
              <w:fldChar w:fldCharType="separate"/>
            </w:r>
            <w:r>
              <w:rPr>
                <w:noProof/>
                <w:webHidden/>
              </w:rPr>
              <w:t>13</w:t>
            </w:r>
            <w:r>
              <w:rPr>
                <w:noProof/>
                <w:webHidden/>
              </w:rPr>
              <w:fldChar w:fldCharType="end"/>
            </w:r>
          </w:hyperlink>
        </w:p>
        <w:p w14:paraId="2CACD354" w14:textId="01F0D1BD"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12" w:history="1">
            <w:r w:rsidRPr="00CF45EB">
              <w:rPr>
                <w:rStyle w:val="Hyperlink"/>
                <w:noProof/>
              </w:rPr>
              <w:t>1.6 Scope of Research</w:t>
            </w:r>
            <w:r>
              <w:rPr>
                <w:noProof/>
                <w:webHidden/>
              </w:rPr>
              <w:tab/>
            </w:r>
            <w:r>
              <w:rPr>
                <w:noProof/>
                <w:webHidden/>
              </w:rPr>
              <w:fldChar w:fldCharType="begin"/>
            </w:r>
            <w:r>
              <w:rPr>
                <w:noProof/>
                <w:webHidden/>
              </w:rPr>
              <w:instrText xml:space="preserve"> PAGEREF _Toc228577612 \h </w:instrText>
            </w:r>
            <w:r>
              <w:rPr>
                <w:noProof/>
                <w:webHidden/>
              </w:rPr>
            </w:r>
            <w:r>
              <w:rPr>
                <w:noProof/>
                <w:webHidden/>
              </w:rPr>
              <w:fldChar w:fldCharType="separate"/>
            </w:r>
            <w:r>
              <w:rPr>
                <w:noProof/>
                <w:webHidden/>
              </w:rPr>
              <w:t>13</w:t>
            </w:r>
            <w:r>
              <w:rPr>
                <w:noProof/>
                <w:webHidden/>
              </w:rPr>
              <w:fldChar w:fldCharType="end"/>
            </w:r>
          </w:hyperlink>
        </w:p>
        <w:p w14:paraId="7D3401C6" w14:textId="515D9EF2"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13" w:history="1">
            <w:r w:rsidRPr="00CF45EB">
              <w:rPr>
                <w:rStyle w:val="Hyperlink"/>
                <w:noProof/>
              </w:rPr>
              <w:t>1.7 Proposed Solution</w:t>
            </w:r>
            <w:r>
              <w:rPr>
                <w:noProof/>
                <w:webHidden/>
              </w:rPr>
              <w:tab/>
            </w:r>
            <w:r>
              <w:rPr>
                <w:noProof/>
                <w:webHidden/>
              </w:rPr>
              <w:fldChar w:fldCharType="begin"/>
            </w:r>
            <w:r>
              <w:rPr>
                <w:noProof/>
                <w:webHidden/>
              </w:rPr>
              <w:instrText xml:space="preserve"> PAGEREF _Toc228577613 \h </w:instrText>
            </w:r>
            <w:r>
              <w:rPr>
                <w:noProof/>
                <w:webHidden/>
              </w:rPr>
            </w:r>
            <w:r>
              <w:rPr>
                <w:noProof/>
                <w:webHidden/>
              </w:rPr>
              <w:fldChar w:fldCharType="separate"/>
            </w:r>
            <w:r>
              <w:rPr>
                <w:noProof/>
                <w:webHidden/>
              </w:rPr>
              <w:t>14</w:t>
            </w:r>
            <w:r>
              <w:rPr>
                <w:noProof/>
                <w:webHidden/>
              </w:rPr>
              <w:fldChar w:fldCharType="end"/>
            </w:r>
          </w:hyperlink>
        </w:p>
        <w:p w14:paraId="4F34F4FA" w14:textId="2A1A01E8"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14" w:history="1">
            <w:r w:rsidRPr="00CF45EB">
              <w:rPr>
                <w:rStyle w:val="Hyperlink"/>
                <w:noProof/>
              </w:rPr>
              <w:t>1.8 Contribution</w:t>
            </w:r>
            <w:r>
              <w:rPr>
                <w:noProof/>
                <w:webHidden/>
              </w:rPr>
              <w:tab/>
            </w:r>
            <w:r>
              <w:rPr>
                <w:noProof/>
                <w:webHidden/>
              </w:rPr>
              <w:fldChar w:fldCharType="begin"/>
            </w:r>
            <w:r>
              <w:rPr>
                <w:noProof/>
                <w:webHidden/>
              </w:rPr>
              <w:instrText xml:space="preserve"> PAGEREF _Toc228577614 \h </w:instrText>
            </w:r>
            <w:r>
              <w:rPr>
                <w:noProof/>
                <w:webHidden/>
              </w:rPr>
            </w:r>
            <w:r>
              <w:rPr>
                <w:noProof/>
                <w:webHidden/>
              </w:rPr>
              <w:fldChar w:fldCharType="separate"/>
            </w:r>
            <w:r>
              <w:rPr>
                <w:noProof/>
                <w:webHidden/>
              </w:rPr>
              <w:t>14</w:t>
            </w:r>
            <w:r>
              <w:rPr>
                <w:noProof/>
                <w:webHidden/>
              </w:rPr>
              <w:fldChar w:fldCharType="end"/>
            </w:r>
          </w:hyperlink>
        </w:p>
        <w:p w14:paraId="3DA6F1F6" w14:textId="08FA53FA"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15" w:history="1">
            <w:r w:rsidRPr="00CF45EB">
              <w:rPr>
                <w:rStyle w:val="Hyperlink"/>
                <w:noProof/>
              </w:rPr>
              <w:t>2. Literature Review</w:t>
            </w:r>
            <w:r>
              <w:rPr>
                <w:noProof/>
                <w:webHidden/>
              </w:rPr>
              <w:tab/>
            </w:r>
            <w:r>
              <w:rPr>
                <w:noProof/>
                <w:webHidden/>
              </w:rPr>
              <w:fldChar w:fldCharType="begin"/>
            </w:r>
            <w:r>
              <w:rPr>
                <w:noProof/>
                <w:webHidden/>
              </w:rPr>
              <w:instrText xml:space="preserve"> PAGEREF _Toc228577615 \h </w:instrText>
            </w:r>
            <w:r>
              <w:rPr>
                <w:noProof/>
                <w:webHidden/>
              </w:rPr>
            </w:r>
            <w:r>
              <w:rPr>
                <w:noProof/>
                <w:webHidden/>
              </w:rPr>
              <w:fldChar w:fldCharType="separate"/>
            </w:r>
            <w:r>
              <w:rPr>
                <w:noProof/>
                <w:webHidden/>
              </w:rPr>
              <w:t>15</w:t>
            </w:r>
            <w:r>
              <w:rPr>
                <w:noProof/>
                <w:webHidden/>
              </w:rPr>
              <w:fldChar w:fldCharType="end"/>
            </w:r>
          </w:hyperlink>
        </w:p>
        <w:p w14:paraId="489D4DB9" w14:textId="38B2D306"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16" w:history="1">
            <w:r w:rsidRPr="00CF45EB">
              <w:rPr>
                <w:rStyle w:val="Hyperlink"/>
                <w:noProof/>
              </w:rPr>
              <w:t>2.1 Multi-Agent LLM Systems in Financial Trading</w:t>
            </w:r>
            <w:r>
              <w:rPr>
                <w:noProof/>
                <w:webHidden/>
              </w:rPr>
              <w:tab/>
            </w:r>
            <w:r>
              <w:rPr>
                <w:noProof/>
                <w:webHidden/>
              </w:rPr>
              <w:fldChar w:fldCharType="begin"/>
            </w:r>
            <w:r>
              <w:rPr>
                <w:noProof/>
                <w:webHidden/>
              </w:rPr>
              <w:instrText xml:space="preserve"> PAGEREF _Toc228577616 \h </w:instrText>
            </w:r>
            <w:r>
              <w:rPr>
                <w:noProof/>
                <w:webHidden/>
              </w:rPr>
            </w:r>
            <w:r>
              <w:rPr>
                <w:noProof/>
                <w:webHidden/>
              </w:rPr>
              <w:fldChar w:fldCharType="separate"/>
            </w:r>
            <w:r>
              <w:rPr>
                <w:noProof/>
                <w:webHidden/>
              </w:rPr>
              <w:t>15</w:t>
            </w:r>
            <w:r>
              <w:rPr>
                <w:noProof/>
                <w:webHidden/>
              </w:rPr>
              <w:fldChar w:fldCharType="end"/>
            </w:r>
          </w:hyperlink>
        </w:p>
        <w:p w14:paraId="55BB8680" w14:textId="6CC72A02"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17" w:history="1">
            <w:r w:rsidRPr="00CF45EB">
              <w:rPr>
                <w:rStyle w:val="Hyperlink"/>
                <w:noProof/>
              </w:rPr>
              <w:t>2.2 Prompt Optimisation and DSPy Frameworks</w:t>
            </w:r>
            <w:r>
              <w:rPr>
                <w:noProof/>
                <w:webHidden/>
              </w:rPr>
              <w:tab/>
            </w:r>
            <w:r>
              <w:rPr>
                <w:noProof/>
                <w:webHidden/>
              </w:rPr>
              <w:fldChar w:fldCharType="begin"/>
            </w:r>
            <w:r>
              <w:rPr>
                <w:noProof/>
                <w:webHidden/>
              </w:rPr>
              <w:instrText xml:space="preserve"> PAGEREF _Toc228577617 \h </w:instrText>
            </w:r>
            <w:r>
              <w:rPr>
                <w:noProof/>
                <w:webHidden/>
              </w:rPr>
            </w:r>
            <w:r>
              <w:rPr>
                <w:noProof/>
                <w:webHidden/>
              </w:rPr>
              <w:fldChar w:fldCharType="separate"/>
            </w:r>
            <w:r>
              <w:rPr>
                <w:noProof/>
                <w:webHidden/>
              </w:rPr>
              <w:t>17</w:t>
            </w:r>
            <w:r>
              <w:rPr>
                <w:noProof/>
                <w:webHidden/>
              </w:rPr>
              <w:fldChar w:fldCharType="end"/>
            </w:r>
          </w:hyperlink>
        </w:p>
        <w:p w14:paraId="1623C39B" w14:textId="2F89DF66"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18" w:history="1">
            <w:r w:rsidRPr="00CF45EB">
              <w:rPr>
                <w:rStyle w:val="Hyperlink"/>
                <w:noProof/>
              </w:rPr>
              <w:t>2.3 Reinforcement Learning for Portfolio Management</w:t>
            </w:r>
            <w:r>
              <w:rPr>
                <w:noProof/>
                <w:webHidden/>
              </w:rPr>
              <w:tab/>
            </w:r>
            <w:r>
              <w:rPr>
                <w:noProof/>
                <w:webHidden/>
              </w:rPr>
              <w:fldChar w:fldCharType="begin"/>
            </w:r>
            <w:r>
              <w:rPr>
                <w:noProof/>
                <w:webHidden/>
              </w:rPr>
              <w:instrText xml:space="preserve"> PAGEREF _Toc228577618 \h </w:instrText>
            </w:r>
            <w:r>
              <w:rPr>
                <w:noProof/>
                <w:webHidden/>
              </w:rPr>
            </w:r>
            <w:r>
              <w:rPr>
                <w:noProof/>
                <w:webHidden/>
              </w:rPr>
              <w:fldChar w:fldCharType="separate"/>
            </w:r>
            <w:r>
              <w:rPr>
                <w:noProof/>
                <w:webHidden/>
              </w:rPr>
              <w:t>19</w:t>
            </w:r>
            <w:r>
              <w:rPr>
                <w:noProof/>
                <w:webHidden/>
              </w:rPr>
              <w:fldChar w:fldCharType="end"/>
            </w:r>
          </w:hyperlink>
        </w:p>
        <w:p w14:paraId="7513C262" w14:textId="20116B76"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19" w:history="1">
            <w:r w:rsidRPr="00CF45EB">
              <w:rPr>
                <w:rStyle w:val="Hyperlink"/>
                <w:noProof/>
              </w:rPr>
              <w:t>2.4 Financial Sentiment Analysis</w:t>
            </w:r>
            <w:r>
              <w:rPr>
                <w:noProof/>
                <w:webHidden/>
              </w:rPr>
              <w:tab/>
            </w:r>
            <w:r>
              <w:rPr>
                <w:noProof/>
                <w:webHidden/>
              </w:rPr>
              <w:fldChar w:fldCharType="begin"/>
            </w:r>
            <w:r>
              <w:rPr>
                <w:noProof/>
                <w:webHidden/>
              </w:rPr>
              <w:instrText xml:space="preserve"> PAGEREF _Toc228577619 \h </w:instrText>
            </w:r>
            <w:r>
              <w:rPr>
                <w:noProof/>
                <w:webHidden/>
              </w:rPr>
            </w:r>
            <w:r>
              <w:rPr>
                <w:noProof/>
                <w:webHidden/>
              </w:rPr>
              <w:fldChar w:fldCharType="separate"/>
            </w:r>
            <w:r>
              <w:rPr>
                <w:noProof/>
                <w:webHidden/>
              </w:rPr>
              <w:t>21</w:t>
            </w:r>
            <w:r>
              <w:rPr>
                <w:noProof/>
                <w:webHidden/>
              </w:rPr>
              <w:fldChar w:fldCharType="end"/>
            </w:r>
          </w:hyperlink>
        </w:p>
        <w:p w14:paraId="121528D5" w14:textId="56643E40"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20" w:history="1">
            <w:r w:rsidRPr="00CF45EB">
              <w:rPr>
                <w:rStyle w:val="Hyperlink"/>
                <w:noProof/>
              </w:rPr>
              <w:t>2.5 LLM Agent Frameworks</w:t>
            </w:r>
            <w:r>
              <w:rPr>
                <w:noProof/>
                <w:webHidden/>
              </w:rPr>
              <w:tab/>
            </w:r>
            <w:r>
              <w:rPr>
                <w:noProof/>
                <w:webHidden/>
              </w:rPr>
              <w:fldChar w:fldCharType="begin"/>
            </w:r>
            <w:r>
              <w:rPr>
                <w:noProof/>
                <w:webHidden/>
              </w:rPr>
              <w:instrText xml:space="preserve"> PAGEREF _Toc228577620 \h </w:instrText>
            </w:r>
            <w:r>
              <w:rPr>
                <w:noProof/>
                <w:webHidden/>
              </w:rPr>
            </w:r>
            <w:r>
              <w:rPr>
                <w:noProof/>
                <w:webHidden/>
              </w:rPr>
              <w:fldChar w:fldCharType="separate"/>
            </w:r>
            <w:r>
              <w:rPr>
                <w:noProof/>
                <w:webHidden/>
              </w:rPr>
              <w:t>23</w:t>
            </w:r>
            <w:r>
              <w:rPr>
                <w:noProof/>
                <w:webHidden/>
              </w:rPr>
              <w:fldChar w:fldCharType="end"/>
            </w:r>
          </w:hyperlink>
        </w:p>
        <w:p w14:paraId="50CC3757" w14:textId="634C32ED"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21" w:history="1">
            <w:r w:rsidRPr="00CF45EB">
              <w:rPr>
                <w:rStyle w:val="Hyperlink"/>
                <w:noProof/>
              </w:rPr>
              <w:t>2.6 Financial Large Language Models</w:t>
            </w:r>
            <w:r>
              <w:rPr>
                <w:noProof/>
                <w:webHidden/>
              </w:rPr>
              <w:tab/>
            </w:r>
            <w:r>
              <w:rPr>
                <w:noProof/>
                <w:webHidden/>
              </w:rPr>
              <w:fldChar w:fldCharType="begin"/>
            </w:r>
            <w:r>
              <w:rPr>
                <w:noProof/>
                <w:webHidden/>
              </w:rPr>
              <w:instrText xml:space="preserve"> PAGEREF _Toc228577621 \h </w:instrText>
            </w:r>
            <w:r>
              <w:rPr>
                <w:noProof/>
                <w:webHidden/>
              </w:rPr>
            </w:r>
            <w:r>
              <w:rPr>
                <w:noProof/>
                <w:webHidden/>
              </w:rPr>
              <w:fldChar w:fldCharType="separate"/>
            </w:r>
            <w:r>
              <w:rPr>
                <w:noProof/>
                <w:webHidden/>
              </w:rPr>
              <w:t>26</w:t>
            </w:r>
            <w:r>
              <w:rPr>
                <w:noProof/>
                <w:webHidden/>
              </w:rPr>
              <w:fldChar w:fldCharType="end"/>
            </w:r>
          </w:hyperlink>
        </w:p>
        <w:p w14:paraId="4573D4C7" w14:textId="315BDC32"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22" w:history="1">
            <w:r w:rsidRPr="00CF45EB">
              <w:rPr>
                <w:rStyle w:val="Hyperlink"/>
                <w:noProof/>
              </w:rPr>
              <w:t>2.7 Research Gap Table</w:t>
            </w:r>
            <w:r>
              <w:rPr>
                <w:noProof/>
                <w:webHidden/>
              </w:rPr>
              <w:tab/>
            </w:r>
            <w:r>
              <w:rPr>
                <w:noProof/>
                <w:webHidden/>
              </w:rPr>
              <w:fldChar w:fldCharType="begin"/>
            </w:r>
            <w:r>
              <w:rPr>
                <w:noProof/>
                <w:webHidden/>
              </w:rPr>
              <w:instrText xml:space="preserve"> PAGEREF _Toc228577622 \h </w:instrText>
            </w:r>
            <w:r>
              <w:rPr>
                <w:noProof/>
                <w:webHidden/>
              </w:rPr>
            </w:r>
            <w:r>
              <w:rPr>
                <w:noProof/>
                <w:webHidden/>
              </w:rPr>
              <w:fldChar w:fldCharType="separate"/>
            </w:r>
            <w:r>
              <w:rPr>
                <w:noProof/>
                <w:webHidden/>
              </w:rPr>
              <w:t>29</w:t>
            </w:r>
            <w:r>
              <w:rPr>
                <w:noProof/>
                <w:webHidden/>
              </w:rPr>
              <w:fldChar w:fldCharType="end"/>
            </w:r>
          </w:hyperlink>
        </w:p>
        <w:p w14:paraId="07B6BDC6" w14:textId="29359844"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23" w:history="1">
            <w:r w:rsidRPr="00CF45EB">
              <w:rPr>
                <w:rStyle w:val="Hyperlink"/>
                <w:noProof/>
              </w:rPr>
              <w:t>3. Methodology</w:t>
            </w:r>
            <w:r>
              <w:rPr>
                <w:noProof/>
                <w:webHidden/>
              </w:rPr>
              <w:tab/>
            </w:r>
            <w:r>
              <w:rPr>
                <w:noProof/>
                <w:webHidden/>
              </w:rPr>
              <w:fldChar w:fldCharType="begin"/>
            </w:r>
            <w:r>
              <w:rPr>
                <w:noProof/>
                <w:webHidden/>
              </w:rPr>
              <w:instrText xml:space="preserve"> PAGEREF _Toc228577623 \h </w:instrText>
            </w:r>
            <w:r>
              <w:rPr>
                <w:noProof/>
                <w:webHidden/>
              </w:rPr>
            </w:r>
            <w:r>
              <w:rPr>
                <w:noProof/>
                <w:webHidden/>
              </w:rPr>
              <w:fldChar w:fldCharType="separate"/>
            </w:r>
            <w:r>
              <w:rPr>
                <w:noProof/>
                <w:webHidden/>
              </w:rPr>
              <w:t>33</w:t>
            </w:r>
            <w:r>
              <w:rPr>
                <w:noProof/>
                <w:webHidden/>
              </w:rPr>
              <w:fldChar w:fldCharType="end"/>
            </w:r>
          </w:hyperlink>
        </w:p>
        <w:p w14:paraId="089B027D" w14:textId="30B63246"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24" w:history="1">
            <w:r w:rsidRPr="00CF45EB">
              <w:rPr>
                <w:rStyle w:val="Hyperlink"/>
                <w:noProof/>
              </w:rPr>
              <w:t>3.1 Overview of the Proposed Framework</w:t>
            </w:r>
            <w:r>
              <w:rPr>
                <w:noProof/>
                <w:webHidden/>
              </w:rPr>
              <w:tab/>
            </w:r>
            <w:r>
              <w:rPr>
                <w:noProof/>
                <w:webHidden/>
              </w:rPr>
              <w:fldChar w:fldCharType="begin"/>
            </w:r>
            <w:r>
              <w:rPr>
                <w:noProof/>
                <w:webHidden/>
              </w:rPr>
              <w:instrText xml:space="preserve"> PAGEREF _Toc228577624 \h </w:instrText>
            </w:r>
            <w:r>
              <w:rPr>
                <w:noProof/>
                <w:webHidden/>
              </w:rPr>
            </w:r>
            <w:r>
              <w:rPr>
                <w:noProof/>
                <w:webHidden/>
              </w:rPr>
              <w:fldChar w:fldCharType="separate"/>
            </w:r>
            <w:r>
              <w:rPr>
                <w:noProof/>
                <w:webHidden/>
              </w:rPr>
              <w:t>33</w:t>
            </w:r>
            <w:r>
              <w:rPr>
                <w:noProof/>
                <w:webHidden/>
              </w:rPr>
              <w:fldChar w:fldCharType="end"/>
            </w:r>
          </w:hyperlink>
        </w:p>
        <w:p w14:paraId="3DBB39AC" w14:textId="799B43ED"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25" w:history="1">
            <w:r w:rsidRPr="00CF45EB">
              <w:rPr>
                <w:rStyle w:val="Hyperlink"/>
                <w:noProof/>
              </w:rPr>
              <w:t>3.2 System Architecture</w:t>
            </w:r>
            <w:r>
              <w:rPr>
                <w:noProof/>
                <w:webHidden/>
              </w:rPr>
              <w:tab/>
            </w:r>
            <w:r>
              <w:rPr>
                <w:noProof/>
                <w:webHidden/>
              </w:rPr>
              <w:fldChar w:fldCharType="begin"/>
            </w:r>
            <w:r>
              <w:rPr>
                <w:noProof/>
                <w:webHidden/>
              </w:rPr>
              <w:instrText xml:space="preserve"> PAGEREF _Toc228577625 \h </w:instrText>
            </w:r>
            <w:r>
              <w:rPr>
                <w:noProof/>
                <w:webHidden/>
              </w:rPr>
            </w:r>
            <w:r>
              <w:rPr>
                <w:noProof/>
                <w:webHidden/>
              </w:rPr>
              <w:fldChar w:fldCharType="separate"/>
            </w:r>
            <w:r>
              <w:rPr>
                <w:noProof/>
                <w:webHidden/>
              </w:rPr>
              <w:t>37</w:t>
            </w:r>
            <w:r>
              <w:rPr>
                <w:noProof/>
                <w:webHidden/>
              </w:rPr>
              <w:fldChar w:fldCharType="end"/>
            </w:r>
          </w:hyperlink>
        </w:p>
        <w:p w14:paraId="52A0412B" w14:textId="44B80CDD"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26" w:history="1">
            <w:r w:rsidRPr="00CF45EB">
              <w:rPr>
                <w:rStyle w:val="Hyperlink"/>
                <w:noProof/>
              </w:rPr>
              <w:t>3.3 Specialised Agents</w:t>
            </w:r>
            <w:r>
              <w:rPr>
                <w:noProof/>
                <w:webHidden/>
              </w:rPr>
              <w:tab/>
            </w:r>
            <w:r>
              <w:rPr>
                <w:noProof/>
                <w:webHidden/>
              </w:rPr>
              <w:fldChar w:fldCharType="begin"/>
            </w:r>
            <w:r>
              <w:rPr>
                <w:noProof/>
                <w:webHidden/>
              </w:rPr>
              <w:instrText xml:space="preserve"> PAGEREF _Toc228577626 \h </w:instrText>
            </w:r>
            <w:r>
              <w:rPr>
                <w:noProof/>
                <w:webHidden/>
              </w:rPr>
            </w:r>
            <w:r>
              <w:rPr>
                <w:noProof/>
                <w:webHidden/>
              </w:rPr>
              <w:fldChar w:fldCharType="separate"/>
            </w:r>
            <w:r>
              <w:rPr>
                <w:noProof/>
                <w:webHidden/>
              </w:rPr>
              <w:t>39</w:t>
            </w:r>
            <w:r>
              <w:rPr>
                <w:noProof/>
                <w:webHidden/>
              </w:rPr>
              <w:fldChar w:fldCharType="end"/>
            </w:r>
          </w:hyperlink>
        </w:p>
        <w:p w14:paraId="68F0E59C" w14:textId="143D6078"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27" w:history="1">
            <w:r w:rsidRPr="00CF45EB">
              <w:rPr>
                <w:rStyle w:val="Hyperlink"/>
                <w:noProof/>
              </w:rPr>
              <w:t>3.4 Data Sources and Collection</w:t>
            </w:r>
            <w:r>
              <w:rPr>
                <w:noProof/>
                <w:webHidden/>
              </w:rPr>
              <w:tab/>
            </w:r>
            <w:r>
              <w:rPr>
                <w:noProof/>
                <w:webHidden/>
              </w:rPr>
              <w:fldChar w:fldCharType="begin"/>
            </w:r>
            <w:r>
              <w:rPr>
                <w:noProof/>
                <w:webHidden/>
              </w:rPr>
              <w:instrText xml:space="preserve"> PAGEREF _Toc228577627 \h </w:instrText>
            </w:r>
            <w:r>
              <w:rPr>
                <w:noProof/>
                <w:webHidden/>
              </w:rPr>
            </w:r>
            <w:r>
              <w:rPr>
                <w:noProof/>
                <w:webHidden/>
              </w:rPr>
              <w:fldChar w:fldCharType="separate"/>
            </w:r>
            <w:r>
              <w:rPr>
                <w:noProof/>
                <w:webHidden/>
              </w:rPr>
              <w:t>41</w:t>
            </w:r>
            <w:r>
              <w:rPr>
                <w:noProof/>
                <w:webHidden/>
              </w:rPr>
              <w:fldChar w:fldCharType="end"/>
            </w:r>
          </w:hyperlink>
        </w:p>
        <w:p w14:paraId="7CA58D73" w14:textId="568A5F5B"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28" w:history="1">
            <w:r w:rsidRPr="00CF45EB">
              <w:rPr>
                <w:rStyle w:val="Hyperlink"/>
                <w:noProof/>
              </w:rPr>
              <w:t>3.5 Dynamic Prompt Optimisation</w:t>
            </w:r>
            <w:r>
              <w:rPr>
                <w:noProof/>
                <w:webHidden/>
              </w:rPr>
              <w:tab/>
            </w:r>
            <w:r>
              <w:rPr>
                <w:noProof/>
                <w:webHidden/>
              </w:rPr>
              <w:fldChar w:fldCharType="begin"/>
            </w:r>
            <w:r>
              <w:rPr>
                <w:noProof/>
                <w:webHidden/>
              </w:rPr>
              <w:instrText xml:space="preserve"> PAGEREF _Toc228577628 \h </w:instrText>
            </w:r>
            <w:r>
              <w:rPr>
                <w:noProof/>
                <w:webHidden/>
              </w:rPr>
            </w:r>
            <w:r>
              <w:rPr>
                <w:noProof/>
                <w:webHidden/>
              </w:rPr>
              <w:fldChar w:fldCharType="separate"/>
            </w:r>
            <w:r>
              <w:rPr>
                <w:noProof/>
                <w:webHidden/>
              </w:rPr>
              <w:t>45</w:t>
            </w:r>
            <w:r>
              <w:rPr>
                <w:noProof/>
                <w:webHidden/>
              </w:rPr>
              <w:fldChar w:fldCharType="end"/>
            </w:r>
          </w:hyperlink>
        </w:p>
        <w:p w14:paraId="763077AD" w14:textId="62565A2D"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29" w:history="1">
            <w:r w:rsidRPr="00CF45EB">
              <w:rPr>
                <w:rStyle w:val="Hyperlink"/>
                <w:noProof/>
              </w:rPr>
              <w:t>3.6 Feedback Loop and Self-Correction Mechanism</w:t>
            </w:r>
            <w:r>
              <w:rPr>
                <w:noProof/>
                <w:webHidden/>
              </w:rPr>
              <w:tab/>
            </w:r>
            <w:r>
              <w:rPr>
                <w:noProof/>
                <w:webHidden/>
              </w:rPr>
              <w:fldChar w:fldCharType="begin"/>
            </w:r>
            <w:r>
              <w:rPr>
                <w:noProof/>
                <w:webHidden/>
              </w:rPr>
              <w:instrText xml:space="preserve"> PAGEREF _Toc228577629 \h </w:instrText>
            </w:r>
            <w:r>
              <w:rPr>
                <w:noProof/>
                <w:webHidden/>
              </w:rPr>
            </w:r>
            <w:r>
              <w:rPr>
                <w:noProof/>
                <w:webHidden/>
              </w:rPr>
              <w:fldChar w:fldCharType="separate"/>
            </w:r>
            <w:r>
              <w:rPr>
                <w:noProof/>
                <w:webHidden/>
              </w:rPr>
              <w:t>46</w:t>
            </w:r>
            <w:r>
              <w:rPr>
                <w:noProof/>
                <w:webHidden/>
              </w:rPr>
              <w:fldChar w:fldCharType="end"/>
            </w:r>
          </w:hyperlink>
        </w:p>
        <w:p w14:paraId="3C6C0E46" w14:textId="7865298F"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30" w:history="1">
            <w:r w:rsidRPr="00CF45EB">
              <w:rPr>
                <w:rStyle w:val="Hyperlink"/>
                <w:noProof/>
              </w:rPr>
              <w:t>3.7 Portfolio Management, Trade Execution and Risk Controls</w:t>
            </w:r>
            <w:r>
              <w:rPr>
                <w:noProof/>
                <w:webHidden/>
              </w:rPr>
              <w:tab/>
            </w:r>
            <w:r>
              <w:rPr>
                <w:noProof/>
                <w:webHidden/>
              </w:rPr>
              <w:fldChar w:fldCharType="begin"/>
            </w:r>
            <w:r>
              <w:rPr>
                <w:noProof/>
                <w:webHidden/>
              </w:rPr>
              <w:instrText xml:space="preserve"> PAGEREF _Toc228577630 \h </w:instrText>
            </w:r>
            <w:r>
              <w:rPr>
                <w:noProof/>
                <w:webHidden/>
              </w:rPr>
            </w:r>
            <w:r>
              <w:rPr>
                <w:noProof/>
                <w:webHidden/>
              </w:rPr>
              <w:fldChar w:fldCharType="separate"/>
            </w:r>
            <w:r>
              <w:rPr>
                <w:noProof/>
                <w:webHidden/>
              </w:rPr>
              <w:t>47</w:t>
            </w:r>
            <w:r>
              <w:rPr>
                <w:noProof/>
                <w:webHidden/>
              </w:rPr>
              <w:fldChar w:fldCharType="end"/>
            </w:r>
          </w:hyperlink>
        </w:p>
        <w:p w14:paraId="186C78F6" w14:textId="6138E9E0"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31" w:history="1">
            <w:r w:rsidRPr="00CF45EB">
              <w:rPr>
                <w:rStyle w:val="Hyperlink"/>
                <w:noProof/>
              </w:rPr>
              <w:t>3.8 Experimental Setup</w:t>
            </w:r>
            <w:r>
              <w:rPr>
                <w:noProof/>
                <w:webHidden/>
              </w:rPr>
              <w:tab/>
            </w:r>
            <w:r>
              <w:rPr>
                <w:noProof/>
                <w:webHidden/>
              </w:rPr>
              <w:fldChar w:fldCharType="begin"/>
            </w:r>
            <w:r>
              <w:rPr>
                <w:noProof/>
                <w:webHidden/>
              </w:rPr>
              <w:instrText xml:space="preserve"> PAGEREF _Toc228577631 \h </w:instrText>
            </w:r>
            <w:r>
              <w:rPr>
                <w:noProof/>
                <w:webHidden/>
              </w:rPr>
            </w:r>
            <w:r>
              <w:rPr>
                <w:noProof/>
                <w:webHidden/>
              </w:rPr>
              <w:fldChar w:fldCharType="separate"/>
            </w:r>
            <w:r>
              <w:rPr>
                <w:noProof/>
                <w:webHidden/>
              </w:rPr>
              <w:t>49</w:t>
            </w:r>
            <w:r>
              <w:rPr>
                <w:noProof/>
                <w:webHidden/>
              </w:rPr>
              <w:fldChar w:fldCharType="end"/>
            </w:r>
          </w:hyperlink>
        </w:p>
        <w:p w14:paraId="14692D91" w14:textId="1214624C"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32" w:history="1">
            <w:r w:rsidRPr="00CF45EB">
              <w:rPr>
                <w:rStyle w:val="Hyperlink"/>
                <w:noProof/>
              </w:rPr>
              <w:t>3.9 Evaluation Metrics</w:t>
            </w:r>
            <w:r>
              <w:rPr>
                <w:noProof/>
                <w:webHidden/>
              </w:rPr>
              <w:tab/>
            </w:r>
            <w:r>
              <w:rPr>
                <w:noProof/>
                <w:webHidden/>
              </w:rPr>
              <w:fldChar w:fldCharType="begin"/>
            </w:r>
            <w:r>
              <w:rPr>
                <w:noProof/>
                <w:webHidden/>
              </w:rPr>
              <w:instrText xml:space="preserve"> PAGEREF _Toc228577632 \h </w:instrText>
            </w:r>
            <w:r>
              <w:rPr>
                <w:noProof/>
                <w:webHidden/>
              </w:rPr>
            </w:r>
            <w:r>
              <w:rPr>
                <w:noProof/>
                <w:webHidden/>
              </w:rPr>
              <w:fldChar w:fldCharType="separate"/>
            </w:r>
            <w:r>
              <w:rPr>
                <w:noProof/>
                <w:webHidden/>
              </w:rPr>
              <w:t>50</w:t>
            </w:r>
            <w:r>
              <w:rPr>
                <w:noProof/>
                <w:webHidden/>
              </w:rPr>
              <w:fldChar w:fldCharType="end"/>
            </w:r>
          </w:hyperlink>
        </w:p>
        <w:p w14:paraId="2205CFFF" w14:textId="660DA2B3"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33" w:history="1">
            <w:r w:rsidRPr="00CF45EB">
              <w:rPr>
                <w:rStyle w:val="Hyperlink"/>
                <w:noProof/>
              </w:rPr>
              <w:t>4. Results</w:t>
            </w:r>
            <w:r>
              <w:rPr>
                <w:noProof/>
                <w:webHidden/>
              </w:rPr>
              <w:tab/>
            </w:r>
            <w:r>
              <w:rPr>
                <w:noProof/>
                <w:webHidden/>
              </w:rPr>
              <w:fldChar w:fldCharType="begin"/>
            </w:r>
            <w:r>
              <w:rPr>
                <w:noProof/>
                <w:webHidden/>
              </w:rPr>
              <w:instrText xml:space="preserve"> PAGEREF _Toc228577633 \h </w:instrText>
            </w:r>
            <w:r>
              <w:rPr>
                <w:noProof/>
                <w:webHidden/>
              </w:rPr>
            </w:r>
            <w:r>
              <w:rPr>
                <w:noProof/>
                <w:webHidden/>
              </w:rPr>
              <w:fldChar w:fldCharType="separate"/>
            </w:r>
            <w:r>
              <w:rPr>
                <w:noProof/>
                <w:webHidden/>
              </w:rPr>
              <w:t>52</w:t>
            </w:r>
            <w:r>
              <w:rPr>
                <w:noProof/>
                <w:webHidden/>
              </w:rPr>
              <w:fldChar w:fldCharType="end"/>
            </w:r>
          </w:hyperlink>
        </w:p>
        <w:p w14:paraId="54092594" w14:textId="6FFFAFAF"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34" w:history="1">
            <w:r w:rsidRPr="00CF45EB">
              <w:rPr>
                <w:rStyle w:val="Hyperlink"/>
                <w:noProof/>
              </w:rPr>
              <w:t>4.1 Phase 1</w:t>
            </w:r>
            <w:r>
              <w:rPr>
                <w:noProof/>
                <w:webHidden/>
              </w:rPr>
              <w:tab/>
            </w:r>
            <w:r>
              <w:rPr>
                <w:noProof/>
                <w:webHidden/>
              </w:rPr>
              <w:fldChar w:fldCharType="begin"/>
            </w:r>
            <w:r>
              <w:rPr>
                <w:noProof/>
                <w:webHidden/>
              </w:rPr>
              <w:instrText xml:space="preserve"> PAGEREF _Toc228577634 \h </w:instrText>
            </w:r>
            <w:r>
              <w:rPr>
                <w:noProof/>
                <w:webHidden/>
              </w:rPr>
            </w:r>
            <w:r>
              <w:rPr>
                <w:noProof/>
                <w:webHidden/>
              </w:rPr>
              <w:fldChar w:fldCharType="separate"/>
            </w:r>
            <w:r>
              <w:rPr>
                <w:noProof/>
                <w:webHidden/>
              </w:rPr>
              <w:t>54</w:t>
            </w:r>
            <w:r>
              <w:rPr>
                <w:noProof/>
                <w:webHidden/>
              </w:rPr>
              <w:fldChar w:fldCharType="end"/>
            </w:r>
          </w:hyperlink>
        </w:p>
        <w:p w14:paraId="7DF38497" w14:textId="0B9DD077"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35" w:history="1">
            <w:r w:rsidRPr="00CF45EB">
              <w:rPr>
                <w:rStyle w:val="Hyperlink"/>
                <w:noProof/>
              </w:rPr>
              <w:t>4.2 Phase 3</w:t>
            </w:r>
            <w:r>
              <w:rPr>
                <w:noProof/>
                <w:webHidden/>
              </w:rPr>
              <w:tab/>
            </w:r>
            <w:r>
              <w:rPr>
                <w:noProof/>
                <w:webHidden/>
              </w:rPr>
              <w:fldChar w:fldCharType="begin"/>
            </w:r>
            <w:r>
              <w:rPr>
                <w:noProof/>
                <w:webHidden/>
              </w:rPr>
              <w:instrText xml:space="preserve"> PAGEREF _Toc228577635 \h </w:instrText>
            </w:r>
            <w:r>
              <w:rPr>
                <w:noProof/>
                <w:webHidden/>
              </w:rPr>
            </w:r>
            <w:r>
              <w:rPr>
                <w:noProof/>
                <w:webHidden/>
              </w:rPr>
              <w:fldChar w:fldCharType="separate"/>
            </w:r>
            <w:r>
              <w:rPr>
                <w:noProof/>
                <w:webHidden/>
              </w:rPr>
              <w:t>64</w:t>
            </w:r>
            <w:r>
              <w:rPr>
                <w:noProof/>
                <w:webHidden/>
              </w:rPr>
              <w:fldChar w:fldCharType="end"/>
            </w:r>
          </w:hyperlink>
        </w:p>
        <w:p w14:paraId="02328F4B" w14:textId="50773773" w:rsidR="00267A39" w:rsidRDefault="00267A39">
          <w:pPr>
            <w:pStyle w:val="TOC3"/>
            <w:tabs>
              <w:tab w:val="right" w:leader="dot" w:pos="9016"/>
            </w:tabs>
            <w:rPr>
              <w:rFonts w:eastAsiaTheme="minorEastAsia"/>
              <w:noProof/>
              <w:kern w:val="2"/>
              <w:sz w:val="24"/>
              <w:szCs w:val="24"/>
              <w:lang w:eastAsia="en-IN"/>
              <w14:ligatures w14:val="standardContextual"/>
            </w:rPr>
          </w:pPr>
          <w:hyperlink w:anchor="_Toc228577636" w:history="1">
            <w:r w:rsidRPr="00CF45EB">
              <w:rPr>
                <w:rStyle w:val="Hyperlink"/>
                <w:noProof/>
              </w:rPr>
              <w:t>4.3 Comparative analysis</w:t>
            </w:r>
            <w:r>
              <w:rPr>
                <w:noProof/>
                <w:webHidden/>
              </w:rPr>
              <w:tab/>
            </w:r>
            <w:r>
              <w:rPr>
                <w:noProof/>
                <w:webHidden/>
              </w:rPr>
              <w:fldChar w:fldCharType="begin"/>
            </w:r>
            <w:r>
              <w:rPr>
                <w:noProof/>
                <w:webHidden/>
              </w:rPr>
              <w:instrText xml:space="preserve"> PAGEREF _Toc228577636 \h </w:instrText>
            </w:r>
            <w:r>
              <w:rPr>
                <w:noProof/>
                <w:webHidden/>
              </w:rPr>
            </w:r>
            <w:r>
              <w:rPr>
                <w:noProof/>
                <w:webHidden/>
              </w:rPr>
              <w:fldChar w:fldCharType="separate"/>
            </w:r>
            <w:r>
              <w:rPr>
                <w:noProof/>
                <w:webHidden/>
              </w:rPr>
              <w:t>74</w:t>
            </w:r>
            <w:r>
              <w:rPr>
                <w:noProof/>
                <w:webHidden/>
              </w:rPr>
              <w:fldChar w:fldCharType="end"/>
            </w:r>
          </w:hyperlink>
        </w:p>
        <w:p w14:paraId="68AFDC3A" w14:textId="26B8AB52"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37" w:history="1">
            <w:r w:rsidRPr="00CF45EB">
              <w:rPr>
                <w:rStyle w:val="Hyperlink"/>
                <w:noProof/>
              </w:rPr>
              <w:t>5. Discussion</w:t>
            </w:r>
            <w:r>
              <w:rPr>
                <w:noProof/>
                <w:webHidden/>
              </w:rPr>
              <w:tab/>
            </w:r>
            <w:r>
              <w:rPr>
                <w:noProof/>
                <w:webHidden/>
              </w:rPr>
              <w:fldChar w:fldCharType="begin"/>
            </w:r>
            <w:r>
              <w:rPr>
                <w:noProof/>
                <w:webHidden/>
              </w:rPr>
              <w:instrText xml:space="preserve"> PAGEREF _Toc228577637 \h </w:instrText>
            </w:r>
            <w:r>
              <w:rPr>
                <w:noProof/>
                <w:webHidden/>
              </w:rPr>
            </w:r>
            <w:r>
              <w:rPr>
                <w:noProof/>
                <w:webHidden/>
              </w:rPr>
              <w:fldChar w:fldCharType="separate"/>
            </w:r>
            <w:r>
              <w:rPr>
                <w:noProof/>
                <w:webHidden/>
              </w:rPr>
              <w:t>75</w:t>
            </w:r>
            <w:r>
              <w:rPr>
                <w:noProof/>
                <w:webHidden/>
              </w:rPr>
              <w:fldChar w:fldCharType="end"/>
            </w:r>
          </w:hyperlink>
        </w:p>
        <w:p w14:paraId="3DA08ED0" w14:textId="7FFB1490"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38" w:history="1">
            <w:r w:rsidRPr="00CF45EB">
              <w:rPr>
                <w:rStyle w:val="Hyperlink"/>
                <w:noProof/>
              </w:rPr>
              <w:t>6. Conclusion</w:t>
            </w:r>
            <w:r>
              <w:rPr>
                <w:noProof/>
                <w:webHidden/>
              </w:rPr>
              <w:tab/>
            </w:r>
            <w:r>
              <w:rPr>
                <w:noProof/>
                <w:webHidden/>
              </w:rPr>
              <w:fldChar w:fldCharType="begin"/>
            </w:r>
            <w:r>
              <w:rPr>
                <w:noProof/>
                <w:webHidden/>
              </w:rPr>
              <w:instrText xml:space="preserve"> PAGEREF _Toc228577638 \h </w:instrText>
            </w:r>
            <w:r>
              <w:rPr>
                <w:noProof/>
                <w:webHidden/>
              </w:rPr>
            </w:r>
            <w:r>
              <w:rPr>
                <w:noProof/>
                <w:webHidden/>
              </w:rPr>
              <w:fldChar w:fldCharType="separate"/>
            </w:r>
            <w:r>
              <w:rPr>
                <w:noProof/>
                <w:webHidden/>
              </w:rPr>
              <w:t>75</w:t>
            </w:r>
            <w:r>
              <w:rPr>
                <w:noProof/>
                <w:webHidden/>
              </w:rPr>
              <w:fldChar w:fldCharType="end"/>
            </w:r>
          </w:hyperlink>
        </w:p>
        <w:p w14:paraId="5393A810" w14:textId="5E63F390"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39" w:history="1">
            <w:r w:rsidRPr="00CF45EB">
              <w:rPr>
                <w:rStyle w:val="Hyperlink"/>
                <w:noProof/>
              </w:rPr>
              <w:t>7. Reflection</w:t>
            </w:r>
            <w:r>
              <w:rPr>
                <w:noProof/>
                <w:webHidden/>
              </w:rPr>
              <w:tab/>
            </w:r>
            <w:r>
              <w:rPr>
                <w:noProof/>
                <w:webHidden/>
              </w:rPr>
              <w:fldChar w:fldCharType="begin"/>
            </w:r>
            <w:r>
              <w:rPr>
                <w:noProof/>
                <w:webHidden/>
              </w:rPr>
              <w:instrText xml:space="preserve"> PAGEREF _Toc228577639 \h </w:instrText>
            </w:r>
            <w:r>
              <w:rPr>
                <w:noProof/>
                <w:webHidden/>
              </w:rPr>
            </w:r>
            <w:r>
              <w:rPr>
                <w:noProof/>
                <w:webHidden/>
              </w:rPr>
              <w:fldChar w:fldCharType="separate"/>
            </w:r>
            <w:r>
              <w:rPr>
                <w:noProof/>
                <w:webHidden/>
              </w:rPr>
              <w:t>76</w:t>
            </w:r>
            <w:r>
              <w:rPr>
                <w:noProof/>
                <w:webHidden/>
              </w:rPr>
              <w:fldChar w:fldCharType="end"/>
            </w:r>
          </w:hyperlink>
        </w:p>
        <w:p w14:paraId="62A35A3B" w14:textId="4A3BE323"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40" w:history="1">
            <w:r w:rsidRPr="00CF45EB">
              <w:rPr>
                <w:rStyle w:val="Hyperlink"/>
                <w:noProof/>
              </w:rPr>
              <w:t>8. Gantt Chart</w:t>
            </w:r>
            <w:r>
              <w:rPr>
                <w:noProof/>
                <w:webHidden/>
              </w:rPr>
              <w:tab/>
            </w:r>
            <w:r>
              <w:rPr>
                <w:noProof/>
                <w:webHidden/>
              </w:rPr>
              <w:fldChar w:fldCharType="begin"/>
            </w:r>
            <w:r>
              <w:rPr>
                <w:noProof/>
                <w:webHidden/>
              </w:rPr>
              <w:instrText xml:space="preserve"> PAGEREF _Toc228577640 \h </w:instrText>
            </w:r>
            <w:r>
              <w:rPr>
                <w:noProof/>
                <w:webHidden/>
              </w:rPr>
            </w:r>
            <w:r>
              <w:rPr>
                <w:noProof/>
                <w:webHidden/>
              </w:rPr>
              <w:fldChar w:fldCharType="separate"/>
            </w:r>
            <w:r>
              <w:rPr>
                <w:noProof/>
                <w:webHidden/>
              </w:rPr>
              <w:t>77</w:t>
            </w:r>
            <w:r>
              <w:rPr>
                <w:noProof/>
                <w:webHidden/>
              </w:rPr>
              <w:fldChar w:fldCharType="end"/>
            </w:r>
          </w:hyperlink>
        </w:p>
        <w:p w14:paraId="2FC98345" w14:textId="7CEF6B9C" w:rsidR="00267A39" w:rsidRDefault="00267A39">
          <w:pPr>
            <w:pStyle w:val="TOC2"/>
            <w:tabs>
              <w:tab w:val="right" w:leader="dot" w:pos="9016"/>
            </w:tabs>
            <w:rPr>
              <w:rFonts w:eastAsiaTheme="minorEastAsia"/>
              <w:noProof/>
              <w:kern w:val="2"/>
              <w:sz w:val="24"/>
              <w:szCs w:val="24"/>
              <w:lang w:eastAsia="en-IN"/>
              <w14:ligatures w14:val="standardContextual"/>
            </w:rPr>
          </w:pPr>
          <w:hyperlink w:anchor="_Toc228577641" w:history="1">
            <w:r w:rsidRPr="00CF45EB">
              <w:rPr>
                <w:rStyle w:val="Hyperlink"/>
                <w:noProof/>
              </w:rPr>
              <w:t>References</w:t>
            </w:r>
            <w:r>
              <w:rPr>
                <w:noProof/>
                <w:webHidden/>
              </w:rPr>
              <w:tab/>
            </w:r>
            <w:r>
              <w:rPr>
                <w:noProof/>
                <w:webHidden/>
              </w:rPr>
              <w:fldChar w:fldCharType="begin"/>
            </w:r>
            <w:r>
              <w:rPr>
                <w:noProof/>
                <w:webHidden/>
              </w:rPr>
              <w:instrText xml:space="preserve"> PAGEREF _Toc228577641 \h </w:instrText>
            </w:r>
            <w:r>
              <w:rPr>
                <w:noProof/>
                <w:webHidden/>
              </w:rPr>
            </w:r>
            <w:r>
              <w:rPr>
                <w:noProof/>
                <w:webHidden/>
              </w:rPr>
              <w:fldChar w:fldCharType="separate"/>
            </w:r>
            <w:r>
              <w:rPr>
                <w:noProof/>
                <w:webHidden/>
              </w:rPr>
              <w:t>78</w:t>
            </w:r>
            <w:r>
              <w:rPr>
                <w:noProof/>
                <w:webHidden/>
              </w:rPr>
              <w:fldChar w:fldCharType="end"/>
            </w:r>
          </w:hyperlink>
        </w:p>
        <w:p w14:paraId="1897D2E7" w14:textId="77777777" w:rsidR="00434C73" w:rsidRDefault="007725E5" w:rsidP="00434C73">
          <w:pPr>
            <w:rPr>
              <w:b/>
              <w:bCs/>
              <w:noProof/>
            </w:rPr>
          </w:pPr>
          <w:r>
            <w:rPr>
              <w:b/>
              <w:bCs/>
              <w:noProof/>
            </w:rPr>
            <w:fldChar w:fldCharType="end"/>
          </w:r>
        </w:p>
        <w:p w14:paraId="1428C806" w14:textId="77777777" w:rsidR="00434C73" w:rsidRDefault="00434C73" w:rsidP="00434C73">
          <w:pPr>
            <w:rPr>
              <w:b/>
              <w:bCs/>
              <w:noProof/>
            </w:rPr>
          </w:pPr>
        </w:p>
        <w:p w14:paraId="1A643F8D" w14:textId="77777777" w:rsidR="00434C73" w:rsidRDefault="00434C73" w:rsidP="00434C73">
          <w:pPr>
            <w:rPr>
              <w:b/>
              <w:bCs/>
              <w:noProof/>
            </w:rPr>
          </w:pPr>
        </w:p>
        <w:p w14:paraId="3A5B4618" w14:textId="77777777" w:rsidR="00434C73" w:rsidRDefault="00434C73" w:rsidP="00434C73">
          <w:pPr>
            <w:rPr>
              <w:b/>
              <w:bCs/>
              <w:noProof/>
            </w:rPr>
          </w:pPr>
        </w:p>
        <w:p w14:paraId="4DC1B23E" w14:textId="77777777" w:rsidR="00434C73" w:rsidRDefault="00434C73" w:rsidP="00434C73">
          <w:pPr>
            <w:rPr>
              <w:b/>
              <w:bCs/>
              <w:noProof/>
            </w:rPr>
          </w:pPr>
        </w:p>
        <w:p w14:paraId="199D3933" w14:textId="77777777" w:rsidR="00434C73" w:rsidRDefault="00434C73" w:rsidP="00434C73">
          <w:pPr>
            <w:rPr>
              <w:b/>
              <w:bCs/>
              <w:noProof/>
            </w:rPr>
          </w:pPr>
        </w:p>
        <w:p w14:paraId="2C2D3ADE" w14:textId="77777777" w:rsidR="00434C73" w:rsidRDefault="00434C73" w:rsidP="00434C73">
          <w:pPr>
            <w:rPr>
              <w:b/>
              <w:bCs/>
              <w:noProof/>
            </w:rPr>
          </w:pPr>
        </w:p>
        <w:p w14:paraId="27C97536" w14:textId="77777777" w:rsidR="00434C73" w:rsidRDefault="00434C73" w:rsidP="00434C73">
          <w:pPr>
            <w:rPr>
              <w:b/>
              <w:bCs/>
              <w:noProof/>
            </w:rPr>
          </w:pPr>
        </w:p>
        <w:p w14:paraId="4ECEDE0A" w14:textId="77777777" w:rsidR="00434C73" w:rsidRDefault="00434C73" w:rsidP="00434C73">
          <w:pPr>
            <w:rPr>
              <w:b/>
              <w:bCs/>
              <w:noProof/>
            </w:rPr>
          </w:pPr>
        </w:p>
        <w:p w14:paraId="4F9AF713" w14:textId="77777777" w:rsidR="00434C73" w:rsidRDefault="00434C73" w:rsidP="00434C73">
          <w:pPr>
            <w:rPr>
              <w:b/>
              <w:bCs/>
              <w:noProof/>
            </w:rPr>
          </w:pPr>
        </w:p>
        <w:p w14:paraId="750DF22D" w14:textId="77777777" w:rsidR="00434C73" w:rsidRDefault="00434C73" w:rsidP="00434C73">
          <w:pPr>
            <w:rPr>
              <w:b/>
              <w:bCs/>
              <w:noProof/>
            </w:rPr>
          </w:pPr>
        </w:p>
        <w:p w14:paraId="213BB9AE" w14:textId="77777777" w:rsidR="00434C73" w:rsidRDefault="00434C73" w:rsidP="00434C73">
          <w:pPr>
            <w:rPr>
              <w:b/>
              <w:bCs/>
              <w:noProof/>
            </w:rPr>
          </w:pPr>
        </w:p>
        <w:p w14:paraId="70A73A45" w14:textId="77777777" w:rsidR="00434C73" w:rsidRDefault="00434C73" w:rsidP="00434C73">
          <w:pPr>
            <w:rPr>
              <w:b/>
              <w:bCs/>
              <w:noProof/>
            </w:rPr>
          </w:pPr>
        </w:p>
        <w:p w14:paraId="17050020" w14:textId="77777777" w:rsidR="00434C73" w:rsidRDefault="00434C73" w:rsidP="00434C73">
          <w:pPr>
            <w:rPr>
              <w:b/>
              <w:bCs/>
              <w:noProof/>
            </w:rPr>
          </w:pPr>
        </w:p>
        <w:p w14:paraId="500FD923" w14:textId="77777777" w:rsidR="00434C73" w:rsidRDefault="00434C73" w:rsidP="00434C73">
          <w:pPr>
            <w:rPr>
              <w:b/>
              <w:bCs/>
              <w:noProof/>
            </w:rPr>
          </w:pPr>
        </w:p>
        <w:p w14:paraId="1A57EAD1" w14:textId="77777777" w:rsidR="00434C73" w:rsidRDefault="00434C73" w:rsidP="00434C73">
          <w:pPr>
            <w:rPr>
              <w:b/>
              <w:bCs/>
              <w:noProof/>
            </w:rPr>
          </w:pPr>
        </w:p>
        <w:p w14:paraId="30EB5D38" w14:textId="77777777" w:rsidR="00434C73" w:rsidRDefault="00434C73" w:rsidP="00434C73">
          <w:pPr>
            <w:rPr>
              <w:b/>
              <w:bCs/>
              <w:noProof/>
            </w:rPr>
          </w:pPr>
        </w:p>
        <w:p w14:paraId="265ADFEF" w14:textId="77777777" w:rsidR="00434C73" w:rsidRDefault="00434C73" w:rsidP="00434C73">
          <w:pPr>
            <w:rPr>
              <w:b/>
              <w:bCs/>
              <w:noProof/>
            </w:rPr>
          </w:pPr>
        </w:p>
        <w:p w14:paraId="44BC819A" w14:textId="77777777" w:rsidR="00434C73" w:rsidRDefault="00434C73" w:rsidP="00434C73">
          <w:pPr>
            <w:rPr>
              <w:b/>
              <w:bCs/>
              <w:noProof/>
            </w:rPr>
          </w:pPr>
        </w:p>
        <w:p w14:paraId="2D7C4003" w14:textId="77777777" w:rsidR="00434C73" w:rsidRDefault="00434C73" w:rsidP="00434C73">
          <w:pPr>
            <w:rPr>
              <w:b/>
              <w:bCs/>
              <w:noProof/>
            </w:rPr>
          </w:pPr>
        </w:p>
        <w:p w14:paraId="1A68F4A5" w14:textId="77777777" w:rsidR="00434C73" w:rsidRDefault="00434C73" w:rsidP="00434C73">
          <w:pPr>
            <w:rPr>
              <w:b/>
              <w:bCs/>
              <w:noProof/>
            </w:rPr>
          </w:pPr>
        </w:p>
        <w:p w14:paraId="4AF061B9" w14:textId="77777777" w:rsidR="00434C73" w:rsidRDefault="00434C73" w:rsidP="00434C73">
          <w:pPr>
            <w:rPr>
              <w:b/>
              <w:bCs/>
              <w:noProof/>
            </w:rPr>
          </w:pPr>
        </w:p>
        <w:p w14:paraId="2CDA43D1" w14:textId="77777777" w:rsidR="00434C73" w:rsidRDefault="00434C73" w:rsidP="00434C73">
          <w:pPr>
            <w:rPr>
              <w:b/>
              <w:bCs/>
              <w:noProof/>
            </w:rPr>
          </w:pPr>
        </w:p>
        <w:p w14:paraId="5D9082DB" w14:textId="77777777" w:rsidR="00434C73" w:rsidRDefault="00434C73" w:rsidP="00434C73">
          <w:pPr>
            <w:rPr>
              <w:b/>
              <w:bCs/>
              <w:noProof/>
            </w:rPr>
          </w:pPr>
        </w:p>
        <w:p w14:paraId="675A0228" w14:textId="77777777" w:rsidR="00434C73" w:rsidRDefault="00434C73" w:rsidP="00434C73">
          <w:pPr>
            <w:rPr>
              <w:b/>
              <w:bCs/>
              <w:noProof/>
            </w:rPr>
          </w:pPr>
        </w:p>
        <w:p w14:paraId="1AA4E547" w14:textId="1EF452F0" w:rsidR="00434C73" w:rsidRPr="00434C73" w:rsidRDefault="00000000" w:rsidP="00434C73">
          <w:pPr>
            <w:rPr>
              <w:b/>
              <w:bCs/>
              <w:noProof/>
            </w:rPr>
          </w:pPr>
        </w:p>
      </w:sdtContent>
    </w:sdt>
    <w:p w14:paraId="3390A0D6" w14:textId="724665A0" w:rsidR="007725E5" w:rsidRDefault="007725E5" w:rsidP="0005136F">
      <w:pPr>
        <w:pStyle w:val="Heading2"/>
      </w:pPr>
      <w:bookmarkStart w:id="0" w:name="_Toc228577604"/>
      <w:r>
        <w:lastRenderedPageBreak/>
        <w:t>Figure of Table</w:t>
      </w:r>
      <w:bookmarkEnd w:id="0"/>
    </w:p>
    <w:p w14:paraId="73DEBC80" w14:textId="77777777" w:rsidR="007725E5" w:rsidRPr="007725E5" w:rsidRDefault="007725E5" w:rsidP="007725E5"/>
    <w:p w14:paraId="00D2D321" w14:textId="29C52D0C" w:rsidR="00551168" w:rsidRDefault="007725E5">
      <w:pPr>
        <w:pStyle w:val="TableofFigures"/>
        <w:tabs>
          <w:tab w:val="right" w:leader="dot" w:pos="9016"/>
        </w:tabs>
        <w:rPr>
          <w:rFonts w:eastAsiaTheme="minorEastAsia"/>
          <w:noProof/>
          <w:kern w:val="2"/>
          <w:sz w:val="24"/>
          <w:szCs w:val="24"/>
          <w:lang w:eastAsia="en-IN"/>
          <w14:ligatures w14:val="standardContextual"/>
        </w:rPr>
      </w:pPr>
      <w:r>
        <w:fldChar w:fldCharType="begin"/>
      </w:r>
      <w:r>
        <w:instrText xml:space="preserve"> TOC \h \z \c "Figure" </w:instrText>
      </w:r>
      <w:r>
        <w:fldChar w:fldCharType="separate"/>
      </w:r>
      <w:hyperlink w:anchor="_Toc228816046" w:history="1">
        <w:r w:rsidR="00551168" w:rsidRPr="001B4238">
          <w:rPr>
            <w:rStyle w:val="Hyperlink"/>
            <w:noProof/>
          </w:rPr>
          <w:t xml:space="preserve">Figure 1:TradingAgents framework showing data sources, Researcher Team, Trader, Risk Management Team, and execution process </w:t>
        </w:r>
        <w:r w:rsidR="00551168" w:rsidRPr="001B4238">
          <w:rPr>
            <w:rStyle w:val="Hyperlink"/>
            <w:rFonts w:ascii="Aptos" w:hAnsi="Aptos"/>
            <w:noProof/>
          </w:rPr>
          <w:t>[5]</w:t>
        </w:r>
        <w:r w:rsidR="00551168">
          <w:rPr>
            <w:noProof/>
            <w:webHidden/>
          </w:rPr>
          <w:tab/>
        </w:r>
        <w:r w:rsidR="00551168">
          <w:rPr>
            <w:noProof/>
            <w:webHidden/>
          </w:rPr>
          <w:fldChar w:fldCharType="begin"/>
        </w:r>
        <w:r w:rsidR="00551168">
          <w:rPr>
            <w:noProof/>
            <w:webHidden/>
          </w:rPr>
          <w:instrText xml:space="preserve"> PAGEREF _Toc228816046 \h </w:instrText>
        </w:r>
        <w:r w:rsidR="00551168">
          <w:rPr>
            <w:noProof/>
            <w:webHidden/>
          </w:rPr>
        </w:r>
        <w:r w:rsidR="00551168">
          <w:rPr>
            <w:noProof/>
            <w:webHidden/>
          </w:rPr>
          <w:fldChar w:fldCharType="separate"/>
        </w:r>
        <w:r w:rsidR="00551168">
          <w:rPr>
            <w:noProof/>
            <w:webHidden/>
          </w:rPr>
          <w:t>16</w:t>
        </w:r>
        <w:r w:rsidR="00551168">
          <w:rPr>
            <w:noProof/>
            <w:webHidden/>
          </w:rPr>
          <w:fldChar w:fldCharType="end"/>
        </w:r>
      </w:hyperlink>
    </w:p>
    <w:p w14:paraId="32FA48CB" w14:textId="0BB848DA"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47" w:history="1">
        <w:r w:rsidRPr="001B4238">
          <w:rPr>
            <w:rStyle w:val="Hyperlink"/>
            <w:noProof/>
          </w:rPr>
          <w:t xml:space="preserve">Figure 2: FINCON Manager-Analyst architecture showing Analyst Agents, Manager Agent, and Risk-Control Component </w:t>
        </w:r>
        <w:r w:rsidRPr="001B4238">
          <w:rPr>
            <w:rStyle w:val="Hyperlink"/>
            <w:rFonts w:ascii="Aptos" w:hAnsi="Aptos"/>
            <w:noProof/>
          </w:rPr>
          <w:t>[6]</w:t>
        </w:r>
        <w:r>
          <w:rPr>
            <w:noProof/>
            <w:webHidden/>
          </w:rPr>
          <w:tab/>
        </w:r>
        <w:r>
          <w:rPr>
            <w:noProof/>
            <w:webHidden/>
          </w:rPr>
          <w:fldChar w:fldCharType="begin"/>
        </w:r>
        <w:r>
          <w:rPr>
            <w:noProof/>
            <w:webHidden/>
          </w:rPr>
          <w:instrText xml:space="preserve"> PAGEREF _Toc228816047 \h </w:instrText>
        </w:r>
        <w:r>
          <w:rPr>
            <w:noProof/>
            <w:webHidden/>
          </w:rPr>
        </w:r>
        <w:r>
          <w:rPr>
            <w:noProof/>
            <w:webHidden/>
          </w:rPr>
          <w:fldChar w:fldCharType="separate"/>
        </w:r>
        <w:r>
          <w:rPr>
            <w:noProof/>
            <w:webHidden/>
          </w:rPr>
          <w:t>17</w:t>
        </w:r>
        <w:r>
          <w:rPr>
            <w:noProof/>
            <w:webHidden/>
          </w:rPr>
          <w:fldChar w:fldCharType="end"/>
        </w:r>
      </w:hyperlink>
    </w:p>
    <w:p w14:paraId="46C7693E" w14:textId="2F5A2710"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48" w:history="1">
        <w:r w:rsidRPr="001B4238">
          <w:rPr>
            <w:rStyle w:val="Hyperlink"/>
            <w:noProof/>
          </w:rPr>
          <w:t xml:space="preserve">Figure 3: M-GRPO workflow showing how Main Agent and Sub-agents process queries together </w:t>
        </w:r>
        <w:r w:rsidRPr="001B4238">
          <w:rPr>
            <w:rStyle w:val="Hyperlink"/>
            <w:rFonts w:ascii="Aptos" w:hAnsi="Aptos"/>
            <w:noProof/>
          </w:rPr>
          <w:t>[7]</w:t>
        </w:r>
        <w:r>
          <w:rPr>
            <w:noProof/>
            <w:webHidden/>
          </w:rPr>
          <w:tab/>
        </w:r>
        <w:r>
          <w:rPr>
            <w:noProof/>
            <w:webHidden/>
          </w:rPr>
          <w:fldChar w:fldCharType="begin"/>
        </w:r>
        <w:r>
          <w:rPr>
            <w:noProof/>
            <w:webHidden/>
          </w:rPr>
          <w:instrText xml:space="preserve"> PAGEREF _Toc228816048 \h </w:instrText>
        </w:r>
        <w:r>
          <w:rPr>
            <w:noProof/>
            <w:webHidden/>
          </w:rPr>
        </w:r>
        <w:r>
          <w:rPr>
            <w:noProof/>
            <w:webHidden/>
          </w:rPr>
          <w:fldChar w:fldCharType="separate"/>
        </w:r>
        <w:r>
          <w:rPr>
            <w:noProof/>
            <w:webHidden/>
          </w:rPr>
          <w:t>17</w:t>
        </w:r>
        <w:r>
          <w:rPr>
            <w:noProof/>
            <w:webHidden/>
          </w:rPr>
          <w:fldChar w:fldCharType="end"/>
        </w:r>
      </w:hyperlink>
    </w:p>
    <w:p w14:paraId="6B1D382A" w14:textId="071F0B8B"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49" w:history="1">
        <w:r w:rsidRPr="001B4238">
          <w:rPr>
            <w:rStyle w:val="Hyperlink"/>
            <w:noProof/>
          </w:rPr>
          <w:t xml:space="preserve">Figure 4: GEPA genetic optimisation loop showing trajectory sampling, natural language reflection, prompt mutation, and Pareto-based selection for maintaining diverse top-performing prompts </w:t>
        </w:r>
        <w:r w:rsidRPr="001B4238">
          <w:rPr>
            <w:rStyle w:val="Hyperlink"/>
            <w:rFonts w:ascii="Aptos" w:hAnsi="Aptos"/>
            <w:noProof/>
          </w:rPr>
          <w:t>[16]</w:t>
        </w:r>
        <w:r>
          <w:rPr>
            <w:noProof/>
            <w:webHidden/>
          </w:rPr>
          <w:tab/>
        </w:r>
        <w:r>
          <w:rPr>
            <w:noProof/>
            <w:webHidden/>
          </w:rPr>
          <w:fldChar w:fldCharType="begin"/>
        </w:r>
        <w:r>
          <w:rPr>
            <w:noProof/>
            <w:webHidden/>
          </w:rPr>
          <w:instrText xml:space="preserve"> PAGEREF _Toc228816049 \h </w:instrText>
        </w:r>
        <w:r>
          <w:rPr>
            <w:noProof/>
            <w:webHidden/>
          </w:rPr>
        </w:r>
        <w:r>
          <w:rPr>
            <w:noProof/>
            <w:webHidden/>
          </w:rPr>
          <w:fldChar w:fldCharType="separate"/>
        </w:r>
        <w:r>
          <w:rPr>
            <w:noProof/>
            <w:webHidden/>
          </w:rPr>
          <w:t>18</w:t>
        </w:r>
        <w:r>
          <w:rPr>
            <w:noProof/>
            <w:webHidden/>
          </w:rPr>
          <w:fldChar w:fldCharType="end"/>
        </w:r>
      </w:hyperlink>
    </w:p>
    <w:p w14:paraId="5B009419" w14:textId="297E1DE5"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50" w:history="1">
        <w:r w:rsidRPr="001B4238">
          <w:rPr>
            <w:rStyle w:val="Hyperlink"/>
            <w:noProof/>
          </w:rPr>
          <w:t xml:space="preserve">Figure 5: ProTeGi textual gradient descent process showing prompt evaluation, natural language gradient generation, and beam search selection </w:t>
        </w:r>
        <w:r w:rsidRPr="001B4238">
          <w:rPr>
            <w:rStyle w:val="Hyperlink"/>
            <w:rFonts w:ascii="Aptos" w:hAnsi="Aptos"/>
            <w:noProof/>
          </w:rPr>
          <w:t>[15]</w:t>
        </w:r>
        <w:r>
          <w:rPr>
            <w:noProof/>
            <w:webHidden/>
          </w:rPr>
          <w:tab/>
        </w:r>
        <w:r>
          <w:rPr>
            <w:noProof/>
            <w:webHidden/>
          </w:rPr>
          <w:fldChar w:fldCharType="begin"/>
        </w:r>
        <w:r>
          <w:rPr>
            <w:noProof/>
            <w:webHidden/>
          </w:rPr>
          <w:instrText xml:space="preserve"> PAGEREF _Toc228816050 \h </w:instrText>
        </w:r>
        <w:r>
          <w:rPr>
            <w:noProof/>
            <w:webHidden/>
          </w:rPr>
        </w:r>
        <w:r>
          <w:rPr>
            <w:noProof/>
            <w:webHidden/>
          </w:rPr>
          <w:fldChar w:fldCharType="separate"/>
        </w:r>
        <w:r>
          <w:rPr>
            <w:noProof/>
            <w:webHidden/>
          </w:rPr>
          <w:t>19</w:t>
        </w:r>
        <w:r>
          <w:rPr>
            <w:noProof/>
            <w:webHidden/>
          </w:rPr>
          <w:fldChar w:fldCharType="end"/>
        </w:r>
      </w:hyperlink>
    </w:p>
    <w:p w14:paraId="403E7233" w14:textId="4D17930E"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51" w:history="1">
        <w:r w:rsidRPr="001B4238">
          <w:rPr>
            <w:rStyle w:val="Hyperlink"/>
            <w:noProof/>
          </w:rPr>
          <w:t xml:space="preserve">Figure 6: FinRL three-layer modular architecture showing data processing, agent training, and live trading components </w:t>
        </w:r>
        <w:r w:rsidRPr="001B4238">
          <w:rPr>
            <w:rStyle w:val="Hyperlink"/>
            <w:rFonts w:ascii="Aptos" w:hAnsi="Aptos"/>
            <w:noProof/>
          </w:rPr>
          <w:t>[23]</w:t>
        </w:r>
        <w:r>
          <w:rPr>
            <w:noProof/>
            <w:webHidden/>
          </w:rPr>
          <w:tab/>
        </w:r>
        <w:r>
          <w:rPr>
            <w:noProof/>
            <w:webHidden/>
          </w:rPr>
          <w:fldChar w:fldCharType="begin"/>
        </w:r>
        <w:r>
          <w:rPr>
            <w:noProof/>
            <w:webHidden/>
          </w:rPr>
          <w:instrText xml:space="preserve"> PAGEREF _Toc228816051 \h </w:instrText>
        </w:r>
        <w:r>
          <w:rPr>
            <w:noProof/>
            <w:webHidden/>
          </w:rPr>
        </w:r>
        <w:r>
          <w:rPr>
            <w:noProof/>
            <w:webHidden/>
          </w:rPr>
          <w:fldChar w:fldCharType="separate"/>
        </w:r>
        <w:r>
          <w:rPr>
            <w:noProof/>
            <w:webHidden/>
          </w:rPr>
          <w:t>20</w:t>
        </w:r>
        <w:r>
          <w:rPr>
            <w:noProof/>
            <w:webHidden/>
          </w:rPr>
          <w:fldChar w:fldCharType="end"/>
        </w:r>
      </w:hyperlink>
    </w:p>
    <w:p w14:paraId="36AFF6AE" w14:textId="41CA9F55"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52" w:history="1">
        <w:r w:rsidRPr="001B4238">
          <w:rPr>
            <w:rStyle w:val="Hyperlink"/>
            <w:noProof/>
          </w:rPr>
          <w:t xml:space="preserve">Figure 7: MTS system architecture showing time-aware embedding, parallel DRL strategy, and risk-adjusted reward components </w:t>
        </w:r>
        <w:r w:rsidRPr="001B4238">
          <w:rPr>
            <w:rStyle w:val="Hyperlink"/>
            <w:rFonts w:ascii="Aptos" w:hAnsi="Aptos"/>
            <w:noProof/>
          </w:rPr>
          <w:t>[22]</w:t>
        </w:r>
        <w:r>
          <w:rPr>
            <w:noProof/>
            <w:webHidden/>
          </w:rPr>
          <w:tab/>
        </w:r>
        <w:r>
          <w:rPr>
            <w:noProof/>
            <w:webHidden/>
          </w:rPr>
          <w:fldChar w:fldCharType="begin"/>
        </w:r>
        <w:r>
          <w:rPr>
            <w:noProof/>
            <w:webHidden/>
          </w:rPr>
          <w:instrText xml:space="preserve"> PAGEREF _Toc228816052 \h </w:instrText>
        </w:r>
        <w:r>
          <w:rPr>
            <w:noProof/>
            <w:webHidden/>
          </w:rPr>
        </w:r>
        <w:r>
          <w:rPr>
            <w:noProof/>
            <w:webHidden/>
          </w:rPr>
          <w:fldChar w:fldCharType="separate"/>
        </w:r>
        <w:r>
          <w:rPr>
            <w:noProof/>
            <w:webHidden/>
          </w:rPr>
          <w:t>20</w:t>
        </w:r>
        <w:r>
          <w:rPr>
            <w:noProof/>
            <w:webHidden/>
          </w:rPr>
          <w:fldChar w:fldCharType="end"/>
        </w:r>
      </w:hyperlink>
    </w:p>
    <w:p w14:paraId="1797371F" w14:textId="209654FE"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53" w:history="1">
        <w:r w:rsidRPr="001B4238">
          <w:rPr>
            <w:rStyle w:val="Hyperlink"/>
            <w:noProof/>
          </w:rPr>
          <w:t xml:space="preserve">Figure 8: FinBERT architecture showing pre-training on financial text, further pre-training, and classification fine-tuning for sentiment analysis </w:t>
        </w:r>
        <w:r w:rsidRPr="001B4238">
          <w:rPr>
            <w:rStyle w:val="Hyperlink"/>
            <w:rFonts w:ascii="Aptos" w:hAnsi="Aptos"/>
            <w:noProof/>
          </w:rPr>
          <w:t>[33]</w:t>
        </w:r>
        <w:r>
          <w:rPr>
            <w:noProof/>
            <w:webHidden/>
          </w:rPr>
          <w:tab/>
        </w:r>
        <w:r>
          <w:rPr>
            <w:noProof/>
            <w:webHidden/>
          </w:rPr>
          <w:fldChar w:fldCharType="begin"/>
        </w:r>
        <w:r>
          <w:rPr>
            <w:noProof/>
            <w:webHidden/>
          </w:rPr>
          <w:instrText xml:space="preserve"> PAGEREF _Toc228816053 \h </w:instrText>
        </w:r>
        <w:r>
          <w:rPr>
            <w:noProof/>
            <w:webHidden/>
          </w:rPr>
        </w:r>
        <w:r>
          <w:rPr>
            <w:noProof/>
            <w:webHidden/>
          </w:rPr>
          <w:fldChar w:fldCharType="separate"/>
        </w:r>
        <w:r>
          <w:rPr>
            <w:noProof/>
            <w:webHidden/>
          </w:rPr>
          <w:t>22</w:t>
        </w:r>
        <w:r>
          <w:rPr>
            <w:noProof/>
            <w:webHidden/>
          </w:rPr>
          <w:fldChar w:fldCharType="end"/>
        </w:r>
      </w:hyperlink>
    </w:p>
    <w:p w14:paraId="1F2A65CC" w14:textId="44E8B34A"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54" w:history="1">
        <w:r w:rsidRPr="001B4238">
          <w:rPr>
            <w:rStyle w:val="Hyperlink"/>
            <w:noProof/>
          </w:rPr>
          <w:t>Figure 9: Cumulative returns comparing LLM-based sentiment trading strategies against traditional portfolios, showing 355% gains with OPT model</w:t>
        </w:r>
        <w:r>
          <w:rPr>
            <w:noProof/>
            <w:webHidden/>
          </w:rPr>
          <w:tab/>
        </w:r>
        <w:r>
          <w:rPr>
            <w:noProof/>
            <w:webHidden/>
          </w:rPr>
          <w:fldChar w:fldCharType="begin"/>
        </w:r>
        <w:r>
          <w:rPr>
            <w:noProof/>
            <w:webHidden/>
          </w:rPr>
          <w:instrText xml:space="preserve"> PAGEREF _Toc228816054 \h </w:instrText>
        </w:r>
        <w:r>
          <w:rPr>
            <w:noProof/>
            <w:webHidden/>
          </w:rPr>
        </w:r>
        <w:r>
          <w:rPr>
            <w:noProof/>
            <w:webHidden/>
          </w:rPr>
          <w:fldChar w:fldCharType="separate"/>
        </w:r>
        <w:r>
          <w:rPr>
            <w:noProof/>
            <w:webHidden/>
          </w:rPr>
          <w:t>23</w:t>
        </w:r>
        <w:r>
          <w:rPr>
            <w:noProof/>
            <w:webHidden/>
          </w:rPr>
          <w:fldChar w:fldCharType="end"/>
        </w:r>
      </w:hyperlink>
    </w:p>
    <w:p w14:paraId="38900C2A" w14:textId="76C04A12"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55" w:history="1">
        <w:r w:rsidRPr="001B4238">
          <w:rPr>
            <w:rStyle w:val="Hyperlink"/>
            <w:noProof/>
          </w:rPr>
          <w:t xml:space="preserve">Figure 10: Instruction tuning template for Instruct-FinGPT showing how sentiment data is formatted for LLM processing  </w:t>
        </w:r>
        <w:r w:rsidRPr="001B4238">
          <w:rPr>
            <w:rStyle w:val="Hyperlink"/>
            <w:rFonts w:ascii="Aptos" w:hAnsi="Aptos"/>
            <w:noProof/>
          </w:rPr>
          <w:t>[37]</w:t>
        </w:r>
        <w:r>
          <w:rPr>
            <w:noProof/>
            <w:webHidden/>
          </w:rPr>
          <w:tab/>
        </w:r>
        <w:r>
          <w:rPr>
            <w:noProof/>
            <w:webHidden/>
          </w:rPr>
          <w:fldChar w:fldCharType="begin"/>
        </w:r>
        <w:r>
          <w:rPr>
            <w:noProof/>
            <w:webHidden/>
          </w:rPr>
          <w:instrText xml:space="preserve"> PAGEREF _Toc228816055 \h </w:instrText>
        </w:r>
        <w:r>
          <w:rPr>
            <w:noProof/>
            <w:webHidden/>
          </w:rPr>
        </w:r>
        <w:r>
          <w:rPr>
            <w:noProof/>
            <w:webHidden/>
          </w:rPr>
          <w:fldChar w:fldCharType="separate"/>
        </w:r>
        <w:r>
          <w:rPr>
            <w:noProof/>
            <w:webHidden/>
          </w:rPr>
          <w:t>23</w:t>
        </w:r>
        <w:r>
          <w:rPr>
            <w:noProof/>
            <w:webHidden/>
          </w:rPr>
          <w:fldChar w:fldCharType="end"/>
        </w:r>
      </w:hyperlink>
    </w:p>
    <w:p w14:paraId="092F84EC" w14:textId="2D46F5CF"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56" w:history="1">
        <w:r w:rsidRPr="001B4238">
          <w:rPr>
            <w:rStyle w:val="Hyperlink"/>
            <w:noProof/>
          </w:rPr>
          <w:t>Figure 11: Comparison of Standard prompting, Chain-of-Thought, Act-only, and ReAct approaches across question-answering and decision-making tasks [41]</w:t>
        </w:r>
        <w:r>
          <w:rPr>
            <w:noProof/>
            <w:webHidden/>
          </w:rPr>
          <w:tab/>
        </w:r>
        <w:r>
          <w:rPr>
            <w:noProof/>
            <w:webHidden/>
          </w:rPr>
          <w:fldChar w:fldCharType="begin"/>
        </w:r>
        <w:r>
          <w:rPr>
            <w:noProof/>
            <w:webHidden/>
          </w:rPr>
          <w:instrText xml:space="preserve"> PAGEREF _Toc228816056 \h </w:instrText>
        </w:r>
        <w:r>
          <w:rPr>
            <w:noProof/>
            <w:webHidden/>
          </w:rPr>
        </w:r>
        <w:r>
          <w:rPr>
            <w:noProof/>
            <w:webHidden/>
          </w:rPr>
          <w:fldChar w:fldCharType="separate"/>
        </w:r>
        <w:r>
          <w:rPr>
            <w:noProof/>
            <w:webHidden/>
          </w:rPr>
          <w:t>25</w:t>
        </w:r>
        <w:r>
          <w:rPr>
            <w:noProof/>
            <w:webHidden/>
          </w:rPr>
          <w:fldChar w:fldCharType="end"/>
        </w:r>
      </w:hyperlink>
    </w:p>
    <w:p w14:paraId="7F0B0728" w14:textId="37175829"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57" w:history="1">
        <w:r w:rsidRPr="001B4238">
          <w:rPr>
            <w:rStyle w:val="Hyperlink"/>
            <w:noProof/>
          </w:rPr>
          <w:t xml:space="preserve">Figure 12: MetaGPT framework showing software development SOPs with different agent roles (Product Manager, Architect, Engineer, QA) and the shared message pool for communication </w:t>
        </w:r>
        <w:r w:rsidRPr="001B4238">
          <w:rPr>
            <w:rStyle w:val="Hyperlink"/>
            <w:rFonts w:ascii="Aptos" w:hAnsi="Aptos"/>
            <w:noProof/>
          </w:rPr>
          <w:t>[40]</w:t>
        </w:r>
        <w:r>
          <w:rPr>
            <w:noProof/>
            <w:webHidden/>
          </w:rPr>
          <w:tab/>
        </w:r>
        <w:r>
          <w:rPr>
            <w:noProof/>
            <w:webHidden/>
          </w:rPr>
          <w:fldChar w:fldCharType="begin"/>
        </w:r>
        <w:r>
          <w:rPr>
            <w:noProof/>
            <w:webHidden/>
          </w:rPr>
          <w:instrText xml:space="preserve"> PAGEREF _Toc228816057 \h </w:instrText>
        </w:r>
        <w:r>
          <w:rPr>
            <w:noProof/>
            <w:webHidden/>
          </w:rPr>
        </w:r>
        <w:r>
          <w:rPr>
            <w:noProof/>
            <w:webHidden/>
          </w:rPr>
          <w:fldChar w:fldCharType="separate"/>
        </w:r>
        <w:r>
          <w:rPr>
            <w:noProof/>
            <w:webHidden/>
          </w:rPr>
          <w:t>26</w:t>
        </w:r>
        <w:r>
          <w:rPr>
            <w:noProof/>
            <w:webHidden/>
          </w:rPr>
          <w:fldChar w:fldCharType="end"/>
        </w:r>
      </w:hyperlink>
    </w:p>
    <w:p w14:paraId="651E76ED" w14:textId="663AD10C"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58" w:history="1">
        <w:r w:rsidRPr="001B4238">
          <w:rPr>
            <w:rStyle w:val="Hyperlink"/>
            <w:noProof/>
          </w:rPr>
          <w:t xml:space="preserve">Figure 13: Four typical communication structures for multi-agent systems: Layered, Decentralised, Centralised, and Shared Message Pool </w:t>
        </w:r>
        <w:r w:rsidRPr="001B4238">
          <w:rPr>
            <w:rStyle w:val="Hyperlink"/>
            <w:rFonts w:ascii="Aptos" w:hAnsi="Aptos"/>
            <w:noProof/>
          </w:rPr>
          <w:t>[48]</w:t>
        </w:r>
        <w:r>
          <w:rPr>
            <w:noProof/>
            <w:webHidden/>
          </w:rPr>
          <w:tab/>
        </w:r>
        <w:r>
          <w:rPr>
            <w:noProof/>
            <w:webHidden/>
          </w:rPr>
          <w:fldChar w:fldCharType="begin"/>
        </w:r>
        <w:r>
          <w:rPr>
            <w:noProof/>
            <w:webHidden/>
          </w:rPr>
          <w:instrText xml:space="preserve"> PAGEREF _Toc228816058 \h </w:instrText>
        </w:r>
        <w:r>
          <w:rPr>
            <w:noProof/>
            <w:webHidden/>
          </w:rPr>
        </w:r>
        <w:r>
          <w:rPr>
            <w:noProof/>
            <w:webHidden/>
          </w:rPr>
          <w:fldChar w:fldCharType="separate"/>
        </w:r>
        <w:r>
          <w:rPr>
            <w:noProof/>
            <w:webHidden/>
          </w:rPr>
          <w:t>27</w:t>
        </w:r>
        <w:r>
          <w:rPr>
            <w:noProof/>
            <w:webHidden/>
          </w:rPr>
          <w:fldChar w:fldCharType="end"/>
        </w:r>
      </w:hyperlink>
    </w:p>
    <w:p w14:paraId="5CC5436E" w14:textId="3E62DC39"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59" w:history="1">
        <w:r w:rsidRPr="001B4238">
          <w:rPr>
            <w:rStyle w:val="Hyperlink"/>
            <w:noProof/>
          </w:rPr>
          <w:t xml:space="preserve">Figure 14: FinGPT five-layer framework showing Data Source, Data Engineering, LLMs, Tasks, and Applications layers for financial language model deployment </w:t>
        </w:r>
        <w:r w:rsidRPr="001B4238">
          <w:rPr>
            <w:rStyle w:val="Hyperlink"/>
            <w:rFonts w:ascii="Aptos" w:hAnsi="Aptos"/>
            <w:noProof/>
          </w:rPr>
          <w:t>[49]</w:t>
        </w:r>
        <w:r>
          <w:rPr>
            <w:noProof/>
            <w:webHidden/>
          </w:rPr>
          <w:tab/>
        </w:r>
        <w:r>
          <w:rPr>
            <w:noProof/>
            <w:webHidden/>
          </w:rPr>
          <w:fldChar w:fldCharType="begin"/>
        </w:r>
        <w:r>
          <w:rPr>
            <w:noProof/>
            <w:webHidden/>
          </w:rPr>
          <w:instrText xml:space="preserve"> PAGEREF _Toc228816059 \h </w:instrText>
        </w:r>
        <w:r>
          <w:rPr>
            <w:noProof/>
            <w:webHidden/>
          </w:rPr>
        </w:r>
        <w:r>
          <w:rPr>
            <w:noProof/>
            <w:webHidden/>
          </w:rPr>
          <w:fldChar w:fldCharType="separate"/>
        </w:r>
        <w:r>
          <w:rPr>
            <w:noProof/>
            <w:webHidden/>
          </w:rPr>
          <w:t>28</w:t>
        </w:r>
        <w:r>
          <w:rPr>
            <w:noProof/>
            <w:webHidden/>
          </w:rPr>
          <w:fldChar w:fldCharType="end"/>
        </w:r>
      </w:hyperlink>
    </w:p>
    <w:p w14:paraId="16B8AAEE" w14:textId="3879B72C"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60" w:history="1">
        <w:r w:rsidRPr="001B4238">
          <w:rPr>
            <w:rStyle w:val="Hyperlink"/>
            <w:noProof/>
          </w:rPr>
          <w:t xml:space="preserve">Figure 15: SEP framework showing Summarize, Explain, and Predict modules with self-reflective loop for generating explainable stock predictions </w:t>
        </w:r>
        <w:r w:rsidRPr="001B4238">
          <w:rPr>
            <w:rStyle w:val="Hyperlink"/>
            <w:rFonts w:ascii="Aptos" w:hAnsi="Aptos"/>
            <w:noProof/>
          </w:rPr>
          <w:t>[52]</w:t>
        </w:r>
        <w:r>
          <w:rPr>
            <w:noProof/>
            <w:webHidden/>
          </w:rPr>
          <w:tab/>
        </w:r>
        <w:r>
          <w:rPr>
            <w:noProof/>
            <w:webHidden/>
          </w:rPr>
          <w:fldChar w:fldCharType="begin"/>
        </w:r>
        <w:r>
          <w:rPr>
            <w:noProof/>
            <w:webHidden/>
          </w:rPr>
          <w:instrText xml:space="preserve"> PAGEREF _Toc228816060 \h </w:instrText>
        </w:r>
        <w:r>
          <w:rPr>
            <w:noProof/>
            <w:webHidden/>
          </w:rPr>
        </w:r>
        <w:r>
          <w:rPr>
            <w:noProof/>
            <w:webHidden/>
          </w:rPr>
          <w:fldChar w:fldCharType="separate"/>
        </w:r>
        <w:r>
          <w:rPr>
            <w:noProof/>
            <w:webHidden/>
          </w:rPr>
          <w:t>28</w:t>
        </w:r>
        <w:r>
          <w:rPr>
            <w:noProof/>
            <w:webHidden/>
          </w:rPr>
          <w:fldChar w:fldCharType="end"/>
        </w:r>
      </w:hyperlink>
    </w:p>
    <w:p w14:paraId="45822961" w14:textId="115AA491"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61" w:history="1">
        <w:r w:rsidRPr="001B4238">
          <w:rPr>
            <w:rStyle w:val="Hyperlink"/>
            <w:noProof/>
          </w:rPr>
          <w:t>Figure 16: Daily decision pipeline showing how seven specialised agents process financial data and collectively produce final trading decisions.</w:t>
        </w:r>
        <w:r>
          <w:rPr>
            <w:noProof/>
            <w:webHidden/>
          </w:rPr>
          <w:tab/>
        </w:r>
        <w:r>
          <w:rPr>
            <w:noProof/>
            <w:webHidden/>
          </w:rPr>
          <w:fldChar w:fldCharType="begin"/>
        </w:r>
        <w:r>
          <w:rPr>
            <w:noProof/>
            <w:webHidden/>
          </w:rPr>
          <w:instrText xml:space="preserve"> PAGEREF _Toc228816061 \h </w:instrText>
        </w:r>
        <w:r>
          <w:rPr>
            <w:noProof/>
            <w:webHidden/>
          </w:rPr>
        </w:r>
        <w:r>
          <w:rPr>
            <w:noProof/>
            <w:webHidden/>
          </w:rPr>
          <w:fldChar w:fldCharType="separate"/>
        </w:r>
        <w:r>
          <w:rPr>
            <w:noProof/>
            <w:webHidden/>
          </w:rPr>
          <w:t>36</w:t>
        </w:r>
        <w:r>
          <w:rPr>
            <w:noProof/>
            <w:webHidden/>
          </w:rPr>
          <w:fldChar w:fldCharType="end"/>
        </w:r>
      </w:hyperlink>
    </w:p>
    <w:p w14:paraId="2D7A3B91" w14:textId="7D467FE2"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62" w:history="1">
        <w:r w:rsidRPr="001B4238">
          <w:rPr>
            <w:rStyle w:val="Hyperlink"/>
            <w:noProof/>
          </w:rPr>
          <w:t>Figure 17: Epoch training loop illustrating how the framework simulates trading, evaluates reward, and self-corrects agent prompts based on drawdown level.</w:t>
        </w:r>
        <w:r>
          <w:rPr>
            <w:noProof/>
            <w:webHidden/>
          </w:rPr>
          <w:tab/>
        </w:r>
        <w:r>
          <w:rPr>
            <w:noProof/>
            <w:webHidden/>
          </w:rPr>
          <w:fldChar w:fldCharType="begin"/>
        </w:r>
        <w:r>
          <w:rPr>
            <w:noProof/>
            <w:webHidden/>
          </w:rPr>
          <w:instrText xml:space="preserve"> PAGEREF _Toc228816062 \h </w:instrText>
        </w:r>
        <w:r>
          <w:rPr>
            <w:noProof/>
            <w:webHidden/>
          </w:rPr>
        </w:r>
        <w:r>
          <w:rPr>
            <w:noProof/>
            <w:webHidden/>
          </w:rPr>
          <w:fldChar w:fldCharType="separate"/>
        </w:r>
        <w:r>
          <w:rPr>
            <w:noProof/>
            <w:webHidden/>
          </w:rPr>
          <w:t>37</w:t>
        </w:r>
        <w:r>
          <w:rPr>
            <w:noProof/>
            <w:webHidden/>
          </w:rPr>
          <w:fldChar w:fldCharType="end"/>
        </w:r>
      </w:hyperlink>
    </w:p>
    <w:p w14:paraId="454BEE89" w14:textId="19E7D6CF"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63" w:history="1">
        <w:r w:rsidRPr="001B4238">
          <w:rPr>
            <w:rStyle w:val="Hyperlink"/>
            <w:noProof/>
          </w:rPr>
          <w:t>Figure 18: The agent communication flow showing the sequential passage of information from analytical signal generation through market summary aggregation, Orchestrator decision-making, confidence filtering, and final trade execution.</w:t>
        </w:r>
        <w:r>
          <w:rPr>
            <w:noProof/>
            <w:webHidden/>
          </w:rPr>
          <w:tab/>
        </w:r>
        <w:r>
          <w:rPr>
            <w:noProof/>
            <w:webHidden/>
          </w:rPr>
          <w:fldChar w:fldCharType="begin"/>
        </w:r>
        <w:r>
          <w:rPr>
            <w:noProof/>
            <w:webHidden/>
          </w:rPr>
          <w:instrText xml:space="preserve"> PAGEREF _Toc228816063 \h </w:instrText>
        </w:r>
        <w:r>
          <w:rPr>
            <w:noProof/>
            <w:webHidden/>
          </w:rPr>
        </w:r>
        <w:r>
          <w:rPr>
            <w:noProof/>
            <w:webHidden/>
          </w:rPr>
          <w:fldChar w:fldCharType="separate"/>
        </w:r>
        <w:r>
          <w:rPr>
            <w:noProof/>
            <w:webHidden/>
          </w:rPr>
          <w:t>40</w:t>
        </w:r>
        <w:r>
          <w:rPr>
            <w:noProof/>
            <w:webHidden/>
          </w:rPr>
          <w:fldChar w:fldCharType="end"/>
        </w:r>
      </w:hyperlink>
    </w:p>
    <w:p w14:paraId="0D0AD4D7" w14:textId="230FA8FE"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64" w:history="1">
        <w:r w:rsidRPr="001B4238">
          <w:rPr>
            <w:rStyle w:val="Hyperlink"/>
            <w:noProof/>
          </w:rPr>
          <w:t>Figure 19: Timeseries-wise dataset split across 2015 to 2020</w:t>
        </w:r>
        <w:r>
          <w:rPr>
            <w:noProof/>
            <w:webHidden/>
          </w:rPr>
          <w:tab/>
        </w:r>
        <w:r>
          <w:rPr>
            <w:noProof/>
            <w:webHidden/>
          </w:rPr>
          <w:fldChar w:fldCharType="begin"/>
        </w:r>
        <w:r>
          <w:rPr>
            <w:noProof/>
            <w:webHidden/>
          </w:rPr>
          <w:instrText xml:space="preserve"> PAGEREF _Toc228816064 \h </w:instrText>
        </w:r>
        <w:r>
          <w:rPr>
            <w:noProof/>
            <w:webHidden/>
          </w:rPr>
        </w:r>
        <w:r>
          <w:rPr>
            <w:noProof/>
            <w:webHidden/>
          </w:rPr>
          <w:fldChar w:fldCharType="separate"/>
        </w:r>
        <w:r>
          <w:rPr>
            <w:noProof/>
            <w:webHidden/>
          </w:rPr>
          <w:t>44</w:t>
        </w:r>
        <w:r>
          <w:rPr>
            <w:noProof/>
            <w:webHidden/>
          </w:rPr>
          <w:fldChar w:fldCharType="end"/>
        </w:r>
      </w:hyperlink>
    </w:p>
    <w:p w14:paraId="7393F220" w14:textId="784BE377"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65" w:history="1">
        <w:r w:rsidRPr="001B4238">
          <w:rPr>
            <w:rStyle w:val="Hyperlink"/>
            <w:noProof/>
          </w:rPr>
          <w:t>Figure 20: Label across different splits</w:t>
        </w:r>
        <w:r>
          <w:rPr>
            <w:noProof/>
            <w:webHidden/>
          </w:rPr>
          <w:tab/>
        </w:r>
        <w:r>
          <w:rPr>
            <w:noProof/>
            <w:webHidden/>
          </w:rPr>
          <w:fldChar w:fldCharType="begin"/>
        </w:r>
        <w:r>
          <w:rPr>
            <w:noProof/>
            <w:webHidden/>
          </w:rPr>
          <w:instrText xml:space="preserve"> PAGEREF _Toc228816065 \h </w:instrText>
        </w:r>
        <w:r>
          <w:rPr>
            <w:noProof/>
            <w:webHidden/>
          </w:rPr>
        </w:r>
        <w:r>
          <w:rPr>
            <w:noProof/>
            <w:webHidden/>
          </w:rPr>
          <w:fldChar w:fldCharType="separate"/>
        </w:r>
        <w:r>
          <w:rPr>
            <w:noProof/>
            <w:webHidden/>
          </w:rPr>
          <w:t>45</w:t>
        </w:r>
        <w:r>
          <w:rPr>
            <w:noProof/>
            <w:webHidden/>
          </w:rPr>
          <w:fldChar w:fldCharType="end"/>
        </w:r>
      </w:hyperlink>
    </w:p>
    <w:p w14:paraId="0DBCB468" w14:textId="5E2CA650"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66" w:history="1">
        <w:r w:rsidRPr="001B4238">
          <w:rPr>
            <w:rStyle w:val="Hyperlink"/>
            <w:noProof/>
          </w:rPr>
          <w:t>Figure 21: Overall Pipeline overview which represents how the different phase of dataset has been created</w:t>
        </w:r>
        <w:r>
          <w:rPr>
            <w:noProof/>
            <w:webHidden/>
          </w:rPr>
          <w:tab/>
        </w:r>
        <w:r>
          <w:rPr>
            <w:noProof/>
            <w:webHidden/>
          </w:rPr>
          <w:fldChar w:fldCharType="begin"/>
        </w:r>
        <w:r>
          <w:rPr>
            <w:noProof/>
            <w:webHidden/>
          </w:rPr>
          <w:instrText xml:space="preserve"> PAGEREF _Toc228816066 \h </w:instrText>
        </w:r>
        <w:r>
          <w:rPr>
            <w:noProof/>
            <w:webHidden/>
          </w:rPr>
        </w:r>
        <w:r>
          <w:rPr>
            <w:noProof/>
            <w:webHidden/>
          </w:rPr>
          <w:fldChar w:fldCharType="separate"/>
        </w:r>
        <w:r>
          <w:rPr>
            <w:noProof/>
            <w:webHidden/>
          </w:rPr>
          <w:t>46</w:t>
        </w:r>
        <w:r>
          <w:rPr>
            <w:noProof/>
            <w:webHidden/>
          </w:rPr>
          <w:fldChar w:fldCharType="end"/>
        </w:r>
      </w:hyperlink>
    </w:p>
    <w:p w14:paraId="1B61BA26" w14:textId="684CF8C8"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67" w:history="1">
        <w:r w:rsidRPr="001B4238">
          <w:rPr>
            <w:rStyle w:val="Hyperlink"/>
            <w:noProof/>
          </w:rPr>
          <w:t>Figure 22: The drawdown-based prompt optimisation decision tree showing the three paths taken after each 10-day simulation chunk</w:t>
        </w:r>
        <w:r>
          <w:rPr>
            <w:noProof/>
            <w:webHidden/>
          </w:rPr>
          <w:tab/>
        </w:r>
        <w:r>
          <w:rPr>
            <w:noProof/>
            <w:webHidden/>
          </w:rPr>
          <w:fldChar w:fldCharType="begin"/>
        </w:r>
        <w:r>
          <w:rPr>
            <w:noProof/>
            <w:webHidden/>
          </w:rPr>
          <w:instrText xml:space="preserve"> PAGEREF _Toc228816067 \h </w:instrText>
        </w:r>
        <w:r>
          <w:rPr>
            <w:noProof/>
            <w:webHidden/>
          </w:rPr>
        </w:r>
        <w:r>
          <w:rPr>
            <w:noProof/>
            <w:webHidden/>
          </w:rPr>
          <w:fldChar w:fldCharType="separate"/>
        </w:r>
        <w:r>
          <w:rPr>
            <w:noProof/>
            <w:webHidden/>
          </w:rPr>
          <w:t>48</w:t>
        </w:r>
        <w:r>
          <w:rPr>
            <w:noProof/>
            <w:webHidden/>
          </w:rPr>
          <w:fldChar w:fldCharType="end"/>
        </w:r>
      </w:hyperlink>
    </w:p>
    <w:p w14:paraId="0F2EF868" w14:textId="16DEFF1A"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68" w:history="1">
        <w:r w:rsidRPr="001B4238">
          <w:rPr>
            <w:rStyle w:val="Hyperlink"/>
            <w:noProof/>
          </w:rPr>
          <w:t>Figure 23: Feedback loop vs self-correct mechanism</w:t>
        </w:r>
        <w:r>
          <w:rPr>
            <w:noProof/>
            <w:webHidden/>
          </w:rPr>
          <w:tab/>
        </w:r>
        <w:r>
          <w:rPr>
            <w:noProof/>
            <w:webHidden/>
          </w:rPr>
          <w:fldChar w:fldCharType="begin"/>
        </w:r>
        <w:r>
          <w:rPr>
            <w:noProof/>
            <w:webHidden/>
          </w:rPr>
          <w:instrText xml:space="preserve"> PAGEREF _Toc228816068 \h </w:instrText>
        </w:r>
        <w:r>
          <w:rPr>
            <w:noProof/>
            <w:webHidden/>
          </w:rPr>
        </w:r>
        <w:r>
          <w:rPr>
            <w:noProof/>
            <w:webHidden/>
          </w:rPr>
          <w:fldChar w:fldCharType="separate"/>
        </w:r>
        <w:r>
          <w:rPr>
            <w:noProof/>
            <w:webHidden/>
          </w:rPr>
          <w:t>49</w:t>
        </w:r>
        <w:r>
          <w:rPr>
            <w:noProof/>
            <w:webHidden/>
          </w:rPr>
          <w:fldChar w:fldCharType="end"/>
        </w:r>
      </w:hyperlink>
    </w:p>
    <w:p w14:paraId="17FC74E4" w14:textId="3FEF9518"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69" w:history="1">
        <w:r w:rsidRPr="001B4238">
          <w:rPr>
            <w:rStyle w:val="Hyperlink"/>
            <w:noProof/>
          </w:rPr>
          <w:t>Figure 24: Conviction level mapping showing position size multiplier, base calculation, maximum portfolio allocation, and analyst agreement conditions.</w:t>
        </w:r>
        <w:r>
          <w:rPr>
            <w:noProof/>
            <w:webHidden/>
          </w:rPr>
          <w:tab/>
        </w:r>
        <w:r>
          <w:rPr>
            <w:noProof/>
            <w:webHidden/>
          </w:rPr>
          <w:fldChar w:fldCharType="begin"/>
        </w:r>
        <w:r>
          <w:rPr>
            <w:noProof/>
            <w:webHidden/>
          </w:rPr>
          <w:instrText xml:space="preserve"> PAGEREF _Toc228816069 \h </w:instrText>
        </w:r>
        <w:r>
          <w:rPr>
            <w:noProof/>
            <w:webHidden/>
          </w:rPr>
        </w:r>
        <w:r>
          <w:rPr>
            <w:noProof/>
            <w:webHidden/>
          </w:rPr>
          <w:fldChar w:fldCharType="separate"/>
        </w:r>
        <w:r>
          <w:rPr>
            <w:noProof/>
            <w:webHidden/>
          </w:rPr>
          <w:t>50</w:t>
        </w:r>
        <w:r>
          <w:rPr>
            <w:noProof/>
            <w:webHidden/>
          </w:rPr>
          <w:fldChar w:fldCharType="end"/>
        </w:r>
      </w:hyperlink>
    </w:p>
    <w:p w14:paraId="4B1D10C4" w14:textId="219A55D0"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70" w:history="1">
        <w:r w:rsidRPr="001B4238">
          <w:rPr>
            <w:rStyle w:val="Hyperlink"/>
            <w:noProof/>
          </w:rPr>
          <w:t>Figure 25: Simulation Running</w:t>
        </w:r>
        <w:r>
          <w:rPr>
            <w:noProof/>
            <w:webHidden/>
          </w:rPr>
          <w:tab/>
        </w:r>
        <w:r>
          <w:rPr>
            <w:noProof/>
            <w:webHidden/>
          </w:rPr>
          <w:fldChar w:fldCharType="begin"/>
        </w:r>
        <w:r>
          <w:rPr>
            <w:noProof/>
            <w:webHidden/>
          </w:rPr>
          <w:instrText xml:space="preserve"> PAGEREF _Toc228816070 \h </w:instrText>
        </w:r>
        <w:r>
          <w:rPr>
            <w:noProof/>
            <w:webHidden/>
          </w:rPr>
        </w:r>
        <w:r>
          <w:rPr>
            <w:noProof/>
            <w:webHidden/>
          </w:rPr>
          <w:fldChar w:fldCharType="separate"/>
        </w:r>
        <w:r>
          <w:rPr>
            <w:noProof/>
            <w:webHidden/>
          </w:rPr>
          <w:t>56</w:t>
        </w:r>
        <w:r>
          <w:rPr>
            <w:noProof/>
            <w:webHidden/>
          </w:rPr>
          <w:fldChar w:fldCharType="end"/>
        </w:r>
      </w:hyperlink>
    </w:p>
    <w:p w14:paraId="3519030D" w14:textId="3B288FC1"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71" w:history="1">
        <w:r w:rsidRPr="001B4238">
          <w:rPr>
            <w:rStyle w:val="Hyperlink"/>
            <w:noProof/>
          </w:rPr>
          <w:t>Figure 26: Portfolio Value Over Time vs SPY Benchmark, Phase 1 (January 2015 - March 2018)</w:t>
        </w:r>
        <w:r>
          <w:rPr>
            <w:noProof/>
            <w:webHidden/>
          </w:rPr>
          <w:tab/>
        </w:r>
        <w:r>
          <w:rPr>
            <w:noProof/>
            <w:webHidden/>
          </w:rPr>
          <w:fldChar w:fldCharType="begin"/>
        </w:r>
        <w:r>
          <w:rPr>
            <w:noProof/>
            <w:webHidden/>
          </w:rPr>
          <w:instrText xml:space="preserve"> PAGEREF _Toc228816071 \h </w:instrText>
        </w:r>
        <w:r>
          <w:rPr>
            <w:noProof/>
            <w:webHidden/>
          </w:rPr>
        </w:r>
        <w:r>
          <w:rPr>
            <w:noProof/>
            <w:webHidden/>
          </w:rPr>
          <w:fldChar w:fldCharType="separate"/>
        </w:r>
        <w:r>
          <w:rPr>
            <w:noProof/>
            <w:webHidden/>
          </w:rPr>
          <w:t>57</w:t>
        </w:r>
        <w:r>
          <w:rPr>
            <w:noProof/>
            <w:webHidden/>
          </w:rPr>
          <w:fldChar w:fldCharType="end"/>
        </w:r>
      </w:hyperlink>
    </w:p>
    <w:p w14:paraId="1B96C704" w14:textId="404C8E3B"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72" w:history="1">
        <w:r w:rsidRPr="001B4238">
          <w:rPr>
            <w:rStyle w:val="Hyperlink"/>
            <w:noProof/>
          </w:rPr>
          <w:t>Figure 27: Drawdown Curve, Phase 1 (January 2015 - March 2018)</w:t>
        </w:r>
        <w:r>
          <w:rPr>
            <w:noProof/>
            <w:webHidden/>
          </w:rPr>
          <w:tab/>
        </w:r>
        <w:r>
          <w:rPr>
            <w:noProof/>
            <w:webHidden/>
          </w:rPr>
          <w:fldChar w:fldCharType="begin"/>
        </w:r>
        <w:r>
          <w:rPr>
            <w:noProof/>
            <w:webHidden/>
          </w:rPr>
          <w:instrText xml:space="preserve"> PAGEREF _Toc228816072 \h </w:instrText>
        </w:r>
        <w:r>
          <w:rPr>
            <w:noProof/>
            <w:webHidden/>
          </w:rPr>
        </w:r>
        <w:r>
          <w:rPr>
            <w:noProof/>
            <w:webHidden/>
          </w:rPr>
          <w:fldChar w:fldCharType="separate"/>
        </w:r>
        <w:r>
          <w:rPr>
            <w:noProof/>
            <w:webHidden/>
          </w:rPr>
          <w:t>58</w:t>
        </w:r>
        <w:r>
          <w:rPr>
            <w:noProof/>
            <w:webHidden/>
          </w:rPr>
          <w:fldChar w:fldCharType="end"/>
        </w:r>
      </w:hyperlink>
    </w:p>
    <w:p w14:paraId="025DAE43" w14:textId="1A7E3924"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73" w:history="1">
        <w:r w:rsidRPr="001B4238">
          <w:rPr>
            <w:rStyle w:val="Hyperlink"/>
            <w:noProof/>
          </w:rPr>
          <w:t>Figure 28: trade_breakdown_phase1</w:t>
        </w:r>
        <w:r>
          <w:rPr>
            <w:noProof/>
            <w:webHidden/>
          </w:rPr>
          <w:tab/>
        </w:r>
        <w:r>
          <w:rPr>
            <w:noProof/>
            <w:webHidden/>
          </w:rPr>
          <w:fldChar w:fldCharType="begin"/>
        </w:r>
        <w:r>
          <w:rPr>
            <w:noProof/>
            <w:webHidden/>
          </w:rPr>
          <w:instrText xml:space="preserve"> PAGEREF _Toc228816073 \h </w:instrText>
        </w:r>
        <w:r>
          <w:rPr>
            <w:noProof/>
            <w:webHidden/>
          </w:rPr>
        </w:r>
        <w:r>
          <w:rPr>
            <w:noProof/>
            <w:webHidden/>
          </w:rPr>
          <w:fldChar w:fldCharType="separate"/>
        </w:r>
        <w:r>
          <w:rPr>
            <w:noProof/>
            <w:webHidden/>
          </w:rPr>
          <w:t>59</w:t>
        </w:r>
        <w:r>
          <w:rPr>
            <w:noProof/>
            <w:webHidden/>
          </w:rPr>
          <w:fldChar w:fldCharType="end"/>
        </w:r>
      </w:hyperlink>
    </w:p>
    <w:p w14:paraId="5EF2F098" w14:textId="28E11F4E"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74" w:history="1">
        <w:r w:rsidRPr="001B4238">
          <w:rPr>
            <w:rStyle w:val="Hyperlink"/>
            <w:noProof/>
          </w:rPr>
          <w:t>Figure 29: win rate bar phase1</w:t>
        </w:r>
        <w:r>
          <w:rPr>
            <w:noProof/>
            <w:webHidden/>
          </w:rPr>
          <w:tab/>
        </w:r>
        <w:r>
          <w:rPr>
            <w:noProof/>
            <w:webHidden/>
          </w:rPr>
          <w:fldChar w:fldCharType="begin"/>
        </w:r>
        <w:r>
          <w:rPr>
            <w:noProof/>
            <w:webHidden/>
          </w:rPr>
          <w:instrText xml:space="preserve"> PAGEREF _Toc228816074 \h </w:instrText>
        </w:r>
        <w:r>
          <w:rPr>
            <w:noProof/>
            <w:webHidden/>
          </w:rPr>
        </w:r>
        <w:r>
          <w:rPr>
            <w:noProof/>
            <w:webHidden/>
          </w:rPr>
          <w:fldChar w:fldCharType="separate"/>
        </w:r>
        <w:r>
          <w:rPr>
            <w:noProof/>
            <w:webHidden/>
          </w:rPr>
          <w:t>60</w:t>
        </w:r>
        <w:r>
          <w:rPr>
            <w:noProof/>
            <w:webHidden/>
          </w:rPr>
          <w:fldChar w:fldCharType="end"/>
        </w:r>
      </w:hyperlink>
    </w:p>
    <w:p w14:paraId="2904D02A" w14:textId="032F9F45"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75" w:history="1">
        <w:r w:rsidRPr="001B4238">
          <w:rPr>
            <w:rStyle w:val="Hyperlink"/>
            <w:noProof/>
          </w:rPr>
          <w:t>Figure 30: Holding Period Statistics for Phase 1</w:t>
        </w:r>
        <w:r>
          <w:rPr>
            <w:noProof/>
            <w:webHidden/>
          </w:rPr>
          <w:tab/>
        </w:r>
        <w:r>
          <w:rPr>
            <w:noProof/>
            <w:webHidden/>
          </w:rPr>
          <w:fldChar w:fldCharType="begin"/>
        </w:r>
        <w:r>
          <w:rPr>
            <w:noProof/>
            <w:webHidden/>
          </w:rPr>
          <w:instrText xml:space="preserve"> PAGEREF _Toc228816075 \h </w:instrText>
        </w:r>
        <w:r>
          <w:rPr>
            <w:noProof/>
            <w:webHidden/>
          </w:rPr>
        </w:r>
        <w:r>
          <w:rPr>
            <w:noProof/>
            <w:webHidden/>
          </w:rPr>
          <w:fldChar w:fldCharType="separate"/>
        </w:r>
        <w:r>
          <w:rPr>
            <w:noProof/>
            <w:webHidden/>
          </w:rPr>
          <w:t>60</w:t>
        </w:r>
        <w:r>
          <w:rPr>
            <w:noProof/>
            <w:webHidden/>
          </w:rPr>
          <w:fldChar w:fldCharType="end"/>
        </w:r>
      </w:hyperlink>
    </w:p>
    <w:p w14:paraId="38B296AD" w14:textId="24AF829C"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76" w:history="1">
        <w:r w:rsidRPr="001B4238">
          <w:rPr>
            <w:rStyle w:val="Hyperlink"/>
            <w:noProof/>
          </w:rPr>
          <w:t>Figure 31: Figure 36: Signal execution rate for Phase 3</w:t>
        </w:r>
        <w:r>
          <w:rPr>
            <w:noProof/>
            <w:webHidden/>
          </w:rPr>
          <w:tab/>
        </w:r>
        <w:r>
          <w:rPr>
            <w:noProof/>
            <w:webHidden/>
          </w:rPr>
          <w:fldChar w:fldCharType="begin"/>
        </w:r>
        <w:r>
          <w:rPr>
            <w:noProof/>
            <w:webHidden/>
          </w:rPr>
          <w:instrText xml:space="preserve"> PAGEREF _Toc228816076 \h </w:instrText>
        </w:r>
        <w:r>
          <w:rPr>
            <w:noProof/>
            <w:webHidden/>
          </w:rPr>
        </w:r>
        <w:r>
          <w:rPr>
            <w:noProof/>
            <w:webHidden/>
          </w:rPr>
          <w:fldChar w:fldCharType="separate"/>
        </w:r>
        <w:r>
          <w:rPr>
            <w:noProof/>
            <w:webHidden/>
          </w:rPr>
          <w:t>61</w:t>
        </w:r>
        <w:r>
          <w:rPr>
            <w:noProof/>
            <w:webHidden/>
          </w:rPr>
          <w:fldChar w:fldCharType="end"/>
        </w:r>
      </w:hyperlink>
    </w:p>
    <w:p w14:paraId="364B4643" w14:textId="310C780E"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77" w:history="1">
        <w:r w:rsidRPr="001B4238">
          <w:rPr>
            <w:rStyle w:val="Hyperlink"/>
            <w:noProof/>
          </w:rPr>
          <w:t>Figure 32: Technical Analyst Signal Distribution for Phase1</w:t>
        </w:r>
        <w:r>
          <w:rPr>
            <w:noProof/>
            <w:webHidden/>
          </w:rPr>
          <w:tab/>
        </w:r>
        <w:r>
          <w:rPr>
            <w:noProof/>
            <w:webHidden/>
          </w:rPr>
          <w:fldChar w:fldCharType="begin"/>
        </w:r>
        <w:r>
          <w:rPr>
            <w:noProof/>
            <w:webHidden/>
          </w:rPr>
          <w:instrText xml:space="preserve"> PAGEREF _Toc228816077 \h </w:instrText>
        </w:r>
        <w:r>
          <w:rPr>
            <w:noProof/>
            <w:webHidden/>
          </w:rPr>
        </w:r>
        <w:r>
          <w:rPr>
            <w:noProof/>
            <w:webHidden/>
          </w:rPr>
          <w:fldChar w:fldCharType="separate"/>
        </w:r>
        <w:r>
          <w:rPr>
            <w:noProof/>
            <w:webHidden/>
          </w:rPr>
          <w:t>62</w:t>
        </w:r>
        <w:r>
          <w:rPr>
            <w:noProof/>
            <w:webHidden/>
          </w:rPr>
          <w:fldChar w:fldCharType="end"/>
        </w:r>
      </w:hyperlink>
    </w:p>
    <w:p w14:paraId="00D342E6" w14:textId="65D2C471"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78" w:history="1">
        <w:r w:rsidRPr="001B4238">
          <w:rPr>
            <w:rStyle w:val="Hyperlink"/>
            <w:noProof/>
          </w:rPr>
          <w:t>Figure 33: Portfolio Value Over Time vs SPY Benchmark, Phase 1 (July 2019 - Jan 2021)</w:t>
        </w:r>
        <w:r>
          <w:rPr>
            <w:noProof/>
            <w:webHidden/>
          </w:rPr>
          <w:tab/>
        </w:r>
        <w:r>
          <w:rPr>
            <w:noProof/>
            <w:webHidden/>
          </w:rPr>
          <w:fldChar w:fldCharType="begin"/>
        </w:r>
        <w:r>
          <w:rPr>
            <w:noProof/>
            <w:webHidden/>
          </w:rPr>
          <w:instrText xml:space="preserve"> PAGEREF _Toc228816078 \h </w:instrText>
        </w:r>
        <w:r>
          <w:rPr>
            <w:noProof/>
            <w:webHidden/>
          </w:rPr>
        </w:r>
        <w:r>
          <w:rPr>
            <w:noProof/>
            <w:webHidden/>
          </w:rPr>
          <w:fldChar w:fldCharType="separate"/>
        </w:r>
        <w:r>
          <w:rPr>
            <w:noProof/>
            <w:webHidden/>
          </w:rPr>
          <w:t>67</w:t>
        </w:r>
        <w:r>
          <w:rPr>
            <w:noProof/>
            <w:webHidden/>
          </w:rPr>
          <w:fldChar w:fldCharType="end"/>
        </w:r>
      </w:hyperlink>
    </w:p>
    <w:p w14:paraId="43BA1AC4" w14:textId="2CD7665C"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79" w:history="1">
        <w:r w:rsidRPr="001B4238">
          <w:rPr>
            <w:rStyle w:val="Hyperlink"/>
            <w:noProof/>
          </w:rPr>
          <w:t>Figure 34: trade_breakdown_phase3</w:t>
        </w:r>
        <w:r>
          <w:rPr>
            <w:noProof/>
            <w:webHidden/>
          </w:rPr>
          <w:tab/>
        </w:r>
        <w:r>
          <w:rPr>
            <w:noProof/>
            <w:webHidden/>
          </w:rPr>
          <w:fldChar w:fldCharType="begin"/>
        </w:r>
        <w:r>
          <w:rPr>
            <w:noProof/>
            <w:webHidden/>
          </w:rPr>
          <w:instrText xml:space="preserve"> PAGEREF _Toc228816079 \h </w:instrText>
        </w:r>
        <w:r>
          <w:rPr>
            <w:noProof/>
            <w:webHidden/>
          </w:rPr>
        </w:r>
        <w:r>
          <w:rPr>
            <w:noProof/>
            <w:webHidden/>
          </w:rPr>
          <w:fldChar w:fldCharType="separate"/>
        </w:r>
        <w:r>
          <w:rPr>
            <w:noProof/>
            <w:webHidden/>
          </w:rPr>
          <w:t>69</w:t>
        </w:r>
        <w:r>
          <w:rPr>
            <w:noProof/>
            <w:webHidden/>
          </w:rPr>
          <w:fldChar w:fldCharType="end"/>
        </w:r>
      </w:hyperlink>
    </w:p>
    <w:p w14:paraId="55A1A74C" w14:textId="3B410196"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80" w:history="1">
        <w:r w:rsidRPr="001B4238">
          <w:rPr>
            <w:rStyle w:val="Hyperlink"/>
            <w:noProof/>
          </w:rPr>
          <w:t>Figure 35: win rate bar phase 3</w:t>
        </w:r>
        <w:r>
          <w:rPr>
            <w:noProof/>
            <w:webHidden/>
          </w:rPr>
          <w:tab/>
        </w:r>
        <w:r>
          <w:rPr>
            <w:noProof/>
            <w:webHidden/>
          </w:rPr>
          <w:fldChar w:fldCharType="begin"/>
        </w:r>
        <w:r>
          <w:rPr>
            <w:noProof/>
            <w:webHidden/>
          </w:rPr>
          <w:instrText xml:space="preserve"> PAGEREF _Toc228816080 \h </w:instrText>
        </w:r>
        <w:r>
          <w:rPr>
            <w:noProof/>
            <w:webHidden/>
          </w:rPr>
        </w:r>
        <w:r>
          <w:rPr>
            <w:noProof/>
            <w:webHidden/>
          </w:rPr>
          <w:fldChar w:fldCharType="separate"/>
        </w:r>
        <w:r>
          <w:rPr>
            <w:noProof/>
            <w:webHidden/>
          </w:rPr>
          <w:t>70</w:t>
        </w:r>
        <w:r>
          <w:rPr>
            <w:noProof/>
            <w:webHidden/>
          </w:rPr>
          <w:fldChar w:fldCharType="end"/>
        </w:r>
      </w:hyperlink>
    </w:p>
    <w:p w14:paraId="359BE899" w14:textId="74B88361"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81" w:history="1">
        <w:r w:rsidRPr="001B4238">
          <w:rPr>
            <w:rStyle w:val="Hyperlink"/>
            <w:noProof/>
          </w:rPr>
          <w:t>Figure 36: Holding Period Statistics for Phase 3</w:t>
        </w:r>
        <w:r>
          <w:rPr>
            <w:noProof/>
            <w:webHidden/>
          </w:rPr>
          <w:tab/>
        </w:r>
        <w:r>
          <w:rPr>
            <w:noProof/>
            <w:webHidden/>
          </w:rPr>
          <w:fldChar w:fldCharType="begin"/>
        </w:r>
        <w:r>
          <w:rPr>
            <w:noProof/>
            <w:webHidden/>
          </w:rPr>
          <w:instrText xml:space="preserve"> PAGEREF _Toc228816081 \h </w:instrText>
        </w:r>
        <w:r>
          <w:rPr>
            <w:noProof/>
            <w:webHidden/>
          </w:rPr>
        </w:r>
        <w:r>
          <w:rPr>
            <w:noProof/>
            <w:webHidden/>
          </w:rPr>
          <w:fldChar w:fldCharType="separate"/>
        </w:r>
        <w:r>
          <w:rPr>
            <w:noProof/>
            <w:webHidden/>
          </w:rPr>
          <w:t>70</w:t>
        </w:r>
        <w:r>
          <w:rPr>
            <w:noProof/>
            <w:webHidden/>
          </w:rPr>
          <w:fldChar w:fldCharType="end"/>
        </w:r>
      </w:hyperlink>
    </w:p>
    <w:p w14:paraId="39371531" w14:textId="25779BE3"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82" w:history="1">
        <w:r w:rsidRPr="001B4238">
          <w:rPr>
            <w:rStyle w:val="Hyperlink"/>
            <w:noProof/>
          </w:rPr>
          <w:t>Figure 37: Short position deep analysis during covid</w:t>
        </w:r>
        <w:r>
          <w:rPr>
            <w:noProof/>
            <w:webHidden/>
          </w:rPr>
          <w:tab/>
        </w:r>
        <w:r>
          <w:rPr>
            <w:noProof/>
            <w:webHidden/>
          </w:rPr>
          <w:fldChar w:fldCharType="begin"/>
        </w:r>
        <w:r>
          <w:rPr>
            <w:noProof/>
            <w:webHidden/>
          </w:rPr>
          <w:instrText xml:space="preserve"> PAGEREF _Toc228816082 \h </w:instrText>
        </w:r>
        <w:r>
          <w:rPr>
            <w:noProof/>
            <w:webHidden/>
          </w:rPr>
        </w:r>
        <w:r>
          <w:rPr>
            <w:noProof/>
            <w:webHidden/>
          </w:rPr>
          <w:fldChar w:fldCharType="separate"/>
        </w:r>
        <w:r>
          <w:rPr>
            <w:noProof/>
            <w:webHidden/>
          </w:rPr>
          <w:t>71</w:t>
        </w:r>
        <w:r>
          <w:rPr>
            <w:noProof/>
            <w:webHidden/>
          </w:rPr>
          <w:fldChar w:fldCharType="end"/>
        </w:r>
      </w:hyperlink>
    </w:p>
    <w:p w14:paraId="1134C9F4" w14:textId="482C7767"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83" w:history="1">
        <w:r w:rsidRPr="001B4238">
          <w:rPr>
            <w:rStyle w:val="Hyperlink"/>
            <w:noProof/>
          </w:rPr>
          <w:t>Figure 38: Signal execution rate for Phase 3</w:t>
        </w:r>
        <w:r>
          <w:rPr>
            <w:noProof/>
            <w:webHidden/>
          </w:rPr>
          <w:tab/>
        </w:r>
        <w:r>
          <w:rPr>
            <w:noProof/>
            <w:webHidden/>
          </w:rPr>
          <w:fldChar w:fldCharType="begin"/>
        </w:r>
        <w:r>
          <w:rPr>
            <w:noProof/>
            <w:webHidden/>
          </w:rPr>
          <w:instrText xml:space="preserve"> PAGEREF _Toc228816083 \h </w:instrText>
        </w:r>
        <w:r>
          <w:rPr>
            <w:noProof/>
            <w:webHidden/>
          </w:rPr>
        </w:r>
        <w:r>
          <w:rPr>
            <w:noProof/>
            <w:webHidden/>
          </w:rPr>
          <w:fldChar w:fldCharType="separate"/>
        </w:r>
        <w:r>
          <w:rPr>
            <w:noProof/>
            <w:webHidden/>
          </w:rPr>
          <w:t>72</w:t>
        </w:r>
        <w:r>
          <w:rPr>
            <w:noProof/>
            <w:webHidden/>
          </w:rPr>
          <w:fldChar w:fldCharType="end"/>
        </w:r>
      </w:hyperlink>
    </w:p>
    <w:p w14:paraId="31343E41" w14:textId="6FDD9F4D"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6084" w:history="1">
        <w:r w:rsidRPr="001B4238">
          <w:rPr>
            <w:rStyle w:val="Hyperlink"/>
            <w:noProof/>
          </w:rPr>
          <w:t>Figure 39: Agent signal distribution for phase3</w:t>
        </w:r>
        <w:r>
          <w:rPr>
            <w:noProof/>
            <w:webHidden/>
          </w:rPr>
          <w:tab/>
        </w:r>
        <w:r>
          <w:rPr>
            <w:noProof/>
            <w:webHidden/>
          </w:rPr>
          <w:fldChar w:fldCharType="begin"/>
        </w:r>
        <w:r>
          <w:rPr>
            <w:noProof/>
            <w:webHidden/>
          </w:rPr>
          <w:instrText xml:space="preserve"> PAGEREF _Toc228816084 \h </w:instrText>
        </w:r>
        <w:r>
          <w:rPr>
            <w:noProof/>
            <w:webHidden/>
          </w:rPr>
        </w:r>
        <w:r>
          <w:rPr>
            <w:noProof/>
            <w:webHidden/>
          </w:rPr>
          <w:fldChar w:fldCharType="separate"/>
        </w:r>
        <w:r>
          <w:rPr>
            <w:noProof/>
            <w:webHidden/>
          </w:rPr>
          <w:t>73</w:t>
        </w:r>
        <w:r>
          <w:rPr>
            <w:noProof/>
            <w:webHidden/>
          </w:rPr>
          <w:fldChar w:fldCharType="end"/>
        </w:r>
      </w:hyperlink>
    </w:p>
    <w:p w14:paraId="4CF27822" w14:textId="3C450853" w:rsidR="00F723B6" w:rsidRDefault="007725E5" w:rsidP="00E3759E">
      <w:r>
        <w:fldChar w:fldCharType="end"/>
      </w:r>
    </w:p>
    <w:p w14:paraId="451C840E" w14:textId="681F239F" w:rsidR="00551168" w:rsidRDefault="00657571">
      <w:pPr>
        <w:pStyle w:val="TableofFigures"/>
        <w:tabs>
          <w:tab w:val="right" w:leader="dot" w:pos="9016"/>
        </w:tabs>
        <w:rPr>
          <w:rFonts w:eastAsiaTheme="minorEastAsia"/>
          <w:noProof/>
          <w:kern w:val="2"/>
          <w:sz w:val="24"/>
          <w:szCs w:val="24"/>
          <w:lang w:eastAsia="en-IN"/>
          <w14:ligatures w14:val="standardContextual"/>
        </w:rPr>
      </w:pPr>
      <w:r>
        <w:fldChar w:fldCharType="begin"/>
      </w:r>
      <w:r>
        <w:instrText xml:space="preserve"> TOC \h \z \c "Table" </w:instrText>
      </w:r>
      <w:r>
        <w:fldChar w:fldCharType="separate"/>
      </w:r>
      <w:hyperlink w:anchor="_Toc228815975" w:history="1">
        <w:r w:rsidR="00551168" w:rsidRPr="00D81214">
          <w:rPr>
            <w:rStyle w:val="Hyperlink"/>
            <w:noProof/>
          </w:rPr>
          <w:t>Table 1: Key hyperparameters used in the back-testing experiment across portfolio, simulation, and optimisation settings</w:t>
        </w:r>
        <w:r w:rsidR="00551168">
          <w:rPr>
            <w:noProof/>
            <w:webHidden/>
          </w:rPr>
          <w:tab/>
        </w:r>
        <w:r w:rsidR="00551168">
          <w:rPr>
            <w:noProof/>
            <w:webHidden/>
          </w:rPr>
          <w:fldChar w:fldCharType="begin"/>
        </w:r>
        <w:r w:rsidR="00551168">
          <w:rPr>
            <w:noProof/>
            <w:webHidden/>
          </w:rPr>
          <w:instrText xml:space="preserve"> PAGEREF _Toc228815975 \h </w:instrText>
        </w:r>
        <w:r w:rsidR="00551168">
          <w:rPr>
            <w:noProof/>
            <w:webHidden/>
          </w:rPr>
        </w:r>
        <w:r w:rsidR="00551168">
          <w:rPr>
            <w:noProof/>
            <w:webHidden/>
          </w:rPr>
          <w:fldChar w:fldCharType="separate"/>
        </w:r>
        <w:r w:rsidR="00551168">
          <w:rPr>
            <w:noProof/>
            <w:webHidden/>
          </w:rPr>
          <w:t>51</w:t>
        </w:r>
        <w:r w:rsidR="00551168">
          <w:rPr>
            <w:noProof/>
            <w:webHidden/>
          </w:rPr>
          <w:fldChar w:fldCharType="end"/>
        </w:r>
      </w:hyperlink>
    </w:p>
    <w:p w14:paraId="7202E5A6" w14:textId="48817F29"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5976" w:history="1">
        <w:r w:rsidRPr="00D81214">
          <w:rPr>
            <w:rStyle w:val="Hyperlink"/>
            <w:noProof/>
          </w:rPr>
          <w:t>Table 2: Evaluation metrics and their respective weights in the composite reward function.</w:t>
        </w:r>
        <w:r>
          <w:rPr>
            <w:noProof/>
            <w:webHidden/>
          </w:rPr>
          <w:tab/>
        </w:r>
        <w:r>
          <w:rPr>
            <w:noProof/>
            <w:webHidden/>
          </w:rPr>
          <w:fldChar w:fldCharType="begin"/>
        </w:r>
        <w:r>
          <w:rPr>
            <w:noProof/>
            <w:webHidden/>
          </w:rPr>
          <w:instrText xml:space="preserve"> PAGEREF _Toc228815976 \h </w:instrText>
        </w:r>
        <w:r>
          <w:rPr>
            <w:noProof/>
            <w:webHidden/>
          </w:rPr>
        </w:r>
        <w:r>
          <w:rPr>
            <w:noProof/>
            <w:webHidden/>
          </w:rPr>
          <w:fldChar w:fldCharType="separate"/>
        </w:r>
        <w:r>
          <w:rPr>
            <w:noProof/>
            <w:webHidden/>
          </w:rPr>
          <w:t>52</w:t>
        </w:r>
        <w:r>
          <w:rPr>
            <w:noProof/>
            <w:webHidden/>
          </w:rPr>
          <w:fldChar w:fldCharType="end"/>
        </w:r>
      </w:hyperlink>
    </w:p>
    <w:p w14:paraId="743105F7" w14:textId="0EB11E43"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5977" w:history="1">
        <w:r w:rsidRPr="00D81214">
          <w:rPr>
            <w:rStyle w:val="Hyperlink"/>
            <w:noProof/>
          </w:rPr>
          <w:t>Table 3: Optimisation trigger condition</w:t>
        </w:r>
        <w:r>
          <w:rPr>
            <w:noProof/>
            <w:webHidden/>
          </w:rPr>
          <w:tab/>
        </w:r>
        <w:r>
          <w:rPr>
            <w:noProof/>
            <w:webHidden/>
          </w:rPr>
          <w:fldChar w:fldCharType="begin"/>
        </w:r>
        <w:r>
          <w:rPr>
            <w:noProof/>
            <w:webHidden/>
          </w:rPr>
          <w:instrText xml:space="preserve"> PAGEREF _Toc228815977 \h </w:instrText>
        </w:r>
        <w:r>
          <w:rPr>
            <w:noProof/>
            <w:webHidden/>
          </w:rPr>
        </w:r>
        <w:r>
          <w:rPr>
            <w:noProof/>
            <w:webHidden/>
          </w:rPr>
          <w:fldChar w:fldCharType="separate"/>
        </w:r>
        <w:r>
          <w:rPr>
            <w:noProof/>
            <w:webHidden/>
          </w:rPr>
          <w:t>63</w:t>
        </w:r>
        <w:r>
          <w:rPr>
            <w:noProof/>
            <w:webHidden/>
          </w:rPr>
          <w:fldChar w:fldCharType="end"/>
        </w:r>
      </w:hyperlink>
    </w:p>
    <w:p w14:paraId="17BECDE4" w14:textId="0182514A"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5978" w:history="1">
        <w:r w:rsidRPr="00D81214">
          <w:rPr>
            <w:rStyle w:val="Hyperlink"/>
            <w:noProof/>
          </w:rPr>
          <w:t>Table 4: Optimisation Trigger: Before vs After Analysis for phase 1</w:t>
        </w:r>
        <w:r>
          <w:rPr>
            <w:noProof/>
            <w:webHidden/>
          </w:rPr>
          <w:tab/>
        </w:r>
        <w:r>
          <w:rPr>
            <w:noProof/>
            <w:webHidden/>
          </w:rPr>
          <w:fldChar w:fldCharType="begin"/>
        </w:r>
        <w:r>
          <w:rPr>
            <w:noProof/>
            <w:webHidden/>
          </w:rPr>
          <w:instrText xml:space="preserve"> PAGEREF _Toc228815978 \h </w:instrText>
        </w:r>
        <w:r>
          <w:rPr>
            <w:noProof/>
            <w:webHidden/>
          </w:rPr>
        </w:r>
        <w:r>
          <w:rPr>
            <w:noProof/>
            <w:webHidden/>
          </w:rPr>
          <w:fldChar w:fldCharType="separate"/>
        </w:r>
        <w:r>
          <w:rPr>
            <w:noProof/>
            <w:webHidden/>
          </w:rPr>
          <w:t>64</w:t>
        </w:r>
        <w:r>
          <w:rPr>
            <w:noProof/>
            <w:webHidden/>
          </w:rPr>
          <w:fldChar w:fldCharType="end"/>
        </w:r>
      </w:hyperlink>
    </w:p>
    <w:p w14:paraId="0DED72BB" w14:textId="504F4548" w:rsidR="00551168" w:rsidRDefault="00551168">
      <w:pPr>
        <w:pStyle w:val="TableofFigures"/>
        <w:tabs>
          <w:tab w:val="right" w:leader="dot" w:pos="9016"/>
        </w:tabs>
        <w:rPr>
          <w:rFonts w:eastAsiaTheme="minorEastAsia"/>
          <w:noProof/>
          <w:kern w:val="2"/>
          <w:sz w:val="24"/>
          <w:szCs w:val="24"/>
          <w:lang w:eastAsia="en-IN"/>
          <w14:ligatures w14:val="standardContextual"/>
        </w:rPr>
      </w:pPr>
      <w:hyperlink w:anchor="_Toc228815979" w:history="1">
        <w:r w:rsidRPr="00D81214">
          <w:rPr>
            <w:rStyle w:val="Hyperlink"/>
            <w:noProof/>
          </w:rPr>
          <w:t>Table 5: Optimisation Trigger: Before vs After Analysis for phase 3</w:t>
        </w:r>
        <w:r>
          <w:rPr>
            <w:noProof/>
            <w:webHidden/>
          </w:rPr>
          <w:tab/>
        </w:r>
        <w:r>
          <w:rPr>
            <w:noProof/>
            <w:webHidden/>
          </w:rPr>
          <w:fldChar w:fldCharType="begin"/>
        </w:r>
        <w:r>
          <w:rPr>
            <w:noProof/>
            <w:webHidden/>
          </w:rPr>
          <w:instrText xml:space="preserve"> PAGEREF _Toc228815979 \h </w:instrText>
        </w:r>
        <w:r>
          <w:rPr>
            <w:noProof/>
            <w:webHidden/>
          </w:rPr>
        </w:r>
        <w:r>
          <w:rPr>
            <w:noProof/>
            <w:webHidden/>
          </w:rPr>
          <w:fldChar w:fldCharType="separate"/>
        </w:r>
        <w:r>
          <w:rPr>
            <w:noProof/>
            <w:webHidden/>
          </w:rPr>
          <w:t>75</w:t>
        </w:r>
        <w:r>
          <w:rPr>
            <w:noProof/>
            <w:webHidden/>
          </w:rPr>
          <w:fldChar w:fldCharType="end"/>
        </w:r>
      </w:hyperlink>
    </w:p>
    <w:p w14:paraId="0198E640" w14:textId="69572DAC" w:rsidR="00F723B6" w:rsidRDefault="00657571" w:rsidP="00CB6217">
      <w:r>
        <w:fldChar w:fldCharType="end"/>
      </w:r>
    </w:p>
    <w:p w14:paraId="538A29BA" w14:textId="77777777" w:rsidR="00F723B6" w:rsidRDefault="00F723B6" w:rsidP="00F723B6"/>
    <w:p w14:paraId="0AF8C45B" w14:textId="77777777" w:rsidR="00B251C1" w:rsidRDefault="00B251C1" w:rsidP="00F723B6"/>
    <w:p w14:paraId="60AD0239" w14:textId="77777777" w:rsidR="00B251C1" w:rsidRDefault="00B251C1" w:rsidP="00F723B6"/>
    <w:p w14:paraId="7F801246" w14:textId="77777777" w:rsidR="00B251C1" w:rsidRDefault="00B251C1" w:rsidP="00F723B6"/>
    <w:p w14:paraId="626F29A3" w14:textId="77777777" w:rsidR="00B251C1" w:rsidRDefault="00B251C1" w:rsidP="00F723B6"/>
    <w:p w14:paraId="7EADC78F" w14:textId="77777777" w:rsidR="00B251C1" w:rsidRDefault="00B251C1" w:rsidP="00F723B6"/>
    <w:p w14:paraId="682D8249" w14:textId="77777777" w:rsidR="00B251C1" w:rsidRDefault="00B251C1" w:rsidP="00F723B6"/>
    <w:p w14:paraId="3EBEB073" w14:textId="77777777" w:rsidR="00267A39" w:rsidRDefault="00267A39" w:rsidP="00F723B6"/>
    <w:p w14:paraId="7EB397AB" w14:textId="77777777" w:rsidR="001541EC" w:rsidRDefault="001541EC" w:rsidP="00F723B6"/>
    <w:p w14:paraId="5E040ACC" w14:textId="77777777" w:rsidR="001541EC" w:rsidRDefault="001541EC" w:rsidP="00F723B6"/>
    <w:p w14:paraId="495CB83B" w14:textId="77777777" w:rsidR="00267A39" w:rsidRDefault="00267A39" w:rsidP="00F723B6"/>
    <w:p w14:paraId="083EDE83" w14:textId="19C5670D" w:rsidR="00B251C1" w:rsidRDefault="00B251C1" w:rsidP="00F723B6"/>
    <w:p w14:paraId="155557AF" w14:textId="77777777" w:rsidR="00EF5A34" w:rsidRDefault="00EF5A34" w:rsidP="00EF5A34">
      <w:pPr>
        <w:pStyle w:val="Heading2"/>
      </w:pPr>
      <w:bookmarkStart w:id="1" w:name="_Toc227087814"/>
      <w:bookmarkStart w:id="2" w:name="_Toc228577605"/>
      <w:r w:rsidRPr="00EF5A34">
        <w:lastRenderedPageBreak/>
        <w:t>Glossary of Terms</w:t>
      </w:r>
      <w:bookmarkEnd w:id="1"/>
      <w:bookmarkEnd w:id="2"/>
    </w:p>
    <w:p w14:paraId="05CE1C50" w14:textId="77777777" w:rsidR="00EF5A34" w:rsidRPr="00EF5A34" w:rsidRDefault="00EF5A34" w:rsidP="00EF5A34">
      <w:pPr>
        <w:rPr>
          <w:b/>
          <w:bCs/>
        </w:rPr>
      </w:pPr>
    </w:p>
    <w:p w14:paraId="06118342" w14:textId="77777777" w:rsidR="00EF5A34" w:rsidRPr="00EF5A34" w:rsidRDefault="00EF5A34" w:rsidP="00EF5A34">
      <w:r w:rsidRPr="00EF5A34">
        <w:t>This glossary provides definitions of key financial and artificial intelligence terms used throughout the dissertation.</w:t>
      </w:r>
    </w:p>
    <w:p w14:paraId="68E534AB" w14:textId="77777777" w:rsidR="00EF5A34" w:rsidRPr="00EF5A34" w:rsidRDefault="00EF5A34" w:rsidP="00EF5A34"/>
    <w:tbl>
      <w:tblPr>
        <w:tblStyle w:val="TableGrid"/>
        <w:tblW w:w="9209" w:type="dxa"/>
        <w:tblLook w:val="04A0" w:firstRow="1" w:lastRow="0" w:firstColumn="1" w:lastColumn="0" w:noHBand="0" w:noVBand="1"/>
      </w:tblPr>
      <w:tblGrid>
        <w:gridCol w:w="2017"/>
        <w:gridCol w:w="1239"/>
        <w:gridCol w:w="2836"/>
        <w:gridCol w:w="3117"/>
      </w:tblGrid>
      <w:tr w:rsidR="00EF5A34" w:rsidRPr="00EF5A34" w14:paraId="47A4D7A1" w14:textId="77777777">
        <w:trPr>
          <w:trHeight w:val="293"/>
        </w:trPr>
        <w:tc>
          <w:tcPr>
            <w:tcW w:w="2017" w:type="dxa"/>
            <w:tcBorders>
              <w:top w:val="single" w:sz="4" w:space="0" w:color="auto"/>
              <w:left w:val="single" w:sz="4" w:space="0" w:color="auto"/>
              <w:bottom w:val="single" w:sz="4" w:space="0" w:color="auto"/>
              <w:right w:val="single" w:sz="4" w:space="0" w:color="auto"/>
            </w:tcBorders>
            <w:hideMark/>
          </w:tcPr>
          <w:p w14:paraId="3C227F14" w14:textId="77777777" w:rsidR="00EF5A34" w:rsidRPr="00EF5A34" w:rsidRDefault="00EF5A34" w:rsidP="0084033F">
            <w:pPr>
              <w:spacing w:after="160" w:line="259" w:lineRule="auto"/>
              <w:jc w:val="center"/>
              <w:rPr>
                <w:b/>
                <w:bCs/>
              </w:rPr>
            </w:pPr>
            <w:r w:rsidRPr="00EF5A34">
              <w:rPr>
                <w:b/>
                <w:bCs/>
              </w:rPr>
              <w:t>Term</w:t>
            </w:r>
          </w:p>
        </w:tc>
        <w:tc>
          <w:tcPr>
            <w:tcW w:w="1239" w:type="dxa"/>
            <w:tcBorders>
              <w:top w:val="single" w:sz="4" w:space="0" w:color="auto"/>
              <w:left w:val="single" w:sz="4" w:space="0" w:color="auto"/>
              <w:bottom w:val="single" w:sz="4" w:space="0" w:color="auto"/>
              <w:right w:val="single" w:sz="4" w:space="0" w:color="auto"/>
            </w:tcBorders>
            <w:hideMark/>
          </w:tcPr>
          <w:p w14:paraId="1271FEE1" w14:textId="77777777" w:rsidR="00EF5A34" w:rsidRPr="00EF5A34" w:rsidRDefault="00EF5A34" w:rsidP="0084033F">
            <w:pPr>
              <w:spacing w:after="160" w:line="259" w:lineRule="auto"/>
              <w:jc w:val="center"/>
              <w:rPr>
                <w:b/>
                <w:bCs/>
              </w:rPr>
            </w:pPr>
            <w:r w:rsidRPr="00EF5A34">
              <w:rPr>
                <w:b/>
                <w:bCs/>
              </w:rPr>
              <w:t>Category</w:t>
            </w:r>
          </w:p>
        </w:tc>
        <w:tc>
          <w:tcPr>
            <w:tcW w:w="2836" w:type="dxa"/>
            <w:tcBorders>
              <w:top w:val="single" w:sz="4" w:space="0" w:color="auto"/>
              <w:left w:val="single" w:sz="4" w:space="0" w:color="auto"/>
              <w:bottom w:val="single" w:sz="4" w:space="0" w:color="auto"/>
              <w:right w:val="single" w:sz="4" w:space="0" w:color="auto"/>
            </w:tcBorders>
            <w:hideMark/>
          </w:tcPr>
          <w:p w14:paraId="3A4BC4B2" w14:textId="77777777" w:rsidR="00EF5A34" w:rsidRPr="00EF5A34" w:rsidRDefault="00EF5A34" w:rsidP="0084033F">
            <w:pPr>
              <w:spacing w:after="160" w:line="259" w:lineRule="auto"/>
              <w:jc w:val="center"/>
              <w:rPr>
                <w:b/>
                <w:bCs/>
              </w:rPr>
            </w:pPr>
            <w:r w:rsidRPr="00EF5A34">
              <w:rPr>
                <w:b/>
                <w:bCs/>
              </w:rPr>
              <w:t>Definition</w:t>
            </w:r>
          </w:p>
        </w:tc>
        <w:tc>
          <w:tcPr>
            <w:tcW w:w="3117" w:type="dxa"/>
            <w:tcBorders>
              <w:top w:val="single" w:sz="4" w:space="0" w:color="auto"/>
              <w:left w:val="single" w:sz="4" w:space="0" w:color="auto"/>
              <w:bottom w:val="single" w:sz="4" w:space="0" w:color="auto"/>
              <w:right w:val="single" w:sz="4" w:space="0" w:color="auto"/>
            </w:tcBorders>
            <w:hideMark/>
          </w:tcPr>
          <w:p w14:paraId="07C5BB08" w14:textId="77777777" w:rsidR="00EF5A34" w:rsidRPr="00EF5A34" w:rsidRDefault="00EF5A34" w:rsidP="0084033F">
            <w:pPr>
              <w:spacing w:after="160" w:line="259" w:lineRule="auto"/>
              <w:jc w:val="center"/>
              <w:rPr>
                <w:b/>
                <w:bCs/>
              </w:rPr>
            </w:pPr>
            <w:r w:rsidRPr="00EF5A34">
              <w:rPr>
                <w:b/>
                <w:bCs/>
              </w:rPr>
              <w:t>Relevance to This Dissertation</w:t>
            </w:r>
          </w:p>
        </w:tc>
      </w:tr>
      <w:tr w:rsidR="00EF5A34" w:rsidRPr="00EF5A34" w14:paraId="24414FED"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19F11E65" w14:textId="77777777" w:rsidR="00EF5A34" w:rsidRPr="00EF5A34" w:rsidRDefault="00EF5A34" w:rsidP="0084033F">
            <w:pPr>
              <w:spacing w:after="160" w:line="259" w:lineRule="auto"/>
              <w:jc w:val="center"/>
            </w:pPr>
            <w:r w:rsidRPr="00EF5A34">
              <w:t>Agent</w:t>
            </w:r>
          </w:p>
        </w:tc>
        <w:tc>
          <w:tcPr>
            <w:tcW w:w="1239" w:type="dxa"/>
            <w:tcBorders>
              <w:top w:val="single" w:sz="4" w:space="0" w:color="auto"/>
              <w:left w:val="single" w:sz="4" w:space="0" w:color="auto"/>
              <w:bottom w:val="single" w:sz="4" w:space="0" w:color="auto"/>
              <w:right w:val="single" w:sz="4" w:space="0" w:color="auto"/>
            </w:tcBorders>
            <w:hideMark/>
          </w:tcPr>
          <w:p w14:paraId="5227D98A"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5DD15C98" w14:textId="77777777" w:rsidR="00EF5A34" w:rsidRPr="00EF5A34" w:rsidRDefault="00EF5A34" w:rsidP="0084033F">
            <w:pPr>
              <w:spacing w:after="160" w:line="259" w:lineRule="auto"/>
              <w:jc w:val="center"/>
            </w:pPr>
            <w:r w:rsidRPr="00EF5A34">
              <w:t>An autonomous software component performing a specific task.</w:t>
            </w:r>
          </w:p>
        </w:tc>
        <w:tc>
          <w:tcPr>
            <w:tcW w:w="3117" w:type="dxa"/>
            <w:tcBorders>
              <w:top w:val="single" w:sz="4" w:space="0" w:color="auto"/>
              <w:left w:val="single" w:sz="4" w:space="0" w:color="auto"/>
              <w:bottom w:val="single" w:sz="4" w:space="0" w:color="auto"/>
              <w:right w:val="single" w:sz="4" w:space="0" w:color="auto"/>
            </w:tcBorders>
            <w:hideMark/>
          </w:tcPr>
          <w:p w14:paraId="43DA2EC7" w14:textId="77777777" w:rsidR="00EF5A34" w:rsidRPr="00EF5A34" w:rsidRDefault="00EF5A34" w:rsidP="0084033F">
            <w:pPr>
              <w:spacing w:after="160" w:line="259" w:lineRule="auto"/>
              <w:jc w:val="center"/>
            </w:pPr>
            <w:r w:rsidRPr="00EF5A34">
              <w:t>Analysts and managers are modelled as agents.</w:t>
            </w:r>
          </w:p>
        </w:tc>
      </w:tr>
      <w:tr w:rsidR="00EF5A34" w:rsidRPr="00EF5A34" w14:paraId="6A8C1825"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78A40372" w14:textId="77777777" w:rsidR="00EF5A34" w:rsidRPr="00EF5A34" w:rsidRDefault="00EF5A34" w:rsidP="0084033F">
            <w:pPr>
              <w:spacing w:after="160" w:line="259" w:lineRule="auto"/>
              <w:jc w:val="center"/>
            </w:pPr>
            <w:r w:rsidRPr="00EF5A34">
              <w:t>Artificial Intelligence (AI)</w:t>
            </w:r>
          </w:p>
        </w:tc>
        <w:tc>
          <w:tcPr>
            <w:tcW w:w="1239" w:type="dxa"/>
            <w:tcBorders>
              <w:top w:val="single" w:sz="4" w:space="0" w:color="auto"/>
              <w:left w:val="single" w:sz="4" w:space="0" w:color="auto"/>
              <w:bottom w:val="single" w:sz="4" w:space="0" w:color="auto"/>
              <w:right w:val="single" w:sz="4" w:space="0" w:color="auto"/>
            </w:tcBorders>
            <w:hideMark/>
          </w:tcPr>
          <w:p w14:paraId="47253023"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78B49524" w14:textId="77777777" w:rsidR="00EF5A34" w:rsidRPr="00EF5A34" w:rsidRDefault="00EF5A34" w:rsidP="0084033F">
            <w:pPr>
              <w:spacing w:after="160" w:line="259" w:lineRule="auto"/>
              <w:jc w:val="center"/>
            </w:pPr>
            <w:r w:rsidRPr="00EF5A34">
              <w:t>Computer systems that perform tasks requiring human</w:t>
            </w:r>
            <w:r w:rsidRPr="00EF5A34">
              <w:noBreakHyphen/>
              <w:t>like intelligence.</w:t>
            </w:r>
          </w:p>
        </w:tc>
        <w:tc>
          <w:tcPr>
            <w:tcW w:w="3117" w:type="dxa"/>
            <w:tcBorders>
              <w:top w:val="single" w:sz="4" w:space="0" w:color="auto"/>
              <w:left w:val="single" w:sz="4" w:space="0" w:color="auto"/>
              <w:bottom w:val="single" w:sz="4" w:space="0" w:color="auto"/>
              <w:right w:val="single" w:sz="4" w:space="0" w:color="auto"/>
            </w:tcBorders>
            <w:hideMark/>
          </w:tcPr>
          <w:p w14:paraId="42CA6B88" w14:textId="77777777" w:rsidR="00EF5A34" w:rsidRPr="00EF5A34" w:rsidRDefault="00EF5A34" w:rsidP="0084033F">
            <w:pPr>
              <w:spacing w:after="160" w:line="259" w:lineRule="auto"/>
              <w:jc w:val="center"/>
            </w:pPr>
            <w:r w:rsidRPr="00EF5A34">
              <w:t>Underpins the entire system.</w:t>
            </w:r>
          </w:p>
        </w:tc>
      </w:tr>
      <w:tr w:rsidR="00EF5A34" w:rsidRPr="00EF5A34" w14:paraId="4EF933F3"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1B87382F" w14:textId="77777777" w:rsidR="00EF5A34" w:rsidRPr="00EF5A34" w:rsidRDefault="00EF5A34" w:rsidP="0084033F">
            <w:pPr>
              <w:spacing w:after="160" w:line="259" w:lineRule="auto"/>
              <w:jc w:val="center"/>
            </w:pPr>
            <w:r w:rsidRPr="00EF5A34">
              <w:t>Asset</w:t>
            </w:r>
          </w:p>
        </w:tc>
        <w:tc>
          <w:tcPr>
            <w:tcW w:w="1239" w:type="dxa"/>
            <w:tcBorders>
              <w:top w:val="single" w:sz="4" w:space="0" w:color="auto"/>
              <w:left w:val="single" w:sz="4" w:space="0" w:color="auto"/>
              <w:bottom w:val="single" w:sz="4" w:space="0" w:color="auto"/>
              <w:right w:val="single" w:sz="4" w:space="0" w:color="auto"/>
            </w:tcBorders>
            <w:hideMark/>
          </w:tcPr>
          <w:p w14:paraId="2D831667"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18FF3128" w14:textId="77777777" w:rsidR="00EF5A34" w:rsidRPr="00EF5A34" w:rsidRDefault="00EF5A34" w:rsidP="0084033F">
            <w:pPr>
              <w:spacing w:after="160" w:line="259" w:lineRule="auto"/>
              <w:jc w:val="center"/>
            </w:pPr>
            <w:r w:rsidRPr="00EF5A34">
              <w:t>A financial instrument such as a stock that can be traded.</w:t>
            </w:r>
          </w:p>
        </w:tc>
        <w:tc>
          <w:tcPr>
            <w:tcW w:w="3117" w:type="dxa"/>
            <w:tcBorders>
              <w:top w:val="single" w:sz="4" w:space="0" w:color="auto"/>
              <w:left w:val="single" w:sz="4" w:space="0" w:color="auto"/>
              <w:bottom w:val="single" w:sz="4" w:space="0" w:color="auto"/>
              <w:right w:val="single" w:sz="4" w:space="0" w:color="auto"/>
            </w:tcBorders>
            <w:hideMark/>
          </w:tcPr>
          <w:p w14:paraId="110D86CD" w14:textId="77777777" w:rsidR="00EF5A34" w:rsidRPr="00EF5A34" w:rsidRDefault="00EF5A34" w:rsidP="0084033F">
            <w:pPr>
              <w:spacing w:after="160" w:line="259" w:lineRule="auto"/>
              <w:jc w:val="center"/>
            </w:pPr>
            <w:r w:rsidRPr="00EF5A34">
              <w:t>The system selects and trades assets.</w:t>
            </w:r>
          </w:p>
        </w:tc>
      </w:tr>
      <w:tr w:rsidR="00EF5A34" w:rsidRPr="00EF5A34" w14:paraId="61CE1F81"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494AC413" w14:textId="77777777" w:rsidR="00EF5A34" w:rsidRPr="00EF5A34" w:rsidRDefault="00EF5A34" w:rsidP="0084033F">
            <w:pPr>
              <w:spacing w:after="160" w:line="259" w:lineRule="auto"/>
              <w:jc w:val="center"/>
            </w:pPr>
            <w:r w:rsidRPr="00EF5A34">
              <w:t>Autonomous System</w:t>
            </w:r>
          </w:p>
        </w:tc>
        <w:tc>
          <w:tcPr>
            <w:tcW w:w="1239" w:type="dxa"/>
            <w:tcBorders>
              <w:top w:val="single" w:sz="4" w:space="0" w:color="auto"/>
              <w:left w:val="single" w:sz="4" w:space="0" w:color="auto"/>
              <w:bottom w:val="single" w:sz="4" w:space="0" w:color="auto"/>
              <w:right w:val="single" w:sz="4" w:space="0" w:color="auto"/>
            </w:tcBorders>
            <w:hideMark/>
          </w:tcPr>
          <w:p w14:paraId="5450DBBA"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3D0A4BB5" w14:textId="77777777" w:rsidR="00EF5A34" w:rsidRPr="00EF5A34" w:rsidRDefault="00EF5A34" w:rsidP="0084033F">
            <w:pPr>
              <w:spacing w:after="160" w:line="259" w:lineRule="auto"/>
              <w:jc w:val="center"/>
            </w:pPr>
            <w:r w:rsidRPr="00EF5A34">
              <w:t>A system operating without constant human input.</w:t>
            </w:r>
          </w:p>
        </w:tc>
        <w:tc>
          <w:tcPr>
            <w:tcW w:w="3117" w:type="dxa"/>
            <w:tcBorders>
              <w:top w:val="single" w:sz="4" w:space="0" w:color="auto"/>
              <w:left w:val="single" w:sz="4" w:space="0" w:color="auto"/>
              <w:bottom w:val="single" w:sz="4" w:space="0" w:color="auto"/>
              <w:right w:val="single" w:sz="4" w:space="0" w:color="auto"/>
            </w:tcBorders>
            <w:hideMark/>
          </w:tcPr>
          <w:p w14:paraId="4F073020" w14:textId="77777777" w:rsidR="00EF5A34" w:rsidRPr="00EF5A34" w:rsidRDefault="00EF5A34" w:rsidP="0084033F">
            <w:pPr>
              <w:spacing w:after="160" w:line="259" w:lineRule="auto"/>
              <w:jc w:val="center"/>
            </w:pPr>
            <w:r w:rsidRPr="00EF5A34">
              <w:t>The proposed portfolio manager is autonomous.</w:t>
            </w:r>
          </w:p>
        </w:tc>
      </w:tr>
      <w:tr w:rsidR="00EF5A34" w:rsidRPr="00EF5A34" w14:paraId="74523DA2"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3B9B7693" w14:textId="77777777" w:rsidR="00EF5A34" w:rsidRPr="00EF5A34" w:rsidRDefault="00EF5A34" w:rsidP="0084033F">
            <w:pPr>
              <w:spacing w:after="160" w:line="259" w:lineRule="auto"/>
              <w:jc w:val="center"/>
            </w:pPr>
            <w:r w:rsidRPr="00EF5A34">
              <w:t>Back</w:t>
            </w:r>
            <w:r w:rsidRPr="00EF5A34">
              <w:noBreakHyphen/>
              <w:t>Testing</w:t>
            </w:r>
          </w:p>
        </w:tc>
        <w:tc>
          <w:tcPr>
            <w:tcW w:w="1239" w:type="dxa"/>
            <w:tcBorders>
              <w:top w:val="single" w:sz="4" w:space="0" w:color="auto"/>
              <w:left w:val="single" w:sz="4" w:space="0" w:color="auto"/>
              <w:bottom w:val="single" w:sz="4" w:space="0" w:color="auto"/>
              <w:right w:val="single" w:sz="4" w:space="0" w:color="auto"/>
            </w:tcBorders>
            <w:hideMark/>
          </w:tcPr>
          <w:p w14:paraId="5620AFA8"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3EFF9A18" w14:textId="77777777" w:rsidR="00EF5A34" w:rsidRPr="00EF5A34" w:rsidRDefault="00EF5A34" w:rsidP="0084033F">
            <w:pPr>
              <w:spacing w:after="160" w:line="259" w:lineRule="auto"/>
              <w:jc w:val="center"/>
            </w:pPr>
            <w:r w:rsidRPr="00EF5A34">
              <w:t>Evaluating strategies using historical market data.</w:t>
            </w:r>
          </w:p>
        </w:tc>
        <w:tc>
          <w:tcPr>
            <w:tcW w:w="3117" w:type="dxa"/>
            <w:tcBorders>
              <w:top w:val="single" w:sz="4" w:space="0" w:color="auto"/>
              <w:left w:val="single" w:sz="4" w:space="0" w:color="auto"/>
              <w:bottom w:val="single" w:sz="4" w:space="0" w:color="auto"/>
              <w:right w:val="single" w:sz="4" w:space="0" w:color="auto"/>
            </w:tcBorders>
            <w:hideMark/>
          </w:tcPr>
          <w:p w14:paraId="6EC7714B" w14:textId="77777777" w:rsidR="00EF5A34" w:rsidRPr="00EF5A34" w:rsidRDefault="00EF5A34" w:rsidP="0084033F">
            <w:pPr>
              <w:spacing w:after="160" w:line="259" w:lineRule="auto"/>
              <w:jc w:val="center"/>
            </w:pPr>
            <w:r w:rsidRPr="00EF5A34">
              <w:t>Used to test system performance.</w:t>
            </w:r>
          </w:p>
        </w:tc>
      </w:tr>
      <w:tr w:rsidR="00EF5A34" w:rsidRPr="00EF5A34" w14:paraId="705EF4BE" w14:textId="77777777">
        <w:trPr>
          <w:trHeight w:val="293"/>
        </w:trPr>
        <w:tc>
          <w:tcPr>
            <w:tcW w:w="2017" w:type="dxa"/>
            <w:tcBorders>
              <w:top w:val="single" w:sz="4" w:space="0" w:color="auto"/>
              <w:left w:val="single" w:sz="4" w:space="0" w:color="auto"/>
              <w:bottom w:val="single" w:sz="4" w:space="0" w:color="auto"/>
              <w:right w:val="single" w:sz="4" w:space="0" w:color="auto"/>
            </w:tcBorders>
            <w:hideMark/>
          </w:tcPr>
          <w:p w14:paraId="12136591" w14:textId="77777777" w:rsidR="00EF5A34" w:rsidRPr="00EF5A34" w:rsidRDefault="00EF5A34" w:rsidP="0084033F">
            <w:pPr>
              <w:spacing w:after="160" w:line="259" w:lineRule="auto"/>
              <w:jc w:val="center"/>
            </w:pPr>
            <w:r w:rsidRPr="00EF5A34">
              <w:t>Bear Market</w:t>
            </w:r>
          </w:p>
        </w:tc>
        <w:tc>
          <w:tcPr>
            <w:tcW w:w="1239" w:type="dxa"/>
            <w:tcBorders>
              <w:top w:val="single" w:sz="4" w:space="0" w:color="auto"/>
              <w:left w:val="single" w:sz="4" w:space="0" w:color="auto"/>
              <w:bottom w:val="single" w:sz="4" w:space="0" w:color="auto"/>
              <w:right w:val="single" w:sz="4" w:space="0" w:color="auto"/>
            </w:tcBorders>
            <w:hideMark/>
          </w:tcPr>
          <w:p w14:paraId="0D2C2CF1"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72C4D50B" w14:textId="77777777" w:rsidR="00EF5A34" w:rsidRPr="00EF5A34" w:rsidRDefault="00EF5A34" w:rsidP="0084033F">
            <w:pPr>
              <w:spacing w:after="160" w:line="259" w:lineRule="auto"/>
              <w:jc w:val="center"/>
            </w:pPr>
            <w:r w:rsidRPr="00EF5A34">
              <w:t>A market where prices generally fall.</w:t>
            </w:r>
          </w:p>
        </w:tc>
        <w:tc>
          <w:tcPr>
            <w:tcW w:w="3117" w:type="dxa"/>
            <w:tcBorders>
              <w:top w:val="single" w:sz="4" w:space="0" w:color="auto"/>
              <w:left w:val="single" w:sz="4" w:space="0" w:color="auto"/>
              <w:bottom w:val="single" w:sz="4" w:space="0" w:color="auto"/>
              <w:right w:val="single" w:sz="4" w:space="0" w:color="auto"/>
            </w:tcBorders>
            <w:hideMark/>
          </w:tcPr>
          <w:p w14:paraId="042DE962" w14:textId="77777777" w:rsidR="00EF5A34" w:rsidRPr="00EF5A34" w:rsidRDefault="00EF5A34" w:rsidP="0084033F">
            <w:pPr>
              <w:spacing w:after="160" w:line="259" w:lineRule="auto"/>
              <w:jc w:val="center"/>
            </w:pPr>
            <w:r w:rsidRPr="00EF5A34">
              <w:t>Highlights need for short selling.</w:t>
            </w:r>
          </w:p>
        </w:tc>
      </w:tr>
      <w:tr w:rsidR="00EF5A34" w:rsidRPr="00EF5A34" w14:paraId="49CDBD29"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05E01A4F" w14:textId="77777777" w:rsidR="00EF5A34" w:rsidRPr="00EF5A34" w:rsidRDefault="00EF5A34" w:rsidP="0084033F">
            <w:pPr>
              <w:spacing w:after="160" w:line="259" w:lineRule="auto"/>
              <w:jc w:val="center"/>
            </w:pPr>
            <w:r w:rsidRPr="00EF5A34">
              <w:t>Black</w:t>
            </w:r>
            <w:r w:rsidRPr="00EF5A34">
              <w:noBreakHyphen/>
              <w:t>Box Model</w:t>
            </w:r>
          </w:p>
        </w:tc>
        <w:tc>
          <w:tcPr>
            <w:tcW w:w="1239" w:type="dxa"/>
            <w:tcBorders>
              <w:top w:val="single" w:sz="4" w:space="0" w:color="auto"/>
              <w:left w:val="single" w:sz="4" w:space="0" w:color="auto"/>
              <w:bottom w:val="single" w:sz="4" w:space="0" w:color="auto"/>
              <w:right w:val="single" w:sz="4" w:space="0" w:color="auto"/>
            </w:tcBorders>
            <w:hideMark/>
          </w:tcPr>
          <w:p w14:paraId="015DF0CA"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0BEB2FAE" w14:textId="77777777" w:rsidR="00EF5A34" w:rsidRPr="00EF5A34" w:rsidRDefault="00EF5A34" w:rsidP="0084033F">
            <w:pPr>
              <w:spacing w:after="160" w:line="259" w:lineRule="auto"/>
              <w:jc w:val="center"/>
            </w:pPr>
            <w:r w:rsidRPr="00EF5A34">
              <w:t>A model whose internal reasoning is opaque.</w:t>
            </w:r>
          </w:p>
        </w:tc>
        <w:tc>
          <w:tcPr>
            <w:tcW w:w="3117" w:type="dxa"/>
            <w:tcBorders>
              <w:top w:val="single" w:sz="4" w:space="0" w:color="auto"/>
              <w:left w:val="single" w:sz="4" w:space="0" w:color="auto"/>
              <w:bottom w:val="single" w:sz="4" w:space="0" w:color="auto"/>
              <w:right w:val="single" w:sz="4" w:space="0" w:color="auto"/>
            </w:tcBorders>
            <w:hideMark/>
          </w:tcPr>
          <w:p w14:paraId="5890E5D3" w14:textId="77777777" w:rsidR="00EF5A34" w:rsidRPr="00EF5A34" w:rsidRDefault="00EF5A34" w:rsidP="0084033F">
            <w:pPr>
              <w:spacing w:after="160" w:line="259" w:lineRule="auto"/>
              <w:jc w:val="center"/>
            </w:pPr>
            <w:r w:rsidRPr="00EF5A34">
              <w:t>Used as a contrast in the dissertation.</w:t>
            </w:r>
          </w:p>
        </w:tc>
      </w:tr>
      <w:tr w:rsidR="00EF5A34" w:rsidRPr="00EF5A34" w14:paraId="12AFFFCE" w14:textId="77777777">
        <w:trPr>
          <w:trHeight w:val="293"/>
        </w:trPr>
        <w:tc>
          <w:tcPr>
            <w:tcW w:w="2017" w:type="dxa"/>
            <w:tcBorders>
              <w:top w:val="single" w:sz="4" w:space="0" w:color="auto"/>
              <w:left w:val="single" w:sz="4" w:space="0" w:color="auto"/>
              <w:bottom w:val="single" w:sz="4" w:space="0" w:color="auto"/>
              <w:right w:val="single" w:sz="4" w:space="0" w:color="auto"/>
            </w:tcBorders>
            <w:hideMark/>
          </w:tcPr>
          <w:p w14:paraId="74DEA675" w14:textId="77777777" w:rsidR="00EF5A34" w:rsidRPr="00EF5A34" w:rsidRDefault="00EF5A34" w:rsidP="0084033F">
            <w:pPr>
              <w:spacing w:after="160" w:line="259" w:lineRule="auto"/>
              <w:jc w:val="center"/>
            </w:pPr>
            <w:r w:rsidRPr="00EF5A34">
              <w:t>Bull Market</w:t>
            </w:r>
          </w:p>
        </w:tc>
        <w:tc>
          <w:tcPr>
            <w:tcW w:w="1239" w:type="dxa"/>
            <w:tcBorders>
              <w:top w:val="single" w:sz="4" w:space="0" w:color="auto"/>
              <w:left w:val="single" w:sz="4" w:space="0" w:color="auto"/>
              <w:bottom w:val="single" w:sz="4" w:space="0" w:color="auto"/>
              <w:right w:val="single" w:sz="4" w:space="0" w:color="auto"/>
            </w:tcBorders>
            <w:hideMark/>
          </w:tcPr>
          <w:p w14:paraId="1CA4CB2B"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7913036A" w14:textId="77777777" w:rsidR="00EF5A34" w:rsidRPr="00EF5A34" w:rsidRDefault="00EF5A34" w:rsidP="0084033F">
            <w:pPr>
              <w:spacing w:after="160" w:line="259" w:lineRule="auto"/>
              <w:jc w:val="center"/>
            </w:pPr>
            <w:r w:rsidRPr="00EF5A34">
              <w:t>A market where prices generally rise.</w:t>
            </w:r>
          </w:p>
        </w:tc>
        <w:tc>
          <w:tcPr>
            <w:tcW w:w="3117" w:type="dxa"/>
            <w:tcBorders>
              <w:top w:val="single" w:sz="4" w:space="0" w:color="auto"/>
              <w:left w:val="single" w:sz="4" w:space="0" w:color="auto"/>
              <w:bottom w:val="single" w:sz="4" w:space="0" w:color="auto"/>
              <w:right w:val="single" w:sz="4" w:space="0" w:color="auto"/>
            </w:tcBorders>
            <w:hideMark/>
          </w:tcPr>
          <w:p w14:paraId="6976EEB2" w14:textId="77777777" w:rsidR="00EF5A34" w:rsidRPr="00EF5A34" w:rsidRDefault="00EF5A34" w:rsidP="0084033F">
            <w:pPr>
              <w:spacing w:after="160" w:line="259" w:lineRule="auto"/>
              <w:jc w:val="center"/>
            </w:pPr>
            <w:r w:rsidRPr="00EF5A34">
              <w:t>Explains behaviour of rising markets.</w:t>
            </w:r>
          </w:p>
        </w:tc>
      </w:tr>
      <w:tr w:rsidR="00EF5A34" w:rsidRPr="00EF5A34" w14:paraId="39F8F464"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04F52CD9" w14:textId="77777777" w:rsidR="00EF5A34" w:rsidRPr="00EF5A34" w:rsidRDefault="00EF5A34" w:rsidP="0084033F">
            <w:pPr>
              <w:spacing w:after="160" w:line="259" w:lineRule="auto"/>
              <w:jc w:val="center"/>
            </w:pPr>
            <w:r w:rsidRPr="00EF5A34">
              <w:t>Buy</w:t>
            </w:r>
          </w:p>
        </w:tc>
        <w:tc>
          <w:tcPr>
            <w:tcW w:w="1239" w:type="dxa"/>
            <w:tcBorders>
              <w:top w:val="single" w:sz="4" w:space="0" w:color="auto"/>
              <w:left w:val="single" w:sz="4" w:space="0" w:color="auto"/>
              <w:bottom w:val="single" w:sz="4" w:space="0" w:color="auto"/>
              <w:right w:val="single" w:sz="4" w:space="0" w:color="auto"/>
            </w:tcBorders>
            <w:hideMark/>
          </w:tcPr>
          <w:p w14:paraId="4CC63E59"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6C52BB0A" w14:textId="77777777" w:rsidR="00EF5A34" w:rsidRPr="00EF5A34" w:rsidRDefault="00EF5A34" w:rsidP="0084033F">
            <w:pPr>
              <w:spacing w:after="160" w:line="259" w:lineRule="auto"/>
              <w:jc w:val="center"/>
            </w:pPr>
            <w:r w:rsidRPr="00EF5A34">
              <w:t>Purchasing an asset expecting its price to rise.</w:t>
            </w:r>
          </w:p>
        </w:tc>
        <w:tc>
          <w:tcPr>
            <w:tcW w:w="3117" w:type="dxa"/>
            <w:tcBorders>
              <w:top w:val="single" w:sz="4" w:space="0" w:color="auto"/>
              <w:left w:val="single" w:sz="4" w:space="0" w:color="auto"/>
              <w:bottom w:val="single" w:sz="4" w:space="0" w:color="auto"/>
              <w:right w:val="single" w:sz="4" w:space="0" w:color="auto"/>
            </w:tcBorders>
            <w:hideMark/>
          </w:tcPr>
          <w:p w14:paraId="3CDE5F40" w14:textId="77777777" w:rsidR="00EF5A34" w:rsidRPr="00EF5A34" w:rsidRDefault="00EF5A34" w:rsidP="0084033F">
            <w:pPr>
              <w:spacing w:after="160" w:line="259" w:lineRule="auto"/>
              <w:jc w:val="center"/>
            </w:pPr>
            <w:r w:rsidRPr="00EF5A34">
              <w:t>One of the system’s trading actions.</w:t>
            </w:r>
          </w:p>
        </w:tc>
      </w:tr>
      <w:tr w:rsidR="00EC7341" w:rsidRPr="00EF5A34" w14:paraId="3B8A0247" w14:textId="77777777">
        <w:trPr>
          <w:trHeight w:val="578"/>
        </w:trPr>
        <w:tc>
          <w:tcPr>
            <w:tcW w:w="2017" w:type="dxa"/>
            <w:tcBorders>
              <w:top w:val="single" w:sz="4" w:space="0" w:color="auto"/>
              <w:left w:val="single" w:sz="4" w:space="0" w:color="auto"/>
              <w:bottom w:val="single" w:sz="4" w:space="0" w:color="auto"/>
              <w:right w:val="single" w:sz="4" w:space="0" w:color="auto"/>
            </w:tcBorders>
          </w:tcPr>
          <w:p w14:paraId="2A10D36C" w14:textId="4D105380" w:rsidR="00EC7341" w:rsidRPr="00EF5A34" w:rsidRDefault="00EC7341" w:rsidP="0084033F">
            <w:pPr>
              <w:jc w:val="center"/>
            </w:pPr>
            <w:r>
              <w:t>Buy-and-hold</w:t>
            </w:r>
          </w:p>
        </w:tc>
        <w:tc>
          <w:tcPr>
            <w:tcW w:w="1239" w:type="dxa"/>
            <w:tcBorders>
              <w:top w:val="single" w:sz="4" w:space="0" w:color="auto"/>
              <w:left w:val="single" w:sz="4" w:space="0" w:color="auto"/>
              <w:bottom w:val="single" w:sz="4" w:space="0" w:color="auto"/>
              <w:right w:val="single" w:sz="4" w:space="0" w:color="auto"/>
            </w:tcBorders>
          </w:tcPr>
          <w:p w14:paraId="628B97CB" w14:textId="0B55429B" w:rsidR="00EC7341" w:rsidRPr="00EF5A34" w:rsidRDefault="00EC7341" w:rsidP="0084033F">
            <w:pPr>
              <w:jc w:val="center"/>
            </w:pPr>
            <w:r>
              <w:t>Finance</w:t>
            </w:r>
          </w:p>
        </w:tc>
        <w:tc>
          <w:tcPr>
            <w:tcW w:w="2836" w:type="dxa"/>
            <w:tcBorders>
              <w:top w:val="single" w:sz="4" w:space="0" w:color="auto"/>
              <w:left w:val="single" w:sz="4" w:space="0" w:color="auto"/>
              <w:bottom w:val="single" w:sz="4" w:space="0" w:color="auto"/>
              <w:right w:val="single" w:sz="4" w:space="0" w:color="auto"/>
            </w:tcBorders>
          </w:tcPr>
          <w:p w14:paraId="204B447A" w14:textId="57E1BB2F" w:rsidR="00EC7341" w:rsidRPr="00EF5A34" w:rsidRDefault="00EC7341" w:rsidP="0084033F">
            <w:pPr>
              <w:jc w:val="center"/>
            </w:pPr>
            <w:r>
              <w:t>Purchasing an asset and then holding it for longer periods</w:t>
            </w:r>
          </w:p>
        </w:tc>
        <w:tc>
          <w:tcPr>
            <w:tcW w:w="3117" w:type="dxa"/>
            <w:tcBorders>
              <w:top w:val="single" w:sz="4" w:space="0" w:color="auto"/>
              <w:left w:val="single" w:sz="4" w:space="0" w:color="auto"/>
              <w:bottom w:val="single" w:sz="4" w:space="0" w:color="auto"/>
              <w:right w:val="single" w:sz="4" w:space="0" w:color="auto"/>
            </w:tcBorders>
          </w:tcPr>
          <w:p w14:paraId="028ECE39" w14:textId="00E87696" w:rsidR="00EC7341" w:rsidRPr="00EF5A34" w:rsidRDefault="00EC7341" w:rsidP="0084033F">
            <w:pPr>
              <w:jc w:val="center"/>
            </w:pPr>
            <w:r>
              <w:t>Used for comparing framework again SPY buy-and-hold strategy.</w:t>
            </w:r>
          </w:p>
        </w:tc>
      </w:tr>
      <w:tr w:rsidR="00EF5A34" w:rsidRPr="00EF5A34" w14:paraId="3C51DDED"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1EC46783" w14:textId="77777777" w:rsidR="00EF5A34" w:rsidRPr="00EF5A34" w:rsidRDefault="00EF5A34" w:rsidP="0084033F">
            <w:pPr>
              <w:spacing w:after="160" w:line="259" w:lineRule="auto"/>
              <w:jc w:val="center"/>
            </w:pPr>
            <w:r w:rsidRPr="00EF5A34">
              <w:t>Closed</w:t>
            </w:r>
            <w:r w:rsidRPr="00EF5A34">
              <w:noBreakHyphen/>
              <w:t>Loop System</w:t>
            </w:r>
          </w:p>
        </w:tc>
        <w:tc>
          <w:tcPr>
            <w:tcW w:w="1239" w:type="dxa"/>
            <w:tcBorders>
              <w:top w:val="single" w:sz="4" w:space="0" w:color="auto"/>
              <w:left w:val="single" w:sz="4" w:space="0" w:color="auto"/>
              <w:bottom w:val="single" w:sz="4" w:space="0" w:color="auto"/>
              <w:right w:val="single" w:sz="4" w:space="0" w:color="auto"/>
            </w:tcBorders>
            <w:hideMark/>
          </w:tcPr>
          <w:p w14:paraId="6FC3D57E"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46E238DC" w14:textId="77777777" w:rsidR="00EF5A34" w:rsidRPr="00EF5A34" w:rsidRDefault="00EF5A34" w:rsidP="0084033F">
            <w:pPr>
              <w:spacing w:after="160" w:line="259" w:lineRule="auto"/>
              <w:jc w:val="center"/>
            </w:pPr>
            <w:r w:rsidRPr="00EF5A34">
              <w:t>A system that uses its outputs to influence future behaviour.</w:t>
            </w:r>
          </w:p>
        </w:tc>
        <w:tc>
          <w:tcPr>
            <w:tcW w:w="3117" w:type="dxa"/>
            <w:tcBorders>
              <w:top w:val="single" w:sz="4" w:space="0" w:color="auto"/>
              <w:left w:val="single" w:sz="4" w:space="0" w:color="auto"/>
              <w:bottom w:val="single" w:sz="4" w:space="0" w:color="auto"/>
              <w:right w:val="single" w:sz="4" w:space="0" w:color="auto"/>
            </w:tcBorders>
            <w:hideMark/>
          </w:tcPr>
          <w:p w14:paraId="6FAC33F3" w14:textId="77777777" w:rsidR="00EF5A34" w:rsidRPr="00EF5A34" w:rsidRDefault="00EF5A34" w:rsidP="0084033F">
            <w:pPr>
              <w:spacing w:after="160" w:line="259" w:lineRule="auto"/>
              <w:jc w:val="center"/>
            </w:pPr>
            <w:r w:rsidRPr="00EF5A34">
              <w:t>Enables continuous learning.</w:t>
            </w:r>
          </w:p>
        </w:tc>
      </w:tr>
      <w:tr w:rsidR="00EF5A34" w:rsidRPr="00EF5A34" w14:paraId="7C285008"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2BBB8F43" w14:textId="77777777" w:rsidR="00EF5A34" w:rsidRPr="00EF5A34" w:rsidRDefault="00EF5A34" w:rsidP="0084033F">
            <w:pPr>
              <w:spacing w:after="160" w:line="259" w:lineRule="auto"/>
              <w:jc w:val="center"/>
            </w:pPr>
            <w:r w:rsidRPr="00EF5A34">
              <w:t>Context Window</w:t>
            </w:r>
          </w:p>
        </w:tc>
        <w:tc>
          <w:tcPr>
            <w:tcW w:w="1239" w:type="dxa"/>
            <w:tcBorders>
              <w:top w:val="single" w:sz="4" w:space="0" w:color="auto"/>
              <w:left w:val="single" w:sz="4" w:space="0" w:color="auto"/>
              <w:bottom w:val="single" w:sz="4" w:space="0" w:color="auto"/>
              <w:right w:val="single" w:sz="4" w:space="0" w:color="auto"/>
            </w:tcBorders>
            <w:hideMark/>
          </w:tcPr>
          <w:p w14:paraId="5573BFBA"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548F19DC" w14:textId="77777777" w:rsidR="00EF5A34" w:rsidRPr="00EF5A34" w:rsidRDefault="00EF5A34" w:rsidP="0084033F">
            <w:pPr>
              <w:spacing w:after="160" w:line="259" w:lineRule="auto"/>
              <w:jc w:val="center"/>
            </w:pPr>
            <w:r w:rsidRPr="00EF5A34">
              <w:t>Amount of text an LLM can consider at once.</w:t>
            </w:r>
          </w:p>
        </w:tc>
        <w:tc>
          <w:tcPr>
            <w:tcW w:w="3117" w:type="dxa"/>
            <w:tcBorders>
              <w:top w:val="single" w:sz="4" w:space="0" w:color="auto"/>
              <w:left w:val="single" w:sz="4" w:space="0" w:color="auto"/>
              <w:bottom w:val="single" w:sz="4" w:space="0" w:color="auto"/>
              <w:right w:val="single" w:sz="4" w:space="0" w:color="auto"/>
            </w:tcBorders>
            <w:hideMark/>
          </w:tcPr>
          <w:p w14:paraId="10DFFE37" w14:textId="77777777" w:rsidR="00EF5A34" w:rsidRPr="00EF5A34" w:rsidRDefault="00EF5A34" w:rsidP="0084033F">
            <w:pPr>
              <w:spacing w:after="160" w:line="259" w:lineRule="auto"/>
              <w:jc w:val="center"/>
            </w:pPr>
            <w:r w:rsidRPr="00EF5A34">
              <w:t>Limits memory and feedback length.</w:t>
            </w:r>
          </w:p>
        </w:tc>
      </w:tr>
      <w:tr w:rsidR="00EF5A34" w:rsidRPr="00EF5A34" w14:paraId="077B51C9"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31932AC2" w14:textId="77777777" w:rsidR="00EF5A34" w:rsidRPr="00EF5A34" w:rsidRDefault="00EF5A34" w:rsidP="0084033F">
            <w:pPr>
              <w:spacing w:after="160" w:line="259" w:lineRule="auto"/>
              <w:jc w:val="center"/>
            </w:pPr>
            <w:r w:rsidRPr="00EF5A34">
              <w:lastRenderedPageBreak/>
              <w:t>Drawdown</w:t>
            </w:r>
          </w:p>
        </w:tc>
        <w:tc>
          <w:tcPr>
            <w:tcW w:w="1239" w:type="dxa"/>
            <w:tcBorders>
              <w:top w:val="single" w:sz="4" w:space="0" w:color="auto"/>
              <w:left w:val="single" w:sz="4" w:space="0" w:color="auto"/>
              <w:bottom w:val="single" w:sz="4" w:space="0" w:color="auto"/>
              <w:right w:val="single" w:sz="4" w:space="0" w:color="auto"/>
            </w:tcBorders>
            <w:hideMark/>
          </w:tcPr>
          <w:p w14:paraId="75DC2506"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19853B23" w14:textId="77777777" w:rsidR="00EF5A34" w:rsidRPr="00EF5A34" w:rsidRDefault="00EF5A34" w:rsidP="0084033F">
            <w:pPr>
              <w:spacing w:after="160" w:line="259" w:lineRule="auto"/>
              <w:jc w:val="center"/>
            </w:pPr>
            <w:r w:rsidRPr="00EF5A34">
              <w:t>The decline from a portfolio’s peak value to a low point.</w:t>
            </w:r>
          </w:p>
        </w:tc>
        <w:tc>
          <w:tcPr>
            <w:tcW w:w="3117" w:type="dxa"/>
            <w:tcBorders>
              <w:top w:val="single" w:sz="4" w:space="0" w:color="auto"/>
              <w:left w:val="single" w:sz="4" w:space="0" w:color="auto"/>
              <w:bottom w:val="single" w:sz="4" w:space="0" w:color="auto"/>
              <w:right w:val="single" w:sz="4" w:space="0" w:color="auto"/>
            </w:tcBorders>
            <w:hideMark/>
          </w:tcPr>
          <w:p w14:paraId="273A6D2E" w14:textId="77777777" w:rsidR="00EF5A34" w:rsidRPr="00EF5A34" w:rsidRDefault="00EF5A34" w:rsidP="0084033F">
            <w:pPr>
              <w:spacing w:after="160" w:line="259" w:lineRule="auto"/>
              <w:jc w:val="center"/>
            </w:pPr>
            <w:r w:rsidRPr="00EF5A34">
              <w:t>Penalised to discourage large losses.</w:t>
            </w:r>
          </w:p>
        </w:tc>
      </w:tr>
      <w:tr w:rsidR="00EF5A34" w:rsidRPr="00EF5A34" w14:paraId="66EB6EBE"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20FD37DB" w14:textId="77777777" w:rsidR="00EF5A34" w:rsidRPr="00EF5A34" w:rsidRDefault="00EF5A34" w:rsidP="0084033F">
            <w:pPr>
              <w:spacing w:after="160" w:line="259" w:lineRule="auto"/>
              <w:jc w:val="center"/>
            </w:pPr>
            <w:r w:rsidRPr="00EF5A34">
              <w:t>Dynamic Prompt Optimisation</w:t>
            </w:r>
          </w:p>
        </w:tc>
        <w:tc>
          <w:tcPr>
            <w:tcW w:w="1239" w:type="dxa"/>
            <w:tcBorders>
              <w:top w:val="single" w:sz="4" w:space="0" w:color="auto"/>
              <w:left w:val="single" w:sz="4" w:space="0" w:color="auto"/>
              <w:bottom w:val="single" w:sz="4" w:space="0" w:color="auto"/>
              <w:right w:val="single" w:sz="4" w:space="0" w:color="auto"/>
            </w:tcBorders>
            <w:hideMark/>
          </w:tcPr>
          <w:p w14:paraId="2D548A00"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1F3EF9BE" w14:textId="77777777" w:rsidR="00EF5A34" w:rsidRPr="00EF5A34" w:rsidRDefault="00EF5A34" w:rsidP="0084033F">
            <w:pPr>
              <w:spacing w:after="160" w:line="259" w:lineRule="auto"/>
              <w:jc w:val="center"/>
            </w:pPr>
            <w:r w:rsidRPr="00EF5A34">
              <w:t>Automatic refinement of prompts based on performance.</w:t>
            </w:r>
          </w:p>
        </w:tc>
        <w:tc>
          <w:tcPr>
            <w:tcW w:w="3117" w:type="dxa"/>
            <w:tcBorders>
              <w:top w:val="single" w:sz="4" w:space="0" w:color="auto"/>
              <w:left w:val="single" w:sz="4" w:space="0" w:color="auto"/>
              <w:bottom w:val="single" w:sz="4" w:space="0" w:color="auto"/>
              <w:right w:val="single" w:sz="4" w:space="0" w:color="auto"/>
            </w:tcBorders>
            <w:hideMark/>
          </w:tcPr>
          <w:p w14:paraId="4DFFBC66" w14:textId="77777777" w:rsidR="00EF5A34" w:rsidRPr="00EF5A34" w:rsidRDefault="00EF5A34" w:rsidP="0084033F">
            <w:pPr>
              <w:spacing w:after="160" w:line="259" w:lineRule="auto"/>
              <w:jc w:val="center"/>
            </w:pPr>
            <w:r w:rsidRPr="00EF5A34">
              <w:t>Core contribution of the research.</w:t>
            </w:r>
          </w:p>
        </w:tc>
      </w:tr>
      <w:tr w:rsidR="00EF5A34" w:rsidRPr="00EF5A34" w14:paraId="6CE1AF15"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7104591F" w14:textId="77777777" w:rsidR="00EF5A34" w:rsidRPr="00EF5A34" w:rsidRDefault="00EF5A34" w:rsidP="0084033F">
            <w:pPr>
              <w:spacing w:after="160" w:line="259" w:lineRule="auto"/>
              <w:jc w:val="center"/>
            </w:pPr>
            <w:r w:rsidRPr="00EF5A34">
              <w:t>Explainability</w:t>
            </w:r>
          </w:p>
        </w:tc>
        <w:tc>
          <w:tcPr>
            <w:tcW w:w="1239" w:type="dxa"/>
            <w:tcBorders>
              <w:top w:val="single" w:sz="4" w:space="0" w:color="auto"/>
              <w:left w:val="single" w:sz="4" w:space="0" w:color="auto"/>
              <w:bottom w:val="single" w:sz="4" w:space="0" w:color="auto"/>
              <w:right w:val="single" w:sz="4" w:space="0" w:color="auto"/>
            </w:tcBorders>
            <w:hideMark/>
          </w:tcPr>
          <w:p w14:paraId="4EDBDBE5"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638FADBE" w14:textId="77777777" w:rsidR="00EF5A34" w:rsidRPr="00EF5A34" w:rsidRDefault="00EF5A34" w:rsidP="0084033F">
            <w:pPr>
              <w:spacing w:after="160" w:line="259" w:lineRule="auto"/>
              <w:jc w:val="center"/>
            </w:pPr>
            <w:r w:rsidRPr="00EF5A34">
              <w:t>Ability to understand why a decision was made.</w:t>
            </w:r>
          </w:p>
        </w:tc>
        <w:tc>
          <w:tcPr>
            <w:tcW w:w="3117" w:type="dxa"/>
            <w:tcBorders>
              <w:top w:val="single" w:sz="4" w:space="0" w:color="auto"/>
              <w:left w:val="single" w:sz="4" w:space="0" w:color="auto"/>
              <w:bottom w:val="single" w:sz="4" w:space="0" w:color="auto"/>
              <w:right w:val="single" w:sz="4" w:space="0" w:color="auto"/>
            </w:tcBorders>
            <w:hideMark/>
          </w:tcPr>
          <w:p w14:paraId="1A092BCA" w14:textId="77777777" w:rsidR="00EF5A34" w:rsidRPr="00EF5A34" w:rsidRDefault="00EF5A34" w:rsidP="0084033F">
            <w:pPr>
              <w:spacing w:after="160" w:line="259" w:lineRule="auto"/>
              <w:jc w:val="center"/>
            </w:pPr>
            <w:r w:rsidRPr="00EF5A34">
              <w:t>Key benefit over black</w:t>
            </w:r>
            <w:r w:rsidRPr="00EF5A34">
              <w:noBreakHyphen/>
              <w:t>box models.</w:t>
            </w:r>
          </w:p>
        </w:tc>
      </w:tr>
      <w:tr w:rsidR="002D31F1" w:rsidRPr="00EF5A34" w14:paraId="25333908" w14:textId="77777777">
        <w:trPr>
          <w:trHeight w:val="578"/>
        </w:trPr>
        <w:tc>
          <w:tcPr>
            <w:tcW w:w="2017" w:type="dxa"/>
            <w:tcBorders>
              <w:top w:val="single" w:sz="4" w:space="0" w:color="auto"/>
              <w:left w:val="single" w:sz="4" w:space="0" w:color="auto"/>
              <w:bottom w:val="single" w:sz="4" w:space="0" w:color="auto"/>
              <w:right w:val="single" w:sz="4" w:space="0" w:color="auto"/>
            </w:tcBorders>
          </w:tcPr>
          <w:p w14:paraId="4518FB8D" w14:textId="765398C1" w:rsidR="002D31F1" w:rsidRPr="00EF5A34" w:rsidRDefault="002D31F1" w:rsidP="0084033F">
            <w:pPr>
              <w:jc w:val="center"/>
            </w:pPr>
            <w:r>
              <w:t>ETF</w:t>
            </w:r>
          </w:p>
        </w:tc>
        <w:tc>
          <w:tcPr>
            <w:tcW w:w="1239" w:type="dxa"/>
            <w:tcBorders>
              <w:top w:val="single" w:sz="4" w:space="0" w:color="auto"/>
              <w:left w:val="single" w:sz="4" w:space="0" w:color="auto"/>
              <w:bottom w:val="single" w:sz="4" w:space="0" w:color="auto"/>
              <w:right w:val="single" w:sz="4" w:space="0" w:color="auto"/>
            </w:tcBorders>
          </w:tcPr>
          <w:p w14:paraId="6A773406" w14:textId="6178D8B0" w:rsidR="002D31F1" w:rsidRPr="00EF5A34" w:rsidRDefault="002D31F1" w:rsidP="0084033F">
            <w:pPr>
              <w:jc w:val="center"/>
            </w:pPr>
            <w:r>
              <w:t>Finance</w:t>
            </w:r>
          </w:p>
        </w:tc>
        <w:tc>
          <w:tcPr>
            <w:tcW w:w="2836" w:type="dxa"/>
            <w:tcBorders>
              <w:top w:val="single" w:sz="4" w:space="0" w:color="auto"/>
              <w:left w:val="single" w:sz="4" w:space="0" w:color="auto"/>
              <w:bottom w:val="single" w:sz="4" w:space="0" w:color="auto"/>
              <w:right w:val="single" w:sz="4" w:space="0" w:color="auto"/>
            </w:tcBorders>
          </w:tcPr>
          <w:p w14:paraId="2E4E1DE7" w14:textId="77777777" w:rsidR="002D31F1" w:rsidRPr="002D31F1" w:rsidRDefault="002D31F1" w:rsidP="0084033F">
            <w:pPr>
              <w:jc w:val="center"/>
            </w:pPr>
            <w:r w:rsidRPr="002D31F1">
              <w:t>A fund that tracks a basket of assets and trades on a stock exchange like a regular share.</w:t>
            </w:r>
          </w:p>
          <w:p w14:paraId="7A13C848" w14:textId="77777777" w:rsidR="002D31F1" w:rsidRPr="00EF5A34" w:rsidRDefault="002D31F1" w:rsidP="0084033F">
            <w:pPr>
              <w:jc w:val="center"/>
            </w:pPr>
          </w:p>
        </w:tc>
        <w:tc>
          <w:tcPr>
            <w:tcW w:w="3117" w:type="dxa"/>
            <w:tcBorders>
              <w:top w:val="single" w:sz="4" w:space="0" w:color="auto"/>
              <w:left w:val="single" w:sz="4" w:space="0" w:color="auto"/>
              <w:bottom w:val="single" w:sz="4" w:space="0" w:color="auto"/>
              <w:right w:val="single" w:sz="4" w:space="0" w:color="auto"/>
            </w:tcBorders>
          </w:tcPr>
          <w:p w14:paraId="63F766E5" w14:textId="1FB50B26" w:rsidR="002D31F1" w:rsidRPr="00EF5A34" w:rsidRDefault="002D31F1" w:rsidP="0084033F">
            <w:pPr>
              <w:jc w:val="center"/>
            </w:pPr>
            <w:r w:rsidRPr="002D31F1">
              <w:t>SPY and QQQ are included in the 13-security trading universe and SPY is used as the passive benchmark to measure the framework's performance against.</w:t>
            </w:r>
          </w:p>
        </w:tc>
      </w:tr>
      <w:tr w:rsidR="00EF5A34" w:rsidRPr="00EF5A34" w14:paraId="151837AE"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2906BC81" w14:textId="77777777" w:rsidR="00EF5A34" w:rsidRPr="00EF5A34" w:rsidRDefault="00EF5A34" w:rsidP="0084033F">
            <w:pPr>
              <w:spacing w:after="160" w:line="259" w:lineRule="auto"/>
              <w:jc w:val="center"/>
            </w:pPr>
            <w:r w:rsidRPr="00EF5A34">
              <w:t>Feedback Loop</w:t>
            </w:r>
          </w:p>
        </w:tc>
        <w:tc>
          <w:tcPr>
            <w:tcW w:w="1239" w:type="dxa"/>
            <w:tcBorders>
              <w:top w:val="single" w:sz="4" w:space="0" w:color="auto"/>
              <w:left w:val="single" w:sz="4" w:space="0" w:color="auto"/>
              <w:bottom w:val="single" w:sz="4" w:space="0" w:color="auto"/>
              <w:right w:val="single" w:sz="4" w:space="0" w:color="auto"/>
            </w:tcBorders>
            <w:hideMark/>
          </w:tcPr>
          <w:p w14:paraId="027A6EB8"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2DF631C2" w14:textId="77777777" w:rsidR="00EF5A34" w:rsidRPr="00EF5A34" w:rsidRDefault="00EF5A34" w:rsidP="0084033F">
            <w:pPr>
              <w:spacing w:after="160" w:line="259" w:lineRule="auto"/>
              <w:jc w:val="center"/>
            </w:pPr>
            <w:r w:rsidRPr="00EF5A34">
              <w:t>Mechanism feeding performance results back into the system.</w:t>
            </w:r>
          </w:p>
        </w:tc>
        <w:tc>
          <w:tcPr>
            <w:tcW w:w="3117" w:type="dxa"/>
            <w:tcBorders>
              <w:top w:val="single" w:sz="4" w:space="0" w:color="auto"/>
              <w:left w:val="single" w:sz="4" w:space="0" w:color="auto"/>
              <w:bottom w:val="single" w:sz="4" w:space="0" w:color="auto"/>
              <w:right w:val="single" w:sz="4" w:space="0" w:color="auto"/>
            </w:tcBorders>
            <w:hideMark/>
          </w:tcPr>
          <w:p w14:paraId="58DF99B2" w14:textId="77777777" w:rsidR="00EF5A34" w:rsidRPr="00EF5A34" w:rsidRDefault="00EF5A34" w:rsidP="0084033F">
            <w:pPr>
              <w:spacing w:after="160" w:line="259" w:lineRule="auto"/>
              <w:jc w:val="center"/>
            </w:pPr>
            <w:r w:rsidRPr="00EF5A34">
              <w:t>Drives prompt improvement.</w:t>
            </w:r>
          </w:p>
        </w:tc>
      </w:tr>
      <w:tr w:rsidR="00EF5A34" w:rsidRPr="00EF5A34" w14:paraId="61C06C40"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5D1CC4E8" w14:textId="77777777" w:rsidR="00EF5A34" w:rsidRPr="00EF5A34" w:rsidRDefault="00EF5A34" w:rsidP="0084033F">
            <w:pPr>
              <w:spacing w:after="160" w:line="259" w:lineRule="auto"/>
              <w:jc w:val="center"/>
            </w:pPr>
            <w:r w:rsidRPr="00EF5A34">
              <w:t>Fundamental Analysis</w:t>
            </w:r>
          </w:p>
        </w:tc>
        <w:tc>
          <w:tcPr>
            <w:tcW w:w="1239" w:type="dxa"/>
            <w:tcBorders>
              <w:top w:val="single" w:sz="4" w:space="0" w:color="auto"/>
              <w:left w:val="single" w:sz="4" w:space="0" w:color="auto"/>
              <w:bottom w:val="single" w:sz="4" w:space="0" w:color="auto"/>
              <w:right w:val="single" w:sz="4" w:space="0" w:color="auto"/>
            </w:tcBorders>
            <w:hideMark/>
          </w:tcPr>
          <w:p w14:paraId="33BAE90D"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248B595D" w14:textId="77777777" w:rsidR="00EF5A34" w:rsidRPr="00EF5A34" w:rsidRDefault="00EF5A34" w:rsidP="0084033F">
            <w:pPr>
              <w:spacing w:after="160" w:line="259" w:lineRule="auto"/>
              <w:jc w:val="center"/>
            </w:pPr>
            <w:r w:rsidRPr="00EF5A34">
              <w:t>Analysis of company financial health and value.</w:t>
            </w:r>
          </w:p>
        </w:tc>
        <w:tc>
          <w:tcPr>
            <w:tcW w:w="3117" w:type="dxa"/>
            <w:tcBorders>
              <w:top w:val="single" w:sz="4" w:space="0" w:color="auto"/>
              <w:left w:val="single" w:sz="4" w:space="0" w:color="auto"/>
              <w:bottom w:val="single" w:sz="4" w:space="0" w:color="auto"/>
              <w:right w:val="single" w:sz="4" w:space="0" w:color="auto"/>
            </w:tcBorders>
            <w:hideMark/>
          </w:tcPr>
          <w:p w14:paraId="10EFFCC3" w14:textId="77777777" w:rsidR="00EF5A34" w:rsidRPr="00EF5A34" w:rsidRDefault="00EF5A34" w:rsidP="0084033F">
            <w:pPr>
              <w:spacing w:after="160" w:line="259" w:lineRule="auto"/>
              <w:jc w:val="center"/>
            </w:pPr>
            <w:r w:rsidRPr="00EF5A34">
              <w:t>Performed by the Fundamental Analyst agent.</w:t>
            </w:r>
          </w:p>
        </w:tc>
      </w:tr>
      <w:tr w:rsidR="00EF5A34" w:rsidRPr="00EF5A34" w14:paraId="04A4C010"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2E05C1EC" w14:textId="77777777" w:rsidR="00EF5A34" w:rsidRPr="00EF5A34" w:rsidRDefault="00EF5A34" w:rsidP="0084033F">
            <w:pPr>
              <w:spacing w:after="160" w:line="259" w:lineRule="auto"/>
              <w:jc w:val="center"/>
            </w:pPr>
            <w:r w:rsidRPr="00EF5A34">
              <w:t>Hallucination</w:t>
            </w:r>
          </w:p>
        </w:tc>
        <w:tc>
          <w:tcPr>
            <w:tcW w:w="1239" w:type="dxa"/>
            <w:tcBorders>
              <w:top w:val="single" w:sz="4" w:space="0" w:color="auto"/>
              <w:left w:val="single" w:sz="4" w:space="0" w:color="auto"/>
              <w:bottom w:val="single" w:sz="4" w:space="0" w:color="auto"/>
              <w:right w:val="single" w:sz="4" w:space="0" w:color="auto"/>
            </w:tcBorders>
            <w:hideMark/>
          </w:tcPr>
          <w:p w14:paraId="2DED3913"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00B36C8A" w14:textId="77777777" w:rsidR="00EF5A34" w:rsidRPr="00EF5A34" w:rsidRDefault="00EF5A34" w:rsidP="0084033F">
            <w:pPr>
              <w:spacing w:after="160" w:line="259" w:lineRule="auto"/>
              <w:jc w:val="center"/>
            </w:pPr>
            <w:r w:rsidRPr="00EF5A34">
              <w:t>When an AI produces confident but incorrect output.</w:t>
            </w:r>
          </w:p>
        </w:tc>
        <w:tc>
          <w:tcPr>
            <w:tcW w:w="3117" w:type="dxa"/>
            <w:tcBorders>
              <w:top w:val="single" w:sz="4" w:space="0" w:color="auto"/>
              <w:left w:val="single" w:sz="4" w:space="0" w:color="auto"/>
              <w:bottom w:val="single" w:sz="4" w:space="0" w:color="auto"/>
              <w:right w:val="single" w:sz="4" w:space="0" w:color="auto"/>
            </w:tcBorders>
            <w:hideMark/>
          </w:tcPr>
          <w:p w14:paraId="7E57AD6A" w14:textId="77777777" w:rsidR="00EF5A34" w:rsidRPr="00EF5A34" w:rsidRDefault="00EF5A34" w:rsidP="0084033F">
            <w:pPr>
              <w:spacing w:after="160" w:line="259" w:lineRule="auto"/>
              <w:jc w:val="center"/>
            </w:pPr>
            <w:r w:rsidRPr="00EF5A34">
              <w:t>Reduced through multi</w:t>
            </w:r>
            <w:r w:rsidRPr="00EF5A34">
              <w:noBreakHyphen/>
              <w:t>agent design.</w:t>
            </w:r>
          </w:p>
        </w:tc>
      </w:tr>
      <w:tr w:rsidR="00EF5A34" w:rsidRPr="00EF5A34" w14:paraId="59F8F343"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3F68CAE7" w14:textId="77777777" w:rsidR="00EF5A34" w:rsidRPr="00EF5A34" w:rsidRDefault="00EF5A34" w:rsidP="0084033F">
            <w:pPr>
              <w:spacing w:after="160" w:line="259" w:lineRule="auto"/>
              <w:jc w:val="center"/>
            </w:pPr>
            <w:r w:rsidRPr="00EF5A34">
              <w:t>Inference</w:t>
            </w:r>
          </w:p>
        </w:tc>
        <w:tc>
          <w:tcPr>
            <w:tcW w:w="1239" w:type="dxa"/>
            <w:tcBorders>
              <w:top w:val="single" w:sz="4" w:space="0" w:color="auto"/>
              <w:left w:val="single" w:sz="4" w:space="0" w:color="auto"/>
              <w:bottom w:val="single" w:sz="4" w:space="0" w:color="auto"/>
              <w:right w:val="single" w:sz="4" w:space="0" w:color="auto"/>
            </w:tcBorders>
            <w:hideMark/>
          </w:tcPr>
          <w:p w14:paraId="323CD663"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62F95EF7" w14:textId="77777777" w:rsidR="00EF5A34" w:rsidRPr="00EF5A34" w:rsidRDefault="00EF5A34" w:rsidP="0084033F">
            <w:pPr>
              <w:spacing w:after="160" w:line="259" w:lineRule="auto"/>
              <w:jc w:val="center"/>
            </w:pPr>
            <w:r w:rsidRPr="00EF5A34">
              <w:t>Generating outputs without changing model parameters.</w:t>
            </w:r>
          </w:p>
        </w:tc>
        <w:tc>
          <w:tcPr>
            <w:tcW w:w="3117" w:type="dxa"/>
            <w:tcBorders>
              <w:top w:val="single" w:sz="4" w:space="0" w:color="auto"/>
              <w:left w:val="single" w:sz="4" w:space="0" w:color="auto"/>
              <w:bottom w:val="single" w:sz="4" w:space="0" w:color="auto"/>
              <w:right w:val="single" w:sz="4" w:space="0" w:color="auto"/>
            </w:tcBorders>
            <w:hideMark/>
          </w:tcPr>
          <w:p w14:paraId="13BD231E" w14:textId="77777777" w:rsidR="00EF5A34" w:rsidRPr="00EF5A34" w:rsidRDefault="00EF5A34" w:rsidP="0084033F">
            <w:pPr>
              <w:spacing w:after="160" w:line="259" w:lineRule="auto"/>
              <w:jc w:val="center"/>
            </w:pPr>
            <w:r w:rsidRPr="00EF5A34">
              <w:t>The system operates purely via inference.</w:t>
            </w:r>
          </w:p>
        </w:tc>
      </w:tr>
      <w:tr w:rsidR="00EF5A34" w:rsidRPr="00EF5A34" w14:paraId="48290288"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3E99487A" w14:textId="77777777" w:rsidR="00EF5A34" w:rsidRPr="00EF5A34" w:rsidRDefault="00EF5A34" w:rsidP="0084033F">
            <w:pPr>
              <w:spacing w:after="160" w:line="259" w:lineRule="auto"/>
              <w:jc w:val="center"/>
            </w:pPr>
            <w:r w:rsidRPr="00EF5A34">
              <w:t>Large Language Model (LLM)</w:t>
            </w:r>
          </w:p>
        </w:tc>
        <w:tc>
          <w:tcPr>
            <w:tcW w:w="1239" w:type="dxa"/>
            <w:tcBorders>
              <w:top w:val="single" w:sz="4" w:space="0" w:color="auto"/>
              <w:left w:val="single" w:sz="4" w:space="0" w:color="auto"/>
              <w:bottom w:val="single" w:sz="4" w:space="0" w:color="auto"/>
              <w:right w:val="single" w:sz="4" w:space="0" w:color="auto"/>
            </w:tcBorders>
            <w:hideMark/>
          </w:tcPr>
          <w:p w14:paraId="197E42D2"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1BD6253E" w14:textId="77777777" w:rsidR="00EF5A34" w:rsidRPr="00EF5A34" w:rsidRDefault="00EF5A34" w:rsidP="0084033F">
            <w:pPr>
              <w:spacing w:after="160" w:line="259" w:lineRule="auto"/>
              <w:jc w:val="center"/>
            </w:pPr>
            <w:r w:rsidRPr="00EF5A34">
              <w:t>AI models trained on large text data to reason and generate language.</w:t>
            </w:r>
          </w:p>
        </w:tc>
        <w:tc>
          <w:tcPr>
            <w:tcW w:w="3117" w:type="dxa"/>
            <w:tcBorders>
              <w:top w:val="single" w:sz="4" w:space="0" w:color="auto"/>
              <w:left w:val="single" w:sz="4" w:space="0" w:color="auto"/>
              <w:bottom w:val="single" w:sz="4" w:space="0" w:color="auto"/>
              <w:right w:val="single" w:sz="4" w:space="0" w:color="auto"/>
            </w:tcBorders>
            <w:hideMark/>
          </w:tcPr>
          <w:p w14:paraId="015F82C9" w14:textId="77777777" w:rsidR="00EF5A34" w:rsidRPr="00EF5A34" w:rsidRDefault="00EF5A34" w:rsidP="0084033F">
            <w:pPr>
              <w:spacing w:after="160" w:line="259" w:lineRule="auto"/>
              <w:jc w:val="center"/>
            </w:pPr>
            <w:r w:rsidRPr="00EF5A34">
              <w:t>Core reasoning engine for agents.</w:t>
            </w:r>
          </w:p>
        </w:tc>
      </w:tr>
      <w:tr w:rsidR="00EF5A34" w:rsidRPr="00EF5A34" w14:paraId="6956F70B"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6852E702" w14:textId="77777777" w:rsidR="00EF5A34" w:rsidRPr="00EF5A34" w:rsidRDefault="00EF5A34" w:rsidP="0084033F">
            <w:pPr>
              <w:spacing w:after="160" w:line="259" w:lineRule="auto"/>
              <w:jc w:val="center"/>
            </w:pPr>
            <w:r w:rsidRPr="00EF5A34">
              <w:t>Machine Learning</w:t>
            </w:r>
          </w:p>
        </w:tc>
        <w:tc>
          <w:tcPr>
            <w:tcW w:w="1239" w:type="dxa"/>
            <w:tcBorders>
              <w:top w:val="single" w:sz="4" w:space="0" w:color="auto"/>
              <w:left w:val="single" w:sz="4" w:space="0" w:color="auto"/>
              <w:bottom w:val="single" w:sz="4" w:space="0" w:color="auto"/>
              <w:right w:val="single" w:sz="4" w:space="0" w:color="auto"/>
            </w:tcBorders>
            <w:hideMark/>
          </w:tcPr>
          <w:p w14:paraId="4F752798"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5C7CD353" w14:textId="77777777" w:rsidR="00EF5A34" w:rsidRPr="00EF5A34" w:rsidRDefault="00EF5A34" w:rsidP="0084033F">
            <w:pPr>
              <w:spacing w:after="160" w:line="259" w:lineRule="auto"/>
              <w:jc w:val="center"/>
            </w:pPr>
            <w:r w:rsidRPr="00EF5A34">
              <w:t>AI systems that learn patterns from data.</w:t>
            </w:r>
          </w:p>
        </w:tc>
        <w:tc>
          <w:tcPr>
            <w:tcW w:w="3117" w:type="dxa"/>
            <w:tcBorders>
              <w:top w:val="single" w:sz="4" w:space="0" w:color="auto"/>
              <w:left w:val="single" w:sz="4" w:space="0" w:color="auto"/>
              <w:bottom w:val="single" w:sz="4" w:space="0" w:color="auto"/>
              <w:right w:val="single" w:sz="4" w:space="0" w:color="auto"/>
            </w:tcBorders>
            <w:hideMark/>
          </w:tcPr>
          <w:p w14:paraId="3BC40094" w14:textId="77777777" w:rsidR="00EF5A34" w:rsidRPr="00EF5A34" w:rsidRDefault="00EF5A34" w:rsidP="0084033F">
            <w:pPr>
              <w:spacing w:after="160" w:line="259" w:lineRule="auto"/>
              <w:jc w:val="center"/>
            </w:pPr>
            <w:r w:rsidRPr="00EF5A34">
              <w:t>Represents traditional approaches improved upon.</w:t>
            </w:r>
          </w:p>
        </w:tc>
      </w:tr>
      <w:tr w:rsidR="00EF5A34" w:rsidRPr="00EF5A34" w14:paraId="5296112D"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48505390" w14:textId="77777777" w:rsidR="00EF5A34" w:rsidRPr="00EF5A34" w:rsidRDefault="00EF5A34" w:rsidP="0084033F">
            <w:pPr>
              <w:spacing w:after="160" w:line="259" w:lineRule="auto"/>
              <w:jc w:val="center"/>
            </w:pPr>
            <w:r w:rsidRPr="00EF5A34">
              <w:t>Macroeconomic Factors</w:t>
            </w:r>
          </w:p>
        </w:tc>
        <w:tc>
          <w:tcPr>
            <w:tcW w:w="1239" w:type="dxa"/>
            <w:tcBorders>
              <w:top w:val="single" w:sz="4" w:space="0" w:color="auto"/>
              <w:left w:val="single" w:sz="4" w:space="0" w:color="auto"/>
              <w:bottom w:val="single" w:sz="4" w:space="0" w:color="auto"/>
              <w:right w:val="single" w:sz="4" w:space="0" w:color="auto"/>
            </w:tcBorders>
            <w:hideMark/>
          </w:tcPr>
          <w:p w14:paraId="4CA28ABC"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12B13CD2" w14:textId="77777777" w:rsidR="00EF5A34" w:rsidRPr="00EF5A34" w:rsidRDefault="00EF5A34" w:rsidP="0084033F">
            <w:pPr>
              <w:spacing w:after="160" w:line="259" w:lineRule="auto"/>
              <w:jc w:val="center"/>
            </w:pPr>
            <w:r w:rsidRPr="00EF5A34">
              <w:t>Economy</w:t>
            </w:r>
            <w:r w:rsidRPr="00EF5A34">
              <w:noBreakHyphen/>
              <w:t>wide indicators such as inflation and interest rates.</w:t>
            </w:r>
          </w:p>
        </w:tc>
        <w:tc>
          <w:tcPr>
            <w:tcW w:w="3117" w:type="dxa"/>
            <w:tcBorders>
              <w:top w:val="single" w:sz="4" w:space="0" w:color="auto"/>
              <w:left w:val="single" w:sz="4" w:space="0" w:color="auto"/>
              <w:bottom w:val="single" w:sz="4" w:space="0" w:color="auto"/>
              <w:right w:val="single" w:sz="4" w:space="0" w:color="auto"/>
            </w:tcBorders>
            <w:hideMark/>
          </w:tcPr>
          <w:p w14:paraId="3476F4B2" w14:textId="77777777" w:rsidR="00EF5A34" w:rsidRPr="00EF5A34" w:rsidRDefault="00EF5A34" w:rsidP="0084033F">
            <w:pPr>
              <w:spacing w:after="160" w:line="259" w:lineRule="auto"/>
              <w:jc w:val="center"/>
            </w:pPr>
            <w:r w:rsidRPr="00EF5A34">
              <w:t>Analysed by the Macro Analyst agent.</w:t>
            </w:r>
          </w:p>
        </w:tc>
      </w:tr>
      <w:tr w:rsidR="00EF5A34" w:rsidRPr="00EF5A34" w14:paraId="2741B421"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621DD43F" w14:textId="77777777" w:rsidR="00EF5A34" w:rsidRPr="00EF5A34" w:rsidRDefault="00EF5A34" w:rsidP="0084033F">
            <w:pPr>
              <w:spacing w:after="160" w:line="259" w:lineRule="auto"/>
              <w:jc w:val="center"/>
            </w:pPr>
            <w:r w:rsidRPr="00EF5A34">
              <w:t>Market Regime</w:t>
            </w:r>
          </w:p>
        </w:tc>
        <w:tc>
          <w:tcPr>
            <w:tcW w:w="1239" w:type="dxa"/>
            <w:tcBorders>
              <w:top w:val="single" w:sz="4" w:space="0" w:color="auto"/>
              <w:left w:val="single" w:sz="4" w:space="0" w:color="auto"/>
              <w:bottom w:val="single" w:sz="4" w:space="0" w:color="auto"/>
              <w:right w:val="single" w:sz="4" w:space="0" w:color="auto"/>
            </w:tcBorders>
            <w:hideMark/>
          </w:tcPr>
          <w:p w14:paraId="2D645A1E"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7DE1F395" w14:textId="77777777" w:rsidR="00EF5A34" w:rsidRPr="00EF5A34" w:rsidRDefault="00EF5A34" w:rsidP="0084033F">
            <w:pPr>
              <w:spacing w:after="160" w:line="259" w:lineRule="auto"/>
              <w:jc w:val="center"/>
            </w:pPr>
            <w:r w:rsidRPr="00EF5A34">
              <w:t>A prevailing market condition (e.g. bull or bear).</w:t>
            </w:r>
          </w:p>
        </w:tc>
        <w:tc>
          <w:tcPr>
            <w:tcW w:w="3117" w:type="dxa"/>
            <w:tcBorders>
              <w:top w:val="single" w:sz="4" w:space="0" w:color="auto"/>
              <w:left w:val="single" w:sz="4" w:space="0" w:color="auto"/>
              <w:bottom w:val="single" w:sz="4" w:space="0" w:color="auto"/>
              <w:right w:val="single" w:sz="4" w:space="0" w:color="auto"/>
            </w:tcBorders>
            <w:hideMark/>
          </w:tcPr>
          <w:p w14:paraId="604A8E4B" w14:textId="77777777" w:rsidR="00EF5A34" w:rsidRPr="00EF5A34" w:rsidRDefault="00EF5A34" w:rsidP="0084033F">
            <w:pPr>
              <w:spacing w:after="160" w:line="259" w:lineRule="auto"/>
              <w:jc w:val="center"/>
            </w:pPr>
            <w:r w:rsidRPr="00EF5A34">
              <w:t>System adapts across regimes.</w:t>
            </w:r>
          </w:p>
        </w:tc>
      </w:tr>
      <w:tr w:rsidR="00EF5A34" w:rsidRPr="00EF5A34" w14:paraId="40C5EB94"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1EA82A82" w14:textId="77777777" w:rsidR="00EF5A34" w:rsidRPr="00EF5A34" w:rsidRDefault="00EF5A34" w:rsidP="0084033F">
            <w:pPr>
              <w:spacing w:after="160" w:line="259" w:lineRule="auto"/>
              <w:jc w:val="center"/>
            </w:pPr>
            <w:r w:rsidRPr="00EF5A34">
              <w:t>Maximum Drawdown</w:t>
            </w:r>
          </w:p>
        </w:tc>
        <w:tc>
          <w:tcPr>
            <w:tcW w:w="1239" w:type="dxa"/>
            <w:tcBorders>
              <w:top w:val="single" w:sz="4" w:space="0" w:color="auto"/>
              <w:left w:val="single" w:sz="4" w:space="0" w:color="auto"/>
              <w:bottom w:val="single" w:sz="4" w:space="0" w:color="auto"/>
              <w:right w:val="single" w:sz="4" w:space="0" w:color="auto"/>
            </w:tcBorders>
            <w:hideMark/>
          </w:tcPr>
          <w:p w14:paraId="347392DF"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50D64017" w14:textId="77777777" w:rsidR="00EF5A34" w:rsidRPr="00EF5A34" w:rsidRDefault="00EF5A34" w:rsidP="0084033F">
            <w:pPr>
              <w:spacing w:after="160" w:line="259" w:lineRule="auto"/>
              <w:jc w:val="center"/>
            </w:pPr>
            <w:r w:rsidRPr="00EF5A34">
              <w:t>The largest observed loss during trading.</w:t>
            </w:r>
          </w:p>
        </w:tc>
        <w:tc>
          <w:tcPr>
            <w:tcW w:w="3117" w:type="dxa"/>
            <w:tcBorders>
              <w:top w:val="single" w:sz="4" w:space="0" w:color="auto"/>
              <w:left w:val="single" w:sz="4" w:space="0" w:color="auto"/>
              <w:bottom w:val="single" w:sz="4" w:space="0" w:color="auto"/>
              <w:right w:val="single" w:sz="4" w:space="0" w:color="auto"/>
            </w:tcBorders>
            <w:hideMark/>
          </w:tcPr>
          <w:p w14:paraId="46658C58" w14:textId="77777777" w:rsidR="00EF5A34" w:rsidRPr="00EF5A34" w:rsidRDefault="00EF5A34" w:rsidP="0084033F">
            <w:pPr>
              <w:spacing w:after="160" w:line="259" w:lineRule="auto"/>
              <w:jc w:val="center"/>
            </w:pPr>
            <w:r w:rsidRPr="00EF5A34">
              <w:t>Measures downside risk exposure.</w:t>
            </w:r>
          </w:p>
        </w:tc>
      </w:tr>
      <w:tr w:rsidR="00EF5A34" w:rsidRPr="00EF5A34" w14:paraId="31CCB94F" w14:textId="77777777">
        <w:trPr>
          <w:trHeight w:val="293"/>
        </w:trPr>
        <w:tc>
          <w:tcPr>
            <w:tcW w:w="2017" w:type="dxa"/>
            <w:tcBorders>
              <w:top w:val="single" w:sz="4" w:space="0" w:color="auto"/>
              <w:left w:val="single" w:sz="4" w:space="0" w:color="auto"/>
              <w:bottom w:val="single" w:sz="4" w:space="0" w:color="auto"/>
              <w:right w:val="single" w:sz="4" w:space="0" w:color="auto"/>
            </w:tcBorders>
            <w:hideMark/>
          </w:tcPr>
          <w:p w14:paraId="03EB5DEB" w14:textId="77777777" w:rsidR="00EF5A34" w:rsidRPr="00EF5A34" w:rsidRDefault="00EF5A34" w:rsidP="0084033F">
            <w:pPr>
              <w:spacing w:after="160" w:line="259" w:lineRule="auto"/>
              <w:jc w:val="center"/>
            </w:pPr>
            <w:r w:rsidRPr="00EF5A34">
              <w:t>Model Training</w:t>
            </w:r>
          </w:p>
        </w:tc>
        <w:tc>
          <w:tcPr>
            <w:tcW w:w="1239" w:type="dxa"/>
            <w:tcBorders>
              <w:top w:val="single" w:sz="4" w:space="0" w:color="auto"/>
              <w:left w:val="single" w:sz="4" w:space="0" w:color="auto"/>
              <w:bottom w:val="single" w:sz="4" w:space="0" w:color="auto"/>
              <w:right w:val="single" w:sz="4" w:space="0" w:color="auto"/>
            </w:tcBorders>
            <w:hideMark/>
          </w:tcPr>
          <w:p w14:paraId="777EA8FB"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51259041" w14:textId="77777777" w:rsidR="00EF5A34" w:rsidRPr="00EF5A34" w:rsidRDefault="00EF5A34" w:rsidP="0084033F">
            <w:pPr>
              <w:spacing w:after="160" w:line="259" w:lineRule="auto"/>
              <w:jc w:val="center"/>
            </w:pPr>
            <w:r w:rsidRPr="00EF5A34">
              <w:t>Adjusting model weights using data.</w:t>
            </w:r>
          </w:p>
        </w:tc>
        <w:tc>
          <w:tcPr>
            <w:tcW w:w="3117" w:type="dxa"/>
            <w:tcBorders>
              <w:top w:val="single" w:sz="4" w:space="0" w:color="auto"/>
              <w:left w:val="single" w:sz="4" w:space="0" w:color="auto"/>
              <w:bottom w:val="single" w:sz="4" w:space="0" w:color="auto"/>
              <w:right w:val="single" w:sz="4" w:space="0" w:color="auto"/>
            </w:tcBorders>
            <w:hideMark/>
          </w:tcPr>
          <w:p w14:paraId="291BFD2F" w14:textId="77777777" w:rsidR="00EF5A34" w:rsidRPr="00EF5A34" w:rsidRDefault="00EF5A34" w:rsidP="0084033F">
            <w:pPr>
              <w:spacing w:after="160" w:line="259" w:lineRule="auto"/>
              <w:jc w:val="center"/>
            </w:pPr>
            <w:r w:rsidRPr="00EF5A34">
              <w:t>Avoided post</w:t>
            </w:r>
            <w:r w:rsidRPr="00EF5A34">
              <w:noBreakHyphen/>
              <w:t>deployment.</w:t>
            </w:r>
          </w:p>
        </w:tc>
      </w:tr>
      <w:tr w:rsidR="00EF5A34" w:rsidRPr="00EF5A34" w14:paraId="78608F5D"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15EDDF3F" w14:textId="77777777" w:rsidR="00EF5A34" w:rsidRPr="00EF5A34" w:rsidRDefault="00EF5A34" w:rsidP="0084033F">
            <w:pPr>
              <w:spacing w:after="160" w:line="259" w:lineRule="auto"/>
              <w:jc w:val="center"/>
            </w:pPr>
            <w:r w:rsidRPr="00EF5A34">
              <w:lastRenderedPageBreak/>
              <w:t>Multi</w:t>
            </w:r>
            <w:r w:rsidRPr="00EF5A34">
              <w:noBreakHyphen/>
              <w:t>Agent System</w:t>
            </w:r>
          </w:p>
        </w:tc>
        <w:tc>
          <w:tcPr>
            <w:tcW w:w="1239" w:type="dxa"/>
            <w:tcBorders>
              <w:top w:val="single" w:sz="4" w:space="0" w:color="auto"/>
              <w:left w:val="single" w:sz="4" w:space="0" w:color="auto"/>
              <w:bottom w:val="single" w:sz="4" w:space="0" w:color="auto"/>
              <w:right w:val="single" w:sz="4" w:space="0" w:color="auto"/>
            </w:tcBorders>
            <w:hideMark/>
          </w:tcPr>
          <w:p w14:paraId="619A3BAB"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74EFE968" w14:textId="77777777" w:rsidR="00EF5A34" w:rsidRPr="00EF5A34" w:rsidRDefault="00EF5A34" w:rsidP="0084033F">
            <w:pPr>
              <w:spacing w:after="160" w:line="259" w:lineRule="auto"/>
              <w:jc w:val="center"/>
            </w:pPr>
            <w:r w:rsidRPr="00EF5A34">
              <w:t>A system of multiple agents working collaboratively.</w:t>
            </w:r>
          </w:p>
        </w:tc>
        <w:tc>
          <w:tcPr>
            <w:tcW w:w="3117" w:type="dxa"/>
            <w:tcBorders>
              <w:top w:val="single" w:sz="4" w:space="0" w:color="auto"/>
              <w:left w:val="single" w:sz="4" w:space="0" w:color="auto"/>
              <w:bottom w:val="single" w:sz="4" w:space="0" w:color="auto"/>
              <w:right w:val="single" w:sz="4" w:space="0" w:color="auto"/>
            </w:tcBorders>
            <w:hideMark/>
          </w:tcPr>
          <w:p w14:paraId="32DA3644" w14:textId="77777777" w:rsidR="00EF5A34" w:rsidRPr="00EF5A34" w:rsidRDefault="00EF5A34" w:rsidP="0084033F">
            <w:pPr>
              <w:spacing w:after="160" w:line="259" w:lineRule="auto"/>
              <w:jc w:val="center"/>
            </w:pPr>
            <w:r w:rsidRPr="00EF5A34">
              <w:t>Mimics real investment teams.</w:t>
            </w:r>
          </w:p>
        </w:tc>
      </w:tr>
      <w:tr w:rsidR="00EF5A34" w:rsidRPr="00EF5A34" w14:paraId="247EA146"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2B68D99F" w14:textId="77777777" w:rsidR="00EF5A34" w:rsidRPr="00EF5A34" w:rsidRDefault="00EF5A34" w:rsidP="0084033F">
            <w:pPr>
              <w:spacing w:after="160" w:line="259" w:lineRule="auto"/>
              <w:jc w:val="center"/>
            </w:pPr>
            <w:r w:rsidRPr="00EF5A34">
              <w:t>Natural Language Feedback</w:t>
            </w:r>
          </w:p>
        </w:tc>
        <w:tc>
          <w:tcPr>
            <w:tcW w:w="1239" w:type="dxa"/>
            <w:tcBorders>
              <w:top w:val="single" w:sz="4" w:space="0" w:color="auto"/>
              <w:left w:val="single" w:sz="4" w:space="0" w:color="auto"/>
              <w:bottom w:val="single" w:sz="4" w:space="0" w:color="auto"/>
              <w:right w:val="single" w:sz="4" w:space="0" w:color="auto"/>
            </w:tcBorders>
            <w:hideMark/>
          </w:tcPr>
          <w:p w14:paraId="707185E5"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4E2A99ED" w14:textId="77777777" w:rsidR="00EF5A34" w:rsidRPr="00EF5A34" w:rsidRDefault="00EF5A34" w:rsidP="0084033F">
            <w:pPr>
              <w:spacing w:after="160" w:line="259" w:lineRule="auto"/>
              <w:jc w:val="center"/>
            </w:pPr>
            <w:r w:rsidRPr="00EF5A34">
              <w:t>Performance feedback expressed in human</w:t>
            </w:r>
            <w:r w:rsidRPr="00EF5A34">
              <w:noBreakHyphen/>
              <w:t>readable text.</w:t>
            </w:r>
          </w:p>
        </w:tc>
        <w:tc>
          <w:tcPr>
            <w:tcW w:w="3117" w:type="dxa"/>
            <w:tcBorders>
              <w:top w:val="single" w:sz="4" w:space="0" w:color="auto"/>
              <w:left w:val="single" w:sz="4" w:space="0" w:color="auto"/>
              <w:bottom w:val="single" w:sz="4" w:space="0" w:color="auto"/>
              <w:right w:val="single" w:sz="4" w:space="0" w:color="auto"/>
            </w:tcBorders>
            <w:hideMark/>
          </w:tcPr>
          <w:p w14:paraId="535FFD20" w14:textId="77777777" w:rsidR="00EF5A34" w:rsidRPr="00EF5A34" w:rsidRDefault="00EF5A34" w:rsidP="0084033F">
            <w:pPr>
              <w:spacing w:after="160" w:line="259" w:lineRule="auto"/>
              <w:jc w:val="center"/>
            </w:pPr>
            <w:r w:rsidRPr="00EF5A34">
              <w:t>Used instead of numeric rewards alone.</w:t>
            </w:r>
          </w:p>
        </w:tc>
      </w:tr>
      <w:tr w:rsidR="00EF5A34" w:rsidRPr="00EF5A34" w14:paraId="1F4AD6B1"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28FDBC71" w14:textId="77777777" w:rsidR="00EF5A34" w:rsidRPr="00EF5A34" w:rsidRDefault="00EF5A34" w:rsidP="0084033F">
            <w:pPr>
              <w:spacing w:after="160" w:line="259" w:lineRule="auto"/>
              <w:jc w:val="center"/>
            </w:pPr>
            <w:r w:rsidRPr="00EF5A34">
              <w:t>Orchestration Agent</w:t>
            </w:r>
          </w:p>
        </w:tc>
        <w:tc>
          <w:tcPr>
            <w:tcW w:w="1239" w:type="dxa"/>
            <w:tcBorders>
              <w:top w:val="single" w:sz="4" w:space="0" w:color="auto"/>
              <w:left w:val="single" w:sz="4" w:space="0" w:color="auto"/>
              <w:bottom w:val="single" w:sz="4" w:space="0" w:color="auto"/>
              <w:right w:val="single" w:sz="4" w:space="0" w:color="auto"/>
            </w:tcBorders>
            <w:hideMark/>
          </w:tcPr>
          <w:p w14:paraId="293315DE"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27DA9ED2" w14:textId="77777777" w:rsidR="00EF5A34" w:rsidRPr="00EF5A34" w:rsidRDefault="00EF5A34" w:rsidP="0084033F">
            <w:pPr>
              <w:spacing w:after="160" w:line="259" w:lineRule="auto"/>
              <w:jc w:val="center"/>
            </w:pPr>
            <w:r w:rsidRPr="00EF5A34">
              <w:t>An agent coordinating outputs of others.</w:t>
            </w:r>
          </w:p>
        </w:tc>
        <w:tc>
          <w:tcPr>
            <w:tcW w:w="3117" w:type="dxa"/>
            <w:tcBorders>
              <w:top w:val="single" w:sz="4" w:space="0" w:color="auto"/>
              <w:left w:val="single" w:sz="4" w:space="0" w:color="auto"/>
              <w:bottom w:val="single" w:sz="4" w:space="0" w:color="auto"/>
              <w:right w:val="single" w:sz="4" w:space="0" w:color="auto"/>
            </w:tcBorders>
            <w:hideMark/>
          </w:tcPr>
          <w:p w14:paraId="090BA879" w14:textId="77777777" w:rsidR="00EF5A34" w:rsidRPr="00EF5A34" w:rsidRDefault="00EF5A34" w:rsidP="0084033F">
            <w:pPr>
              <w:spacing w:after="160" w:line="259" w:lineRule="auto"/>
              <w:jc w:val="center"/>
            </w:pPr>
            <w:r w:rsidRPr="00EF5A34">
              <w:t>Produces final portfolio decisions.</w:t>
            </w:r>
          </w:p>
        </w:tc>
      </w:tr>
      <w:tr w:rsidR="00EF5A34" w:rsidRPr="00EF5A34" w14:paraId="0CC6F344"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151B08A3" w14:textId="77777777" w:rsidR="00EF5A34" w:rsidRPr="00EF5A34" w:rsidRDefault="00EF5A34" w:rsidP="0084033F">
            <w:pPr>
              <w:spacing w:after="160" w:line="259" w:lineRule="auto"/>
              <w:jc w:val="center"/>
            </w:pPr>
            <w:r w:rsidRPr="00EF5A34">
              <w:t>Portfolio</w:t>
            </w:r>
          </w:p>
        </w:tc>
        <w:tc>
          <w:tcPr>
            <w:tcW w:w="1239" w:type="dxa"/>
            <w:tcBorders>
              <w:top w:val="single" w:sz="4" w:space="0" w:color="auto"/>
              <w:left w:val="single" w:sz="4" w:space="0" w:color="auto"/>
              <w:bottom w:val="single" w:sz="4" w:space="0" w:color="auto"/>
              <w:right w:val="single" w:sz="4" w:space="0" w:color="auto"/>
            </w:tcBorders>
            <w:hideMark/>
          </w:tcPr>
          <w:p w14:paraId="492721DE"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7D4B1484" w14:textId="77777777" w:rsidR="00EF5A34" w:rsidRPr="00EF5A34" w:rsidRDefault="00EF5A34" w:rsidP="0084033F">
            <w:pPr>
              <w:spacing w:after="160" w:line="259" w:lineRule="auto"/>
              <w:jc w:val="center"/>
            </w:pPr>
            <w:r w:rsidRPr="00EF5A34">
              <w:t>A collection of investments managed together rather than individually.</w:t>
            </w:r>
          </w:p>
        </w:tc>
        <w:tc>
          <w:tcPr>
            <w:tcW w:w="3117" w:type="dxa"/>
            <w:tcBorders>
              <w:top w:val="single" w:sz="4" w:space="0" w:color="auto"/>
              <w:left w:val="single" w:sz="4" w:space="0" w:color="auto"/>
              <w:bottom w:val="single" w:sz="4" w:space="0" w:color="auto"/>
              <w:right w:val="single" w:sz="4" w:space="0" w:color="auto"/>
            </w:tcBorders>
            <w:hideMark/>
          </w:tcPr>
          <w:p w14:paraId="445F081C" w14:textId="77777777" w:rsidR="00EF5A34" w:rsidRPr="00EF5A34" w:rsidRDefault="00EF5A34" w:rsidP="0084033F">
            <w:pPr>
              <w:spacing w:after="160" w:line="259" w:lineRule="auto"/>
              <w:jc w:val="center"/>
            </w:pPr>
            <w:r w:rsidRPr="00EF5A34">
              <w:t>The system manages a portfolio as a whole.</w:t>
            </w:r>
          </w:p>
        </w:tc>
      </w:tr>
      <w:tr w:rsidR="00EF5A34" w:rsidRPr="00EF5A34" w14:paraId="15C972B8"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476F2A0E" w14:textId="77777777" w:rsidR="00EF5A34" w:rsidRPr="00EF5A34" w:rsidRDefault="00EF5A34" w:rsidP="0084033F">
            <w:pPr>
              <w:spacing w:after="160" w:line="259" w:lineRule="auto"/>
              <w:jc w:val="center"/>
            </w:pPr>
            <w:r w:rsidRPr="00EF5A34">
              <w:t>Portfolio Management</w:t>
            </w:r>
          </w:p>
        </w:tc>
        <w:tc>
          <w:tcPr>
            <w:tcW w:w="1239" w:type="dxa"/>
            <w:tcBorders>
              <w:top w:val="single" w:sz="4" w:space="0" w:color="auto"/>
              <w:left w:val="single" w:sz="4" w:space="0" w:color="auto"/>
              <w:bottom w:val="single" w:sz="4" w:space="0" w:color="auto"/>
              <w:right w:val="single" w:sz="4" w:space="0" w:color="auto"/>
            </w:tcBorders>
            <w:hideMark/>
          </w:tcPr>
          <w:p w14:paraId="0EAD3753"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263035A2" w14:textId="77777777" w:rsidR="00EF5A34" w:rsidRPr="00EF5A34" w:rsidRDefault="00EF5A34" w:rsidP="0084033F">
            <w:pPr>
              <w:spacing w:after="160" w:line="259" w:lineRule="auto"/>
              <w:jc w:val="center"/>
            </w:pPr>
            <w:r w:rsidRPr="00EF5A34">
              <w:t>The process of deciding what assets to buy, sell, or hold while managing risk.</w:t>
            </w:r>
          </w:p>
        </w:tc>
        <w:tc>
          <w:tcPr>
            <w:tcW w:w="3117" w:type="dxa"/>
            <w:tcBorders>
              <w:top w:val="single" w:sz="4" w:space="0" w:color="auto"/>
              <w:left w:val="single" w:sz="4" w:space="0" w:color="auto"/>
              <w:bottom w:val="single" w:sz="4" w:space="0" w:color="auto"/>
              <w:right w:val="single" w:sz="4" w:space="0" w:color="auto"/>
            </w:tcBorders>
            <w:hideMark/>
          </w:tcPr>
          <w:p w14:paraId="22865076" w14:textId="77777777" w:rsidR="00EF5A34" w:rsidRPr="00EF5A34" w:rsidRDefault="00EF5A34" w:rsidP="0084033F">
            <w:pPr>
              <w:spacing w:after="160" w:line="259" w:lineRule="auto"/>
              <w:jc w:val="center"/>
            </w:pPr>
            <w:r w:rsidRPr="00EF5A34">
              <w:t>Core problem addressed by the research.</w:t>
            </w:r>
          </w:p>
        </w:tc>
      </w:tr>
      <w:tr w:rsidR="00EF5A34" w:rsidRPr="00EF5A34" w14:paraId="4F2F92C9" w14:textId="77777777">
        <w:trPr>
          <w:trHeight w:val="293"/>
        </w:trPr>
        <w:tc>
          <w:tcPr>
            <w:tcW w:w="2017" w:type="dxa"/>
            <w:tcBorders>
              <w:top w:val="single" w:sz="4" w:space="0" w:color="auto"/>
              <w:left w:val="single" w:sz="4" w:space="0" w:color="auto"/>
              <w:bottom w:val="single" w:sz="4" w:space="0" w:color="auto"/>
              <w:right w:val="single" w:sz="4" w:space="0" w:color="auto"/>
            </w:tcBorders>
            <w:hideMark/>
          </w:tcPr>
          <w:p w14:paraId="6C42CAFE" w14:textId="77777777" w:rsidR="00EF5A34" w:rsidRPr="00EF5A34" w:rsidRDefault="00EF5A34" w:rsidP="0084033F">
            <w:pPr>
              <w:spacing w:after="160" w:line="259" w:lineRule="auto"/>
              <w:jc w:val="center"/>
            </w:pPr>
            <w:r w:rsidRPr="00EF5A34">
              <w:t>Position Size</w:t>
            </w:r>
          </w:p>
        </w:tc>
        <w:tc>
          <w:tcPr>
            <w:tcW w:w="1239" w:type="dxa"/>
            <w:tcBorders>
              <w:top w:val="single" w:sz="4" w:space="0" w:color="auto"/>
              <w:left w:val="single" w:sz="4" w:space="0" w:color="auto"/>
              <w:bottom w:val="single" w:sz="4" w:space="0" w:color="auto"/>
              <w:right w:val="single" w:sz="4" w:space="0" w:color="auto"/>
            </w:tcBorders>
            <w:hideMark/>
          </w:tcPr>
          <w:p w14:paraId="59725D6B"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1376C87C" w14:textId="77777777" w:rsidR="00EF5A34" w:rsidRPr="00EF5A34" w:rsidRDefault="00EF5A34" w:rsidP="0084033F">
            <w:pPr>
              <w:spacing w:after="160" w:line="259" w:lineRule="auto"/>
              <w:jc w:val="center"/>
            </w:pPr>
            <w:r w:rsidRPr="00EF5A34">
              <w:t>Amount of capital allocated to an asset.</w:t>
            </w:r>
          </w:p>
        </w:tc>
        <w:tc>
          <w:tcPr>
            <w:tcW w:w="3117" w:type="dxa"/>
            <w:tcBorders>
              <w:top w:val="single" w:sz="4" w:space="0" w:color="auto"/>
              <w:left w:val="single" w:sz="4" w:space="0" w:color="auto"/>
              <w:bottom w:val="single" w:sz="4" w:space="0" w:color="auto"/>
              <w:right w:val="single" w:sz="4" w:space="0" w:color="auto"/>
            </w:tcBorders>
            <w:hideMark/>
          </w:tcPr>
          <w:p w14:paraId="4EF60521" w14:textId="77777777" w:rsidR="00EF5A34" w:rsidRPr="00EF5A34" w:rsidRDefault="00EF5A34" w:rsidP="0084033F">
            <w:pPr>
              <w:spacing w:after="160" w:line="259" w:lineRule="auto"/>
              <w:jc w:val="center"/>
            </w:pPr>
            <w:r w:rsidRPr="00EF5A34">
              <w:t>Controlled by the Risk Manager agent.</w:t>
            </w:r>
          </w:p>
        </w:tc>
      </w:tr>
      <w:tr w:rsidR="00EF5A34" w:rsidRPr="00EF5A34" w14:paraId="187339B3"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6F1F1404" w14:textId="77777777" w:rsidR="00EF5A34" w:rsidRPr="00EF5A34" w:rsidRDefault="00EF5A34" w:rsidP="0084033F">
            <w:pPr>
              <w:spacing w:after="160" w:line="259" w:lineRule="auto"/>
              <w:jc w:val="center"/>
            </w:pPr>
            <w:r w:rsidRPr="00EF5A34">
              <w:t>Prompt</w:t>
            </w:r>
          </w:p>
        </w:tc>
        <w:tc>
          <w:tcPr>
            <w:tcW w:w="1239" w:type="dxa"/>
            <w:tcBorders>
              <w:top w:val="single" w:sz="4" w:space="0" w:color="auto"/>
              <w:left w:val="single" w:sz="4" w:space="0" w:color="auto"/>
              <w:bottom w:val="single" w:sz="4" w:space="0" w:color="auto"/>
              <w:right w:val="single" w:sz="4" w:space="0" w:color="auto"/>
            </w:tcBorders>
            <w:hideMark/>
          </w:tcPr>
          <w:p w14:paraId="164FC5FB"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0D6AF0A6" w14:textId="77777777" w:rsidR="00EF5A34" w:rsidRPr="00EF5A34" w:rsidRDefault="00EF5A34" w:rsidP="0084033F">
            <w:pPr>
              <w:spacing w:after="160" w:line="259" w:lineRule="auto"/>
              <w:jc w:val="center"/>
            </w:pPr>
            <w:r w:rsidRPr="00EF5A34">
              <w:t>Instructions given to an LLM guiding its behaviour.</w:t>
            </w:r>
          </w:p>
        </w:tc>
        <w:tc>
          <w:tcPr>
            <w:tcW w:w="3117" w:type="dxa"/>
            <w:tcBorders>
              <w:top w:val="single" w:sz="4" w:space="0" w:color="auto"/>
              <w:left w:val="single" w:sz="4" w:space="0" w:color="auto"/>
              <w:bottom w:val="single" w:sz="4" w:space="0" w:color="auto"/>
              <w:right w:val="single" w:sz="4" w:space="0" w:color="auto"/>
            </w:tcBorders>
            <w:hideMark/>
          </w:tcPr>
          <w:p w14:paraId="5A9EC833" w14:textId="77777777" w:rsidR="00EF5A34" w:rsidRPr="00EF5A34" w:rsidRDefault="00EF5A34" w:rsidP="0084033F">
            <w:pPr>
              <w:spacing w:after="160" w:line="259" w:lineRule="auto"/>
              <w:jc w:val="center"/>
            </w:pPr>
            <w:r w:rsidRPr="00EF5A34">
              <w:t>Primary control mechanism for agents.</w:t>
            </w:r>
          </w:p>
        </w:tc>
      </w:tr>
      <w:tr w:rsidR="00EF5A34" w:rsidRPr="00EF5A34" w14:paraId="7916EFE3" w14:textId="77777777">
        <w:trPr>
          <w:trHeight w:val="293"/>
        </w:trPr>
        <w:tc>
          <w:tcPr>
            <w:tcW w:w="2017" w:type="dxa"/>
            <w:tcBorders>
              <w:top w:val="single" w:sz="4" w:space="0" w:color="auto"/>
              <w:left w:val="single" w:sz="4" w:space="0" w:color="auto"/>
              <w:bottom w:val="single" w:sz="4" w:space="0" w:color="auto"/>
              <w:right w:val="single" w:sz="4" w:space="0" w:color="auto"/>
            </w:tcBorders>
            <w:hideMark/>
          </w:tcPr>
          <w:p w14:paraId="17795475" w14:textId="77777777" w:rsidR="00EF5A34" w:rsidRPr="00EF5A34" w:rsidRDefault="00EF5A34" w:rsidP="0084033F">
            <w:pPr>
              <w:spacing w:after="160" w:line="259" w:lineRule="auto"/>
              <w:jc w:val="center"/>
            </w:pPr>
            <w:r w:rsidRPr="00EF5A34">
              <w:t>Prompt Engineering</w:t>
            </w:r>
          </w:p>
        </w:tc>
        <w:tc>
          <w:tcPr>
            <w:tcW w:w="1239" w:type="dxa"/>
            <w:tcBorders>
              <w:top w:val="single" w:sz="4" w:space="0" w:color="auto"/>
              <w:left w:val="single" w:sz="4" w:space="0" w:color="auto"/>
              <w:bottom w:val="single" w:sz="4" w:space="0" w:color="auto"/>
              <w:right w:val="single" w:sz="4" w:space="0" w:color="auto"/>
            </w:tcBorders>
            <w:hideMark/>
          </w:tcPr>
          <w:p w14:paraId="24A9CA79"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20C93FC1" w14:textId="77777777" w:rsidR="00EF5A34" w:rsidRPr="00EF5A34" w:rsidRDefault="00EF5A34" w:rsidP="0084033F">
            <w:pPr>
              <w:spacing w:after="160" w:line="259" w:lineRule="auto"/>
              <w:jc w:val="center"/>
            </w:pPr>
            <w:r w:rsidRPr="00EF5A34">
              <w:t>Manual design of prompts.</w:t>
            </w:r>
          </w:p>
        </w:tc>
        <w:tc>
          <w:tcPr>
            <w:tcW w:w="3117" w:type="dxa"/>
            <w:tcBorders>
              <w:top w:val="single" w:sz="4" w:space="0" w:color="auto"/>
              <w:left w:val="single" w:sz="4" w:space="0" w:color="auto"/>
              <w:bottom w:val="single" w:sz="4" w:space="0" w:color="auto"/>
              <w:right w:val="single" w:sz="4" w:space="0" w:color="auto"/>
            </w:tcBorders>
            <w:hideMark/>
          </w:tcPr>
          <w:p w14:paraId="639F80A4" w14:textId="77777777" w:rsidR="00EF5A34" w:rsidRPr="00EF5A34" w:rsidRDefault="00EF5A34" w:rsidP="0084033F">
            <w:pPr>
              <w:spacing w:after="160" w:line="259" w:lineRule="auto"/>
              <w:jc w:val="center"/>
            </w:pPr>
            <w:r w:rsidRPr="00EF5A34">
              <w:t>Shown to be limited in static systems.</w:t>
            </w:r>
          </w:p>
        </w:tc>
      </w:tr>
      <w:tr w:rsidR="00EF5A34" w:rsidRPr="00EF5A34" w14:paraId="1E6BAF12"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7FFDCF46" w14:textId="77777777" w:rsidR="00EF5A34" w:rsidRPr="00EF5A34" w:rsidRDefault="00EF5A34" w:rsidP="0084033F">
            <w:pPr>
              <w:spacing w:after="160" w:line="259" w:lineRule="auto"/>
              <w:jc w:val="center"/>
            </w:pPr>
            <w:r w:rsidRPr="00EF5A34">
              <w:t>Reasoning Chain (Chain</w:t>
            </w:r>
            <w:r w:rsidRPr="00EF5A34">
              <w:noBreakHyphen/>
              <w:t>of</w:t>
            </w:r>
            <w:r w:rsidRPr="00EF5A34">
              <w:noBreakHyphen/>
              <w:t>Thought)</w:t>
            </w:r>
          </w:p>
        </w:tc>
        <w:tc>
          <w:tcPr>
            <w:tcW w:w="1239" w:type="dxa"/>
            <w:tcBorders>
              <w:top w:val="single" w:sz="4" w:space="0" w:color="auto"/>
              <w:left w:val="single" w:sz="4" w:space="0" w:color="auto"/>
              <w:bottom w:val="single" w:sz="4" w:space="0" w:color="auto"/>
              <w:right w:val="single" w:sz="4" w:space="0" w:color="auto"/>
            </w:tcBorders>
            <w:hideMark/>
          </w:tcPr>
          <w:p w14:paraId="47059B5A"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3D25AD54" w14:textId="77777777" w:rsidR="00EF5A34" w:rsidRPr="00EF5A34" w:rsidRDefault="00EF5A34" w:rsidP="0084033F">
            <w:pPr>
              <w:spacing w:after="160" w:line="259" w:lineRule="auto"/>
              <w:jc w:val="center"/>
            </w:pPr>
            <w:r w:rsidRPr="00EF5A34">
              <w:t>Step</w:t>
            </w:r>
            <w:r w:rsidRPr="00EF5A34">
              <w:noBreakHyphen/>
              <w:t>by</w:t>
            </w:r>
            <w:r w:rsidRPr="00EF5A34">
              <w:noBreakHyphen/>
              <w:t>step reasoning generated by an LLM.</w:t>
            </w:r>
          </w:p>
        </w:tc>
        <w:tc>
          <w:tcPr>
            <w:tcW w:w="3117" w:type="dxa"/>
            <w:tcBorders>
              <w:top w:val="single" w:sz="4" w:space="0" w:color="auto"/>
              <w:left w:val="single" w:sz="4" w:space="0" w:color="auto"/>
              <w:bottom w:val="single" w:sz="4" w:space="0" w:color="auto"/>
              <w:right w:val="single" w:sz="4" w:space="0" w:color="auto"/>
            </w:tcBorders>
            <w:hideMark/>
          </w:tcPr>
          <w:p w14:paraId="69773CFD" w14:textId="77777777" w:rsidR="00EF5A34" w:rsidRPr="00EF5A34" w:rsidRDefault="00EF5A34" w:rsidP="0084033F">
            <w:pPr>
              <w:spacing w:after="160" w:line="259" w:lineRule="auto"/>
              <w:jc w:val="center"/>
            </w:pPr>
            <w:r w:rsidRPr="00EF5A34">
              <w:t>Improves transparency of decisions.</w:t>
            </w:r>
          </w:p>
        </w:tc>
      </w:tr>
      <w:tr w:rsidR="00EF5A34" w:rsidRPr="00EF5A34" w14:paraId="2FFA48A6"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2428145E" w14:textId="77777777" w:rsidR="00EF5A34" w:rsidRPr="00EF5A34" w:rsidRDefault="00EF5A34" w:rsidP="0084033F">
            <w:pPr>
              <w:spacing w:after="160" w:line="259" w:lineRule="auto"/>
              <w:jc w:val="center"/>
            </w:pPr>
            <w:r w:rsidRPr="00EF5A34">
              <w:t>Reinforcement Learning (RL)</w:t>
            </w:r>
          </w:p>
        </w:tc>
        <w:tc>
          <w:tcPr>
            <w:tcW w:w="1239" w:type="dxa"/>
            <w:tcBorders>
              <w:top w:val="single" w:sz="4" w:space="0" w:color="auto"/>
              <w:left w:val="single" w:sz="4" w:space="0" w:color="auto"/>
              <w:bottom w:val="single" w:sz="4" w:space="0" w:color="auto"/>
              <w:right w:val="single" w:sz="4" w:space="0" w:color="auto"/>
            </w:tcBorders>
            <w:hideMark/>
          </w:tcPr>
          <w:p w14:paraId="30A210EC"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546FFF1B" w14:textId="77777777" w:rsidR="00EF5A34" w:rsidRPr="00EF5A34" w:rsidRDefault="00EF5A34" w:rsidP="0084033F">
            <w:pPr>
              <w:spacing w:after="160" w:line="259" w:lineRule="auto"/>
              <w:jc w:val="center"/>
            </w:pPr>
            <w:r w:rsidRPr="00EF5A34">
              <w:t>Learning through numerical reward signals.</w:t>
            </w:r>
          </w:p>
        </w:tc>
        <w:tc>
          <w:tcPr>
            <w:tcW w:w="3117" w:type="dxa"/>
            <w:tcBorders>
              <w:top w:val="single" w:sz="4" w:space="0" w:color="auto"/>
              <w:left w:val="single" w:sz="4" w:space="0" w:color="auto"/>
              <w:bottom w:val="single" w:sz="4" w:space="0" w:color="auto"/>
              <w:right w:val="single" w:sz="4" w:space="0" w:color="auto"/>
            </w:tcBorders>
            <w:hideMark/>
          </w:tcPr>
          <w:p w14:paraId="679A92B0" w14:textId="77777777" w:rsidR="00EF5A34" w:rsidRPr="00EF5A34" w:rsidRDefault="00EF5A34" w:rsidP="0084033F">
            <w:pPr>
              <w:spacing w:after="160" w:line="259" w:lineRule="auto"/>
              <w:jc w:val="center"/>
            </w:pPr>
            <w:r w:rsidRPr="00EF5A34">
              <w:t>Compared against prompt optimisation.</w:t>
            </w:r>
          </w:p>
        </w:tc>
      </w:tr>
      <w:tr w:rsidR="00EF5A34" w:rsidRPr="00EF5A34" w14:paraId="0C0BD528" w14:textId="77777777">
        <w:trPr>
          <w:trHeight w:val="293"/>
        </w:trPr>
        <w:tc>
          <w:tcPr>
            <w:tcW w:w="2017" w:type="dxa"/>
            <w:tcBorders>
              <w:top w:val="single" w:sz="4" w:space="0" w:color="auto"/>
              <w:left w:val="single" w:sz="4" w:space="0" w:color="auto"/>
              <w:bottom w:val="single" w:sz="4" w:space="0" w:color="auto"/>
              <w:right w:val="single" w:sz="4" w:space="0" w:color="auto"/>
            </w:tcBorders>
            <w:hideMark/>
          </w:tcPr>
          <w:p w14:paraId="2FC1D28F" w14:textId="77777777" w:rsidR="00EF5A34" w:rsidRPr="00EF5A34" w:rsidRDefault="00EF5A34" w:rsidP="0084033F">
            <w:pPr>
              <w:spacing w:after="160" w:line="259" w:lineRule="auto"/>
              <w:jc w:val="center"/>
            </w:pPr>
            <w:r w:rsidRPr="00EF5A34">
              <w:t>Re</w:t>
            </w:r>
            <w:r w:rsidRPr="00EF5A34">
              <w:noBreakHyphen/>
              <w:t>training</w:t>
            </w:r>
          </w:p>
        </w:tc>
        <w:tc>
          <w:tcPr>
            <w:tcW w:w="1239" w:type="dxa"/>
            <w:tcBorders>
              <w:top w:val="single" w:sz="4" w:space="0" w:color="auto"/>
              <w:left w:val="single" w:sz="4" w:space="0" w:color="auto"/>
              <w:bottom w:val="single" w:sz="4" w:space="0" w:color="auto"/>
              <w:right w:val="single" w:sz="4" w:space="0" w:color="auto"/>
            </w:tcBorders>
            <w:hideMark/>
          </w:tcPr>
          <w:p w14:paraId="39B79204"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526963AA" w14:textId="77777777" w:rsidR="00EF5A34" w:rsidRPr="00EF5A34" w:rsidRDefault="00EF5A34" w:rsidP="0084033F">
            <w:pPr>
              <w:spacing w:after="160" w:line="259" w:lineRule="auto"/>
              <w:jc w:val="center"/>
            </w:pPr>
            <w:r w:rsidRPr="00EF5A34">
              <w:t>Updating a model with new data.</w:t>
            </w:r>
          </w:p>
        </w:tc>
        <w:tc>
          <w:tcPr>
            <w:tcW w:w="3117" w:type="dxa"/>
            <w:tcBorders>
              <w:top w:val="single" w:sz="4" w:space="0" w:color="auto"/>
              <w:left w:val="single" w:sz="4" w:space="0" w:color="auto"/>
              <w:bottom w:val="single" w:sz="4" w:space="0" w:color="auto"/>
              <w:right w:val="single" w:sz="4" w:space="0" w:color="auto"/>
            </w:tcBorders>
            <w:hideMark/>
          </w:tcPr>
          <w:p w14:paraId="30216426" w14:textId="77777777" w:rsidR="00EF5A34" w:rsidRPr="00EF5A34" w:rsidRDefault="00EF5A34" w:rsidP="0084033F">
            <w:pPr>
              <w:spacing w:after="160" w:line="259" w:lineRule="auto"/>
              <w:jc w:val="center"/>
            </w:pPr>
            <w:r w:rsidRPr="00EF5A34">
              <w:t>Replaced by prompt optimisation.</w:t>
            </w:r>
          </w:p>
        </w:tc>
      </w:tr>
      <w:tr w:rsidR="00EF5A34" w:rsidRPr="00EF5A34" w14:paraId="0BD095DC"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3CFD20B8" w14:textId="77777777" w:rsidR="00EF5A34" w:rsidRPr="00EF5A34" w:rsidRDefault="00EF5A34" w:rsidP="0084033F">
            <w:pPr>
              <w:spacing w:after="160" w:line="259" w:lineRule="auto"/>
              <w:jc w:val="center"/>
            </w:pPr>
            <w:r w:rsidRPr="00EF5A34">
              <w:t>Return</w:t>
            </w:r>
          </w:p>
        </w:tc>
        <w:tc>
          <w:tcPr>
            <w:tcW w:w="1239" w:type="dxa"/>
            <w:tcBorders>
              <w:top w:val="single" w:sz="4" w:space="0" w:color="auto"/>
              <w:left w:val="single" w:sz="4" w:space="0" w:color="auto"/>
              <w:bottom w:val="single" w:sz="4" w:space="0" w:color="auto"/>
              <w:right w:val="single" w:sz="4" w:space="0" w:color="auto"/>
            </w:tcBorders>
            <w:hideMark/>
          </w:tcPr>
          <w:p w14:paraId="55DD0DBB"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1C64A570" w14:textId="77777777" w:rsidR="00EF5A34" w:rsidRPr="00EF5A34" w:rsidRDefault="00EF5A34" w:rsidP="0084033F">
            <w:pPr>
              <w:spacing w:after="160" w:line="259" w:lineRule="auto"/>
              <w:jc w:val="center"/>
            </w:pPr>
            <w:r w:rsidRPr="00EF5A34">
              <w:t>The profit or loss generated by an investment.</w:t>
            </w:r>
          </w:p>
        </w:tc>
        <w:tc>
          <w:tcPr>
            <w:tcW w:w="3117" w:type="dxa"/>
            <w:tcBorders>
              <w:top w:val="single" w:sz="4" w:space="0" w:color="auto"/>
              <w:left w:val="single" w:sz="4" w:space="0" w:color="auto"/>
              <w:bottom w:val="single" w:sz="4" w:space="0" w:color="auto"/>
              <w:right w:val="single" w:sz="4" w:space="0" w:color="auto"/>
            </w:tcBorders>
            <w:hideMark/>
          </w:tcPr>
          <w:p w14:paraId="5C2B7FBE" w14:textId="77777777" w:rsidR="00EF5A34" w:rsidRPr="00EF5A34" w:rsidRDefault="00EF5A34" w:rsidP="0084033F">
            <w:pPr>
              <w:spacing w:after="160" w:line="259" w:lineRule="auto"/>
              <w:jc w:val="center"/>
            </w:pPr>
            <w:r w:rsidRPr="00EF5A34">
              <w:t>Used to assess decision effectiveness.</w:t>
            </w:r>
          </w:p>
        </w:tc>
      </w:tr>
      <w:tr w:rsidR="00EF5A34" w:rsidRPr="00EF5A34" w14:paraId="5FAEF7CD"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5C11D9BC" w14:textId="77777777" w:rsidR="00EF5A34" w:rsidRPr="00EF5A34" w:rsidRDefault="00EF5A34" w:rsidP="0084033F">
            <w:pPr>
              <w:spacing w:after="160" w:line="259" w:lineRule="auto"/>
              <w:jc w:val="center"/>
            </w:pPr>
            <w:r w:rsidRPr="00EF5A34">
              <w:t>Reward Function</w:t>
            </w:r>
          </w:p>
        </w:tc>
        <w:tc>
          <w:tcPr>
            <w:tcW w:w="1239" w:type="dxa"/>
            <w:tcBorders>
              <w:top w:val="single" w:sz="4" w:space="0" w:color="auto"/>
              <w:left w:val="single" w:sz="4" w:space="0" w:color="auto"/>
              <w:bottom w:val="single" w:sz="4" w:space="0" w:color="auto"/>
              <w:right w:val="single" w:sz="4" w:space="0" w:color="auto"/>
            </w:tcBorders>
            <w:hideMark/>
          </w:tcPr>
          <w:p w14:paraId="33DADFB5"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6EC4F77F" w14:textId="77777777" w:rsidR="00EF5A34" w:rsidRPr="00EF5A34" w:rsidRDefault="00EF5A34" w:rsidP="0084033F">
            <w:pPr>
              <w:spacing w:after="160" w:line="259" w:lineRule="auto"/>
              <w:jc w:val="center"/>
            </w:pPr>
            <w:r w:rsidRPr="00EF5A34">
              <w:t>Numerical scoring mechanism used in RL.</w:t>
            </w:r>
          </w:p>
        </w:tc>
        <w:tc>
          <w:tcPr>
            <w:tcW w:w="3117" w:type="dxa"/>
            <w:tcBorders>
              <w:top w:val="single" w:sz="4" w:space="0" w:color="auto"/>
              <w:left w:val="single" w:sz="4" w:space="0" w:color="auto"/>
              <w:bottom w:val="single" w:sz="4" w:space="0" w:color="auto"/>
              <w:right w:val="single" w:sz="4" w:space="0" w:color="auto"/>
            </w:tcBorders>
            <w:hideMark/>
          </w:tcPr>
          <w:p w14:paraId="1557ADB0" w14:textId="77777777" w:rsidR="00EF5A34" w:rsidRPr="00EF5A34" w:rsidRDefault="00EF5A34" w:rsidP="0084033F">
            <w:pPr>
              <w:spacing w:after="160" w:line="259" w:lineRule="auto"/>
              <w:jc w:val="center"/>
            </w:pPr>
            <w:r w:rsidRPr="00EF5A34">
              <w:t>Highlighted as rigid for finance.</w:t>
            </w:r>
          </w:p>
        </w:tc>
      </w:tr>
      <w:tr w:rsidR="00EF5A34" w:rsidRPr="00EF5A34" w14:paraId="7EAE64EA"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56655C85" w14:textId="77777777" w:rsidR="00EF5A34" w:rsidRPr="00EF5A34" w:rsidRDefault="00EF5A34" w:rsidP="0084033F">
            <w:pPr>
              <w:spacing w:after="160" w:line="259" w:lineRule="auto"/>
              <w:jc w:val="center"/>
            </w:pPr>
            <w:r w:rsidRPr="00EF5A34">
              <w:t>Risk</w:t>
            </w:r>
          </w:p>
        </w:tc>
        <w:tc>
          <w:tcPr>
            <w:tcW w:w="1239" w:type="dxa"/>
            <w:tcBorders>
              <w:top w:val="single" w:sz="4" w:space="0" w:color="auto"/>
              <w:left w:val="single" w:sz="4" w:space="0" w:color="auto"/>
              <w:bottom w:val="single" w:sz="4" w:space="0" w:color="auto"/>
              <w:right w:val="single" w:sz="4" w:space="0" w:color="auto"/>
            </w:tcBorders>
            <w:hideMark/>
          </w:tcPr>
          <w:p w14:paraId="099B4D7C"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25F8487E" w14:textId="77777777" w:rsidR="00EF5A34" w:rsidRPr="00EF5A34" w:rsidRDefault="00EF5A34" w:rsidP="0084033F">
            <w:pPr>
              <w:spacing w:after="160" w:line="259" w:lineRule="auto"/>
              <w:jc w:val="center"/>
            </w:pPr>
            <w:r w:rsidRPr="00EF5A34">
              <w:t>The possibility of financial loss or unpredictable outcomes.</w:t>
            </w:r>
          </w:p>
        </w:tc>
        <w:tc>
          <w:tcPr>
            <w:tcW w:w="3117" w:type="dxa"/>
            <w:tcBorders>
              <w:top w:val="single" w:sz="4" w:space="0" w:color="auto"/>
              <w:left w:val="single" w:sz="4" w:space="0" w:color="auto"/>
              <w:bottom w:val="single" w:sz="4" w:space="0" w:color="auto"/>
              <w:right w:val="single" w:sz="4" w:space="0" w:color="auto"/>
            </w:tcBorders>
            <w:hideMark/>
          </w:tcPr>
          <w:p w14:paraId="4101D753" w14:textId="77777777" w:rsidR="00EF5A34" w:rsidRPr="00EF5A34" w:rsidRDefault="00EF5A34" w:rsidP="0084033F">
            <w:pPr>
              <w:spacing w:after="160" w:line="259" w:lineRule="auto"/>
              <w:jc w:val="center"/>
            </w:pPr>
            <w:r w:rsidRPr="00EF5A34">
              <w:t>Managed explicitly by the system.</w:t>
            </w:r>
          </w:p>
        </w:tc>
      </w:tr>
      <w:tr w:rsidR="00EF5A34" w:rsidRPr="00EF5A34" w14:paraId="14840974"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03625614" w14:textId="77777777" w:rsidR="00EF5A34" w:rsidRPr="00EF5A34" w:rsidRDefault="00EF5A34" w:rsidP="0084033F">
            <w:pPr>
              <w:spacing w:after="160" w:line="259" w:lineRule="auto"/>
              <w:jc w:val="center"/>
            </w:pPr>
            <w:r w:rsidRPr="00EF5A34">
              <w:t>Risk</w:t>
            </w:r>
            <w:r w:rsidRPr="00EF5A34">
              <w:noBreakHyphen/>
              <w:t>Adjusted Return</w:t>
            </w:r>
          </w:p>
        </w:tc>
        <w:tc>
          <w:tcPr>
            <w:tcW w:w="1239" w:type="dxa"/>
            <w:tcBorders>
              <w:top w:val="single" w:sz="4" w:space="0" w:color="auto"/>
              <w:left w:val="single" w:sz="4" w:space="0" w:color="auto"/>
              <w:bottom w:val="single" w:sz="4" w:space="0" w:color="auto"/>
              <w:right w:val="single" w:sz="4" w:space="0" w:color="auto"/>
            </w:tcBorders>
            <w:hideMark/>
          </w:tcPr>
          <w:p w14:paraId="6E8CF47C"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308C343B" w14:textId="77777777" w:rsidR="00EF5A34" w:rsidRPr="00EF5A34" w:rsidRDefault="00EF5A34" w:rsidP="0084033F">
            <w:pPr>
              <w:spacing w:after="160" w:line="259" w:lineRule="auto"/>
              <w:jc w:val="center"/>
            </w:pPr>
            <w:r w:rsidRPr="00EF5A34">
              <w:t>A measure of return that accounts for the level of risk taken.</w:t>
            </w:r>
          </w:p>
        </w:tc>
        <w:tc>
          <w:tcPr>
            <w:tcW w:w="3117" w:type="dxa"/>
            <w:tcBorders>
              <w:top w:val="single" w:sz="4" w:space="0" w:color="auto"/>
              <w:left w:val="single" w:sz="4" w:space="0" w:color="auto"/>
              <w:bottom w:val="single" w:sz="4" w:space="0" w:color="auto"/>
              <w:right w:val="single" w:sz="4" w:space="0" w:color="auto"/>
            </w:tcBorders>
            <w:hideMark/>
          </w:tcPr>
          <w:p w14:paraId="0DBC8697" w14:textId="77777777" w:rsidR="00EF5A34" w:rsidRPr="00EF5A34" w:rsidRDefault="00EF5A34" w:rsidP="0084033F">
            <w:pPr>
              <w:spacing w:after="160" w:line="259" w:lineRule="auto"/>
              <w:jc w:val="center"/>
            </w:pPr>
            <w:r w:rsidRPr="00EF5A34">
              <w:t>Central to system evaluation.</w:t>
            </w:r>
          </w:p>
        </w:tc>
      </w:tr>
      <w:tr w:rsidR="00EF5A34" w:rsidRPr="00EF5A34" w14:paraId="56015DF5"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286B5C44" w14:textId="77777777" w:rsidR="00EF5A34" w:rsidRPr="00EF5A34" w:rsidRDefault="00EF5A34" w:rsidP="0084033F">
            <w:pPr>
              <w:spacing w:after="160" w:line="259" w:lineRule="auto"/>
              <w:jc w:val="center"/>
            </w:pPr>
            <w:r w:rsidRPr="00EF5A34">
              <w:t>Self</w:t>
            </w:r>
            <w:r w:rsidRPr="00EF5A34">
              <w:noBreakHyphen/>
              <w:t>Correction</w:t>
            </w:r>
          </w:p>
        </w:tc>
        <w:tc>
          <w:tcPr>
            <w:tcW w:w="1239" w:type="dxa"/>
            <w:tcBorders>
              <w:top w:val="single" w:sz="4" w:space="0" w:color="auto"/>
              <w:left w:val="single" w:sz="4" w:space="0" w:color="auto"/>
              <w:bottom w:val="single" w:sz="4" w:space="0" w:color="auto"/>
              <w:right w:val="single" w:sz="4" w:space="0" w:color="auto"/>
            </w:tcBorders>
            <w:hideMark/>
          </w:tcPr>
          <w:p w14:paraId="39BF6E3A"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7FF47285" w14:textId="77777777" w:rsidR="00EF5A34" w:rsidRPr="00EF5A34" w:rsidRDefault="00EF5A34" w:rsidP="0084033F">
            <w:pPr>
              <w:spacing w:after="160" w:line="259" w:lineRule="auto"/>
              <w:jc w:val="center"/>
            </w:pPr>
            <w:r w:rsidRPr="00EF5A34">
              <w:t>Ability of a system to adjust behaviour after mistakes.</w:t>
            </w:r>
          </w:p>
        </w:tc>
        <w:tc>
          <w:tcPr>
            <w:tcW w:w="3117" w:type="dxa"/>
            <w:tcBorders>
              <w:top w:val="single" w:sz="4" w:space="0" w:color="auto"/>
              <w:left w:val="single" w:sz="4" w:space="0" w:color="auto"/>
              <w:bottom w:val="single" w:sz="4" w:space="0" w:color="auto"/>
              <w:right w:val="single" w:sz="4" w:space="0" w:color="auto"/>
            </w:tcBorders>
            <w:hideMark/>
          </w:tcPr>
          <w:p w14:paraId="5FDA5525" w14:textId="77777777" w:rsidR="00EF5A34" w:rsidRPr="00EF5A34" w:rsidRDefault="00EF5A34" w:rsidP="0084033F">
            <w:pPr>
              <w:spacing w:after="160" w:line="259" w:lineRule="auto"/>
              <w:jc w:val="center"/>
            </w:pPr>
            <w:r w:rsidRPr="00EF5A34">
              <w:t>Enables adaptation to market change.</w:t>
            </w:r>
          </w:p>
        </w:tc>
      </w:tr>
      <w:tr w:rsidR="00EF5A34" w:rsidRPr="00EF5A34" w14:paraId="57517C18"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0D7E60F7" w14:textId="77777777" w:rsidR="00EF5A34" w:rsidRPr="00EF5A34" w:rsidRDefault="00EF5A34" w:rsidP="0084033F">
            <w:pPr>
              <w:spacing w:after="160" w:line="259" w:lineRule="auto"/>
              <w:jc w:val="center"/>
            </w:pPr>
            <w:r w:rsidRPr="00EF5A34">
              <w:lastRenderedPageBreak/>
              <w:t>Self</w:t>
            </w:r>
            <w:r w:rsidRPr="00EF5A34">
              <w:noBreakHyphen/>
              <w:t>Improving System</w:t>
            </w:r>
          </w:p>
        </w:tc>
        <w:tc>
          <w:tcPr>
            <w:tcW w:w="1239" w:type="dxa"/>
            <w:tcBorders>
              <w:top w:val="single" w:sz="4" w:space="0" w:color="auto"/>
              <w:left w:val="single" w:sz="4" w:space="0" w:color="auto"/>
              <w:bottom w:val="single" w:sz="4" w:space="0" w:color="auto"/>
              <w:right w:val="single" w:sz="4" w:space="0" w:color="auto"/>
            </w:tcBorders>
            <w:hideMark/>
          </w:tcPr>
          <w:p w14:paraId="445A98DB"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62A6DB14" w14:textId="77777777" w:rsidR="00EF5A34" w:rsidRPr="00EF5A34" w:rsidRDefault="00EF5A34" w:rsidP="0084033F">
            <w:pPr>
              <w:spacing w:after="160" w:line="259" w:lineRule="auto"/>
              <w:jc w:val="center"/>
            </w:pPr>
            <w:r w:rsidRPr="00EF5A34">
              <w:t>A system that enhances performance over time.</w:t>
            </w:r>
          </w:p>
        </w:tc>
        <w:tc>
          <w:tcPr>
            <w:tcW w:w="3117" w:type="dxa"/>
            <w:tcBorders>
              <w:top w:val="single" w:sz="4" w:space="0" w:color="auto"/>
              <w:left w:val="single" w:sz="4" w:space="0" w:color="auto"/>
              <w:bottom w:val="single" w:sz="4" w:space="0" w:color="auto"/>
              <w:right w:val="single" w:sz="4" w:space="0" w:color="auto"/>
            </w:tcBorders>
            <w:hideMark/>
          </w:tcPr>
          <w:p w14:paraId="362F8015" w14:textId="77777777" w:rsidR="00EF5A34" w:rsidRPr="00EF5A34" w:rsidRDefault="00EF5A34" w:rsidP="0084033F">
            <w:pPr>
              <w:spacing w:after="160" w:line="259" w:lineRule="auto"/>
              <w:jc w:val="center"/>
            </w:pPr>
            <w:r w:rsidRPr="00EF5A34">
              <w:t>Captures the dissertation’s contribution.</w:t>
            </w:r>
          </w:p>
        </w:tc>
      </w:tr>
      <w:tr w:rsidR="00EF5A34" w:rsidRPr="00EF5A34" w14:paraId="6F01544E" w14:textId="77777777">
        <w:trPr>
          <w:trHeight w:val="293"/>
        </w:trPr>
        <w:tc>
          <w:tcPr>
            <w:tcW w:w="2017" w:type="dxa"/>
            <w:tcBorders>
              <w:top w:val="single" w:sz="4" w:space="0" w:color="auto"/>
              <w:left w:val="single" w:sz="4" w:space="0" w:color="auto"/>
              <w:bottom w:val="single" w:sz="4" w:space="0" w:color="auto"/>
              <w:right w:val="single" w:sz="4" w:space="0" w:color="auto"/>
            </w:tcBorders>
            <w:hideMark/>
          </w:tcPr>
          <w:p w14:paraId="6C129615" w14:textId="77777777" w:rsidR="00EF5A34" w:rsidRPr="00EF5A34" w:rsidRDefault="00EF5A34" w:rsidP="0084033F">
            <w:pPr>
              <w:spacing w:after="160" w:line="259" w:lineRule="auto"/>
              <w:jc w:val="center"/>
            </w:pPr>
            <w:r w:rsidRPr="00EF5A34">
              <w:t>Sell</w:t>
            </w:r>
          </w:p>
        </w:tc>
        <w:tc>
          <w:tcPr>
            <w:tcW w:w="1239" w:type="dxa"/>
            <w:tcBorders>
              <w:top w:val="single" w:sz="4" w:space="0" w:color="auto"/>
              <w:left w:val="single" w:sz="4" w:space="0" w:color="auto"/>
              <w:bottom w:val="single" w:sz="4" w:space="0" w:color="auto"/>
              <w:right w:val="single" w:sz="4" w:space="0" w:color="auto"/>
            </w:tcBorders>
            <w:hideMark/>
          </w:tcPr>
          <w:p w14:paraId="20149D04"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51D85FD2" w14:textId="77777777" w:rsidR="00EF5A34" w:rsidRPr="00EF5A34" w:rsidRDefault="00EF5A34" w:rsidP="0084033F">
            <w:pPr>
              <w:spacing w:after="160" w:line="259" w:lineRule="auto"/>
              <w:jc w:val="center"/>
            </w:pPr>
            <w:r w:rsidRPr="00EF5A34">
              <w:t>Closing or reducing a position.</w:t>
            </w:r>
          </w:p>
        </w:tc>
        <w:tc>
          <w:tcPr>
            <w:tcW w:w="3117" w:type="dxa"/>
            <w:tcBorders>
              <w:top w:val="single" w:sz="4" w:space="0" w:color="auto"/>
              <w:left w:val="single" w:sz="4" w:space="0" w:color="auto"/>
              <w:bottom w:val="single" w:sz="4" w:space="0" w:color="auto"/>
              <w:right w:val="single" w:sz="4" w:space="0" w:color="auto"/>
            </w:tcBorders>
            <w:hideMark/>
          </w:tcPr>
          <w:p w14:paraId="74E0CC0F" w14:textId="77777777" w:rsidR="00EF5A34" w:rsidRPr="00EF5A34" w:rsidRDefault="00EF5A34" w:rsidP="0084033F">
            <w:pPr>
              <w:spacing w:after="160" w:line="259" w:lineRule="auto"/>
              <w:jc w:val="center"/>
            </w:pPr>
            <w:r w:rsidRPr="00EF5A34">
              <w:t>Used to realise profits or limit losses.</w:t>
            </w:r>
          </w:p>
        </w:tc>
      </w:tr>
      <w:tr w:rsidR="00EF5A34" w:rsidRPr="00EF5A34" w14:paraId="2635FD5A"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210C3417" w14:textId="77777777" w:rsidR="00EF5A34" w:rsidRPr="00EF5A34" w:rsidRDefault="00EF5A34" w:rsidP="0084033F">
            <w:pPr>
              <w:spacing w:after="160" w:line="259" w:lineRule="auto"/>
              <w:jc w:val="center"/>
            </w:pPr>
            <w:r w:rsidRPr="00EF5A34">
              <w:t>Sentiment Analysis</w:t>
            </w:r>
          </w:p>
        </w:tc>
        <w:tc>
          <w:tcPr>
            <w:tcW w:w="1239" w:type="dxa"/>
            <w:tcBorders>
              <w:top w:val="single" w:sz="4" w:space="0" w:color="auto"/>
              <w:left w:val="single" w:sz="4" w:space="0" w:color="auto"/>
              <w:bottom w:val="single" w:sz="4" w:space="0" w:color="auto"/>
              <w:right w:val="single" w:sz="4" w:space="0" w:color="auto"/>
            </w:tcBorders>
            <w:hideMark/>
          </w:tcPr>
          <w:p w14:paraId="6C3724A7"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1A8613C1" w14:textId="77777777" w:rsidR="00EF5A34" w:rsidRPr="00EF5A34" w:rsidRDefault="00EF5A34" w:rsidP="0084033F">
            <w:pPr>
              <w:spacing w:after="160" w:line="259" w:lineRule="auto"/>
              <w:jc w:val="center"/>
            </w:pPr>
            <w:r w:rsidRPr="00EF5A34">
              <w:t>Assessing market mood from text such as news and social media.</w:t>
            </w:r>
          </w:p>
        </w:tc>
        <w:tc>
          <w:tcPr>
            <w:tcW w:w="3117" w:type="dxa"/>
            <w:tcBorders>
              <w:top w:val="single" w:sz="4" w:space="0" w:color="auto"/>
              <w:left w:val="single" w:sz="4" w:space="0" w:color="auto"/>
              <w:bottom w:val="single" w:sz="4" w:space="0" w:color="auto"/>
              <w:right w:val="single" w:sz="4" w:space="0" w:color="auto"/>
            </w:tcBorders>
            <w:hideMark/>
          </w:tcPr>
          <w:p w14:paraId="24B09AF9" w14:textId="77777777" w:rsidR="00EF5A34" w:rsidRPr="00EF5A34" w:rsidRDefault="00EF5A34" w:rsidP="0084033F">
            <w:pPr>
              <w:spacing w:after="160" w:line="259" w:lineRule="auto"/>
              <w:jc w:val="center"/>
            </w:pPr>
            <w:r w:rsidRPr="00EF5A34">
              <w:t>Performed by the Sentiment Analyst agent.</w:t>
            </w:r>
          </w:p>
        </w:tc>
      </w:tr>
      <w:tr w:rsidR="00EF5A34" w:rsidRPr="00EF5A34" w14:paraId="3714CE1F"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004536B2" w14:textId="77777777" w:rsidR="00EF5A34" w:rsidRPr="00EF5A34" w:rsidRDefault="00EF5A34" w:rsidP="0084033F">
            <w:pPr>
              <w:spacing w:after="160" w:line="259" w:lineRule="auto"/>
              <w:jc w:val="center"/>
            </w:pPr>
            <w:r w:rsidRPr="00EF5A34">
              <w:t>Sharpe Ratio</w:t>
            </w:r>
          </w:p>
        </w:tc>
        <w:tc>
          <w:tcPr>
            <w:tcW w:w="1239" w:type="dxa"/>
            <w:tcBorders>
              <w:top w:val="single" w:sz="4" w:space="0" w:color="auto"/>
              <w:left w:val="single" w:sz="4" w:space="0" w:color="auto"/>
              <w:bottom w:val="single" w:sz="4" w:space="0" w:color="auto"/>
              <w:right w:val="single" w:sz="4" w:space="0" w:color="auto"/>
            </w:tcBorders>
            <w:hideMark/>
          </w:tcPr>
          <w:p w14:paraId="7A500BB3"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6BDDC557" w14:textId="77777777" w:rsidR="00EF5A34" w:rsidRPr="00EF5A34" w:rsidRDefault="00EF5A34" w:rsidP="0084033F">
            <w:pPr>
              <w:spacing w:after="160" w:line="259" w:lineRule="auto"/>
              <w:jc w:val="center"/>
            </w:pPr>
            <w:r w:rsidRPr="00EF5A34">
              <w:t>A metric comparing return to volatility (risk).</w:t>
            </w:r>
          </w:p>
        </w:tc>
        <w:tc>
          <w:tcPr>
            <w:tcW w:w="3117" w:type="dxa"/>
            <w:tcBorders>
              <w:top w:val="single" w:sz="4" w:space="0" w:color="auto"/>
              <w:left w:val="single" w:sz="4" w:space="0" w:color="auto"/>
              <w:bottom w:val="single" w:sz="4" w:space="0" w:color="auto"/>
              <w:right w:val="single" w:sz="4" w:space="0" w:color="auto"/>
            </w:tcBorders>
            <w:hideMark/>
          </w:tcPr>
          <w:p w14:paraId="35E897D0" w14:textId="77777777" w:rsidR="00EF5A34" w:rsidRPr="00EF5A34" w:rsidRDefault="00EF5A34" w:rsidP="0084033F">
            <w:pPr>
              <w:spacing w:after="160" w:line="259" w:lineRule="auto"/>
              <w:jc w:val="center"/>
            </w:pPr>
            <w:r w:rsidRPr="00EF5A34">
              <w:t>Key performance metric used.</w:t>
            </w:r>
          </w:p>
        </w:tc>
      </w:tr>
      <w:tr w:rsidR="00EF5A34" w:rsidRPr="00EF5A34" w14:paraId="5C059330"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343440A5" w14:textId="77777777" w:rsidR="00EF5A34" w:rsidRPr="00EF5A34" w:rsidRDefault="00EF5A34" w:rsidP="0084033F">
            <w:pPr>
              <w:spacing w:after="160" w:line="259" w:lineRule="auto"/>
              <w:jc w:val="center"/>
            </w:pPr>
            <w:r w:rsidRPr="00EF5A34">
              <w:t>Short Selling</w:t>
            </w:r>
          </w:p>
        </w:tc>
        <w:tc>
          <w:tcPr>
            <w:tcW w:w="1239" w:type="dxa"/>
            <w:tcBorders>
              <w:top w:val="single" w:sz="4" w:space="0" w:color="auto"/>
              <w:left w:val="single" w:sz="4" w:space="0" w:color="auto"/>
              <w:bottom w:val="single" w:sz="4" w:space="0" w:color="auto"/>
              <w:right w:val="single" w:sz="4" w:space="0" w:color="auto"/>
            </w:tcBorders>
            <w:hideMark/>
          </w:tcPr>
          <w:p w14:paraId="53A0DB6C"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5D0EA423" w14:textId="77777777" w:rsidR="00EF5A34" w:rsidRPr="00EF5A34" w:rsidRDefault="00EF5A34" w:rsidP="0084033F">
            <w:pPr>
              <w:spacing w:after="160" w:line="259" w:lineRule="auto"/>
              <w:jc w:val="center"/>
            </w:pPr>
            <w:r w:rsidRPr="00EF5A34">
              <w:t>Profiting from falling prices by selling before buying.</w:t>
            </w:r>
          </w:p>
        </w:tc>
        <w:tc>
          <w:tcPr>
            <w:tcW w:w="3117" w:type="dxa"/>
            <w:tcBorders>
              <w:top w:val="single" w:sz="4" w:space="0" w:color="auto"/>
              <w:left w:val="single" w:sz="4" w:space="0" w:color="auto"/>
              <w:bottom w:val="single" w:sz="4" w:space="0" w:color="auto"/>
              <w:right w:val="single" w:sz="4" w:space="0" w:color="auto"/>
            </w:tcBorders>
            <w:hideMark/>
          </w:tcPr>
          <w:p w14:paraId="15BBADC1" w14:textId="77777777" w:rsidR="00EF5A34" w:rsidRPr="00EF5A34" w:rsidRDefault="00EF5A34" w:rsidP="0084033F">
            <w:pPr>
              <w:spacing w:after="160" w:line="259" w:lineRule="auto"/>
              <w:jc w:val="center"/>
            </w:pPr>
            <w:r w:rsidRPr="00EF5A34">
              <w:t>Enables operation in bear markets.</w:t>
            </w:r>
          </w:p>
        </w:tc>
      </w:tr>
      <w:tr w:rsidR="00EF5A34" w:rsidRPr="00EF5A34" w14:paraId="466F2488"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5CEC7C9D" w14:textId="77777777" w:rsidR="00EF5A34" w:rsidRPr="00EF5A34" w:rsidRDefault="00EF5A34" w:rsidP="0084033F">
            <w:pPr>
              <w:spacing w:after="160" w:line="259" w:lineRule="auto"/>
              <w:jc w:val="center"/>
            </w:pPr>
            <w:r w:rsidRPr="00EF5A34">
              <w:t>Specialised Agent</w:t>
            </w:r>
          </w:p>
        </w:tc>
        <w:tc>
          <w:tcPr>
            <w:tcW w:w="1239" w:type="dxa"/>
            <w:tcBorders>
              <w:top w:val="single" w:sz="4" w:space="0" w:color="auto"/>
              <w:left w:val="single" w:sz="4" w:space="0" w:color="auto"/>
              <w:bottom w:val="single" w:sz="4" w:space="0" w:color="auto"/>
              <w:right w:val="single" w:sz="4" w:space="0" w:color="auto"/>
            </w:tcBorders>
            <w:hideMark/>
          </w:tcPr>
          <w:p w14:paraId="77758D9D"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73C6C687" w14:textId="77777777" w:rsidR="00EF5A34" w:rsidRPr="00EF5A34" w:rsidRDefault="00EF5A34" w:rsidP="0084033F">
            <w:pPr>
              <w:spacing w:after="160" w:line="259" w:lineRule="auto"/>
              <w:jc w:val="center"/>
            </w:pPr>
            <w:r w:rsidRPr="00EF5A34">
              <w:t>An agent focused on one well</w:t>
            </w:r>
            <w:r w:rsidRPr="00EF5A34">
              <w:noBreakHyphen/>
              <w:t>defined role.</w:t>
            </w:r>
          </w:p>
        </w:tc>
        <w:tc>
          <w:tcPr>
            <w:tcW w:w="3117" w:type="dxa"/>
            <w:tcBorders>
              <w:top w:val="single" w:sz="4" w:space="0" w:color="auto"/>
              <w:left w:val="single" w:sz="4" w:space="0" w:color="auto"/>
              <w:bottom w:val="single" w:sz="4" w:space="0" w:color="auto"/>
              <w:right w:val="single" w:sz="4" w:space="0" w:color="auto"/>
            </w:tcBorders>
            <w:hideMark/>
          </w:tcPr>
          <w:p w14:paraId="2BBB2B0C" w14:textId="77777777" w:rsidR="00EF5A34" w:rsidRPr="00EF5A34" w:rsidRDefault="00EF5A34" w:rsidP="0084033F">
            <w:pPr>
              <w:spacing w:after="160" w:line="259" w:lineRule="auto"/>
              <w:jc w:val="center"/>
            </w:pPr>
            <w:r w:rsidRPr="00EF5A34">
              <w:t>Improves accuracy and realism.</w:t>
            </w:r>
          </w:p>
        </w:tc>
      </w:tr>
      <w:tr w:rsidR="00EF5A34" w:rsidRPr="00EF5A34" w14:paraId="76B08615"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30D93F96" w14:textId="77777777" w:rsidR="00EF5A34" w:rsidRPr="00EF5A34" w:rsidRDefault="00EF5A34" w:rsidP="0084033F">
            <w:pPr>
              <w:spacing w:after="160" w:line="259" w:lineRule="auto"/>
              <w:jc w:val="center"/>
            </w:pPr>
            <w:r w:rsidRPr="00EF5A34">
              <w:t>Stop</w:t>
            </w:r>
            <w:r w:rsidRPr="00EF5A34">
              <w:noBreakHyphen/>
              <w:t>Loss</w:t>
            </w:r>
          </w:p>
        </w:tc>
        <w:tc>
          <w:tcPr>
            <w:tcW w:w="1239" w:type="dxa"/>
            <w:tcBorders>
              <w:top w:val="single" w:sz="4" w:space="0" w:color="auto"/>
              <w:left w:val="single" w:sz="4" w:space="0" w:color="auto"/>
              <w:bottom w:val="single" w:sz="4" w:space="0" w:color="auto"/>
              <w:right w:val="single" w:sz="4" w:space="0" w:color="auto"/>
            </w:tcBorders>
            <w:hideMark/>
          </w:tcPr>
          <w:p w14:paraId="19693097"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7379D530" w14:textId="77777777" w:rsidR="00EF5A34" w:rsidRPr="00EF5A34" w:rsidRDefault="00EF5A34" w:rsidP="0084033F">
            <w:pPr>
              <w:spacing w:after="160" w:line="259" w:lineRule="auto"/>
              <w:jc w:val="center"/>
            </w:pPr>
            <w:r w:rsidRPr="00EF5A34">
              <w:t>Automatic exit to prevent excessive losses.</w:t>
            </w:r>
          </w:p>
        </w:tc>
        <w:tc>
          <w:tcPr>
            <w:tcW w:w="3117" w:type="dxa"/>
            <w:tcBorders>
              <w:top w:val="single" w:sz="4" w:space="0" w:color="auto"/>
              <w:left w:val="single" w:sz="4" w:space="0" w:color="auto"/>
              <w:bottom w:val="single" w:sz="4" w:space="0" w:color="auto"/>
              <w:right w:val="single" w:sz="4" w:space="0" w:color="auto"/>
            </w:tcBorders>
            <w:hideMark/>
          </w:tcPr>
          <w:p w14:paraId="23F48574" w14:textId="77777777" w:rsidR="00EF5A34" w:rsidRPr="00EF5A34" w:rsidRDefault="00EF5A34" w:rsidP="0084033F">
            <w:pPr>
              <w:spacing w:after="160" w:line="259" w:lineRule="auto"/>
              <w:jc w:val="center"/>
            </w:pPr>
            <w:r w:rsidRPr="00EF5A34">
              <w:t>Key risk</w:t>
            </w:r>
            <w:r w:rsidRPr="00EF5A34">
              <w:noBreakHyphen/>
              <w:t>control mechanism.</w:t>
            </w:r>
          </w:p>
        </w:tc>
      </w:tr>
      <w:tr w:rsidR="00EF5A34" w:rsidRPr="00EF5A34" w14:paraId="640FCC47"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6D14D6C0" w14:textId="77777777" w:rsidR="00EF5A34" w:rsidRPr="00EF5A34" w:rsidRDefault="00EF5A34" w:rsidP="0084033F">
            <w:pPr>
              <w:spacing w:after="160" w:line="259" w:lineRule="auto"/>
              <w:jc w:val="center"/>
            </w:pPr>
            <w:r w:rsidRPr="00EF5A34">
              <w:t>System Prompt</w:t>
            </w:r>
          </w:p>
        </w:tc>
        <w:tc>
          <w:tcPr>
            <w:tcW w:w="1239" w:type="dxa"/>
            <w:tcBorders>
              <w:top w:val="single" w:sz="4" w:space="0" w:color="auto"/>
              <w:left w:val="single" w:sz="4" w:space="0" w:color="auto"/>
              <w:bottom w:val="single" w:sz="4" w:space="0" w:color="auto"/>
              <w:right w:val="single" w:sz="4" w:space="0" w:color="auto"/>
            </w:tcBorders>
            <w:hideMark/>
          </w:tcPr>
          <w:p w14:paraId="537F7F28" w14:textId="77777777" w:rsidR="00EF5A34" w:rsidRPr="00EF5A34" w:rsidRDefault="00EF5A34" w:rsidP="0084033F">
            <w:pPr>
              <w:spacing w:after="160" w:line="259" w:lineRule="auto"/>
              <w:jc w:val="center"/>
            </w:pPr>
            <w:r w:rsidRPr="00EF5A34">
              <w:t>AI</w:t>
            </w:r>
          </w:p>
        </w:tc>
        <w:tc>
          <w:tcPr>
            <w:tcW w:w="2836" w:type="dxa"/>
            <w:tcBorders>
              <w:top w:val="single" w:sz="4" w:space="0" w:color="auto"/>
              <w:left w:val="single" w:sz="4" w:space="0" w:color="auto"/>
              <w:bottom w:val="single" w:sz="4" w:space="0" w:color="auto"/>
              <w:right w:val="single" w:sz="4" w:space="0" w:color="auto"/>
            </w:tcBorders>
            <w:hideMark/>
          </w:tcPr>
          <w:p w14:paraId="5D3E01AA" w14:textId="77777777" w:rsidR="00EF5A34" w:rsidRPr="00EF5A34" w:rsidRDefault="00EF5A34" w:rsidP="0084033F">
            <w:pPr>
              <w:spacing w:after="160" w:line="259" w:lineRule="auto"/>
              <w:jc w:val="center"/>
            </w:pPr>
            <w:r w:rsidRPr="00EF5A34">
              <w:t>The high</w:t>
            </w:r>
            <w:r w:rsidRPr="00EF5A34">
              <w:noBreakHyphen/>
              <w:t>level instruction defining an agent’s role.</w:t>
            </w:r>
          </w:p>
        </w:tc>
        <w:tc>
          <w:tcPr>
            <w:tcW w:w="3117" w:type="dxa"/>
            <w:tcBorders>
              <w:top w:val="single" w:sz="4" w:space="0" w:color="auto"/>
              <w:left w:val="single" w:sz="4" w:space="0" w:color="auto"/>
              <w:bottom w:val="single" w:sz="4" w:space="0" w:color="auto"/>
              <w:right w:val="single" w:sz="4" w:space="0" w:color="auto"/>
            </w:tcBorders>
            <w:hideMark/>
          </w:tcPr>
          <w:p w14:paraId="2ED2B252" w14:textId="77777777" w:rsidR="00EF5A34" w:rsidRPr="00EF5A34" w:rsidRDefault="00EF5A34" w:rsidP="0084033F">
            <w:pPr>
              <w:spacing w:after="160" w:line="259" w:lineRule="auto"/>
              <w:jc w:val="center"/>
            </w:pPr>
            <w:r w:rsidRPr="00EF5A34">
              <w:t>Main target of optimisation.</w:t>
            </w:r>
          </w:p>
        </w:tc>
      </w:tr>
      <w:tr w:rsidR="00EF5A34" w:rsidRPr="00EF5A34" w14:paraId="283CDAD1"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4D1CAD7D" w14:textId="77777777" w:rsidR="00EF5A34" w:rsidRPr="00EF5A34" w:rsidRDefault="00EF5A34" w:rsidP="0084033F">
            <w:pPr>
              <w:spacing w:after="160" w:line="259" w:lineRule="auto"/>
              <w:jc w:val="center"/>
            </w:pPr>
            <w:r w:rsidRPr="00EF5A34">
              <w:t>Technical Analysis</w:t>
            </w:r>
          </w:p>
        </w:tc>
        <w:tc>
          <w:tcPr>
            <w:tcW w:w="1239" w:type="dxa"/>
            <w:tcBorders>
              <w:top w:val="single" w:sz="4" w:space="0" w:color="auto"/>
              <w:left w:val="single" w:sz="4" w:space="0" w:color="auto"/>
              <w:bottom w:val="single" w:sz="4" w:space="0" w:color="auto"/>
              <w:right w:val="single" w:sz="4" w:space="0" w:color="auto"/>
            </w:tcBorders>
            <w:hideMark/>
          </w:tcPr>
          <w:p w14:paraId="60386B40"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6F776418" w14:textId="77777777" w:rsidR="00EF5A34" w:rsidRPr="00EF5A34" w:rsidRDefault="00EF5A34" w:rsidP="0084033F">
            <w:pPr>
              <w:spacing w:after="160" w:line="259" w:lineRule="auto"/>
              <w:jc w:val="center"/>
            </w:pPr>
            <w:r w:rsidRPr="00EF5A34">
              <w:t>Analysis based on price patterns and indicators.</w:t>
            </w:r>
          </w:p>
        </w:tc>
        <w:tc>
          <w:tcPr>
            <w:tcW w:w="3117" w:type="dxa"/>
            <w:tcBorders>
              <w:top w:val="single" w:sz="4" w:space="0" w:color="auto"/>
              <w:left w:val="single" w:sz="4" w:space="0" w:color="auto"/>
              <w:bottom w:val="single" w:sz="4" w:space="0" w:color="auto"/>
              <w:right w:val="single" w:sz="4" w:space="0" w:color="auto"/>
            </w:tcBorders>
            <w:hideMark/>
          </w:tcPr>
          <w:p w14:paraId="5247D17F" w14:textId="77777777" w:rsidR="00EF5A34" w:rsidRPr="00EF5A34" w:rsidRDefault="00EF5A34" w:rsidP="0084033F">
            <w:pPr>
              <w:spacing w:after="160" w:line="259" w:lineRule="auto"/>
              <w:jc w:val="center"/>
            </w:pPr>
            <w:r w:rsidRPr="00EF5A34">
              <w:t>Performed by the Technical Analyst agent.</w:t>
            </w:r>
          </w:p>
        </w:tc>
      </w:tr>
      <w:tr w:rsidR="00EF5A34" w:rsidRPr="00EF5A34" w14:paraId="1CB075BF"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41A34A0F" w14:textId="77777777" w:rsidR="00EF5A34" w:rsidRPr="00EF5A34" w:rsidRDefault="00EF5A34" w:rsidP="0084033F">
            <w:pPr>
              <w:spacing w:after="160" w:line="259" w:lineRule="auto"/>
              <w:jc w:val="center"/>
            </w:pPr>
            <w:r w:rsidRPr="00EF5A34">
              <w:t>Trailing Stop</w:t>
            </w:r>
            <w:r w:rsidRPr="00EF5A34">
              <w:noBreakHyphen/>
              <w:t>Loss</w:t>
            </w:r>
          </w:p>
        </w:tc>
        <w:tc>
          <w:tcPr>
            <w:tcW w:w="1239" w:type="dxa"/>
            <w:tcBorders>
              <w:top w:val="single" w:sz="4" w:space="0" w:color="auto"/>
              <w:left w:val="single" w:sz="4" w:space="0" w:color="auto"/>
              <w:bottom w:val="single" w:sz="4" w:space="0" w:color="auto"/>
              <w:right w:val="single" w:sz="4" w:space="0" w:color="auto"/>
            </w:tcBorders>
            <w:hideMark/>
          </w:tcPr>
          <w:p w14:paraId="305CFBE4"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7A381684" w14:textId="77777777" w:rsidR="00EF5A34" w:rsidRPr="00EF5A34" w:rsidRDefault="00EF5A34" w:rsidP="0084033F">
            <w:pPr>
              <w:spacing w:after="160" w:line="259" w:lineRule="auto"/>
              <w:jc w:val="center"/>
            </w:pPr>
            <w:r w:rsidRPr="00EF5A34">
              <w:t>A stop</w:t>
            </w:r>
            <w:r w:rsidRPr="00EF5A34">
              <w:noBreakHyphen/>
              <w:t>loss that moves with the price to lock in profit.</w:t>
            </w:r>
          </w:p>
        </w:tc>
        <w:tc>
          <w:tcPr>
            <w:tcW w:w="3117" w:type="dxa"/>
            <w:tcBorders>
              <w:top w:val="single" w:sz="4" w:space="0" w:color="auto"/>
              <w:left w:val="single" w:sz="4" w:space="0" w:color="auto"/>
              <w:bottom w:val="single" w:sz="4" w:space="0" w:color="auto"/>
              <w:right w:val="single" w:sz="4" w:space="0" w:color="auto"/>
            </w:tcBorders>
            <w:hideMark/>
          </w:tcPr>
          <w:p w14:paraId="54C4CB1A" w14:textId="77777777" w:rsidR="00EF5A34" w:rsidRPr="00EF5A34" w:rsidRDefault="00EF5A34" w:rsidP="0084033F">
            <w:pPr>
              <w:spacing w:after="160" w:line="259" w:lineRule="auto"/>
              <w:jc w:val="center"/>
            </w:pPr>
            <w:r w:rsidRPr="00EF5A34">
              <w:t>Proposed adaptive risk feature.</w:t>
            </w:r>
          </w:p>
        </w:tc>
      </w:tr>
      <w:tr w:rsidR="00EF5A34" w:rsidRPr="00EF5A34" w14:paraId="2A92AF41"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38A1D6EF" w14:textId="77777777" w:rsidR="00EF5A34" w:rsidRPr="00EF5A34" w:rsidRDefault="00EF5A34" w:rsidP="0084033F">
            <w:pPr>
              <w:spacing w:after="160" w:line="259" w:lineRule="auto"/>
              <w:jc w:val="center"/>
            </w:pPr>
            <w:r w:rsidRPr="00EF5A34">
              <w:t>Transaction Cost</w:t>
            </w:r>
          </w:p>
        </w:tc>
        <w:tc>
          <w:tcPr>
            <w:tcW w:w="1239" w:type="dxa"/>
            <w:tcBorders>
              <w:top w:val="single" w:sz="4" w:space="0" w:color="auto"/>
              <w:left w:val="single" w:sz="4" w:space="0" w:color="auto"/>
              <w:bottom w:val="single" w:sz="4" w:space="0" w:color="auto"/>
              <w:right w:val="single" w:sz="4" w:space="0" w:color="auto"/>
            </w:tcBorders>
            <w:hideMark/>
          </w:tcPr>
          <w:p w14:paraId="33BF71A8"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527803E9" w14:textId="77777777" w:rsidR="00EF5A34" w:rsidRPr="00EF5A34" w:rsidRDefault="00EF5A34" w:rsidP="0084033F">
            <w:pPr>
              <w:spacing w:after="160" w:line="259" w:lineRule="auto"/>
              <w:jc w:val="center"/>
            </w:pPr>
            <w:r w:rsidRPr="00EF5A34">
              <w:t>Costs incurred when buying or selling assets.</w:t>
            </w:r>
          </w:p>
        </w:tc>
        <w:tc>
          <w:tcPr>
            <w:tcW w:w="3117" w:type="dxa"/>
            <w:tcBorders>
              <w:top w:val="single" w:sz="4" w:space="0" w:color="auto"/>
              <w:left w:val="single" w:sz="4" w:space="0" w:color="auto"/>
              <w:bottom w:val="single" w:sz="4" w:space="0" w:color="auto"/>
              <w:right w:val="single" w:sz="4" w:space="0" w:color="auto"/>
            </w:tcBorders>
            <w:hideMark/>
          </w:tcPr>
          <w:p w14:paraId="613ADF3A" w14:textId="77777777" w:rsidR="00EF5A34" w:rsidRPr="00EF5A34" w:rsidRDefault="00EF5A34" w:rsidP="0084033F">
            <w:pPr>
              <w:spacing w:after="160" w:line="259" w:lineRule="auto"/>
              <w:jc w:val="center"/>
            </w:pPr>
            <w:r w:rsidRPr="00EF5A34">
              <w:t>Included for realistic back</w:t>
            </w:r>
            <w:r w:rsidRPr="00EF5A34">
              <w:noBreakHyphen/>
              <w:t>testing.</w:t>
            </w:r>
          </w:p>
        </w:tc>
      </w:tr>
      <w:tr w:rsidR="00EF5A34" w:rsidRPr="00EF5A34" w14:paraId="5E60BF14" w14:textId="77777777">
        <w:trPr>
          <w:trHeight w:val="293"/>
        </w:trPr>
        <w:tc>
          <w:tcPr>
            <w:tcW w:w="2017" w:type="dxa"/>
            <w:tcBorders>
              <w:top w:val="single" w:sz="4" w:space="0" w:color="auto"/>
              <w:left w:val="single" w:sz="4" w:space="0" w:color="auto"/>
              <w:bottom w:val="single" w:sz="4" w:space="0" w:color="auto"/>
              <w:right w:val="single" w:sz="4" w:space="0" w:color="auto"/>
            </w:tcBorders>
            <w:hideMark/>
          </w:tcPr>
          <w:p w14:paraId="585A1BC4" w14:textId="77777777" w:rsidR="00EF5A34" w:rsidRPr="00EF5A34" w:rsidRDefault="00EF5A34" w:rsidP="0084033F">
            <w:pPr>
              <w:spacing w:after="160" w:line="259" w:lineRule="auto"/>
              <w:jc w:val="center"/>
            </w:pPr>
            <w:r w:rsidRPr="00EF5A34">
              <w:t>Turnover</w:t>
            </w:r>
          </w:p>
        </w:tc>
        <w:tc>
          <w:tcPr>
            <w:tcW w:w="1239" w:type="dxa"/>
            <w:tcBorders>
              <w:top w:val="single" w:sz="4" w:space="0" w:color="auto"/>
              <w:left w:val="single" w:sz="4" w:space="0" w:color="auto"/>
              <w:bottom w:val="single" w:sz="4" w:space="0" w:color="auto"/>
              <w:right w:val="single" w:sz="4" w:space="0" w:color="auto"/>
            </w:tcBorders>
            <w:hideMark/>
          </w:tcPr>
          <w:p w14:paraId="13E80F2A"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489A7362" w14:textId="77777777" w:rsidR="00EF5A34" w:rsidRPr="00EF5A34" w:rsidRDefault="00EF5A34" w:rsidP="0084033F">
            <w:pPr>
              <w:spacing w:after="160" w:line="259" w:lineRule="auto"/>
              <w:jc w:val="center"/>
            </w:pPr>
            <w:r w:rsidRPr="00EF5A34">
              <w:t>Frequency of trading within a portfolio.</w:t>
            </w:r>
          </w:p>
        </w:tc>
        <w:tc>
          <w:tcPr>
            <w:tcW w:w="3117" w:type="dxa"/>
            <w:tcBorders>
              <w:top w:val="single" w:sz="4" w:space="0" w:color="auto"/>
              <w:left w:val="single" w:sz="4" w:space="0" w:color="auto"/>
              <w:bottom w:val="single" w:sz="4" w:space="0" w:color="auto"/>
              <w:right w:val="single" w:sz="4" w:space="0" w:color="auto"/>
            </w:tcBorders>
            <w:hideMark/>
          </w:tcPr>
          <w:p w14:paraId="6849481F" w14:textId="77777777" w:rsidR="00EF5A34" w:rsidRPr="00EF5A34" w:rsidRDefault="00EF5A34" w:rsidP="0084033F">
            <w:pPr>
              <w:spacing w:after="160" w:line="259" w:lineRule="auto"/>
              <w:jc w:val="center"/>
            </w:pPr>
            <w:r w:rsidRPr="00EF5A34">
              <w:t>Penalised to avoid excessive trading.</w:t>
            </w:r>
          </w:p>
        </w:tc>
      </w:tr>
      <w:tr w:rsidR="00EF5A34" w:rsidRPr="00EF5A34" w14:paraId="650D6222" w14:textId="77777777">
        <w:trPr>
          <w:trHeight w:val="578"/>
        </w:trPr>
        <w:tc>
          <w:tcPr>
            <w:tcW w:w="2017" w:type="dxa"/>
            <w:tcBorders>
              <w:top w:val="single" w:sz="4" w:space="0" w:color="auto"/>
              <w:left w:val="single" w:sz="4" w:space="0" w:color="auto"/>
              <w:bottom w:val="single" w:sz="4" w:space="0" w:color="auto"/>
              <w:right w:val="single" w:sz="4" w:space="0" w:color="auto"/>
            </w:tcBorders>
            <w:hideMark/>
          </w:tcPr>
          <w:p w14:paraId="408F38BC" w14:textId="77777777" w:rsidR="00EF5A34" w:rsidRPr="00EF5A34" w:rsidRDefault="00EF5A34" w:rsidP="0084033F">
            <w:pPr>
              <w:spacing w:after="160" w:line="259" w:lineRule="auto"/>
              <w:jc w:val="center"/>
            </w:pPr>
            <w:r w:rsidRPr="00EF5A34">
              <w:t>Volatility</w:t>
            </w:r>
          </w:p>
        </w:tc>
        <w:tc>
          <w:tcPr>
            <w:tcW w:w="1239" w:type="dxa"/>
            <w:tcBorders>
              <w:top w:val="single" w:sz="4" w:space="0" w:color="auto"/>
              <w:left w:val="single" w:sz="4" w:space="0" w:color="auto"/>
              <w:bottom w:val="single" w:sz="4" w:space="0" w:color="auto"/>
              <w:right w:val="single" w:sz="4" w:space="0" w:color="auto"/>
            </w:tcBorders>
            <w:hideMark/>
          </w:tcPr>
          <w:p w14:paraId="51804F4D" w14:textId="77777777" w:rsidR="00EF5A34" w:rsidRPr="00EF5A34" w:rsidRDefault="00EF5A34" w:rsidP="0084033F">
            <w:pPr>
              <w:spacing w:after="160" w:line="259" w:lineRule="auto"/>
              <w:jc w:val="center"/>
            </w:pPr>
            <w:r w:rsidRPr="00EF5A34">
              <w:t>Finance</w:t>
            </w:r>
          </w:p>
        </w:tc>
        <w:tc>
          <w:tcPr>
            <w:tcW w:w="2836" w:type="dxa"/>
            <w:tcBorders>
              <w:top w:val="single" w:sz="4" w:space="0" w:color="auto"/>
              <w:left w:val="single" w:sz="4" w:space="0" w:color="auto"/>
              <w:bottom w:val="single" w:sz="4" w:space="0" w:color="auto"/>
              <w:right w:val="single" w:sz="4" w:space="0" w:color="auto"/>
            </w:tcBorders>
            <w:hideMark/>
          </w:tcPr>
          <w:p w14:paraId="426F0FFE" w14:textId="77777777" w:rsidR="00EF5A34" w:rsidRPr="00EF5A34" w:rsidRDefault="00EF5A34" w:rsidP="0084033F">
            <w:pPr>
              <w:spacing w:after="160" w:line="259" w:lineRule="auto"/>
              <w:jc w:val="center"/>
            </w:pPr>
            <w:r w:rsidRPr="00EF5A34">
              <w:t>The degree of price fluctuation over time.</w:t>
            </w:r>
          </w:p>
        </w:tc>
        <w:tc>
          <w:tcPr>
            <w:tcW w:w="3117" w:type="dxa"/>
            <w:tcBorders>
              <w:top w:val="single" w:sz="4" w:space="0" w:color="auto"/>
              <w:left w:val="single" w:sz="4" w:space="0" w:color="auto"/>
              <w:bottom w:val="single" w:sz="4" w:space="0" w:color="auto"/>
              <w:right w:val="single" w:sz="4" w:space="0" w:color="auto"/>
            </w:tcBorders>
            <w:hideMark/>
          </w:tcPr>
          <w:p w14:paraId="39C56701" w14:textId="77777777" w:rsidR="00EF5A34" w:rsidRPr="00EF5A34" w:rsidRDefault="00EF5A34" w:rsidP="0084033F">
            <w:pPr>
              <w:spacing w:after="160" w:line="259" w:lineRule="auto"/>
              <w:jc w:val="center"/>
            </w:pPr>
            <w:r w:rsidRPr="00EF5A34">
              <w:t>Influences risk and stop</w:t>
            </w:r>
            <w:r w:rsidRPr="00EF5A34">
              <w:noBreakHyphen/>
              <w:t>loss decisions.</w:t>
            </w:r>
          </w:p>
        </w:tc>
      </w:tr>
    </w:tbl>
    <w:p w14:paraId="4D7AAB36" w14:textId="77777777" w:rsidR="00EF5A34" w:rsidRPr="00EF5A34" w:rsidRDefault="00EF5A34" w:rsidP="0084033F">
      <w:pPr>
        <w:jc w:val="center"/>
      </w:pPr>
    </w:p>
    <w:p w14:paraId="7BC1C4CB" w14:textId="77777777" w:rsidR="00EF5A34" w:rsidRDefault="00EF5A34" w:rsidP="0084033F">
      <w:pPr>
        <w:jc w:val="center"/>
      </w:pPr>
    </w:p>
    <w:p w14:paraId="455F5A11" w14:textId="77777777" w:rsidR="00F723B6" w:rsidRDefault="00F723B6" w:rsidP="0084033F">
      <w:pPr>
        <w:jc w:val="center"/>
      </w:pPr>
    </w:p>
    <w:p w14:paraId="3B4FEC2E" w14:textId="77777777" w:rsidR="00F723B6" w:rsidRDefault="00F723B6" w:rsidP="0084033F">
      <w:pPr>
        <w:jc w:val="center"/>
      </w:pPr>
    </w:p>
    <w:p w14:paraId="03A9E57D" w14:textId="77777777" w:rsidR="00F723B6" w:rsidRDefault="00F723B6" w:rsidP="00F723B6"/>
    <w:p w14:paraId="712FCDFB" w14:textId="77777777" w:rsidR="00CB6217" w:rsidRDefault="00CB6217" w:rsidP="00F723B6"/>
    <w:p w14:paraId="298B87CD" w14:textId="77777777" w:rsidR="00CB6217" w:rsidRDefault="00CB6217" w:rsidP="00F723B6"/>
    <w:p w14:paraId="4827C1E5" w14:textId="77777777" w:rsidR="00CB6217" w:rsidRDefault="00CB6217" w:rsidP="00F723B6"/>
    <w:p w14:paraId="1763D362" w14:textId="77777777" w:rsidR="00BB1836" w:rsidRPr="00BB1836" w:rsidRDefault="00BB1836" w:rsidP="00BB1836"/>
    <w:p w14:paraId="3DFFB58A" w14:textId="77777777" w:rsidR="00BB1836" w:rsidRPr="00BB1836" w:rsidRDefault="00BB1836" w:rsidP="00BB1836"/>
    <w:p w14:paraId="195F2271" w14:textId="71B90E35" w:rsidR="009D1A6D" w:rsidRDefault="00EC30EF" w:rsidP="009D1A6D">
      <w:pPr>
        <w:pStyle w:val="Heading2"/>
      </w:pPr>
      <w:bookmarkStart w:id="3" w:name="_Toc228577606"/>
      <w:r w:rsidRPr="00EC30EF">
        <w:t>Abstract</w:t>
      </w:r>
      <w:bookmarkEnd w:id="3"/>
      <w:r w:rsidRPr="00EC30EF">
        <w:t>    </w:t>
      </w:r>
    </w:p>
    <w:p w14:paraId="67251C37" w14:textId="77777777" w:rsidR="009D1A6D" w:rsidRPr="009D1A6D" w:rsidRDefault="009D1A6D" w:rsidP="009D1A6D"/>
    <w:p w14:paraId="598EF253" w14:textId="77777777" w:rsidR="00FD5545" w:rsidRPr="00FD5545" w:rsidRDefault="00FD5545" w:rsidP="00FD5545">
      <w:r w:rsidRPr="00FD5545">
        <w:t xml:space="preserve">Traditional portfolio management algorithms rely on static rules and fixed historical patterns. As a result, it makes them slow to adapt when market conditions shift dramatically. Recent LLM-based systems such as </w:t>
      </w:r>
      <w:proofErr w:type="spellStart"/>
      <w:r w:rsidRPr="00FD5545">
        <w:t>TradingAgents</w:t>
      </w:r>
      <w:proofErr w:type="spellEnd"/>
      <w:r w:rsidRPr="00FD5545">
        <w:t xml:space="preserve">, FINCON, and FLAG-TRADER have shown promise. However, this system remains static by its defined prompts and single-agent architectures that cannot self-correct based on real trading outcomes. This research addresses these limitations by proposing a fully autonomous seven-agent portfolio management framework. It combines dynamic prompt optimisation through the </w:t>
      </w:r>
      <w:proofErr w:type="spellStart"/>
      <w:r w:rsidRPr="00FD5545">
        <w:t>DSPy</w:t>
      </w:r>
      <w:proofErr w:type="spellEnd"/>
      <w:r w:rsidRPr="00FD5545">
        <w:t xml:space="preserve"> framework. It has a built-in feedback loop that continuously improves agent behaviour based on actual portfolio performance. The framework distributes financial analysis across seven specialised agents namely a Technical Analyst, Fundamental Analyst, Sentiment Analyst, Macro Analyst, Stock Picker, Risk Manager, and Orchestrator. Each of the agents is powered by Llama 3.1 8B and assigned a specific role in the investment decision-making process. A key innovation is the closed-loop optimisation mechanism that automatically applies prompt optimisation. When portfolio drawdown falls between 2% and 8%, it triggers Negative </w:t>
      </w:r>
      <w:proofErr w:type="spellStart"/>
      <w:r w:rsidRPr="00FD5545">
        <w:t>BootstrapFewShot</w:t>
      </w:r>
      <w:proofErr w:type="spellEnd"/>
      <w:r w:rsidRPr="00FD5545">
        <w:t xml:space="preserve">, and when it falls below 8%, it triggers Emergency MIPROv2 to fully rewrite agent prompts, allowing the system to self-correct without any human intervention. </w:t>
      </w:r>
      <w:proofErr w:type="spellStart"/>
      <w:r w:rsidRPr="00FD5545">
        <w:t>Backtesting</w:t>
      </w:r>
      <w:proofErr w:type="spellEnd"/>
      <w:r w:rsidRPr="00FD5545">
        <w:t xml:space="preserve"> across two phases of a six-year dataset from January 2015 to December 2020 showed strong and consistent performance. Framework delivered total returns of 84.76% with a Sharpe ratio of 1.52 in Phase 1 and 85.40% with a Sharpe ratio of 1.79 in Phase 3, which included the COVID-19 market crash. It outperforms the SPY buy-and-hold benchmark of approximately 38% and 27%, respectively. These findings suggest that combining specialised multi-agent collaboration with continuous prompt optimisation offers a promising direction for the future of autonomous portfolio management.</w:t>
      </w:r>
    </w:p>
    <w:p w14:paraId="05F3C615" w14:textId="77777777" w:rsidR="00434C73" w:rsidRDefault="00434C73" w:rsidP="00E3759E"/>
    <w:p w14:paraId="09D630DC" w14:textId="77777777" w:rsidR="00934643" w:rsidRDefault="00934643" w:rsidP="00E3759E"/>
    <w:p w14:paraId="1B82E6C3" w14:textId="77777777" w:rsidR="00934643" w:rsidRDefault="00934643" w:rsidP="00E3759E"/>
    <w:p w14:paraId="0A046632" w14:textId="77777777" w:rsidR="00934643" w:rsidRDefault="00934643" w:rsidP="00E3759E"/>
    <w:p w14:paraId="28DF189A" w14:textId="77777777" w:rsidR="00934643" w:rsidRDefault="00934643" w:rsidP="00E3759E"/>
    <w:p w14:paraId="00398258" w14:textId="77777777" w:rsidR="00934643" w:rsidRDefault="00934643" w:rsidP="00E3759E"/>
    <w:p w14:paraId="689DEF83" w14:textId="77777777" w:rsidR="00934643" w:rsidRDefault="00934643" w:rsidP="00E3759E"/>
    <w:p w14:paraId="6DC20580" w14:textId="77777777" w:rsidR="0043289B" w:rsidRDefault="0043289B" w:rsidP="00E3759E"/>
    <w:p w14:paraId="635466E5" w14:textId="77777777" w:rsidR="0043289B" w:rsidRDefault="0043289B" w:rsidP="00E3759E"/>
    <w:p w14:paraId="6307CF5C" w14:textId="77777777" w:rsidR="0043289B" w:rsidRDefault="0043289B" w:rsidP="00E3759E"/>
    <w:p w14:paraId="60CD58C6" w14:textId="77777777" w:rsidR="0043289B" w:rsidRDefault="0043289B" w:rsidP="00E3759E"/>
    <w:p w14:paraId="0EBD4706" w14:textId="77777777" w:rsidR="0043289B" w:rsidRDefault="0043289B" w:rsidP="00E3759E"/>
    <w:p w14:paraId="3D10AFFD" w14:textId="77777777" w:rsidR="0043289B" w:rsidRDefault="0043289B" w:rsidP="00E3759E"/>
    <w:p w14:paraId="584F0723" w14:textId="77777777" w:rsidR="0043289B" w:rsidRDefault="0043289B" w:rsidP="00E3759E"/>
    <w:p w14:paraId="6BE32B43" w14:textId="473E7F9E" w:rsidR="00BB1836" w:rsidRDefault="00EC30EF" w:rsidP="00263CE2">
      <w:pPr>
        <w:pStyle w:val="Heading2"/>
      </w:pPr>
      <w:bookmarkStart w:id="4" w:name="_Toc228577607"/>
      <w:r w:rsidRPr="00EC30EF">
        <w:t>1. Introduction</w:t>
      </w:r>
      <w:bookmarkEnd w:id="4"/>
      <w:r w:rsidRPr="00EC30EF">
        <w:t xml:space="preserve"> </w:t>
      </w:r>
    </w:p>
    <w:p w14:paraId="3BFBE4FD" w14:textId="77777777" w:rsidR="00263CE2" w:rsidRPr="00263CE2" w:rsidRDefault="00263CE2" w:rsidP="00263CE2"/>
    <w:p w14:paraId="40868B12" w14:textId="7201FC38" w:rsidR="00EC30EF" w:rsidRDefault="00EC30EF" w:rsidP="00BB1836">
      <w:pPr>
        <w:pStyle w:val="Heading3"/>
      </w:pPr>
      <w:bookmarkStart w:id="5" w:name="_Toc228577608"/>
      <w:r w:rsidRPr="00EC30EF">
        <w:t xml:space="preserve">1.1 </w:t>
      </w:r>
      <w:r w:rsidR="00BB1836">
        <w:t>Background</w:t>
      </w:r>
      <w:bookmarkEnd w:id="5"/>
      <w:r w:rsidR="00BB1836">
        <w:t xml:space="preserve"> </w:t>
      </w:r>
    </w:p>
    <w:p w14:paraId="478238C1" w14:textId="77777777" w:rsidR="009D5AB1" w:rsidRPr="009D5AB1" w:rsidRDefault="009D5AB1" w:rsidP="009D5AB1"/>
    <w:p w14:paraId="2F30B9EB" w14:textId="77777777" w:rsidR="00BC5C26" w:rsidRDefault="00252D1B" w:rsidP="00AB3DBF">
      <w:pPr>
        <w:jc w:val="both"/>
      </w:pPr>
      <w:r w:rsidRPr="00252D1B">
        <w:t>The financial industry has changed a lot over the past few years due to advances in AI. Portfolio management involves deciding how to distribute investments across different assets</w:t>
      </w:r>
      <w:r w:rsidR="00BC5C26">
        <w:t>. It is difficult to get good</w:t>
      </w:r>
      <w:r w:rsidRPr="00252D1B">
        <w:t xml:space="preserve"> returns while maintaining low risk. </w:t>
      </w:r>
    </w:p>
    <w:p w14:paraId="229E2F3D" w14:textId="77777777" w:rsidR="00CB4B32" w:rsidRDefault="00252D1B" w:rsidP="00AB3DBF">
      <w:pPr>
        <w:jc w:val="both"/>
      </w:pPr>
      <w:r w:rsidRPr="00252D1B">
        <w:t xml:space="preserve">Traditionally, it has been mainly dependent on human experts and computer systems that follow a set of rules. However, financial markets have become more complex and unpredictable, showing that these old methods have many weaknesses, like not being able to consider the sudden change in market sentiments, breaking news events, geopolitical tensions, and economic shifts, which can dramatically affect stock prices within minutes. Because of that, we need to create a need for smarter solutions. </w:t>
      </w:r>
      <w:r w:rsidR="00CB4B32">
        <w:t xml:space="preserve">Most of </w:t>
      </w:r>
      <w:r w:rsidRPr="00252D1B">
        <w:t>trading systems work by following fixed rules based on past data and technical signals</w:t>
      </w:r>
      <w:r w:rsidR="00CB4B32">
        <w:t>. W</w:t>
      </w:r>
      <w:r w:rsidRPr="00252D1B">
        <w:t xml:space="preserve">hile they can make trades faster than humans, they often fail to cope with unexpected market behaviour due to lots of macro conditions that we have discussed earlier. </w:t>
      </w:r>
    </w:p>
    <w:p w14:paraId="02CE67CC" w14:textId="77777777" w:rsidR="00CB4B32" w:rsidRDefault="00252D1B" w:rsidP="00AB3DBF">
      <w:pPr>
        <w:jc w:val="both"/>
      </w:pPr>
      <w:r w:rsidRPr="00252D1B">
        <w:t>Early artificial intelligence systems in finance tried to solve these issues by using machine learning to predict stock prices or spot trading opportunities</w:t>
      </w:r>
      <w:r w:rsidR="00CB4B32">
        <w:t>. T</w:t>
      </w:r>
      <w:r w:rsidRPr="00252D1B">
        <w:t>hese systems were mostly fixed in nature, needing manual updates when they stopped working well</w:t>
      </w:r>
      <w:r w:rsidR="00CB4B32">
        <w:t>.</w:t>
      </w:r>
      <w:r w:rsidRPr="00252D1B">
        <w:t xml:space="preserve"> </w:t>
      </w:r>
      <w:r w:rsidR="00CB4B32">
        <w:t>T</w:t>
      </w:r>
      <w:r w:rsidRPr="00252D1B">
        <w:t>hey could not learn from their own mistakes in real time. It’s been a long time since the arrival of Large Language Models (LLMs) such as GPT-4, Llama, Mistral, and Claude, which have shown how good they are at understanding context, thinking through difficult problems, and producing human-like responses. Due to those reasons, they make them suitable for financial tasks that require heavy reading and understanding different types of information like news articles, company reports, social media posts, and economic data.</w:t>
      </w:r>
    </w:p>
    <w:p w14:paraId="536750DC" w14:textId="77777777" w:rsidR="00CB4B32" w:rsidRDefault="00252D1B" w:rsidP="00AB3DBF">
      <w:pPr>
        <w:jc w:val="both"/>
      </w:pPr>
      <w:r w:rsidRPr="00252D1B">
        <w:t xml:space="preserve"> At the same time, multi-agent systems (MAS) have become so popular in the AI industry, in which several independent agents work together to solve complex problems, with each agent assigned to one specific task so the whole system can handle complex challenges better than a single model working alone. In portfolio management, different agents can handle technical analysis, fundamental analysis, sentiment analysis, risk assessment, and trade execution, much like how professional investment teams divide their work among specialists. </w:t>
      </w:r>
    </w:p>
    <w:p w14:paraId="70BD0D40" w14:textId="4370A499" w:rsidR="00E10152" w:rsidRDefault="00252D1B" w:rsidP="00AB3DBF">
      <w:pPr>
        <w:jc w:val="both"/>
      </w:pPr>
      <w:r w:rsidRPr="00252D1B">
        <w:t>Bringing together LLMs and multi-agent systems offers a promising way to fix the problems with traditional portfolio management, and by combining the thinking abilities of modern language models with the teamwork structure of multi-agent systems, it becomes possible to build investment systems that are more flexible, clever, and reliable. The best suitable example that describes how agentic AI helped JPMorgan Chase in a fraud detection system that prevented nearly 1.5 billion dollars in losses and achieved a 50% reduction in FP (false positive) with a 30% increase in actual fraud detection rates</w:t>
      </w:r>
      <w:r w:rsidR="00A07274">
        <w:t xml:space="preserve"> </w:t>
      </w:r>
      <w:r w:rsidR="00434C73">
        <w:fldChar w:fldCharType="begin"/>
      </w:r>
      <w:r w:rsidR="00434C73">
        <w:instrText xml:space="preserve"> ADDIN ZOTERO_ITEM CSL_CITATION {"citationID":"VMgIoXyX","properties":{"formattedCitation":"[1]","plainCitation":"[1]","noteIndex":0},"citationItems":[{"id":433,"uris":["http://zotero.org/users/17573427/items/UZKF99RD"],"itemData":{"id":433,"type":"webpage","abstract":"In the first part of this perspective, I talked about the importance of a robust Governance, Risk and Compliance (GRC) strategy, and cited a number of compelling drivers behind adopting technological solutions to solve the challenges. In this one, the second in a series of three, we’ll take a deeper dive at one such technology","language":"en-US","title":"(Part 2): AI-powered GRC in Banking and Financial Services - Hitachi Digital Services","title-short":"(Part 2)","URL":"https://www.hitachids.com/insight/ai-powered-grc-in-banking-and-financial-services/","author":[{"family":"mehta","given":"shamik"}],"accessed":{"date-parts":[["2026",4,22]]},"issued":{"date-parts":[["2024",6,12]]}}}],"schema":"https://github.com/citation-style-language/schema/raw/master/csl-citation.json"} </w:instrText>
      </w:r>
      <w:r w:rsidR="00434C73">
        <w:fldChar w:fldCharType="separate"/>
      </w:r>
      <w:r w:rsidR="00434C73" w:rsidRPr="00434C73">
        <w:rPr>
          <w:rFonts w:ascii="Aptos" w:hAnsi="Aptos"/>
        </w:rPr>
        <w:t>[1]</w:t>
      </w:r>
      <w:r w:rsidR="00434C73">
        <w:fldChar w:fldCharType="end"/>
      </w:r>
      <w:r w:rsidRPr="00252D1B">
        <w:t>. </w:t>
      </w:r>
    </w:p>
    <w:p w14:paraId="3F71129F" w14:textId="77777777" w:rsidR="00E10152" w:rsidRPr="00BB1836" w:rsidRDefault="00E10152" w:rsidP="00BB1836"/>
    <w:p w14:paraId="0491F5BA" w14:textId="7D30A62C" w:rsidR="00EC30EF" w:rsidRDefault="00EC30EF" w:rsidP="00BB1836">
      <w:pPr>
        <w:pStyle w:val="Heading3"/>
      </w:pPr>
      <w:bookmarkStart w:id="6" w:name="_Toc228577609"/>
      <w:r w:rsidRPr="00EC30EF">
        <w:lastRenderedPageBreak/>
        <w:t xml:space="preserve">1.2 </w:t>
      </w:r>
      <w:r w:rsidR="00BB1836">
        <w:t>Problem Statement</w:t>
      </w:r>
      <w:bookmarkEnd w:id="6"/>
      <w:r w:rsidR="00BB1836">
        <w:t xml:space="preserve"> </w:t>
      </w:r>
    </w:p>
    <w:p w14:paraId="53914B68" w14:textId="2EEB3BC4" w:rsidR="00BA4836" w:rsidRDefault="00BA4836" w:rsidP="00252D1B"/>
    <w:p w14:paraId="363E19C6" w14:textId="77777777" w:rsidR="00252D1B" w:rsidRPr="00252D1B" w:rsidRDefault="00252D1B" w:rsidP="00AB3DBF">
      <w:pPr>
        <w:jc w:val="both"/>
      </w:pPr>
      <w:r w:rsidRPr="00252D1B">
        <w:t>Significant progress has been made in algorithmic trading and artificial intelligence; many existing portfolio management systems have lots of limitations, which prevent them from performing at their highest potential in dynamic markets. Most of the old-school trading systems often rely on a fixed set of parameters that need to be combined with historical patterns, which makes them so rigid and slow that they are not able to quickly respond when market conditions change due to unexpected events such as economic announcements, geopolitical tensions, or sudden changes in investor sentiment. These types of systems often require a lot of manual intervention and retraining to remain effective in the market, resulting in delays that can result in missed opportunities or financial losses. Early AI applications in finance, while more sophisticated than rule-based approaches, still suffer from weaknesses, as most existing systems use single-model architectures that attempt to handle all aspects of financial analysis within one framework, limiting their ability to process diverse information sources simultaneously, such as technical indicators, company fundamentals, news sentiment, and macroeconomic data.</w:t>
      </w:r>
    </w:p>
    <w:p w14:paraId="076F8C89" w14:textId="77777777" w:rsidR="00252D1B" w:rsidRPr="00252D1B" w:rsidRDefault="00252D1B" w:rsidP="00AB3DBF">
      <w:pPr>
        <w:jc w:val="both"/>
      </w:pPr>
      <w:r w:rsidRPr="00252D1B">
        <w:t>Right now, multi-agent frameworks in finance have already begun to solve some of these issues by distributing tasks among specialised agents; however, most existing implementations do not include dynamic prompt optimisation or a feedback loop, which helps the system to evolve based on performance outcomes. This research shows a significant opportunity for improvement, as a system capable of continuously updating its consciousness (aka system prompt) based on past results could adapt more effectively to changing market conditions and improve decision-making accuracy over time. Without such self-correcting mechanisms, even advanced AI systems remain static and gradually become outdated in the market as dynamics evolve, ultimately failing to deliver consistent risk-adjusted returns over periods.</w:t>
      </w:r>
    </w:p>
    <w:p w14:paraId="020F403C" w14:textId="77777777" w:rsidR="00BB1836" w:rsidRPr="00BB1836" w:rsidRDefault="00BB1836" w:rsidP="00BB1836"/>
    <w:p w14:paraId="6E8C9F48" w14:textId="6AA8CAFE" w:rsidR="00EC30EF" w:rsidRDefault="00EC30EF" w:rsidP="00BB1836">
      <w:pPr>
        <w:pStyle w:val="Heading3"/>
      </w:pPr>
      <w:bookmarkStart w:id="7" w:name="_Toc228577610"/>
      <w:r w:rsidRPr="00EC30EF">
        <w:t xml:space="preserve">1.3 </w:t>
      </w:r>
      <w:r w:rsidR="00BB1836" w:rsidRPr="00BB1836">
        <w:t>Research Aims &amp; Objectives</w:t>
      </w:r>
      <w:bookmarkEnd w:id="7"/>
    </w:p>
    <w:p w14:paraId="34E65E47" w14:textId="77777777" w:rsidR="00BB1836" w:rsidRDefault="00BB1836" w:rsidP="00BB1836"/>
    <w:p w14:paraId="3FA1CF75" w14:textId="77777777" w:rsidR="00BA4836" w:rsidRPr="00BA4836" w:rsidRDefault="00BA4836" w:rsidP="00AB3DBF">
      <w:pPr>
        <w:jc w:val="both"/>
      </w:pPr>
      <w:r w:rsidRPr="00BA4836">
        <w:t>The main aim of this research is to develop and evaluate a fully autonomous system that uses a multi-agent framework to manage an investment portfolio. This multi-agent is powered by Large Language Models and is designed in such a way that it optimises its prompt based on market conditions, learning from feedback loops to improve decision-making accuracy and risk-adjusted returns in changing market conditions.</w:t>
      </w:r>
    </w:p>
    <w:p w14:paraId="3DA09DBC" w14:textId="0BA1CAE2" w:rsidR="00BA4836" w:rsidRPr="00BA4836" w:rsidRDefault="00BA4836" w:rsidP="00AB3DBF">
      <w:pPr>
        <w:pStyle w:val="ListParagraph"/>
        <w:numPr>
          <w:ilvl w:val="0"/>
          <w:numId w:val="6"/>
        </w:numPr>
        <w:jc w:val="both"/>
      </w:pPr>
      <w:r w:rsidRPr="00BA4836">
        <w:t xml:space="preserve">To critically review existing literature on artificial intelligence systems in portfolio management, including traditional algorithmic trading, single-agent AI systems, and multi-agent frameworks. </w:t>
      </w:r>
    </w:p>
    <w:p w14:paraId="55D01428" w14:textId="3C94AB55" w:rsidR="00BA4836" w:rsidRPr="00BA4836" w:rsidRDefault="00BA4836" w:rsidP="00AB3DBF">
      <w:pPr>
        <w:pStyle w:val="ListParagraph"/>
        <w:numPr>
          <w:ilvl w:val="0"/>
          <w:numId w:val="6"/>
        </w:numPr>
        <w:jc w:val="both"/>
      </w:pPr>
      <w:r w:rsidRPr="00BA4836">
        <w:t xml:space="preserve">To design a multi-agent architecture </w:t>
      </w:r>
      <w:r w:rsidR="00252D1B">
        <w:t xml:space="preserve">that </w:t>
      </w:r>
      <w:r w:rsidRPr="00BA4836">
        <w:t>consist of seven specialised agents (Technical Analyst, Fundamental Analyst, Sentiment Analyst, Macro Analyst, Risk Manager, Stock Picker, Orchestration agent (manager agent)), each are working together on a wide range of financial data.</w:t>
      </w:r>
    </w:p>
    <w:p w14:paraId="2AA21AB9" w14:textId="232E336A" w:rsidR="00BA4836" w:rsidRPr="00BA4836" w:rsidRDefault="00BA4836" w:rsidP="00AB3DBF">
      <w:pPr>
        <w:pStyle w:val="ListParagraph"/>
        <w:numPr>
          <w:ilvl w:val="0"/>
          <w:numId w:val="6"/>
        </w:numPr>
        <w:jc w:val="both"/>
      </w:pPr>
      <w:r w:rsidRPr="00BA4836">
        <w:t xml:space="preserve">To implement a closed-loop feedback mechanism that helps agents to continuously optimise their prompts based on past performance outcomes, which helps the system to learn from past decisions and self-correct. </w:t>
      </w:r>
    </w:p>
    <w:p w14:paraId="27E7FD08" w14:textId="348A2278" w:rsidR="00BA4836" w:rsidRDefault="00BA4836" w:rsidP="00AB3DBF">
      <w:pPr>
        <w:pStyle w:val="ListParagraph"/>
        <w:numPr>
          <w:ilvl w:val="0"/>
          <w:numId w:val="6"/>
        </w:numPr>
        <w:jc w:val="both"/>
      </w:pPr>
      <w:r w:rsidRPr="00BA4836">
        <w:lastRenderedPageBreak/>
        <w:t>To evaluate the framework's performance through back-testing against a composite benchmark weighted across five metrics: Sharpe ratio (30%), returns (25%), turnover penalty (20%), drawdown penalty (15%), and accuracy (10%). </w:t>
      </w:r>
    </w:p>
    <w:p w14:paraId="4AA2E86D" w14:textId="77777777" w:rsidR="0005136F" w:rsidRDefault="0005136F" w:rsidP="0005136F">
      <w:pPr>
        <w:pStyle w:val="ListParagraph"/>
        <w:ind w:left="770"/>
      </w:pPr>
    </w:p>
    <w:p w14:paraId="5DB3C70B" w14:textId="77777777" w:rsidR="00AB3DBF" w:rsidRPr="00BA4836" w:rsidRDefault="00AB3DBF" w:rsidP="0005136F">
      <w:pPr>
        <w:pStyle w:val="ListParagraph"/>
        <w:ind w:left="770"/>
      </w:pPr>
    </w:p>
    <w:p w14:paraId="71AC3A60" w14:textId="2409AE4D" w:rsidR="00BB1836" w:rsidRDefault="00BB1836" w:rsidP="00AB3DBF">
      <w:pPr>
        <w:pStyle w:val="Heading3"/>
        <w:jc w:val="both"/>
      </w:pPr>
      <w:bookmarkStart w:id="8" w:name="_Toc228577611"/>
      <w:r>
        <w:t>1.4 Research Question</w:t>
      </w:r>
      <w:bookmarkEnd w:id="8"/>
      <w:r>
        <w:t xml:space="preserve">  </w:t>
      </w:r>
    </w:p>
    <w:p w14:paraId="5B4F4459" w14:textId="77777777" w:rsidR="00BB1836" w:rsidRDefault="00BB1836" w:rsidP="00AB3DBF">
      <w:pPr>
        <w:jc w:val="both"/>
      </w:pPr>
    </w:p>
    <w:p w14:paraId="1BF1CFE3" w14:textId="77777777" w:rsidR="00252D1B" w:rsidRPr="00252D1B" w:rsidRDefault="00252D1B" w:rsidP="00AB3DBF">
      <w:pPr>
        <w:jc w:val="both"/>
      </w:pPr>
      <w:r w:rsidRPr="00252D1B">
        <w:t>The main question for this research is “How can a multi-agent system with dynamic prompt optimisation and feedback loops improve automated portfolio management compared to static AI configurations?”</w:t>
      </w:r>
    </w:p>
    <w:p w14:paraId="26C0E998" w14:textId="77777777" w:rsidR="00252D1B" w:rsidRPr="00252D1B" w:rsidRDefault="00252D1B" w:rsidP="00AB3DBF">
      <w:pPr>
        <w:jc w:val="both"/>
      </w:pPr>
      <w:r w:rsidRPr="00252D1B">
        <w:t>Secondary questions are below: </w:t>
      </w:r>
    </w:p>
    <w:p w14:paraId="51CE338D" w14:textId="77777777" w:rsidR="00252D1B" w:rsidRPr="00252D1B" w:rsidRDefault="00252D1B" w:rsidP="00AB3DBF">
      <w:pPr>
        <w:numPr>
          <w:ilvl w:val="0"/>
          <w:numId w:val="9"/>
        </w:numPr>
        <w:jc w:val="both"/>
      </w:pPr>
      <w:r w:rsidRPr="00252D1B">
        <w:t>How effective can it be for specialising LLM-powered agents working together to process various financial data sources, including technical indicators, company fundamentals, news sentiment, and macroeconomic variables? </w:t>
      </w:r>
    </w:p>
    <w:p w14:paraId="6E9C7F10" w14:textId="77777777" w:rsidR="00252D1B" w:rsidRPr="00252D1B" w:rsidRDefault="00252D1B" w:rsidP="00AB3DBF">
      <w:pPr>
        <w:numPr>
          <w:ilvl w:val="0"/>
          <w:numId w:val="9"/>
        </w:numPr>
        <w:jc w:val="both"/>
      </w:pPr>
      <w:r w:rsidRPr="00252D1B">
        <w:t>To what extent does dynamic prompt optimisation based on historical performance outcomes improve agent decision-making accuracy over time, or how does it behave overall with this prompt optimisation? </w:t>
      </w:r>
    </w:p>
    <w:p w14:paraId="04C376A9" w14:textId="77777777" w:rsidR="00252D1B" w:rsidRPr="00252D1B" w:rsidRDefault="00252D1B" w:rsidP="00AB3DBF">
      <w:pPr>
        <w:numPr>
          <w:ilvl w:val="0"/>
          <w:numId w:val="9"/>
        </w:numPr>
        <w:jc w:val="both"/>
      </w:pPr>
      <w:r w:rsidRPr="00252D1B">
        <w:t>How does the closed-loop feedback mechanism help the multi-agent system to change its strategy to the changing market conditions? </w:t>
      </w:r>
    </w:p>
    <w:p w14:paraId="59ABEFF5" w14:textId="77777777" w:rsidR="00252D1B" w:rsidRPr="00252D1B" w:rsidRDefault="00252D1B" w:rsidP="00AB3DBF">
      <w:pPr>
        <w:numPr>
          <w:ilvl w:val="0"/>
          <w:numId w:val="9"/>
        </w:numPr>
        <w:jc w:val="both"/>
      </w:pPr>
      <w:r w:rsidRPr="00252D1B">
        <w:t>What impact does the newly proposed framework have on risk-adjusted returns, specifically measured through the Sharpe ratio and maximum drawdown, compared to traditional trading strategies? </w:t>
      </w:r>
    </w:p>
    <w:p w14:paraId="34217D8B" w14:textId="77777777" w:rsidR="00252D1B" w:rsidRDefault="00252D1B" w:rsidP="00AB3DBF">
      <w:pPr>
        <w:numPr>
          <w:ilvl w:val="0"/>
          <w:numId w:val="9"/>
        </w:numPr>
        <w:jc w:val="both"/>
      </w:pPr>
      <w:r w:rsidRPr="00252D1B">
        <w:t>How does the division of tasks among specialised agents (Technical Analyst, Fundamental Analyst, Sentiment Analyst, Macro Analyst, Risk Manager, and Stock Picker) contribute to overall portfolio performance?</w:t>
      </w:r>
    </w:p>
    <w:p w14:paraId="7B912D43" w14:textId="77777777" w:rsidR="000C4227" w:rsidRDefault="000C4227" w:rsidP="000C4227"/>
    <w:p w14:paraId="211E00AE" w14:textId="1419D5A0" w:rsidR="000C4227" w:rsidRDefault="000C4227" w:rsidP="00EE71B4">
      <w:pPr>
        <w:pStyle w:val="Heading3"/>
      </w:pPr>
      <w:bookmarkStart w:id="9" w:name="_Toc228577612"/>
      <w:r>
        <w:t>1.6 Scope of Research</w:t>
      </w:r>
      <w:bookmarkEnd w:id="9"/>
      <w:r>
        <w:t xml:space="preserve"> </w:t>
      </w:r>
      <w:r w:rsidR="00EE71B4">
        <w:t xml:space="preserve">   </w:t>
      </w:r>
    </w:p>
    <w:p w14:paraId="32C72C6A" w14:textId="77777777" w:rsidR="00EE71B4" w:rsidRDefault="00EE71B4" w:rsidP="00EE71B4"/>
    <w:p w14:paraId="58480BEA" w14:textId="034836B9" w:rsidR="00C33A0F" w:rsidRPr="00C33A0F" w:rsidRDefault="00C33A0F" w:rsidP="00AB3DBF">
      <w:pPr>
        <w:jc w:val="both"/>
      </w:pPr>
      <w:r w:rsidRPr="00C33A0F">
        <w:t xml:space="preserve">This research </w:t>
      </w:r>
      <w:r w:rsidR="002D31F1">
        <w:t xml:space="preserve">only </w:t>
      </w:r>
      <w:r w:rsidRPr="00C33A0F">
        <w:t xml:space="preserve">focuses on the design, development, and </w:t>
      </w:r>
      <w:proofErr w:type="spellStart"/>
      <w:r w:rsidRPr="00C33A0F">
        <w:t>backtesting</w:t>
      </w:r>
      <w:proofErr w:type="spellEnd"/>
      <w:r w:rsidRPr="00C33A0F">
        <w:t xml:space="preserve"> evaluation of a fully autonomous multi-agent portfolio management framework using Large Language Models. The scope of the project is limited to the following:</w:t>
      </w:r>
    </w:p>
    <w:p w14:paraId="5EFDE679" w14:textId="1BA0FF42" w:rsidR="00C33A0F" w:rsidRPr="00C33A0F" w:rsidRDefault="00C33A0F" w:rsidP="00AB3DBF">
      <w:pPr>
        <w:jc w:val="both"/>
      </w:pPr>
      <w:r w:rsidRPr="00C33A0F">
        <w:t xml:space="preserve">The framework is evaluated </w:t>
      </w:r>
      <w:r w:rsidR="002D31F1">
        <w:t xml:space="preserve">only </w:t>
      </w:r>
      <w:r w:rsidRPr="00C33A0F">
        <w:t xml:space="preserve">through </w:t>
      </w:r>
      <w:proofErr w:type="spellStart"/>
      <w:r w:rsidRPr="00C33A0F">
        <w:t>backtesting</w:t>
      </w:r>
      <w:proofErr w:type="spellEnd"/>
      <w:r w:rsidRPr="00C33A0F">
        <w:t xml:space="preserve"> on historical data </w:t>
      </w:r>
      <w:r w:rsidR="002D31F1">
        <w:t xml:space="preserve">from </w:t>
      </w:r>
      <w:r w:rsidRPr="00C33A0F">
        <w:t xml:space="preserve">January 2015 to December 2020, covering 13 securities across two evaluation phases. The research does not </w:t>
      </w:r>
      <w:r w:rsidR="002D31F1">
        <w:t xml:space="preserve">include </w:t>
      </w:r>
      <w:r w:rsidRPr="00C33A0F">
        <w:t>live trading or real money deployment at any stage. The universe of securities is limited to 11 US-listed equities and two broad-market ETFs, and the framework is not evaluated on other asset classes such as bonds, commodities, or cryptocurrencies.</w:t>
      </w:r>
    </w:p>
    <w:p w14:paraId="4D7FA153" w14:textId="77777777" w:rsidR="00C33A0F" w:rsidRPr="00C33A0F" w:rsidRDefault="00C33A0F" w:rsidP="00AB3DBF">
      <w:pPr>
        <w:jc w:val="both"/>
      </w:pPr>
      <w:r w:rsidRPr="00C33A0F">
        <w:t xml:space="preserve">The language model used throughout the research is Llama 3.1 8B served via the </w:t>
      </w:r>
      <w:proofErr w:type="spellStart"/>
      <w:r w:rsidRPr="00C33A0F">
        <w:t>Groq</w:t>
      </w:r>
      <w:proofErr w:type="spellEnd"/>
      <w:r w:rsidRPr="00C33A0F">
        <w:t xml:space="preserve"> API, and no comparison against other language models of different sizes or providers is conducted within the scope of this study. The prompt optimisation mechanism is implemented using the </w:t>
      </w:r>
      <w:proofErr w:type="spellStart"/>
      <w:r w:rsidRPr="00C33A0F">
        <w:t>DSPy</w:t>
      </w:r>
      <w:proofErr w:type="spellEnd"/>
      <w:r w:rsidRPr="00C33A0F">
        <w:t xml:space="preserve"> </w:t>
      </w:r>
      <w:r w:rsidRPr="00C33A0F">
        <w:lastRenderedPageBreak/>
        <w:t xml:space="preserve">framework with Negative </w:t>
      </w:r>
      <w:proofErr w:type="spellStart"/>
      <w:r w:rsidRPr="00C33A0F">
        <w:t>BootstrapFewShot</w:t>
      </w:r>
      <w:proofErr w:type="spellEnd"/>
      <w:r w:rsidRPr="00C33A0F">
        <w:t xml:space="preserve"> and MIPROv2 as the two optimisation methods, and no alternative optimisation frameworks are explored.</w:t>
      </w:r>
    </w:p>
    <w:p w14:paraId="1F59CB17" w14:textId="30176764" w:rsidR="00BB1836" w:rsidRDefault="00C33A0F" w:rsidP="00AB3DBF">
      <w:pPr>
        <w:jc w:val="both"/>
      </w:pPr>
      <w:r w:rsidRPr="00C33A0F">
        <w:t xml:space="preserve">The performance evaluation is based on a composite reward function </w:t>
      </w:r>
      <w:r w:rsidR="002D31F1">
        <w:t xml:space="preserve">containing five metrics: </w:t>
      </w:r>
      <w:r w:rsidRPr="00C33A0F">
        <w:t>Sharpe ratio, total returns, turnover, drawdown, and signal accuracy and the framework is benchmarked against the SPY buy-and-hold passive strategy only. Formal comparison against multiple alternative baseline strategies falls outside the scope of this research and is identified as future work.</w:t>
      </w:r>
    </w:p>
    <w:p w14:paraId="0F35A9A3" w14:textId="77777777" w:rsidR="00C33A0F" w:rsidRPr="00BB1836" w:rsidRDefault="00C33A0F" w:rsidP="00BB1836"/>
    <w:p w14:paraId="5211F188" w14:textId="7BD300DE" w:rsidR="00BB1836" w:rsidRDefault="00BB1836" w:rsidP="00BB1836">
      <w:pPr>
        <w:pStyle w:val="Heading3"/>
      </w:pPr>
      <w:bookmarkStart w:id="10" w:name="_Toc228577613"/>
      <w:r>
        <w:t>1.</w:t>
      </w:r>
      <w:r w:rsidR="000C4227">
        <w:t>7</w:t>
      </w:r>
      <w:r>
        <w:t xml:space="preserve"> Proposed Solution</w:t>
      </w:r>
      <w:bookmarkEnd w:id="10"/>
      <w:r>
        <w:t xml:space="preserve">   </w:t>
      </w:r>
    </w:p>
    <w:p w14:paraId="056E89D1" w14:textId="77777777" w:rsidR="00BB1836" w:rsidRPr="00BB1836" w:rsidRDefault="00BB1836" w:rsidP="00BB1836"/>
    <w:p w14:paraId="187AC367" w14:textId="22EF3E7C" w:rsidR="00252D1B" w:rsidRPr="00252D1B" w:rsidRDefault="00252D1B" w:rsidP="00AB3DBF">
      <w:pPr>
        <w:jc w:val="both"/>
      </w:pPr>
      <w:r w:rsidRPr="00252D1B">
        <w:t>In contrast to traditional systems, which require constant human input and manual retraining to stay relevant, this framework is built to adapt on its own, responding to dynamic market conditions in real time. To solve this, research proposes a smart, self-autonomous multi-agent framework that makes a team of specialised agents using LLM (Large Language Model) and a built-in feedback mechanism that allows the system to learn and correct itself over time</w:t>
      </w:r>
      <w:r w:rsidR="00E013E7">
        <w:t xml:space="preserve"> </w:t>
      </w:r>
      <w:r w:rsidR="00E013E7">
        <w:fldChar w:fldCharType="begin"/>
      </w:r>
      <w:r w:rsidR="00E013E7">
        <w:instrText xml:space="preserve"> ADDIN ZOTERO_ITEM CSL_CITATION {"citationID":"2FfBQRsK","properties":{"formattedCitation":"[2]","plainCitation":"[2]","noteIndex":0},"citationItems":[{"id":462,"uris":["http://zotero.org/users/17573427/items/K7JEFGGB"],"itemData":{"id":462,"type":"article","abstract":"The dominant sequence transduction models are based on complex recurrent or convolutional neural networks that include an encoder and a decoder. The best performing models also connect the encoder and decoder through an attention mechanism. We propose a new simple network architecture, the Transformer, based solely on attention mechanisms, dispensing with recurrence and convolutions entirely. Experiments on two machine translation tasks show these models to be superior in quality while being more parallelizable and requiring significantly less time to train. Our model achieves 28.4 BLEU on the WMT 2014 Englishto-German translation task, improving over the existing best results, including ensembles, by over 2 BLEU. On the WMT 2014 English-to-French translation task, our model establishes a new single-model state-of-the-art BLEU score of 41.8 after training for 3.5 days on eight GPUs, a small fraction of the training costs of the best models from the literature. We show that the Transformer generalizes well to other tasks by applying it successfully to English constituency parsing both with large and limited training data.","DOI":"10.48550/arXiv.1706.03762","language":"en","note":"arXiv:1706.03762 [cs]","number":"arXiv:1706.03762","publisher":"arXiv","source":"arXiv.org","title":"Attention Is All You Need","URL":"http://arxiv.org/abs/1706.03762","author":[{"family":"Vaswani","given":"Ashish"},{"family":"Shazeer","given":"Noam"},{"family":"Parmar","given":"Niki"},{"family":"Uszkoreit","given":"Jakob"},{"family":"Jones","given":"Llion"},{"family":"Gomez","given":"Aidan N."},{"family":"Kaiser","given":"Lukasz"},{"family":"Polosukhin","given":"Illia"}],"accessed":{"date-parts":[["2026",4,23]]},"issued":{"date-parts":[["2023",8,2]]}}}],"schema":"https://github.com/citation-style-language/schema/raw/master/csl-citation.json"} </w:instrText>
      </w:r>
      <w:r w:rsidR="00E013E7">
        <w:fldChar w:fldCharType="separate"/>
      </w:r>
      <w:r w:rsidR="00E013E7" w:rsidRPr="00E013E7">
        <w:rPr>
          <w:rFonts w:ascii="Aptos" w:hAnsi="Aptos"/>
        </w:rPr>
        <w:t>[2]</w:t>
      </w:r>
      <w:r w:rsidR="00E013E7">
        <w:fldChar w:fldCharType="end"/>
      </w:r>
      <w:r w:rsidRPr="00252D1B">
        <w:t>. This framework has the capabilities of both shorting and buying, unlike other solutions, which are solely focused on buying and holding. The framework distributes financial analysis tasks among seven specialised agents, and each has been designed in such a way that they handle a specific section of investment decision-making. Technical Analyst agents go through technical indicators such as moving averages, relative strength index, and volume patterns to catch trading signals. Fundamental Analyst agent examines company fundamentals, including price-to-earnings ratio, revenue growth, profit margins, and other financial metrics to assess intrinsic value. The Sentiment Analyst agent analyses sentiment scores derived from news articles and social media platforms such as Reddit and X to get an understanding of market mood and investors’ behaviour. The Macro Analyst agent focuses on macroeconomic variables, including interest rates, inflation, GDP growth, and other country-level indicators that influence market movements.</w:t>
      </w:r>
    </w:p>
    <w:p w14:paraId="38A71252" w14:textId="0133D16C" w:rsidR="00252D1B" w:rsidRPr="00252D1B" w:rsidRDefault="00252D1B" w:rsidP="00AB3DBF">
      <w:pPr>
        <w:jc w:val="both"/>
      </w:pPr>
      <w:r w:rsidRPr="00252D1B">
        <w:t xml:space="preserve">Results from these four analytical agents are then passed down to two decision-making agents. The Stock Picker agent does analysis from all the signals from all other agents to select the most promising stocks. The Risk Manager agent checks portfolio exposure (like how much it is invested in stock), volatility, and potential downside risks to ensure that trading decisions remain within acceptable risk (determining appropriate stop-loss levels for each position). The framework uses two Large Language Models optimised for different tasks: Mistral </w:t>
      </w:r>
      <w:proofErr w:type="spellStart"/>
      <w:r w:rsidRPr="00252D1B">
        <w:t>Devstral</w:t>
      </w:r>
      <w:proofErr w:type="spellEnd"/>
      <w:r w:rsidRPr="00252D1B">
        <w:t xml:space="preserve"> 2 123B handles sentiment analysis due to its strong natural language understanding capabilities, while Llama 3.1 8B via </w:t>
      </w:r>
      <w:proofErr w:type="spellStart"/>
      <w:r w:rsidRPr="00252D1B">
        <w:t>Groq</w:t>
      </w:r>
      <w:proofErr w:type="spellEnd"/>
      <w:r w:rsidRPr="00252D1B">
        <w:t xml:space="preserve"> API call is for making agentic decision-making processes due to its speed and efficiency</w:t>
      </w:r>
      <w:r w:rsidR="00E013E7">
        <w:t xml:space="preserve"> </w:t>
      </w:r>
      <w:r w:rsidR="00E013E7">
        <w:fldChar w:fldCharType="begin"/>
      </w:r>
      <w:r w:rsidR="00E013E7">
        <w:instrText xml:space="preserve"> ADDIN ZOTERO_ITEM CSL_CITATION {"citationID":"gQ5S7u7U","properties":{"formattedCitation":"[3]","plainCitation":"[3]","noteIndex":0},"citationItems":[{"id":460,"uris":["http://zotero.org/users/17573427/items/3HQ3ZA8J"],"itemData":{"id":460,"type":"article","abstract":"Modern artificial intelligence (AI) systems are powered by foundation models. This paper presents a new set of foundation models, called Llama 3. It is a herd of language models that natively support multilinguality, coding, reasoning, and tool usage. Our largest model is a dense Transformer with 405B parameters and a context window of up to 128K tokens. This paper presents an extensive empirical evaluation of Llama 3. We find that Llama 3 delivers comparable quality to leading language models such as GPT-4 on a plethora of tasks. We publicly release Llama 3, including pre-trained and post-trained versions of the 405B parameter language model and our Llama Guard 3 model for input and output safety. The paper also presents the results of experiments in which we integrate image, video, and speech capabilities into Llama 3 via a compositional approach. We observe this approach performs competitively with the state-of-the-art on image, video, and speech recognition tasks. The resulting models are not yet being broadly released as they are still under development.","DOI":"10.48550/arXiv.2407.21783","language":"en","note":"arXiv:2407.21783 [cs]","number":"arXiv:2407.21783","publisher":"arXiv","source":"arXiv.org","title":"The Llama 3 Herd of Models","URL":"http://arxiv.org/abs/2407.21783","author":[{"family":"Grattafiori","given":"Aaron"},{"family":"Dubey","given":"Abhimanyu"},{"family":"Jauhri","given":"Abhinav"},{"family":"Pandey","given":"Abhinav"},{"family":"Kadian","given":"Abhishek"},{"family":"Al-Dahle","given":"Ahmad"},{"family":"Letman","given":"Aiesha"},{"family":"Mathur","given":"Akhil"},{"family":"Schelten","given":"Alan"},{"family":"Vaughan","given":"Alex"},{"family":"Yang","given":"Amy"},{"family":"Fan","given":"Angela"},{"family":"Goyal","given":"Anirudh"},{"family":"Hartshorn","given":"Anthony"},{"family":"Yang","given":"Aobo"},{"family":"Mitra","given":"Archi"},{"family":"Sravankumar","given":"Archie"},{"family":"Korenev","given":"Artem"},{"family":"Hinsvark","given":"Arthur"},{"family":"Rao","given":"Arun"},{"family":"Zhang","given":"Aston"},{"family":"Rodriguez","given":"Aurelien"},{"family":"Gregerson","given":"Austen"},{"family":"Spataru","given":"Ava"},{"family":"Roziere","given":"Baptiste"},{"family":"Biron","given":"Bethany"},{"family":"Tang","given":"Binh"},{"family":"Chern","given":"Bobbie"},{"family":"Caucheteux","given":"Charlotte"},{"family":"Nayak","given":"Chaya"},{"family":"Bi","given":"Chloe"},{"family":"Marra","given":"Chris"},{"family":"McConnell","given":"Chris"},{"family":"Keller","given":"Christian"},{"family":"Touret","given":"Christophe"},{"family":"Wu","given":"Chunyang"},{"family":"Wong","given":"Corinne"},{"family":"Ferrer","given":"Cristian Canton"},{"family":"Nikolaidis","given":"Cyrus"},{"family":"Allonsius","given":"Damien"},{"family":"Song","given":"Daniel"},{"family":"Pintz","given":"Danielle"},{"family":"Livshits","given":"Danny"},{"family":"Wyatt","given":"Danny"},{"family":"Esiobu","given":"David"},{"family":"Choudhary","given":"Dhruv"},{"family":"Mahajan","given":"Dhruv"},{"family":"Garcia-Olano","given":"Diego"},{"family":"Perino","given":"Diego"},{"family":"Hupkes","given":"Dieuwke"},{"family":"Lakomkin","given":"Egor"},{"family":"AlBadawy","given":"Ehab"},{"family":"Lobanova","given":"Elina"},{"family":"Dinan","given":"Emily"},{"family":"Smith","given":"Eric Michael"},{"family":"Radenovic","given":"Filip"},{"family":"Guzmán","given":"Francisco"},{"family":"Zhang","given":"Frank"},{"family":"Synnaeve","given":"Gabriel"},{"family":"Lee","given":"Gabrielle"},{"family":"Anderson","given":"Georgia Lewis"},{"family":"Thattai","given":"Govind"},{"family":"Nail","given":"Graeme"},{"family":"Mialon","given":"Gregoire"},{"family":"Pang","given":"Guan"},{"family":"Cucurell","given":"Guillem"},{"family":"Nguyen","given":"Hailey"},{"family":"Korevaar","given":"Hannah"},{"family":"Xu","given":"Hu"},{"family":"Touvron","given":"Hugo"},{"family":"Zarov","given":"Iliyan"},{"family":"Ibarra","given":"Imanol Arrieta"},{"family":"Kloumann","given":"Isabel"},{"family":"Misra","given":"Ishan"},{"family":"Evtimov","given":"Ivan"},{"family":"Zhang","given":"Jack"},{"family":"Copet","given":"Jade"},{"family":"Lee","given":"Jaewon"},{"family":"Geffert","given":"Jan"},{"family":"Vranes","given":"Jana"},{"family":"Park","given":"Jason"},{"family":"Mahadeokar","given":"Jay"},{"family":"Shah","given":"Jeet"},{"family":"Linde","given":"Jelmer","dropping-particle":"van der"},{"family":"Billock","given":"Jennifer"},{"family":"Hong","given":"Jenny"},{"family":"Lee","given":"Jenya"},{"family":"Fu","given":"Jeremy"},{"family":"Chi","given":"Jianfeng"},{"family":"Huang","given":"Jianyu"},{"family":"Liu","given":"Jiawen"},{"family":"Wang","given":"Jie"},{"family":"Yu","given":"Jiecao"},{"family":"Bitton","given":"Joanna"},{"family":"Spisak","given":"Joe"},{"family":"Park","given":"Jongsoo"},{"family":"Rocca","given":"Joseph"},{"family":"Johnstun","given":"Joshua"},{"family":"Saxe","given":"Joshua"},{"family":"Jia","given":"Junteng"},{"family":"Alwala","given":"Kalyan Vasuden"},{"family":"Prasad","given":"Karthik"},{"family":"Upasani","given":"Kartikeya"},{"family":"Plawiak","given":"Kate"},{"family":"Li","given":"Ke"},{"family":"Heafield","given":"Kenneth"},{"family":"Stone","given":"Kevin"},{"family":"El-Arini","given":"Khalid"},{"family":"Iyer","given":"Krithika"},{"family":"Malik","given":"Kshitiz"},{"family":"Chiu","given":"Kuenley"},{"family":"Bhalla","given":"Kunal"},{"family":"Lakhotia","given":"Kushal"},{"family":"Rantala-Yeary","given":"Lauren"},{"family":"Maaten","given":"Laurens","dropping-particle":"van der"},{"family":"Chen","given":"Lawrence"},{"family":"Tan","given":"Liang"},{"family":"Jenkins","given":"Liz"},{"family":"Martin","given":"Louis"},{"family":"Madaan","given":"Lovish"},{"family":"Malo","given":"Lubo"},{"family":"Blecher","given":"Lukas"},{"family":"Landzaat","given":"Lukas"},{"family":"Oliveira","given":"Luke","dropping-particle":"de"},{"family":"Muzzi","given":"Madeline"},{"family":"Pasupuleti","given":"Mahesh"},{"family":"Singh","given":"Mannat"},{"family":"Paluri","given":"Manohar"},{"family":"Kardas","given":"Marcin"},{"family":"Tsimpoukelli","given":"Maria"},{"family":"Oldham","given":"Mathew"},{"family":"Rita","given":"Mathieu"},{"family":"Pavlova","given":"Maya"},{"family":"Kambadur","given":"Melanie"},{"family":"Lewis","given":"Mike"},{"family":"Si","given":"Min"},{"family":"Singh","given":"Mitesh Kumar"},{"family":"Hassan","given":"Mona"},{"family":"Goyal","given":"Naman"},{"family":"Torabi","given":"Narjes"},{"family":"Bashlykov","given":"Nikolay"},{"family":"Bogoychev","given":"Nikolay"},{"family":"Chatterji","given":"Niladri"},{"family":"Zhang","given":"Ning"},{"family":"Duchenne","given":"Olivier"},{"family":"Çelebi","given":"Onur"},{"family":"Alrassy","given":"Patrick"},{"family":"Zhang","given":"Pengchuan"},{"family":"Li","given":"Pengwei"},{"family":"Vasic","given":"Petar"},{"family":"Weng","given":"Peter"},{"family":"Bhargava","given":"Prajjwal"},{"family":"Dubal","given":"Pratik"},{"family":"Krishnan","given":"Praveen"},{"family":"Koura","given":"Punit Singh"},{"family":"Xu","given":"Puxin"},{"family":"He","given":"Qing"},{"family":"Dong","given":"Qingxiao"},{"family":"Srinivasan","given":"Ragavan"},{"family":"Ganapathy","given":"Raj"},{"family":"Calderer","given":"Ramon"},{"family":"Cabral","given":"Ricardo Silveira"},{"family":"Stojnic","given":"Robert"},{"family":"Raileanu","given":"Roberta"},{"family":"Maheswari","given":"Rohan"},{"family":"Girdhar","given":"Rohit"},{"family":"Patel","given":"Rohit"},{"family":"Sauvestre","given":"Romain"},{"family":"Polidoro","given":"Ronnie"},{"family":"Sumbaly","given":"Roshan"},{"family":"Taylor","given":"Ross"},{"family":"Silva","given":"Ruan"},{"family":"Hou","given":"Rui"},{"family":"Wang","given":"Rui"},{"family":"Hosseini","given":"Saghar"},{"family":"Chennabasappa","given":"Sahana"},{"family":"Singh","given":"Sanjay"},{"family":"Bell","given":"Sean"},{"family":"Kim","given":"Seohyun Sonia"},{"family":"Edunov","given":"Sergey"},{"family":"Nie","given":"Shaoliang"},{"family":"Narang","given":"Sharan"},{"family":"Raparthy","given":"Sharath"},{"family":"Shen","given":"Sheng"},{"family":"Wan","given":"Shengye"},{"family":"Bhosale","given":"Shruti"},{"family":"Zhang","given":"Shun"},{"family":"Vandenhende","given":"Simon"},{"family":"Batra","given":"Soumya"},{"family":"Whitman","given":"Spencer"},{"family":"Sootla","given":"Sten"},{"family":"Collot","given":"Stephane"},{"family":"Gururangan","given":"Suchin"},{"family":"Borodinsky","given":"Sydney"},{"family":"Herman","given":"Tamar"},{"family":"Fowler","given":"Tara"},{"family":"Sheasha","given":"Tarek"},{"family":"Georgiou","given":"Thomas"},{"family":"Scialom","given":"Thomas"},{"family":"Speckbacher","given":"Tobias"},{"family":"Mihaylov","given":"Todor"},{"family":"Xiao","given":"Tong"},{"family":"Karn","given":"Ujjwal"},{"family":"Goswami","given":"Vedanuj"},{"family":"Gupta","given":"Vibhor"},{"family":"Ramanathan","given":"Vignesh"},{"family":"Kerkez","given":"Viktor"},{"family":"Gonguet","given":"Vincent"},{"family":"Do","given":"Virginie"},{"family":"Vogeti","given":"Vish"},{"family":"Albiero","given":"Vítor"},{"family":"Petrovic","given":"Vladan"},{"family":"Chu","given":"Weiwei"},{"family":"Xiong","given":"Wenhan"},{"family":"Fu","given":"Wenyin"},{"family":"Meers","given":"Whitney"},{"family":"Martinet","given":"Xavier"},{"family":"Wang","given":"Xiaodong"},{"family":"Wang","given":"Xiaofang"},{"family":"Tan","given":"Xiaoqing Ellen"},{"family":"Xia","given":"Xide"},{"family":"Xie","given":"Xinfeng"},{"family":"Jia","given":"Xuchao"},{"family":"Wang","given":"Xuewei"},{"family":"Goldschlag","given":"Yaelle"},{"family":"Gaur","given":"Yashesh"},{"family":"Babaei","given":"Yasmine"},{"family":"Wen","given":"Yi"},{"family":"Song","given":"Yiwen"},{"family":"Zhang","given":"Yuchen"},{"family":"Li","given":"Yue"},{"family":"Mao","given":"Yuning"},{"family":"Coudert","given":"Zacharie Delpierre"},{"family":"Yan","given":"Zheng"},{"family":"Chen","given":"Zhengxing"},{"family":"Papakipos","given":"Zoe"},{"family":"Singh","given":"Aaditya"},{"family":"Srivastava","given":"Aayushi"},{"family":"Jain","given":"Abha"},{"family":"Kelsey","given":"Adam"},{"family":"Shajnfeld","given":"Adam"},{"family":"Gangidi","given":"Adithya"},{"family":"Victoria","given":"Adolfo"},{"family":"Goldstand","given":"Ahuva"},{"family":"Menon","given":"Ajay"},{"family":"Sharma","given":"Ajay"},{"family":"Boesenberg","given":"Alex"},{"family":"Baevski","given":"Alexei"},{"family":"Feinstein","given":"Allie"},{"family":"Kallet","given":"Amanda"},{"family":"Sangani","given":"Amit"},{"family":"Teo","given":"Amos"},{"family":"Yunus","given":"Anam"},{"family":"Lupu","given":"Andrei"},{"family":"Alvarado","given":"Andres"},{"family":"Caples","given":"Andrew"},{"family":"Gu","given":"Andrew"},{"family":"Ho","given":"Andrew"},{"family":"Poulton","given":"Andrew"},{"family":"Ryan","given":"Andrew"},{"family":"Ramchandani","given":"Ankit"},{"family":"Dong","given":"Annie"},{"family":"Franco","given":"Annie"},{"family":"Goyal","given":"Anuj"},{"family":"Saraf","given":"Aparajita"},{"family":"Chowdhury","given":"Arkabandhu"},{"family":"Gabriel","given":"Ashley"},{"family":"Bharambe","given":"Ashwin"},{"family":"Eisenman","given":"Assaf"},{"family":"Yazdan","given":"Azadeh"},{"family":"James","given":"Beau"},{"family":"Maurer","given":"Ben"},{"family":"Leonhardi","given":"Benjamin"},{"family":"Huang","given":"Bernie"},{"family":"Loyd","given":"Beth"},{"family":"Paola","given":"Beto De"},{"family":"Paranjape","given":"Bhargavi"},{"family":"Liu","given":"Bing"},{"family":"Wu","given":"Bo"},{"family":"Ni","given":"Boyu"},{"family":"Hancock","given":"Braden"},{"family":"Wasti","given":"Bram"},{"family":"Spence","given":"Brandon"},{"family":"Stojkovic","given":"Brani"},{"family":"Gamido","given":"Brian"},{"family":"Montalvo","given":"Britt"},{"family":"Parker","given":"Carl"},{"family":"Burton","given":"Carly"},{"family":"Mejia","given":"Catalina"},{"family":"Liu","given":"Ce"},{"family":"Wang","given":"Changhan"},{"family":"Kim","given":"Changkyu"},{"family":"Zhou","given":"Chao"},{"family":"Hu","given":"Chester"},{"family":"Chu","given":"Ching-Hsiang"},{"family":"Cai","given":"Chris"},{"family":"Tindal","given":"Chris"},{"family":"Feichtenhofer","given":"Christoph"},{"family":"Gao","given":"Cynthia"},{"family":"Civin","given":"Damon"},{"family":"Beaty","given":"Dana"},{"family":"Kreymer","given":"Daniel"},{"family":"Li","given":"Daniel"},{"family":"Adkins","given":"David"},{"family":"Xu","given":"David"},{"family":"Testuggine","given":"Davide"},{"family":"David","given":"Delia"},{"family":"Parikh","given":"Devi"},{"family":"Liskovich","given":"Diana"},{"family":"Foss","given":"Didem"},{"family":"Wang","given":"Dingkang"},{"family":"Le","given":"Duc"},{"family":"Holland","given":"Dustin"},{"family":"Dowling","given":"Edward"},{"family":"Jamil","given":"Eissa"},{"family":"Montgomery","given":"Elaine"},{"family":"Presani","given":"Eleonora"},{"family":"Hahn","given":"Emily"},{"family":"Wood","given":"Emily"},{"family":"Le","given":"Eric-Tuan"},{"family":"Brinkman","given":"Erik"},{"family":"Arcaute","given":"Esteban"},{"family":"Dunbar","given":"Evan"},{"family":"Smothers","given":"Evan"},{"family":"Sun","given":"Fei"},{"family":"Kreuk","given":"Felix"},{"family":"Tian","given":"Feng"},{"family":"Kokkinos","given":"Filippos"},{"family":"Ozgenel","given":"Firat"},{"family":"Caggioni","given":"Francesco"},{"family":"Kanayet","given":"Frank"},{"family":"Seide","given":"Frank"},{"family":"Florez","given":"Gabriela Medina"},{"family":"Schwarz","given":"Gabriella"},{"family":"Badeer","given":"Gada"},{"family":"Swee","given":"Georgia"},{"family":"Halpern","given":"Gil"},{"family":"Herman","given":"Grant"},{"family":"Sizov","given":"Grigory"},{"family":"Guangyi","given":""},{"family":"Zhang","given":""},{"family":"Lakshminarayanan","given":"Guna"},{"family":"Inan","given":"Hakan"},{"family":"Shojanazeri","given":"Hamid"},{"family":"Zou","given":"Han"},{"family":"Wang","given":"Hannah"},{"family":"Zha","given":"Hanwen"},{"family":"Habeeb","given":"Haroun"},{"family":"Rudolph","given":"Harrison"},{"family":"Suk","given":"Helen"},{"family":"Aspegren","given":"Henry"},{"family":"Goldman","given":"Hunter"},{"family":"Zhan","given":"Hongyuan"},{"family":"Damlaj","given":"Ibrahim"},{"family":"Molybog","given":"Igor"},{"family":"Tufanov","given":"Igor"},{"family":"Leontiadis","given":"Ilias"},{"family":"Veliche","given":"Irina-Elena"},{"family":"Gat","given":"Itai"},{"family":"Weissman","given":"Jake"},{"family":"Geboski","given":"James"},{"family":"Kohli","given":"James"},{"family":"Lam","given":"Janice"},{"family":"Asher","given":"Japhet"},{"family":"Gaya","given":"Jean-Baptiste"},{"family":"Marcus","given":"Jeff"},{"family":"Tang","given":"Jeff"},{"family":"Chan","given":"Jennifer"},{"family":"Zhen","given":"Jenny"},{"family":"Reizenstein","given":"Jeremy"},{"family":"Teboul","given":"Jeremy"},{"family":"Zhong","given":"Jessica"},{"family":"Jin","given":"Jian"},{"family":"Yang","given":"Jingyi"},{"family":"Cummings","given":"Joe"},{"family":"Carvill","given":"Jon"},{"family":"Shepard","given":"Jon"},{"family":"McPhie","given":"Jonathan"},{"family":"Torres","given":"Jonathan"},{"family":"Ginsburg","given":"Josh"},{"family":"Wang","given":"Junjie"},{"family":"Wu","given":"Kai"},{"family":"U","given":"Kam Hou"},{"family":"Saxena","given":"Karan"},{"family":"Khandelwal","given":"Kartikay"},{"family":"Zand","given":"Katayoun"},{"family":"Matosich","given":"Kathy"},{"family":"Veeraraghavan","given":"Kaushik"},{"family":"Michelena","given":"Kelly"},{"family":"Li","given":"Keqian"},{"family":"Jagadeesh","given":"Kiran"},{"family":"Huang","given":"Kun"},{"family":"Chawla","given":"Kunal"},{"family":"Huang","given":"Kyle"},{"family":"Chen","given":"Lailin"},{"family":"Garg","given":"Lakshya"},{"family":"A","given":"Lavender"},{"family":"Silva","given":"Leandro"},{"family":"Bell","given":"Lee"},{"family":"Zhang","given":"Lei"},{"family":"Guo","given":"Liangpeng"},{"family":"Yu","given":"Licheng"},{"family":"Moshkovich","given":"Liron"},{"family":"Wehrstedt","given":"Luca"},{"family":"Khabsa","given":"Madian"},{"family":"Avalani","given":"Manav"},{"family":"Bhatt","given":"Manish"},{"family":"Mankus","given":"Martynas"},{"family":"Hasson","given":"Matan"},{"family":"Lennie","given":"Matthew"},{"family":"Reso","given":"Matthias"},{"family":"Groshev","given":"Maxim"},{"family":"Naumov","given":"Maxim"},{"family":"Lathi","given":"Maya"},{"family":"Keneally","given":"Meghan"},{"family":"Liu","given":"Miao"},{"family":"Seltzer","given":"Michael L."},{"family":"Valko","given":"Michal"},{"family":"Restrepo","given":"Michelle"},{"family":"Patel","given":"Mihir"},{"family":"Vyatskov","given":"Mik"},{"family":"Samvelyan","given":"Mikayel"},{"family":"Clark","given":"Mike"},{"family":"Macey","given":"Mike"},{"family":"Wang","given":"Mike"},{"family":"Hermoso","given":"Miquel Jubert"},{"family":"Metanat","given":"Mo"},{"family":"Rastegari","given":"Mohammad"},{"family":"Bansal","given":"Munish"},{"family":"Santhanam","given":"Nandhini"},{"family":"Parks","given":"Natascha"},{"family":"White","given":"Natasha"},{"family":"Bawa","given":"Navyata"},{"family":"Singhal","given":"Nayan"},{"family":"Egebo","given":"Nick"},{"family":"Usunier","given":"Nicolas"},{"family":"Mehta","given":"Nikhil"},{"family":"Laptev","given":"Nikolay Pavlovich"},{"family":"Dong","given":"Ning"},{"family":"Cheng","given":"Norman"},{"family":"Chernoguz","given":"Oleg"},{"family":"Hart","given":"Olivia"},{"family":"Salpekar","given":"Omkar"},{"family":"Kalinli","given":"Ozlem"},{"family":"Kent","given":"Parkin"},{"family":"Parekh","given":"Parth"},{"family":"Saab","given":"Paul"},{"family":"Balaji","given":"Pavan"},{"family":"Rittner","given":"Pedro"},{"family":"Bontrager","given":"Philip"},{"family":"Roux","given":"Pierre"},{"family":"Dollar","given":"Piotr"},{"family":"Zvyagina","given":"Polina"},{"family":"Ratanchandani","given":"Prashant"},{"family":"Yuvraj","given":"Pritish"},{"family":"Liang","given":"Qian"},{"family":"Alao","given":"Rachad"},{"family":"Rodriguez","given":"Rachel"},{"family":"Ayub","given":"Rafi"},{"family":"Murthy","given":"Raghotham"},{"family":"Nayani","given":"Raghu"},{"family":"Mitra","given":"Rahul"},{"family":"Parthasarathy","given":"Rangaprabhu"},{"family":"Li","given":"Raymond"},{"family":"Hogan","given":"Rebekkah"},{"family":"Battey","given":"Robin"},{"family":"Wang","given":"Rocky"},{"family":"Howes","given":"Russ"},{"family":"Rinott","given":"Ruty"},{"family":"Mehta","given":"Sachin"},{"family":"Siby","given":"Sachin"},{"family":"Bondu","given":"Sai Jayesh"},{"family":"Datta","given":"Samyak"},{"family":"Chugh","given":"Sara"},{"family":"Hunt","given":"Sara"},{"family":"Dhillon","given":"Sargun"},{"family":"Sidorov","given":"Sasha"},{"family":"Pan","given":"Satadru"},{"family":"Mahajan","given":"Saurabh"},{"family":"Verma","given":"Saurabh"},{"family":"Yamamoto","given":"Seiji"},{"family":"Ramaswamy","given":"Sharadh"},{"family":"Lindsay","given":"Shaun"},{"family":"Lindsay","given":"Shaun"},{"family":"Feng","given":"Sheng"},{"family":"Lin","given":"Shenghao"},{"family":"Zha","given":"Shengxin Cindy"},{"family":"Patil","given":"Shishir"},{"family":"Shankar","given":"Shiva"},{"family":"Zhang","given":"Shuqiang"},{"family":"Zhang","given":"Shuqiang"},{"family":"Wang","given":"Sinong"},{"family":"Agarwal","given":"Sneha"},{"family":"Sajuyigbe","given":"Soji"},{"family":"Chintala","given":"Soumith"},{"family":"Max","given":"Stephanie"},{"family":"Chen","given":"Stephen"},{"family":"Kehoe","given":"Steve"},{"family":"Satterfield","given":"Steve"},{"family":"Govindaprasad","given":"Sudarshan"},{"family":"Gupta","given":"Sumit"},{"family":"Deng","given":"Summer"},{"family":"Cho","given":"Sungmin"},{"family":"Virk","given":"Sunny"},{"family":"Subramanian","given":"Suraj"},{"family":"Choudhury","given":"Sy"},{"family":"Goldman","given":"Sydney"},{"family":"Remez","given":"Tal"},{"family":"Glaser","given":"Tamar"},{"family":"Best","given":"Tamara"},{"family":"Koehler","given":"Thilo"},{"family":"Robinson","given":"Thomas"},{"family":"Li","given":"Tianhe"},{"family":"Zhang","given":"Tianjun"},{"family":"Matthews","given":"Tim"},{"family":"Chou","given":"Timothy"},{"family":"Shaked","given":"Tzook"},{"family":"Vontimitta","given":"Varun"},{"family":"Ajayi","given":"Victoria"},{"family":"Montanez","given":"Victoria"},{"family":"Mohan","given":"Vijai"},{"family":"Kumar","given":"Vinay Satish"},{"family":"Mangla","given":"Vishal"},{"family":"Ionescu","given":"Vlad"},{"family":"Poenaru","given":"Vlad"},{"family":"Mihailescu","given":"Vlad Tiberiu"},{"family":"Ivanov","given":"Vladimir"},{"family":"Li","given":"Wei"},{"family":"Wang","given":"Wenchen"},{"family":"Jiang","given":"Wenwen"},{"family":"Bouaziz","given":"Wes"},{"family":"Constable","given":"Will"},{"family":"Tang","given":"Xiaocheng"},{"family":"Wu","given":"Xiaojian"},{"family":"Wang","given":"Xiaolan"},{"family":"Wu","given":"Xilun"},{"family":"Gao","given":"Xinbo"},{"family":"Kleinman","given":"Yaniv"},{"family":"Chen","given":"Yanjun"},{"family":"Hu","given":"Ye"},{"family":"Jia","given":"Ye"},{"family":"Qi","given":"Ye"},{"family":"Li","given":"Yenda"},{"family":"Zhang","given":"Yilin"},{"family":"Zhang","given":"Ying"},{"family":"Adi","given":"Yossi"},{"family":"Nam","given":"Youngjin"},{"family":"Yu","given":""},{"family":"Wang","given":""},{"family":"Zhao","given":"Yu"},{"family":"Hao","given":"Yuchen"},{"family":"Qian","given":"Yundi"},{"family":"Li","given":"Yunlu"},{"family":"He","given":"Yuzi"},{"family":"Rait","given":"Zach"},{"family":"DeVito","given":"Zachary"},{"family":"Rosnbrick","given":"Zef"},{"family":"Wen","given":"Zhaoduo"},{"family":"Yang","given":"Zhenyu"},{"family":"Zhao","given":"Zhiwei"},{"family":"Ma","given":"Zhiyu"}],"accessed":{"date-parts":[["2026",4,23]]},"issued":{"date-parts":[["2024",11,23]]}}}],"schema":"https://github.com/citation-style-language/schema/raw/master/csl-citation.json"} </w:instrText>
      </w:r>
      <w:r w:rsidR="00E013E7">
        <w:fldChar w:fldCharType="separate"/>
      </w:r>
      <w:r w:rsidR="00E013E7" w:rsidRPr="00E013E7">
        <w:rPr>
          <w:rFonts w:ascii="Aptos" w:hAnsi="Aptos"/>
        </w:rPr>
        <w:t>[3]</w:t>
      </w:r>
      <w:r w:rsidR="00E013E7">
        <w:fldChar w:fldCharType="end"/>
      </w:r>
      <w:r w:rsidRPr="00252D1B">
        <w:t>. A key innovation of the proposed</w:t>
      </w:r>
      <w:r w:rsidR="006202E0">
        <w:t>.</w:t>
      </w:r>
      <w:r w:rsidRPr="00252D1B">
        <w:t xml:space="preserve"> The framework has a feedback system that keeps track of how well the agent is doing and automatically changes prompts based on past results, allowing the system to learn from errors and get better over time instead of staying the same as market conditions change.</w:t>
      </w:r>
    </w:p>
    <w:p w14:paraId="3CE12192" w14:textId="77777777" w:rsidR="00BB1836" w:rsidRDefault="00BB1836" w:rsidP="00BB1836"/>
    <w:p w14:paraId="1BD4AF1A" w14:textId="77777777" w:rsidR="00416344" w:rsidRDefault="00416344" w:rsidP="00BB1836"/>
    <w:p w14:paraId="3FE40046" w14:textId="2173F167" w:rsidR="00BB1836" w:rsidRDefault="00BB1836" w:rsidP="00BB1836">
      <w:pPr>
        <w:pStyle w:val="Heading3"/>
      </w:pPr>
      <w:bookmarkStart w:id="11" w:name="_Toc228577614"/>
      <w:r>
        <w:lastRenderedPageBreak/>
        <w:t>1.</w:t>
      </w:r>
      <w:r w:rsidR="000C4227">
        <w:t xml:space="preserve">8 </w:t>
      </w:r>
      <w:r>
        <w:t>Contribution</w:t>
      </w:r>
      <w:bookmarkEnd w:id="11"/>
    </w:p>
    <w:p w14:paraId="2FA22CEF" w14:textId="77777777" w:rsidR="00BB1836" w:rsidRDefault="00BB1836" w:rsidP="00BB1836"/>
    <w:p w14:paraId="6D0354C3" w14:textId="6D2D6696" w:rsidR="00E83611" w:rsidRDefault="00BB1836" w:rsidP="00AB3DBF">
      <w:pPr>
        <w:jc w:val="both"/>
      </w:pPr>
      <w:r w:rsidRPr="00BB1836">
        <w:t xml:space="preserve">This research adds a new way of looking at artificial intelligence in finance and automated portfolio management. Firstly, the study showcases a novel multi-agent framework that combines specialised LLM-powered agents with dynamic prompt optimisation and a closed-loop feedback mechanism, enabling the system to continuously learn from its own performance and adapt to changing market conditions without requiring manual intervention or retraining, representing a meaningful advancement over current static approaches in automated trading. Secondly, the research shows the practical application of Large Language Models in financial decision-making by assigning different models for specific tasks, with Mistral </w:t>
      </w:r>
      <w:proofErr w:type="spellStart"/>
      <w:r w:rsidRPr="00BB1836">
        <w:t>Devstral</w:t>
      </w:r>
      <w:proofErr w:type="spellEnd"/>
      <w:r w:rsidRPr="00BB1836">
        <w:t xml:space="preserve"> 2 123B handling sentiment analysis and Llama 3.1 8B powering agentic decision-making, showing how model selection can be optimised based on task requirements while balancing accuracy with computational efficiency. Thirdly, the framework's architecture </w:t>
      </w:r>
      <w:r w:rsidR="00252D1B" w:rsidRPr="00BB1836">
        <w:t>consists</w:t>
      </w:r>
      <w:r w:rsidRPr="00BB1836">
        <w:t xml:space="preserve"> of seven specialised agents (Technical Analyst, Fundamental Analyst, Sentiment Analyst, Macro Analyst, Risk Manager, and Stock Picker) which reflects almost </w:t>
      </w:r>
      <w:r w:rsidR="00252D1B">
        <w:t xml:space="preserve">the same </w:t>
      </w:r>
      <w:r w:rsidRPr="00BB1836">
        <w:t xml:space="preserve">picture that we see in real-life scenario, enabling the system to process diverse information sources </w:t>
      </w:r>
      <w:r w:rsidR="00175F93">
        <w:t xml:space="preserve">sequentially </w:t>
      </w:r>
      <w:r w:rsidRPr="00BB1836">
        <w:t xml:space="preserve">and synthesise insights more effectively than single-model approaches. Lastly, the evaluation calculation using a composite benchmark weighted across Sharpe ratio (30%), returns (25%), turnover penalty (20%), drawdown penalty (15%), and accuracy (10%) </w:t>
      </w:r>
      <w:r w:rsidR="00252D1B" w:rsidRPr="00BB1836">
        <w:t>provide</w:t>
      </w:r>
      <w:r w:rsidRPr="00BB1836">
        <w:t xml:space="preserve"> an overall assessment framework that considers both profitability and risk management, offering a more realistic measure of real-world trading performance than metrics focused solely on returns, which might not be suitable in a sideways market. Not to mention the important point that this autonomous trading will be understood easily by the user, as it has the capability of telling why it has taken a certain action.</w:t>
      </w:r>
    </w:p>
    <w:p w14:paraId="00B4F67E" w14:textId="77777777" w:rsidR="00657571" w:rsidRDefault="00657571" w:rsidP="00BB1836"/>
    <w:p w14:paraId="39B7B1E5" w14:textId="77777777" w:rsidR="00EC30EF" w:rsidRDefault="00EC30EF" w:rsidP="00AB3DBF">
      <w:pPr>
        <w:pStyle w:val="Heading2"/>
        <w:jc w:val="both"/>
      </w:pPr>
      <w:bookmarkStart w:id="12" w:name="_Toc228577615"/>
      <w:r w:rsidRPr="00EC30EF">
        <w:t>2. Literature Review</w:t>
      </w:r>
      <w:bookmarkEnd w:id="12"/>
      <w:r w:rsidRPr="00EC30EF">
        <w:t>       </w:t>
      </w:r>
    </w:p>
    <w:p w14:paraId="0BB9DBF9" w14:textId="77777777" w:rsidR="00CF72F2" w:rsidRDefault="00CF72F2" w:rsidP="00AB3DBF">
      <w:pPr>
        <w:jc w:val="both"/>
      </w:pPr>
    </w:p>
    <w:p w14:paraId="1330E56D" w14:textId="77777777" w:rsidR="00CF72F2" w:rsidRDefault="00CF72F2" w:rsidP="00AB3DBF">
      <w:pPr>
        <w:pStyle w:val="Heading3"/>
        <w:jc w:val="both"/>
      </w:pPr>
      <w:bookmarkStart w:id="13" w:name="_Toc228577616"/>
      <w:r w:rsidRPr="00CF72F2">
        <w:t>2.1 Multi-Agent LLM Systems in Financial Trading</w:t>
      </w:r>
      <w:bookmarkEnd w:id="13"/>
    </w:p>
    <w:p w14:paraId="59520E37" w14:textId="77777777" w:rsidR="00CB0F7F" w:rsidRPr="00CB0F7F" w:rsidRDefault="00CB0F7F" w:rsidP="00AB3DBF">
      <w:pPr>
        <w:jc w:val="both"/>
      </w:pPr>
    </w:p>
    <w:p w14:paraId="74AC1F27" w14:textId="77777777" w:rsidR="006A479D" w:rsidRDefault="00154928" w:rsidP="00AB3DBF">
      <w:pPr>
        <w:jc w:val="both"/>
      </w:pPr>
      <w:r w:rsidRPr="00154928">
        <w:t xml:space="preserve">Usage of Large Language Models in financial trading has been moved from single-agent systems to multi-agent frameworks, which try to mimic real world scenario </w:t>
      </w:r>
      <w:r w:rsidR="00C61D21">
        <w:t xml:space="preserve">that </w:t>
      </w:r>
      <w:r w:rsidRPr="00154928">
        <w:t xml:space="preserve">have a professional team. </w:t>
      </w:r>
    </w:p>
    <w:p w14:paraId="128B1B94" w14:textId="77777777" w:rsidR="006A479D" w:rsidRDefault="006A479D" w:rsidP="00AB3DBF">
      <w:pPr>
        <w:jc w:val="both"/>
      </w:pPr>
    </w:p>
    <w:p w14:paraId="153D32A0" w14:textId="7DADA885" w:rsidR="006A479D" w:rsidRPr="006A479D" w:rsidRDefault="006A479D" w:rsidP="00AB3DBF">
      <w:pPr>
        <w:jc w:val="both"/>
        <w:rPr>
          <w:b/>
          <w:bCs/>
        </w:rPr>
      </w:pPr>
      <w:r w:rsidRPr="006A479D">
        <w:rPr>
          <w:b/>
          <w:bCs/>
        </w:rPr>
        <w:t xml:space="preserve">Single Agent </w:t>
      </w:r>
    </w:p>
    <w:p w14:paraId="5759E633" w14:textId="2900ADFD" w:rsidR="006A479D" w:rsidRDefault="00AB1B71" w:rsidP="00AB3DBF">
      <w:pPr>
        <w:jc w:val="both"/>
      </w:pPr>
      <w:r w:rsidRPr="00AB1B71">
        <w:t xml:space="preserve">Early single-agent approaches used layered memory architectures to mimic how human traders retain information across different time horizons, achieving 61.78% return and a Sharpe ratio of 2.68 on TSLA </w:t>
      </w:r>
      <w:r w:rsidR="004F6876">
        <w:fldChar w:fldCharType="begin"/>
      </w:r>
      <w:r w:rsidR="004F6876">
        <w:instrText xml:space="preserve"> ADDIN ZOTERO_ITEM CSL_CITATION {"citationID":"bJlHMfRa","properties":{"formattedCitation":"[4]","plainCitation":"[4]","noteIndex":0},"citationItems":[{"id":341,"uris":["http://zotero.org/users/17573427/items/ZASHCGAF"],"itemData":{"id":341,"type":"article","abstract":"Recent advancements in Large Language Models (LLMs) have exhibited notable efficacy in questionanswering (QA) tasks across diverse domains. Their prowess in integrating extensive web knowledge has fueled interest in developing LLM-based autonomous agents. While LLMs are efficient in decoding human instructions and deriving solutions by holistically processing historical inputs, transitioning to purpose-driven agents requires a supplementary rational architecture to process multi-source information, establish reasoning chains, and prioritize critical tasks. Addressing this, we introduce FINMEM, a novel LLM-based agent framework devised for financial decision-making. It encompasses three core modules: Profiling, to customize the agent’s characteristics; Memory, with layered message processing, to aid the agent in assimilating hierarchical financial data; and Decision-making, to convert insights gained from memories into investment decisions. Notably, FINMEM’s memory module aligns closely with the cognitive structure of human traders, offering robust interpretability and real-time tuning. Its adjustable cognitive span allows for the retention of critical information beyond human perceptual limits, thereby enhancing trading outcomes. This framework enables the agent to self-evolve its professional knowledge, react agilely to new investment cues, and continuously refine trading decisions in the volatile financial environment. We first compare FINMEM with various algorithmic agents on a scalable real-world financial dataset, underscoring its leading trading performance in stocks. We then fine-tuned the agent’s perceptual span and character setting to achieve a significantly enhanced trading performance. Collectively, FINMEM presents a cutting-edge LLM agent framework for automated trading, boosting cumulative investment returns.","DOI":"10.48550/arXiv.2311.13743","language":"en","note":"arXiv:2311.13743 [q-fin]","number":"arXiv:2311.13743","publisher":"arXiv","source":"arXiv.org","title":"FinMem: A Performance-Enhanced LLM Trading Agent with Layered Memory and Character Design","title-short":"FinMem","URL":"http://arxiv.org/abs/2311.13743","author":[{"family":"Yu","given":"Yangyang"},{"family":"Li","given":"Haohang"},{"family":"Chen","given":"Zhi"},{"family":"Jiang","given":"Yuechen"},{"family":"Li","given":"Yang"},{"family":"Zhang","given":"Denghui"},{"family":"Liu","given":"Rong"},{"family":"Suchow","given":"Jordan W."},{"family":"Khashanah","given":"Khaldoun"}],"accessed":{"date-parts":[["2026",4,6]]},"issued":{"date-parts":[["2023",12,3]]}}}],"schema":"https://github.com/citation-style-language/schema/raw/master/csl-citation.json"} </w:instrText>
      </w:r>
      <w:r w:rsidR="004F6876">
        <w:fldChar w:fldCharType="separate"/>
      </w:r>
      <w:r w:rsidR="004F6876" w:rsidRPr="004F6876">
        <w:rPr>
          <w:rFonts w:ascii="Aptos" w:hAnsi="Aptos"/>
        </w:rPr>
        <w:t>[4]</w:t>
      </w:r>
      <w:r w:rsidR="004F6876">
        <w:fldChar w:fldCharType="end"/>
      </w:r>
      <w:r w:rsidRPr="00AB1B71">
        <w:t xml:space="preserve">. However, these systems struggled to process the diverse range of financial information required for robust trading decisions, with models like Llama2-70b failing to handle long financial texts effectively </w:t>
      </w:r>
      <w:r w:rsidR="004F6876">
        <w:fldChar w:fldCharType="begin"/>
      </w:r>
      <w:r w:rsidR="004F6876">
        <w:instrText xml:space="preserve"> ADDIN ZOTERO_ITEM CSL_CITATION {"citationID":"olSwqsHr","properties":{"formattedCitation":"[4]","plainCitation":"[4]","noteIndex":0},"citationItems":[{"id":341,"uris":["http://zotero.org/users/17573427/items/ZASHCGAF"],"itemData":{"id":341,"type":"article","abstract":"Recent advancements in Large Language Models (LLMs) have exhibited notable efficacy in questionanswering (QA) tasks across diverse domains. Their prowess in integrating extensive web knowledge has fueled interest in developing LLM-based autonomous agents. While LLMs are efficient in decoding human instructions and deriving solutions by holistically processing historical inputs, transitioning to purpose-driven agents requires a supplementary rational architecture to process multi-source information, establish reasoning chains, and prioritize critical tasks. Addressing this, we introduce FINMEM, a novel LLM-based agent framework devised for financial decision-making. It encompasses three core modules: Profiling, to customize the agent’s characteristics; Memory, with layered message processing, to aid the agent in assimilating hierarchical financial data; and Decision-making, to convert insights gained from memories into investment decisions. Notably, FINMEM’s memory module aligns closely with the cognitive structure of human traders, offering robust interpretability and real-time tuning. Its adjustable cognitive span allows for the retention of critical information beyond human perceptual limits, thereby enhancing trading outcomes. This framework enables the agent to self-evolve its professional knowledge, react agilely to new investment cues, and continuously refine trading decisions in the volatile financial environment. We first compare FINMEM with various algorithmic agents on a scalable real-world financial dataset, underscoring its leading trading performance in stocks. We then fine-tuned the agent’s perceptual span and character setting to achieve a significantly enhanced trading performance. Collectively, FINMEM presents a cutting-edge LLM agent framework for automated trading, boosting cumulative investment returns.","DOI":"10.48550/arXiv.2311.13743","language":"en","note":"arXiv:2311.13743 [q-fin]","number":"arXiv:2311.13743","publisher":"arXiv","source":"arXiv.org","title":"FinMem: A Performance-Enhanced LLM Trading Agent with Layered Memory and Character Design","title-short":"FinMem","URL":"http://arxiv.org/abs/2311.13743","author":[{"family":"Yu","given":"Yangyang"},{"family":"Li","given":"Haohang"},{"family":"Chen","given":"Zhi"},{"family":"Jiang","given":"Yuechen"},{"family":"Li","given":"Yang"},{"family":"Zhang","given":"Denghui"},{"family":"Liu","given":"Rong"},{"family":"Suchow","given":"Jordan W."},{"family":"Khashanah","given":"Khaldoun"}],"accessed":{"date-parts":[["2026",4,6]]},"issued":{"date-parts":[["2023",12,3]]}}}],"schema":"https://github.com/citation-style-language/schema/raw/master/csl-citation.json"} </w:instrText>
      </w:r>
      <w:r w:rsidR="004F6876">
        <w:fldChar w:fldCharType="separate"/>
      </w:r>
      <w:r w:rsidR="004F6876" w:rsidRPr="004F6876">
        <w:rPr>
          <w:rFonts w:ascii="Aptos" w:hAnsi="Aptos"/>
        </w:rPr>
        <w:t>[4]</w:t>
      </w:r>
      <w:r w:rsidR="004F6876">
        <w:fldChar w:fldCharType="end"/>
      </w:r>
      <w:r w:rsidRPr="00AB1B71">
        <w:t>.</w:t>
      </w:r>
    </w:p>
    <w:p w14:paraId="77318A38" w14:textId="77777777" w:rsidR="00AB1B71" w:rsidRDefault="00AB1B71" w:rsidP="00AB3DBF">
      <w:pPr>
        <w:jc w:val="both"/>
      </w:pPr>
    </w:p>
    <w:p w14:paraId="0A7925C4" w14:textId="515FCFCC" w:rsidR="006A479D" w:rsidRDefault="006A479D" w:rsidP="00AB3DBF">
      <w:pPr>
        <w:jc w:val="both"/>
      </w:pPr>
      <w:r w:rsidRPr="006A479D">
        <w:rPr>
          <w:b/>
          <w:bCs/>
        </w:rPr>
        <w:t>Multi-Agent System</w:t>
      </w:r>
    </w:p>
    <w:p w14:paraId="059CCD70" w14:textId="38A32A92" w:rsidR="00154928" w:rsidRPr="00CF72F2" w:rsidRDefault="00AB1B71" w:rsidP="00AB3DBF">
      <w:pPr>
        <w:jc w:val="both"/>
      </w:pPr>
      <w:proofErr w:type="spellStart"/>
      <w:r w:rsidRPr="00AB1B71">
        <w:lastRenderedPageBreak/>
        <w:t>TradingAgents</w:t>
      </w:r>
      <w:proofErr w:type="spellEnd"/>
      <w:r w:rsidRPr="00AB1B71">
        <w:t xml:space="preserve"> </w:t>
      </w:r>
      <w:r>
        <w:t xml:space="preserve">tried to solve this problem </w:t>
      </w:r>
      <w:r w:rsidRPr="00AB1B71">
        <w:t xml:space="preserve">by introducing a team-based structure comprising four analytical agents, a bullish-bearish researcher debate mechanism, a dedicated Trader agent, and a three-tier Risk Management Team, achieving returns of 26.62% on AAPL and 24.36% on GOOGL with Sharpe ratios between 5.60 and 8.21 </w:t>
      </w:r>
      <w:r w:rsidR="004F6876">
        <w:fldChar w:fldCharType="begin"/>
      </w:r>
      <w:r w:rsidR="004F6876">
        <w:instrText xml:space="preserve"> ADDIN ZOTERO_ITEM CSL_CITATION {"citationID":"oPJowkUQ","properties":{"formattedCitation":"[5]","plainCitation":"[5]","noteIndex":0},"citationItems":[{"id":336,"uris":["http://zotero.org/users/17573427/items/I6UEH74C"],"itemData":{"id":336,"type":"article","abstract":"Significant progress has been made in automated problem-solving using societies of agents powered by large language models (LLMs). In finance, efforts have largely focused on single-agent systems handling specific tasks or multi-agent frameworks independently gathering data. However, the multi-agent systems' potential to replicate real-world trading firms' collaborative dynamics remains underexplored. TradingAgents proposes a novel stock trading framework inspired by trading firms, featuring LLM-powered agents in specialized roles such as fundamental analysts, sentiment analysts, technical analysts, and traders with varied risk profiles. The framework includes Bull and Bear researcher agents assessing market conditions, a risk management team monitoring exposure, and traders synthesizing insights from debates and historical data to make informed decisions. By simulating a dynamic, collaborative trading environment, this framework aims to improve trading performance. Detailed architecture and extensive experiments reveal its superiority over baseline models, with notable improvements in cumulative returns, Sharpe ratio, and maximum drawdown, highlighting the potential of multi-agent LLM frameworks in financial trading. TradingAgents is available at https://github.com/TauricResearch/TradingAgents.","DOI":"10.48550/arXiv.2412.20138","language":"en","note":"arXiv:2412.20138 [q-fin]","number":"arXiv:2412.20138","publisher":"arXiv","source":"arXiv.org","title":"TradingAgents: Multi-Agents LLM Financial Trading Framework","title-short":"TradingAgents","URL":"http://arxiv.org/abs/2412.20138","author":[{"family":"Xiao","given":"Yijia"},{"family":"Sun","given":"Edward"},{"family":"Luo","given":"Di"},{"family":"Wang","given":"Wei"}],"accessed":{"date-parts":[["2026",4,6]]},"issued":{"date-parts":[["2025",6,3]]}}}],"schema":"https://github.com/citation-style-language/schema/raw/master/csl-citation.json"} </w:instrText>
      </w:r>
      <w:r w:rsidR="004F6876">
        <w:fldChar w:fldCharType="separate"/>
      </w:r>
      <w:r w:rsidR="004F6876" w:rsidRPr="004F6876">
        <w:rPr>
          <w:rFonts w:ascii="Aptos" w:hAnsi="Aptos"/>
        </w:rPr>
        <w:t>[5]</w:t>
      </w:r>
      <w:r w:rsidR="004F6876">
        <w:fldChar w:fldCharType="end"/>
      </w:r>
      <w:r w:rsidRPr="00AB1B71">
        <w:t xml:space="preserve">. However, the system requires over 20 tool calls per trading decision, making it computationally expensive, and its strong results were achieved during a relatively calm market period </w:t>
      </w:r>
      <w:r w:rsidR="004F6876">
        <w:fldChar w:fldCharType="begin"/>
      </w:r>
      <w:r w:rsidR="00E4562C">
        <w:instrText xml:space="preserve"> ADDIN ZOTERO_ITEM CSL_CITATION {"citationID":"maDyOVqH","properties":{"formattedCitation":"[5]","plainCitation":"[5]","noteIndex":0},"citationItems":[{"id":336,"uris":["http://zotero.org/users/17573427/items/I6UEH74C"],"itemData":{"id":336,"type":"article","abstract":"Significant progress has been made in automated problem-solving using societies of agents powered by large language models (LLMs). In finance, efforts have largely focused on single-agent systems handling specific tasks or multi-agent frameworks independently gathering data. However, the multi-agent systems' potential to replicate real-world trading firms' collaborative dynamics remains underexplored. TradingAgents proposes a novel stock trading framework inspired by trading firms, featuring LLM-powered agents in specialized roles such as fundamental analysts, sentiment analysts, technical analysts, and traders with varied risk profiles. The framework includes Bull and Bear researcher agents assessing market conditions, a risk management team monitoring exposure, and traders synthesizing insights from debates and historical data to make informed decisions. By simulating a dynamic, collaborative trading environment, this framework aims to improve trading performance. Detailed architecture and extensive experiments reveal its superiority over baseline models, with notable improvements in cumulative returns, Sharpe ratio, and maximum drawdown, highlighting the potential of multi-agent LLM frameworks in financial trading. TradingAgents is available at https://github.com/TauricResearch/TradingAgents.","DOI":"10.48550/arXiv.2412.20138","language":"en","note":"arXiv:2412.20138 [q-fin]","number":"arXiv:2412.20138","publisher":"arXiv","source":"arXiv.org","title":"TradingAgents: Multi-Agents LLM Financial Trading Framework","title-short":"TradingAgents","URL":"http://arxiv.org/abs/2412.20138","author":[{"family":"Xiao","given":"Yijia"},{"family":"Sun","given":"Edward"},{"family":"Luo","given":"Di"},{"family":"Wang","given":"Wei"}],"accessed":{"date-parts":[["2026",4,6]]},"issued":{"date-parts":[["2025",6,3]]}}}],"schema":"https://github.com/citation-style-language/schema/raw/master/csl-citation.json"} </w:instrText>
      </w:r>
      <w:r w:rsidR="004F6876">
        <w:fldChar w:fldCharType="separate"/>
      </w:r>
      <w:r w:rsidR="004F6876" w:rsidRPr="004F6876">
        <w:rPr>
          <w:rFonts w:ascii="Aptos" w:hAnsi="Aptos"/>
        </w:rPr>
        <w:t>[5]</w:t>
      </w:r>
      <w:r w:rsidR="004F6876">
        <w:fldChar w:fldCharType="end"/>
      </w:r>
      <w:r w:rsidRPr="00AB1B71">
        <w:t>.</w:t>
      </w:r>
    </w:p>
    <w:p w14:paraId="0EC95C0E" w14:textId="77777777" w:rsidR="00AD60AE" w:rsidRDefault="006D350D" w:rsidP="00AB3DBF">
      <w:pPr>
        <w:keepNext/>
        <w:jc w:val="both"/>
      </w:pPr>
      <w:r w:rsidRPr="006D350D">
        <w:rPr>
          <w:noProof/>
        </w:rPr>
        <w:drawing>
          <wp:inline distT="0" distB="0" distL="0" distR="0" wp14:anchorId="2280D3E0" wp14:editId="318A323F">
            <wp:extent cx="5731510" cy="1811020"/>
            <wp:effectExtent l="0" t="0" r="2540" b="0"/>
            <wp:docPr id="110734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34292" name=""/>
                    <pic:cNvPicPr/>
                  </pic:nvPicPr>
                  <pic:blipFill>
                    <a:blip r:embed="rId9"/>
                    <a:stretch>
                      <a:fillRect/>
                    </a:stretch>
                  </pic:blipFill>
                  <pic:spPr>
                    <a:xfrm>
                      <a:off x="0" y="0"/>
                      <a:ext cx="5731510" cy="1811020"/>
                    </a:xfrm>
                    <a:prstGeom prst="rect">
                      <a:avLst/>
                    </a:prstGeom>
                  </pic:spPr>
                </pic:pic>
              </a:graphicData>
            </a:graphic>
          </wp:inline>
        </w:drawing>
      </w:r>
    </w:p>
    <w:p w14:paraId="3A72895E" w14:textId="4B9EEF2B" w:rsidR="008C042B" w:rsidRDefault="00AD60AE" w:rsidP="00AB1B71">
      <w:pPr>
        <w:pStyle w:val="Caption"/>
        <w:jc w:val="both"/>
      </w:pPr>
      <w:bookmarkStart w:id="14" w:name="_Toc228816046"/>
      <w:r>
        <w:t xml:space="preserve">Figure </w:t>
      </w:r>
      <w:fldSimple w:instr=" SEQ Figure \* ARABIC ">
        <w:r w:rsidR="006C3897">
          <w:rPr>
            <w:noProof/>
          </w:rPr>
          <w:t>1</w:t>
        </w:r>
      </w:fldSimple>
      <w:r>
        <w:t>:</w:t>
      </w:r>
      <w:r w:rsidRPr="00670C6F">
        <w:t xml:space="preserve">TradingAgents framework showing data sources, Researcher Team, Trader, Risk Management Team, and execution process </w:t>
      </w:r>
      <w:r w:rsidR="0097731A">
        <w:fldChar w:fldCharType="begin"/>
      </w:r>
      <w:r w:rsidR="00E013E7">
        <w:instrText xml:space="preserve"> ADDIN ZOTERO_ITEM CSL_CITATION {"citationID":"ex2mCMe2","properties":{"formattedCitation":"[5]","plainCitation":"[5]","noteIndex":0},"citationItems":[{"id":336,"uris":["http://zotero.org/users/17573427/items/I6UEH74C"],"itemData":{"id":336,"type":"article","abstract":"Significant progress has been made in automated problem-solving using societies of agents powered by large language models (LLMs). In finance, efforts have largely focused on single-agent systems handling specific tasks or multi-agent frameworks independently gathering data. However, the multi-agent systems' potential to replicate real-world trading firms' collaborative dynamics remains underexplored. TradingAgents proposes a novel stock trading framework inspired by trading firms, featuring LLM-powered agents in specialized roles such as fundamental analysts, sentiment analysts, technical analysts, and traders with varied risk profiles. The framework includes Bull and Bear researcher agents assessing market conditions, a risk management team monitoring exposure, and traders synthesizing insights from debates and historical data to make informed decisions. By simulating a dynamic, collaborative trading environment, this framework aims to improve trading performance. Detailed architecture and extensive experiments reveal its superiority over baseline models, with notable improvements in cumulative returns, Sharpe ratio, and maximum drawdown, highlighting the potential of multi-agent LLM frameworks in financial trading. TradingAgents is available at https://github.com/TauricResearch/TradingAgents.","DOI":"10.48550/arXiv.2412.20138","language":"en","note":"arXiv:2412.20138 [q-fin]","number":"arXiv:2412.20138","publisher":"arXiv","source":"arXiv.org","title":"TradingAgents: Multi-Agents LLM Financial Trading Framework","title-short":"TradingAgents","URL":"http://arxiv.org/abs/2412.20138","author":[{"family":"Xiao","given":"Yijia"},{"family":"Sun","given":"Edward"},{"family":"Luo","given":"Di"},{"family":"Wang","given":"Wei"}],"accessed":{"date-parts":[["2026",4,6]]},"issued":{"date-parts":[["2025",6,3]]}}}],"schema":"https://github.com/citation-style-language/schema/raw/master/csl-citation.json"} </w:instrText>
      </w:r>
      <w:r w:rsidR="0097731A">
        <w:fldChar w:fldCharType="separate"/>
      </w:r>
      <w:r w:rsidR="00E013E7" w:rsidRPr="00E013E7">
        <w:rPr>
          <w:rFonts w:ascii="Aptos" w:hAnsi="Aptos"/>
          <w:sz w:val="22"/>
        </w:rPr>
        <w:t>[5]</w:t>
      </w:r>
      <w:bookmarkEnd w:id="14"/>
      <w:r w:rsidR="0097731A">
        <w:fldChar w:fldCharType="end"/>
      </w:r>
    </w:p>
    <w:p w14:paraId="3BD155CB" w14:textId="77777777" w:rsidR="00AB1B71" w:rsidRPr="00AB1B71" w:rsidRDefault="00AB1B71" w:rsidP="00AB1B71"/>
    <w:p w14:paraId="72B8CBD7" w14:textId="43593D5E" w:rsidR="00AD60AE" w:rsidRPr="008C042B" w:rsidRDefault="008C042B" w:rsidP="00AB3DBF">
      <w:pPr>
        <w:jc w:val="both"/>
        <w:rPr>
          <w:b/>
          <w:bCs/>
        </w:rPr>
      </w:pPr>
      <w:r w:rsidRPr="008C042B">
        <w:rPr>
          <w:b/>
          <w:bCs/>
        </w:rPr>
        <w:t>Manager-Analyst Structure</w:t>
      </w:r>
    </w:p>
    <w:p w14:paraId="64722D21" w14:textId="7D919C06" w:rsidR="00AB3DBF" w:rsidRDefault="007E39DA" w:rsidP="00AB3DBF">
      <w:pPr>
        <w:jc w:val="both"/>
      </w:pPr>
      <w:r>
        <w:t xml:space="preserve">New </w:t>
      </w:r>
      <w:r w:rsidRPr="007E39DA">
        <w:t xml:space="preserve">Manager-Analyst </w:t>
      </w:r>
      <w:r>
        <w:t xml:space="preserve">architecture was introduced by FINCON, </w:t>
      </w:r>
      <w:r w:rsidRPr="007E39DA">
        <w:t xml:space="preserve">where specialised analyst agents report to a single Manager Agent responsible for all portfolio decisions, achieving a 113.84% return with a 3.27 Sharpe ratio </w:t>
      </w:r>
      <w:r w:rsidR="00E4562C">
        <w:fldChar w:fldCharType="begin"/>
      </w:r>
      <w:r w:rsidR="00E4562C">
        <w:instrText xml:space="preserve"> ADDIN ZOTERO_ITEM CSL_CITATION {"citationID":"Ek8bNooo","properties":{"formattedCitation":"[6]","plainCitation":"[6]","noteIndex":0},"citationItems":[{"id":338,"uris":["http://zotero.org/users/17573427/items/GC7QVJCQ"],"itemData":{"id":338,"type":"article","abstract":"Large language models (LLMs) have demonstrated notable potential in conducting complex tasks and are increasingly utilized in various financial applications. However, high-quality sequential financial investment decision-making remains challenging. These tasks require multiple interactions with a volatile environment for every decision, demanding sufficient intelligence to maximize returns and manage risks. Although LLMs have been used to develop agent systems that surpass human teams and yield impressive investment returns, opportunities to enhance multi-sourced information synthesis and optimize decision-making outcomes through timely experience refinement remain unexplored. Here, we introduce the FinCon, an LLM-based multi-agent framework with CONceptual verbal reinforcement tailored for diverse FINancial tasks. Inspired by effective real-world investment firm organizational structures, FinCon utilizes a manager-analyst communication hierarchy. This structure allows for synchronized cross-functional agent collaboration towards unified goals through natural language interactions and equips each agent with greater memory capacity than humans. Additionally, a risk-control component in FinCon enhances decision quality by episodically initiating a self-critiquing mechanism to update systematic investment beliefs. The conceptualized beliefs serve as verbal reinforcement for the future agent's behavior and can be selectively propagated to the appropriate node that requires knowledge updates. This feature significantly improves performance while reducing unnecessary peer-to-peer communication costs. Moreover, FinCon demonstrates strong generalization capabilities in various financial tasks, including single stock trading and portfolio management.","DOI":"10.48550/arXiv.2407.06567","language":"en","note":"arXiv:2407.06567 [cs]","number":"arXiv:2407.06567","publisher":"arXiv","source":"arXiv.org","title":"FinCon: A Synthesized LLM Multi-Agent System with Conceptual Verbal Reinforcement for Enhanced Financial Decision Making","title-short":"FinCon","URL":"http://arxiv.org/abs/2407.06567","author":[{"family":"Yu","given":"Yangyang"},{"family":"Yao","given":"Zhiyuan"},{"family":"Li","given":"Haohang"},{"family":"Deng","given":"Zhiyang"},{"family":"Cao","given":"Yupeng"},{"family":"Chen","given":"Zhi"},{"family":"Suchow","given":"Jordan W."},{"family":"Liu","given":"Rong"},{"family":"Cui","given":"Zhenyu"},{"family":"Xu","given":"Zhaozhuo"},{"family":"Zhang","given":"Denghui"},{"family":"Subbalakshmi","given":"Koduvayur"},{"family":"Xiong","given":"Guojun"},{"family":"He","given":"Yueru"},{"family":"Huang","given":"Jimin"},{"family":"Li","given":"Dong"},{"family":"Xie","given":"Qianqian"}],"accessed":{"date-parts":[["2026",4,6]]},"issued":{"date-parts":[["2024",11,7]]}}}],"schema":"https://github.com/citation-style-language/schema/raw/master/csl-citation.json"} </w:instrText>
      </w:r>
      <w:r w:rsidR="00E4562C">
        <w:fldChar w:fldCharType="separate"/>
      </w:r>
      <w:r w:rsidR="00E4562C" w:rsidRPr="00E4562C">
        <w:rPr>
          <w:rFonts w:ascii="Aptos" w:hAnsi="Aptos"/>
        </w:rPr>
        <w:t>[6]</w:t>
      </w:r>
      <w:r w:rsidR="00E4562C">
        <w:fldChar w:fldCharType="end"/>
      </w:r>
      <w:r w:rsidRPr="007E39DA">
        <w:t xml:space="preserve">. Despite this strong result the system recorded drawdowns of up to 45.22% on volatile stocks such as TSLA, and LLM hallucinations became more frequent as the number of stocks under management increased </w:t>
      </w:r>
      <w:r w:rsidR="00E4562C">
        <w:fldChar w:fldCharType="begin"/>
      </w:r>
      <w:r w:rsidR="00E4562C">
        <w:instrText xml:space="preserve"> ADDIN ZOTERO_ITEM CSL_CITATION {"citationID":"KxZuEI4t","properties":{"formattedCitation":"[6]","plainCitation":"[6]","noteIndex":0},"citationItems":[{"id":338,"uris":["http://zotero.org/users/17573427/items/GC7QVJCQ"],"itemData":{"id":338,"type":"article","abstract":"Large language models (LLMs) have demonstrated notable potential in conducting complex tasks and are increasingly utilized in various financial applications. However, high-quality sequential financial investment decision-making remains challenging. These tasks require multiple interactions with a volatile environment for every decision, demanding sufficient intelligence to maximize returns and manage risks. Although LLMs have been used to develop agent systems that surpass human teams and yield impressive investment returns, opportunities to enhance multi-sourced information synthesis and optimize decision-making outcomes through timely experience refinement remain unexplored. Here, we introduce the FinCon, an LLM-based multi-agent framework with CONceptual verbal reinforcement tailored for diverse FINancial tasks. Inspired by effective real-world investment firm organizational structures, FinCon utilizes a manager-analyst communication hierarchy. This structure allows for synchronized cross-functional agent collaboration towards unified goals through natural language interactions and equips each agent with greater memory capacity than humans. Additionally, a risk-control component in FinCon enhances decision quality by episodically initiating a self-critiquing mechanism to update systematic investment beliefs. The conceptualized beliefs serve as verbal reinforcement for the future agent's behavior and can be selectively propagated to the appropriate node that requires knowledge updates. This feature significantly improves performance while reducing unnecessary peer-to-peer communication costs. Moreover, FinCon demonstrates strong generalization capabilities in various financial tasks, including single stock trading and portfolio management.","DOI":"10.48550/arXiv.2407.06567","language":"en","note":"arXiv:2407.06567 [cs]","number":"arXiv:2407.06567","publisher":"arXiv","source":"arXiv.org","title":"FinCon: A Synthesized LLM Multi-Agent System with Conceptual Verbal Reinforcement for Enhanced Financial Decision Making","title-short":"FinCon","URL":"http://arxiv.org/abs/2407.06567","author":[{"family":"Yu","given":"Yangyang"},{"family":"Yao","given":"Zhiyuan"},{"family":"Li","given":"Haohang"},{"family":"Deng","given":"Zhiyang"},{"family":"Cao","given":"Yupeng"},{"family":"Chen","given":"Zhi"},{"family":"Suchow","given":"Jordan W."},{"family":"Liu","given":"Rong"},{"family":"Cui","given":"Zhenyu"},{"family":"Xu","given":"Zhaozhuo"},{"family":"Zhang","given":"Denghui"},{"family":"Subbalakshmi","given":"Koduvayur"},{"family":"Xiong","given":"Guojun"},{"family":"He","given":"Yueru"},{"family":"Huang","given":"Jimin"},{"family":"Li","given":"Dong"},{"family":"Xie","given":"Qianqian"}],"accessed":{"date-parts":[["2026",4,6]]},"issued":{"date-parts":[["2024",11,7]]}}}],"schema":"https://github.com/citation-style-language/schema/raw/master/csl-citation.json"} </w:instrText>
      </w:r>
      <w:r w:rsidR="00E4562C">
        <w:fldChar w:fldCharType="separate"/>
      </w:r>
      <w:r w:rsidR="00E4562C" w:rsidRPr="00E4562C">
        <w:rPr>
          <w:rFonts w:ascii="Aptos" w:hAnsi="Aptos"/>
        </w:rPr>
        <w:t>[6]</w:t>
      </w:r>
      <w:r w:rsidR="00E4562C">
        <w:fldChar w:fldCharType="end"/>
      </w:r>
      <w:r w:rsidRPr="007E39DA">
        <w:t xml:space="preserve">. Further work </w:t>
      </w:r>
      <w:r>
        <w:t xml:space="preserve">tried to </w:t>
      </w:r>
      <w:r w:rsidRPr="007E39DA">
        <w:t>explored Leader-Follower structures for multi-agent training</w:t>
      </w:r>
      <w:r w:rsidR="007D4C45">
        <w:t xml:space="preserve"> </w:t>
      </w:r>
      <w:r w:rsidRPr="007E39DA">
        <w:t>and Chain-of-Thought agent pipelines for generating investment reports scoring 9.57 out of 10 for factual accuracy, whil</w:t>
      </w:r>
      <w:r>
        <w:t xml:space="preserve">e </w:t>
      </w:r>
      <w:r w:rsidRPr="007E39DA">
        <w:t xml:space="preserve">dual feedback loop mechanisms have been proposed to allow agents to improve through both simulated and live market interaction </w:t>
      </w:r>
      <w:r w:rsidR="00E4562C">
        <w:fldChar w:fldCharType="begin"/>
      </w:r>
      <w:r w:rsidR="00E4562C">
        <w:instrText xml:space="preserve"> ADDIN ZOTERO_ITEM CSL_CITATION {"citationID":"09fsH5WF","properties":{"formattedCitation":"[7]","plainCitation":"[7]","noteIndex":0},"citationItems":[{"id":340,"uris":["http://zotero.org/users/17573427/items/699MQ7AX"],"itemData":{"id":340,"type":"article","abstract":"Multi-agent systems perform well on general reasoning tasks. However, the lack of training in specialized areas hinders their accuracy. Current training methods train a unified large language model (LLM) for all agents in the system. This may limit the performances due to different distributions underlying for different agents. Therefore, training multi-agent systems with distinct LLMs should be the next step to solve. However, this approach introduces optimization challenges. For example, agents operate at different frequencies, rollouts involve varying sub-agent invocations, and agents are often deployed across separate servers, disrupting end-to-end gradient flow. To address these issues, we propose M-GRPO, a hierarchical extension of Group Relative Policy Optimization designed for vertical Multi-agent systems with a main agent (planner) and multiple sub-agents (multi-turn tool executors). M-GRPO computes group-relative advantages for both main and sub-agents, maintaining hierarchical credit assignment. It also introduces a trajectory-alignment scheme that generates fixed-size batches despite variable sub-agent invocations. We deploy a decoupled training pipeline in which agents run on separate servers and exchange minimal statistics via a shared store. This enables scalable training without cross-server backpropagation. In experiments on real-world benchmarks (e.g., GAIA, XBench-DeepSearch, and WebWalkerQA), M-GRPO consistently outperforms both single-agent GRPO and multi-agent GRPO with frozen sub-agents, demonstrating improved stability and sample efficiency. These results show that aligning heterogeneous trajectories and decoupling optimization across specialized agents enhances tool-augmented reasoning tasks.","DOI":"10.48550/arXiv.2511.13288","language":"en","note":"arXiv:2511.13288 [cs]","number":"arXiv:2511.13288","publisher":"arXiv","source":"arXiv.org","title":"Multi-Agent Deep Research: Training Multi-Agent Systems with M-GRPO","title-short":"Multi-Agent Deep Research","URL":"http://arxiv.org/abs/2511.13288","author":[{"family":"Hong","given":"Haoyang"},{"family":"Yin","given":"Jiajun"},{"family":"Wang","given":"Yuan"},{"family":"Liu","given":"Jingnan"},{"family":"Chen","given":"Zhe"},{"family":"Yu","given":"Ailing"},{"family":"Li","given":"Ji"},{"family":"Ye","given":"Zhiling"},{"family":"Xiao","given":"Hansong"},{"family":"Chen","given":"Yefei"},{"family":"Zhou","given":"Hualei"},{"family":"Yue","given":"Yun"},{"family":"Yang","given":"Minghui"},{"family":"Guo","given":"Chunxiao"},{"family":"Liu","given":"Junwei"},{"family":"Wei","given":"Peng"},{"family":"Gu","given":"Jinjie"}],"accessed":{"date-parts":[["2026",4,6]]},"issued":{"date-parts":[["2025",11,18]]}}}],"schema":"https://github.com/citation-style-language/schema/raw/master/csl-citation.json"} </w:instrText>
      </w:r>
      <w:r w:rsidR="00E4562C">
        <w:fldChar w:fldCharType="separate"/>
      </w:r>
      <w:r w:rsidR="00E4562C" w:rsidRPr="00E4562C">
        <w:rPr>
          <w:rFonts w:ascii="Aptos" w:hAnsi="Aptos"/>
        </w:rPr>
        <w:t>[7]</w:t>
      </w:r>
      <w:r w:rsidR="00E4562C">
        <w:fldChar w:fldCharType="end"/>
      </w:r>
      <w:r>
        <w:t xml:space="preserve">, </w:t>
      </w:r>
      <w:r w:rsidR="00E4562C">
        <w:fldChar w:fldCharType="begin"/>
      </w:r>
      <w:r w:rsidR="00E4562C">
        <w:instrText xml:space="preserve"> ADDIN ZOTERO_ITEM CSL_CITATION {"citationID":"sgkYSn1i","properties":{"formattedCitation":"[8]","plainCitation":"[8]","noteIndex":0},"citationItems":[{"id":342,"uris":["http://zotero.org/users/17573427/items/5UFSCGTH"],"itemData":{"id":342,"type":"article","abstract":"As financial markets grow increasingly complex, there is a rising need for automated tools that can effectively assist human analysts in equity research, particularly within sell-side research. While Generative AI (GenAI) has attracted significant attention in this field, existing AI solutions often fall short due to their narrow focus on technical factors and limited capacity for discretionary judgment. These limitations hinder their ability to adapt to new data in real-time and accurately assess risks, which diminishes their practical value for investors.","DOI":"10.48550/arXiv.2411.08804","language":"en","note":"arXiv:2411.08804 [q-fin]","number":"arXiv:2411.08804","publisher":"arXiv","source":"arXiv.org","title":"FinRobot: AI Agent for Equity Research and Valuation with Large Language Models","title-short":"FinRobot","URL":"http://arxiv.org/abs/2411.08804","author":[{"family":"Zhou","given":"Tianyu"},{"family":"Wang","given":"Pinqiao"},{"family":"Wu","given":"Yilin"},{"family":"Yang","given":"Hongyang"}],"accessed":{"date-parts":[["2026",4,6]]},"issued":{"date-parts":[["2024",11,13]]}}}],"schema":"https://github.com/citation-style-language/schema/raw/master/csl-citation.json"} </w:instrText>
      </w:r>
      <w:r w:rsidR="00E4562C">
        <w:fldChar w:fldCharType="separate"/>
      </w:r>
      <w:r w:rsidR="00E4562C" w:rsidRPr="00E4562C">
        <w:rPr>
          <w:rFonts w:ascii="Aptos" w:hAnsi="Aptos"/>
        </w:rPr>
        <w:t>[8]</w:t>
      </w:r>
      <w:r w:rsidR="00E4562C">
        <w:fldChar w:fldCharType="end"/>
      </w:r>
      <w:r>
        <w:t xml:space="preserve">, </w:t>
      </w:r>
      <w:r w:rsidR="00E4562C">
        <w:fldChar w:fldCharType="begin"/>
      </w:r>
      <w:r w:rsidR="00E4562C">
        <w:instrText xml:space="preserve"> ADDIN ZOTERO_ITEM CSL_CITATION {"citationID":"qlQS8rnI","properties":{"formattedCitation":"[9]","plainCitation":"[9]","noteIndex":0},"citationItems":[{"id":344,"uris":["http://zotero.org/users/17573427/items/VBG38WA9"],"itemData":{"id":344,"type":"article","abstract":"Autonomous agents based on Large Language Models (LLMs) that devise plans and tackle real-world challenges have gained prominence. However, tailoring these agents for specialized domains like quantitative investment remains a formidable task. The core challenge involves efficiently building and integrating a domain-specific knowledge base for the agent’s learning process. This paper introduces a principled framework to address this challenge, comprising a two-layer loop. In the inner loop, the agent refines its responses by drawing from its knowledge base, while in the outer loop, these responses are tested in real-world scenarios to automatically enhance the knowledge base with new insights. We demonstrate that our approach enables the agent to progressively approximate optimal behavior with provable efficiency. Furthermore, we instantiate this framework through an autonomous agent for mining trading signals named QuantAgent. Empirical results showcase QuantAgent’s capability in uncovering viable financial signals and enhancing the accuracy of financial forecasts.","DOI":"10.48550/arXiv.2402.03755","language":"en","note":"arXiv:2402.03755 [cs]","number":"arXiv:2402.03755","publisher":"arXiv","source":"arXiv.org","title":"QuantAgent: Seeking Holy Grail in Trading by Self-Improving Large Language Model","title-short":"QuantAgent","URL":"http://arxiv.org/abs/2402.03755","author":[{"family":"Wang","given":"Saizhuo"},{"family":"Yuan","given":"Hang"},{"family":"Ni","given":"Lionel M."},{"family":"Guo","given":"Jian"}],"accessed":{"date-parts":[["2026",4,6]]},"issued":{"date-parts":[["2024",2,6]]}}}],"schema":"https://github.com/citation-style-language/schema/raw/master/csl-citation.json"} </w:instrText>
      </w:r>
      <w:r w:rsidR="00E4562C">
        <w:fldChar w:fldCharType="separate"/>
      </w:r>
      <w:r w:rsidR="00E4562C" w:rsidRPr="00E4562C">
        <w:rPr>
          <w:rFonts w:ascii="Aptos" w:hAnsi="Aptos"/>
        </w:rPr>
        <w:t>[9]</w:t>
      </w:r>
      <w:r w:rsidR="00E4562C">
        <w:fldChar w:fldCharType="end"/>
      </w:r>
      <w:r w:rsidRPr="007E39DA">
        <w:t>.</w:t>
      </w:r>
    </w:p>
    <w:p w14:paraId="5299134F" w14:textId="77777777" w:rsidR="007E39DA" w:rsidRPr="00CF72F2" w:rsidRDefault="007E39DA" w:rsidP="00AB3DBF">
      <w:pPr>
        <w:jc w:val="both"/>
      </w:pPr>
    </w:p>
    <w:p w14:paraId="26009977" w14:textId="77777777" w:rsidR="00AD60AE" w:rsidRDefault="006D350D" w:rsidP="00AB3DBF">
      <w:pPr>
        <w:keepNext/>
        <w:ind w:left="1440"/>
        <w:jc w:val="both"/>
      </w:pPr>
      <w:r w:rsidRPr="006D350D">
        <w:rPr>
          <w:noProof/>
        </w:rPr>
        <w:lastRenderedPageBreak/>
        <w:drawing>
          <wp:inline distT="0" distB="0" distL="0" distR="0" wp14:anchorId="7E971B08" wp14:editId="65EF2B95">
            <wp:extent cx="4359275" cy="3009900"/>
            <wp:effectExtent l="0" t="0" r="3175" b="0"/>
            <wp:docPr id="2013149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149503" name=""/>
                    <pic:cNvPicPr/>
                  </pic:nvPicPr>
                  <pic:blipFill>
                    <a:blip r:embed="rId10"/>
                    <a:stretch>
                      <a:fillRect/>
                    </a:stretch>
                  </pic:blipFill>
                  <pic:spPr>
                    <a:xfrm>
                      <a:off x="0" y="0"/>
                      <a:ext cx="4377175" cy="3022259"/>
                    </a:xfrm>
                    <a:prstGeom prst="rect">
                      <a:avLst/>
                    </a:prstGeom>
                  </pic:spPr>
                </pic:pic>
              </a:graphicData>
            </a:graphic>
          </wp:inline>
        </w:drawing>
      </w:r>
    </w:p>
    <w:p w14:paraId="3EC42999" w14:textId="3AC33B0F" w:rsidR="00CF72F2" w:rsidRPr="00CF72F2" w:rsidRDefault="00AD60AE" w:rsidP="00AB3DBF">
      <w:pPr>
        <w:pStyle w:val="Caption"/>
        <w:jc w:val="both"/>
      </w:pPr>
      <w:bookmarkStart w:id="15" w:name="_Toc228816047"/>
      <w:r>
        <w:t xml:space="preserve">Figure </w:t>
      </w:r>
      <w:fldSimple w:instr=" SEQ Figure \* ARABIC ">
        <w:r w:rsidR="006C3897">
          <w:rPr>
            <w:noProof/>
          </w:rPr>
          <w:t>2</w:t>
        </w:r>
      </w:fldSimple>
      <w:r>
        <w:t xml:space="preserve">: </w:t>
      </w:r>
      <w:r w:rsidRPr="0086625B">
        <w:t xml:space="preserve">FINCON Manager-Analyst architecture showing Analyst Agents, Manager Agent, and Risk-Control Component </w:t>
      </w:r>
      <w:r w:rsidR="0097731A">
        <w:fldChar w:fldCharType="begin"/>
      </w:r>
      <w:r w:rsidR="00E013E7">
        <w:instrText xml:space="preserve"> ADDIN ZOTERO_ITEM CSL_CITATION {"citationID":"hG0X9RP5","properties":{"formattedCitation":"[6]","plainCitation":"[6]","noteIndex":0},"citationItems":[{"id":338,"uris":["http://zotero.org/users/17573427/items/GC7QVJCQ"],"itemData":{"id":338,"type":"article","abstract":"Large language models (LLMs) have demonstrated notable potential in conducting complex tasks and are increasingly utilized in various financial applications. However, high-quality sequential financial investment decision-making remains challenging. These tasks require multiple interactions with a volatile environment for every decision, demanding sufficient intelligence to maximize returns and manage risks. Although LLMs have been used to develop agent systems that surpass human teams and yield impressive investment returns, opportunities to enhance multi-sourced information synthesis and optimize decision-making outcomes through timely experience refinement remain unexplored. Here, we introduce the FinCon, an LLM-based multi-agent framework with CONceptual verbal reinforcement tailored for diverse FINancial tasks. Inspired by effective real-world investment firm organizational structures, FinCon utilizes a manager-analyst communication hierarchy. This structure allows for synchronized cross-functional agent collaboration towards unified goals through natural language interactions and equips each agent with greater memory capacity than humans. Additionally, a risk-control component in FinCon enhances decision quality by episodically initiating a self-critiquing mechanism to update systematic investment beliefs. The conceptualized beliefs serve as verbal reinforcement for the future agent's behavior and can be selectively propagated to the appropriate node that requires knowledge updates. This feature significantly improves performance while reducing unnecessary peer-to-peer communication costs. Moreover, FinCon demonstrates strong generalization capabilities in various financial tasks, including single stock trading and portfolio management.","DOI":"10.48550/arXiv.2407.06567","language":"en","note":"arXiv:2407.06567 [cs]","number":"arXiv:2407.06567","publisher":"arXiv","source":"arXiv.org","title":"FinCon: A Synthesized LLM Multi-Agent System with Conceptual Verbal Reinforcement for Enhanced Financial Decision Making","title-short":"FinCon","URL":"http://arxiv.org/abs/2407.06567","author":[{"family":"Yu","given":"Yangyang"},{"family":"Yao","given":"Zhiyuan"},{"family":"Li","given":"Haohang"},{"family":"Deng","given":"Zhiyang"},{"family":"Cao","given":"Yupeng"},{"family":"Chen","given":"Zhi"},{"family":"Suchow","given":"Jordan W."},{"family":"Liu","given":"Rong"},{"family":"Cui","given":"Zhenyu"},{"family":"Xu","given":"Zhaozhuo"},{"family":"Zhang","given":"Denghui"},{"family":"Subbalakshmi","given":"Koduvayur"},{"family":"Xiong","given":"Guojun"},{"family":"He","given":"Yueru"},{"family":"Huang","given":"Jimin"},{"family":"Li","given":"Dong"},{"family":"Xie","given":"Qianqian"}],"accessed":{"date-parts":[["2026",4,6]]},"issued":{"date-parts":[["2024",11,7]]}}}],"schema":"https://github.com/citation-style-language/schema/raw/master/csl-citation.json"} </w:instrText>
      </w:r>
      <w:r w:rsidR="0097731A">
        <w:fldChar w:fldCharType="separate"/>
      </w:r>
      <w:r w:rsidR="00E013E7" w:rsidRPr="00E013E7">
        <w:rPr>
          <w:rFonts w:ascii="Aptos" w:hAnsi="Aptos"/>
          <w:sz w:val="22"/>
        </w:rPr>
        <w:t>[6]</w:t>
      </w:r>
      <w:bookmarkEnd w:id="15"/>
      <w:r w:rsidR="0097731A">
        <w:fldChar w:fldCharType="end"/>
      </w:r>
    </w:p>
    <w:p w14:paraId="5E3CF8BF" w14:textId="77777777" w:rsidR="006D350D" w:rsidRDefault="006D350D" w:rsidP="00CF72F2"/>
    <w:p w14:paraId="7F075E55" w14:textId="77777777" w:rsidR="00AD60AE" w:rsidRDefault="006D350D" w:rsidP="00AD60AE">
      <w:pPr>
        <w:keepNext/>
        <w:ind w:left="720"/>
      </w:pPr>
      <w:r w:rsidRPr="006D350D">
        <w:rPr>
          <w:noProof/>
        </w:rPr>
        <w:drawing>
          <wp:inline distT="0" distB="0" distL="0" distR="0" wp14:anchorId="688905E8" wp14:editId="097D4C66">
            <wp:extent cx="5731510" cy="2252980"/>
            <wp:effectExtent l="0" t="0" r="2540" b="0"/>
            <wp:docPr id="2075481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481750" name=""/>
                    <pic:cNvPicPr/>
                  </pic:nvPicPr>
                  <pic:blipFill>
                    <a:blip r:embed="rId11"/>
                    <a:stretch>
                      <a:fillRect/>
                    </a:stretch>
                  </pic:blipFill>
                  <pic:spPr>
                    <a:xfrm>
                      <a:off x="0" y="0"/>
                      <a:ext cx="5731510" cy="2252980"/>
                    </a:xfrm>
                    <a:prstGeom prst="rect">
                      <a:avLst/>
                    </a:prstGeom>
                  </pic:spPr>
                </pic:pic>
              </a:graphicData>
            </a:graphic>
          </wp:inline>
        </w:drawing>
      </w:r>
    </w:p>
    <w:p w14:paraId="3A863FB2" w14:textId="281891FD" w:rsidR="00CF72F2" w:rsidRDefault="00AD60AE" w:rsidP="00AD60AE">
      <w:pPr>
        <w:pStyle w:val="Caption"/>
      </w:pPr>
      <w:r>
        <w:t xml:space="preserve">                             </w:t>
      </w:r>
      <w:bookmarkStart w:id="16" w:name="_Toc228816048"/>
      <w:r>
        <w:t xml:space="preserve">Figure </w:t>
      </w:r>
      <w:fldSimple w:instr=" SEQ Figure \* ARABIC ">
        <w:r w:rsidR="006C3897">
          <w:rPr>
            <w:noProof/>
          </w:rPr>
          <w:t>3</w:t>
        </w:r>
      </w:fldSimple>
      <w:r>
        <w:t xml:space="preserve">: </w:t>
      </w:r>
      <w:r w:rsidRPr="00D40C2D">
        <w:t xml:space="preserve">M-GRPO workflow showing how Main Agent and Sub-agents process queries together </w:t>
      </w:r>
      <w:r w:rsidR="0097731A">
        <w:fldChar w:fldCharType="begin"/>
      </w:r>
      <w:r w:rsidR="00E013E7">
        <w:instrText xml:space="preserve"> ADDIN ZOTERO_ITEM CSL_CITATION {"citationID":"99vG9wLy","properties":{"formattedCitation":"[7]","plainCitation":"[7]","noteIndex":0},"citationItems":[{"id":340,"uris":["http://zotero.org/users/17573427/items/699MQ7AX"],"itemData":{"id":340,"type":"article","abstract":"Multi-agent systems perform well on general reasoning tasks. However, the lack of training in specialized areas hinders their accuracy. Current training methods train a unified large language model (LLM) for all agents in the system. This may limit the performances due to different distributions underlying for different agents. Therefore, training multi-agent systems with distinct LLMs should be the next step to solve. However, this approach introduces optimization challenges. For example, agents operate at different frequencies, rollouts involve varying sub-agent invocations, and agents are often deployed across separate servers, disrupting end-to-end gradient flow. To address these issues, we propose M-GRPO, a hierarchical extension of Group Relative Policy Optimization designed for vertical Multi-agent systems with a main agent (planner) and multiple sub-agents (multi-turn tool executors). M-GRPO computes group-relative advantages for both main and sub-agents, maintaining hierarchical credit assignment. It also introduces a trajectory-alignment scheme that generates fixed-size batches despite variable sub-agent invocations. We deploy a decoupled training pipeline in which agents run on separate servers and exchange minimal statistics via a shared store. This enables scalable training without cross-server backpropagation. In experiments on real-world benchmarks (e.g., GAIA, XBench-DeepSearch, and WebWalkerQA), M-GRPO consistently outperforms both single-agent GRPO and multi-agent GRPO with frozen sub-agents, demonstrating improved stability and sample efficiency. These results show that aligning heterogeneous trajectories and decoupling optimization across specialized agents enhances tool-augmented reasoning tasks.","DOI":"10.48550/arXiv.2511.13288","language":"en","note":"arXiv:2511.13288 [cs]","number":"arXiv:2511.13288","publisher":"arXiv","source":"arXiv.org","title":"Multi-Agent Deep Research: Training Multi-Agent Systems with M-GRPO","title-short":"Multi-Agent Deep Research","URL":"http://arxiv.org/abs/2511.13288","author":[{"family":"Hong","given":"Haoyang"},{"family":"Yin","given":"Jiajun"},{"family":"Wang","given":"Yuan"},{"family":"Liu","given":"Jingnan"},{"family":"Chen","given":"Zhe"},{"family":"Yu","given":"Ailing"},{"family":"Li","given":"Ji"},{"family":"Ye","given":"Zhiling"},{"family":"Xiao","given":"Hansong"},{"family":"Chen","given":"Yefei"},{"family":"Zhou","given":"Hualei"},{"family":"Yue","given":"Yun"},{"family":"Yang","given":"Minghui"},{"family":"Guo","given":"Chunxiao"},{"family":"Liu","given":"Junwei"},{"family":"Wei","given":"Peng"},{"family":"Gu","given":"Jinjie"}],"accessed":{"date-parts":[["2026",4,6]]},"issued":{"date-parts":[["2025",11,18]]}}}],"schema":"https://github.com/citation-style-language/schema/raw/master/csl-citation.json"} </w:instrText>
      </w:r>
      <w:r w:rsidR="0097731A">
        <w:fldChar w:fldCharType="separate"/>
      </w:r>
      <w:r w:rsidR="00E013E7" w:rsidRPr="00E013E7">
        <w:rPr>
          <w:rFonts w:ascii="Aptos" w:hAnsi="Aptos"/>
          <w:sz w:val="22"/>
        </w:rPr>
        <w:t>[7]</w:t>
      </w:r>
      <w:bookmarkEnd w:id="16"/>
      <w:r w:rsidR="0097731A">
        <w:fldChar w:fldCharType="end"/>
      </w:r>
    </w:p>
    <w:p w14:paraId="2945241F" w14:textId="77777777" w:rsidR="00AD60AE" w:rsidRPr="00AD60AE" w:rsidRDefault="00AD60AE" w:rsidP="00AD60AE"/>
    <w:p w14:paraId="0030CA7E" w14:textId="3F56F968" w:rsidR="00CB0F7F" w:rsidRDefault="00A62814" w:rsidP="00AB3DBF">
      <w:pPr>
        <w:jc w:val="both"/>
      </w:pPr>
      <w:r w:rsidRPr="00A62814">
        <w:t xml:space="preserve">Despite these advances several critical gaps remain across all reviewed systems. Every system relies on fixed prompts that never adapt based on trading outcomes, meaning agents continue following the same instructions even when market conditions change dramatically </w:t>
      </w:r>
      <w:r w:rsidR="00E4562C" w:rsidRPr="00AB1B71">
        <w:t xml:space="preserve">effectively </w:t>
      </w:r>
      <w:r w:rsidR="00E4562C">
        <w:fldChar w:fldCharType="begin"/>
      </w:r>
      <w:r w:rsidR="008A6CAB">
        <w:instrText xml:space="preserve"> ADDIN ZOTERO_ITEM CSL_CITATION {"citationID":"5FzyZjhM","properties":{"formattedCitation":"[4]","plainCitation":"[4]","noteIndex":0},"citationItems":[{"id":341,"uris":["http://zotero.org/users/17573427/items/ZASHCGAF"],"itemData":{"id":341,"type":"article","abstract":"Recent advancements in Large Language Models (LLMs) have exhibited notable efficacy in questionanswering (QA) tasks across diverse domains. Their prowess in integrating extensive web knowledge has fueled interest in developing LLM-based autonomous agents. While LLMs are efficient in decoding human instructions and deriving solutions by holistically processing historical inputs, transitioning to purpose-driven agents requires a supplementary rational architecture to process multi-source information, establish reasoning chains, and prioritize critical tasks. Addressing this, we introduce FINMEM, a novel LLM-based agent framework devised for financial decision-making. It encompasses three core modules: Profiling, to customize the agent’s characteristics; Memory, with layered message processing, to aid the agent in assimilating hierarchical financial data; and Decision-making, to convert insights gained from memories into investment decisions. Notably, FINMEM’s memory module aligns closely with the cognitive structure of human traders, offering robust interpretability and real-time tuning. Its adjustable cognitive span allows for the retention of critical information beyond human perceptual limits, thereby enhancing trading outcomes. This framework enables the agent to self-evolve its professional knowledge, react agilely to new investment cues, and continuously refine trading decisions in the volatile financial environment. We first compare FINMEM with various algorithmic agents on a scalable real-world financial dataset, underscoring its leading trading performance in stocks. We then fine-tuned the agent’s perceptual span and character setting to achieve a significantly enhanced trading performance. Collectively, FINMEM presents a cutting-edge LLM agent framework for automated trading, boosting cumulative investment returns.","DOI":"10.48550/arXiv.2311.13743","language":"en","note":"arXiv:2311.13743 [q-fin]","number":"arXiv:2311.13743","publisher":"arXiv","source":"arXiv.org","title":"FinMem: A Performance-Enhanced LLM Trading Agent with Layered Memory and Character Design","title-short":"FinMem","URL":"http://arxiv.org/abs/2311.13743","author":[{"family":"Yu","given":"Yangyang"},{"family":"Li","given":"Haohang"},{"family":"Chen","given":"Zhi"},{"family":"Jiang","given":"Yuechen"},{"family":"Li","given":"Yang"},{"family":"Zhang","given":"Denghui"},{"family":"Liu","given":"Rong"},{"family":"Suchow","given":"Jordan W."},{"family":"Khashanah","given":"Khaldoun"}],"accessed":{"date-parts":[["2026",4,6]]},"issued":{"date-parts":[["2023",12,3]]}}}],"schema":"https://github.com/citation-style-language/schema/raw/master/csl-citation.json"} </w:instrText>
      </w:r>
      <w:r w:rsidR="00E4562C">
        <w:fldChar w:fldCharType="separate"/>
      </w:r>
      <w:r w:rsidR="00E4562C" w:rsidRPr="004F6876">
        <w:rPr>
          <w:rFonts w:ascii="Aptos" w:hAnsi="Aptos"/>
        </w:rPr>
        <w:t>[4]</w:t>
      </w:r>
      <w:r w:rsidR="00E4562C">
        <w:fldChar w:fldCharType="end"/>
      </w:r>
      <w:r w:rsidR="00E4562C" w:rsidRPr="00A62814">
        <w:t xml:space="preserve"> </w:t>
      </w:r>
      <w:r w:rsidR="00E4562C">
        <w:fldChar w:fldCharType="begin"/>
      </w:r>
      <w:r w:rsidR="008A6CAB">
        <w:instrText xml:space="preserve"> ADDIN ZOTERO_ITEM CSL_CITATION {"citationID":"OxOLplOI","properties":{"formattedCitation":"[5]","plainCitation":"[5]","noteIndex":0},"citationItems":[{"id":336,"uris":["http://zotero.org/users/17573427/items/I6UEH74C"],"itemData":{"id":336,"type":"article","abstract":"Significant progress has been made in automated problem-solving using societies of agents powered by large language models (LLMs). In finance, efforts have largely focused on single-agent systems handling specific tasks or multi-agent frameworks independently gathering data. However, the multi-agent systems' potential to replicate real-world trading firms' collaborative dynamics remains underexplored. TradingAgents proposes a novel stock trading framework inspired by trading firms, featuring LLM-powered agents in specialized roles such as fundamental analysts, sentiment analysts, technical analysts, and traders with varied risk profiles. The framework includes Bull and Bear researcher agents assessing market conditions, a risk management team monitoring exposure, and traders synthesizing insights from debates and historical data to make informed decisions. By simulating a dynamic, collaborative trading environment, this framework aims to improve trading performance. Detailed architecture and extensive experiments reveal its superiority over baseline models, with notable improvements in cumulative returns, Sharpe ratio, and maximum drawdown, highlighting the potential of multi-agent LLM frameworks in financial trading. TradingAgents is available at https://github.com/TauricResearch/TradingAgents.","DOI":"10.48550/arXiv.2412.20138","language":"en","note":"arXiv:2412.20138 [q-fin]","number":"arXiv:2412.20138","publisher":"arXiv","source":"arXiv.org","title":"TradingAgents: Multi-Agents LLM Financial Trading Framework","title-short":"TradingAgents","URL":"http://arxiv.org/abs/2412.20138","author":[{"family":"Xiao","given":"Yijia"},{"family":"Sun","given":"Edward"},{"family":"Luo","given":"Di"},{"family":"Wang","given":"Wei"}],"accessed":{"date-parts":[["2026",4,6]]},"issued":{"date-parts":[["2025",6,3]]}}}],"schema":"https://github.com/citation-style-language/schema/raw/master/csl-citation.json"} </w:instrText>
      </w:r>
      <w:r w:rsidR="00E4562C">
        <w:fldChar w:fldCharType="separate"/>
      </w:r>
      <w:r w:rsidR="00E4562C" w:rsidRPr="004F6876">
        <w:rPr>
          <w:rFonts w:ascii="Aptos" w:hAnsi="Aptos"/>
        </w:rPr>
        <w:t>[5]</w:t>
      </w:r>
      <w:r w:rsidR="00E4562C">
        <w:fldChar w:fldCharType="end"/>
      </w:r>
      <w:r w:rsidR="00E4562C" w:rsidRPr="00E4562C">
        <w:t xml:space="preserve"> </w:t>
      </w:r>
      <w:r w:rsidR="00E4562C">
        <w:fldChar w:fldCharType="begin"/>
      </w:r>
      <w:r w:rsidR="008A6CAB">
        <w:instrText xml:space="preserve"> ADDIN ZOTERO_ITEM CSL_CITATION {"citationID":"mvN3v4en","properties":{"formattedCitation":"[6]","plainCitation":"[6]","noteIndex":0},"citationItems":[{"id":338,"uris":["http://zotero.org/users/17573427/items/GC7QVJCQ"],"itemData":{"id":338,"type":"article","abstract":"Large language models (LLMs) have demonstrated notable potential in conducting complex tasks and are increasingly utilized in various financial applications. However, high-quality sequential financial investment decision-making remains challenging. These tasks require multiple interactions with a volatile environment for every decision, demanding sufficient intelligence to maximize returns and manage risks. Although LLMs have been used to develop agent systems that surpass human teams and yield impressive investment returns, opportunities to enhance multi-sourced information synthesis and optimize decision-making outcomes through timely experience refinement remain unexplored. Here, we introduce the FinCon, an LLM-based multi-agent framework with CONceptual verbal reinforcement tailored for diverse FINancial tasks. Inspired by effective real-world investment firm organizational structures, FinCon utilizes a manager-analyst communication hierarchy. This structure allows for synchronized cross-functional agent collaboration towards unified goals through natural language interactions and equips each agent with greater memory capacity than humans. Additionally, a risk-control component in FinCon enhances decision quality by episodically initiating a self-critiquing mechanism to update systematic investment beliefs. The conceptualized beliefs serve as verbal reinforcement for the future agent's behavior and can be selectively propagated to the appropriate node that requires knowledge updates. This feature significantly improves performance while reducing unnecessary peer-to-peer communication costs. Moreover, FinCon demonstrates strong generalization capabilities in various financial tasks, including single stock trading and portfolio management.","DOI":"10.48550/arXiv.2407.06567","language":"en","note":"arXiv:2407.06567 [cs]","number":"arXiv:2407.06567","publisher":"arXiv","source":"arXiv.org","title":"FinCon: A Synthesized LLM Multi-Agent System with Conceptual Verbal Reinforcement for Enhanced Financial Decision Making","title-short":"FinCon","URL":"http://arxiv.org/abs/2407.06567","author":[{"family":"Yu","given":"Yangyang"},{"family":"Yao","given":"Zhiyuan"},{"family":"Li","given":"Haohang"},{"family":"Deng","given":"Zhiyang"},{"family":"Cao","given":"Yupeng"},{"family":"Chen","given":"Zhi"},{"family":"Suchow","given":"Jordan W."},{"family":"Liu","given":"Rong"},{"family":"Cui","given":"Zhenyu"},{"family":"Xu","given":"Zhaozhuo"},{"family":"Zhang","given":"Denghui"},{"family":"Subbalakshmi","given":"Koduvayur"},{"family":"Xiong","given":"Guojun"},{"family":"He","given":"Yueru"},{"family":"Huang","given":"Jimin"},{"family":"Li","given":"Dong"},{"family":"Xie","given":"Qianqian"}],"accessed":{"date-parts":[["2026",4,6]]},"issued":{"date-parts":[["2024",11,7]]}}}],"schema":"https://github.com/citation-style-language/schema/raw/master/csl-citation.json"} </w:instrText>
      </w:r>
      <w:r w:rsidR="00E4562C">
        <w:fldChar w:fldCharType="separate"/>
      </w:r>
      <w:r w:rsidR="00E4562C" w:rsidRPr="00E4562C">
        <w:rPr>
          <w:rFonts w:ascii="Aptos" w:hAnsi="Aptos"/>
        </w:rPr>
        <w:t>[6]</w:t>
      </w:r>
      <w:r w:rsidR="00E4562C">
        <w:fldChar w:fldCharType="end"/>
      </w:r>
      <w:r w:rsidR="00E4562C">
        <w:t xml:space="preserve">, </w:t>
      </w:r>
      <w:r w:rsidR="00E4562C">
        <w:fldChar w:fldCharType="begin"/>
      </w:r>
      <w:r w:rsidR="008A6CAB">
        <w:instrText xml:space="preserve"> ADDIN ZOTERO_ITEM CSL_CITATION {"citationID":"haPYFdii","properties":{"formattedCitation":"[7]","plainCitation":"[7]","noteIndex":0},"citationItems":[{"id":340,"uris":["http://zotero.org/users/17573427/items/699MQ7AX"],"itemData":{"id":340,"type":"article","abstract":"Multi-agent systems perform well on general reasoning tasks. However, the lack of training in specialized areas hinders their accuracy. Current training methods train a unified large language model (LLM) for all agents in the system. This may limit the performances due to different distributions underlying for different agents. Therefore, training multi-agent systems with distinct LLMs should be the next step to solve. However, this approach introduces optimization challenges. For example, agents operate at different frequencies, rollouts involve varying sub-agent invocations, and agents are often deployed across separate servers, disrupting end-to-end gradient flow. To address these issues, we propose M-GRPO, a hierarchical extension of Group Relative Policy Optimization designed for vertical Multi-agent systems with a main agent (planner) and multiple sub-agents (multi-turn tool executors). M-GRPO computes group-relative advantages for both main and sub-agents, maintaining hierarchical credit assignment. It also introduces a trajectory-alignment scheme that generates fixed-size batches despite variable sub-agent invocations. We deploy a decoupled training pipeline in which agents run on separate servers and exchange minimal statistics via a shared store. This enables scalable training without cross-server backpropagation. In experiments on real-world benchmarks (e.g., GAIA, XBench-DeepSearch, and WebWalkerQA), M-GRPO consistently outperforms both single-agent GRPO and multi-agent GRPO with frozen sub-agents, demonstrating improved stability and sample efficiency. These results show that aligning heterogeneous trajectories and decoupling optimization across specialized agents enhances tool-augmented reasoning tasks.","DOI":"10.48550/arXiv.2511.13288","language":"en","note":"arXiv:2511.13288 [cs]","number":"arXiv:2511.13288","publisher":"arXiv","source":"arXiv.org","title":"Multi-Agent Deep Research: Training Multi-Agent Systems with M-GRPO","title-short":"Multi-Agent Deep Research","URL":"http://arxiv.org/abs/2511.13288","author":[{"family":"Hong","given":"Haoyang"},{"family":"Yin","given":"Jiajun"},{"family":"Wang","given":"Yuan"},{"family":"Liu","given":"Jingnan"},{"family":"Chen","given":"Zhe"},{"family":"Yu","given":"Ailing"},{"family":"Li","given":"Ji"},{"family":"Ye","given":"Zhiling"},{"family":"Xiao","given":"Hansong"},{"family":"Chen","given":"Yefei"},{"family":"Zhou","given":"Hualei"},{"family":"Yue","given":"Yun"},{"family":"Yang","given":"Minghui"},{"family":"Guo","given":"Chunxiao"},{"family":"Liu","given":"Junwei"},{"family":"Wei","given":"Peng"},{"family":"Gu","given":"Jinjie"}],"accessed":{"date-parts":[["2026",4,6]]},"issued":{"date-parts":[["2025",11,18]]}}}],"schema":"https://github.com/citation-style-language/schema/raw/master/csl-citation.json"} </w:instrText>
      </w:r>
      <w:r w:rsidR="00E4562C">
        <w:fldChar w:fldCharType="separate"/>
      </w:r>
      <w:r w:rsidR="00E4562C" w:rsidRPr="00E4562C">
        <w:rPr>
          <w:rFonts w:ascii="Aptos" w:hAnsi="Aptos"/>
        </w:rPr>
        <w:t>[7]</w:t>
      </w:r>
      <w:r w:rsidR="00E4562C">
        <w:fldChar w:fldCharType="end"/>
      </w:r>
      <w:r w:rsidR="00E4562C">
        <w:t xml:space="preserve">, </w:t>
      </w:r>
      <w:r w:rsidR="00E4562C">
        <w:fldChar w:fldCharType="begin"/>
      </w:r>
      <w:r w:rsidR="008A6CAB">
        <w:instrText xml:space="preserve"> ADDIN ZOTERO_ITEM CSL_CITATION {"citationID":"DdMI5heG","properties":{"formattedCitation":"[8]","plainCitation":"[8]","noteIndex":0},"citationItems":[{"id":342,"uris":["http://zotero.org/users/17573427/items/5UFSCGTH"],"itemData":{"id":342,"type":"article","abstract":"As financial markets grow increasingly complex, there is a rising need for automated tools that can effectively assist human analysts in equity research, particularly within sell-side research. While Generative AI (GenAI) has attracted significant attention in this field, existing AI solutions often fall short due to their narrow focus on technical factors and limited capacity for discretionary judgment. These limitations hinder their ability to adapt to new data in real-time and accurately assess risks, which diminishes their practical value for investors.","DOI":"10.48550/arXiv.2411.08804","language":"en","note":"arXiv:2411.08804 [q-fin]","number":"arXiv:2411.08804","publisher":"arXiv","source":"arXiv.org","title":"FinRobot: AI Agent for Equity Research and Valuation with Large Language Models","title-short":"FinRobot","URL":"http://arxiv.org/abs/2411.08804","author":[{"family":"Zhou","given":"Tianyu"},{"family":"Wang","given":"Pinqiao"},{"family":"Wu","given":"Yilin"},{"family":"Yang","given":"Hongyang"}],"accessed":{"date-parts":[["2026",4,6]]},"issued":{"date-parts":[["2024",11,13]]}}}],"schema":"https://github.com/citation-style-language/schema/raw/master/csl-citation.json"} </w:instrText>
      </w:r>
      <w:r w:rsidR="00E4562C">
        <w:fldChar w:fldCharType="separate"/>
      </w:r>
      <w:r w:rsidR="00E4562C" w:rsidRPr="00E4562C">
        <w:rPr>
          <w:rFonts w:ascii="Aptos" w:hAnsi="Aptos"/>
        </w:rPr>
        <w:t>[8]</w:t>
      </w:r>
      <w:r w:rsidR="00E4562C">
        <w:fldChar w:fldCharType="end"/>
      </w:r>
      <w:r w:rsidR="00E4562C">
        <w:t xml:space="preserve">, </w:t>
      </w:r>
      <w:r w:rsidR="00E4562C">
        <w:fldChar w:fldCharType="begin"/>
      </w:r>
      <w:r w:rsidR="008A6CAB">
        <w:instrText xml:space="preserve"> ADDIN ZOTERO_ITEM CSL_CITATION {"citationID":"Qx1KK0bI","properties":{"formattedCitation":"[9]","plainCitation":"[9]","noteIndex":0},"citationItems":[{"id":344,"uris":["http://zotero.org/users/17573427/items/VBG38WA9"],"itemData":{"id":344,"type":"article","abstract":"Autonomous agents based on Large Language Models (LLMs) that devise plans and tackle real-world challenges have gained prominence. However, tailoring these agents for specialized domains like quantitative investment remains a formidable task. The core challenge involves efficiently building and integrating a domain-specific knowledge base for the agent’s learning process. This paper introduces a principled framework to address this challenge, comprising a two-layer loop. In the inner loop, the agent refines its responses by drawing from its knowledge base, while in the outer loop, these responses are tested in real-world scenarios to automatically enhance the knowledge base with new insights. We demonstrate that our approach enables the agent to progressively approximate optimal behavior with provable efficiency. Furthermore, we instantiate this framework through an autonomous agent for mining trading signals named QuantAgent. Empirical results showcase QuantAgent’s capability in uncovering viable financial signals and enhancing the accuracy of financial forecasts.","DOI":"10.48550/arXiv.2402.03755","language":"en","note":"arXiv:2402.03755 [cs]","number":"arXiv:2402.03755","publisher":"arXiv","source":"arXiv.org","title":"QuantAgent: Seeking Holy Grail in Trading by Self-Improving Large Language Model","title-short":"QuantAgent","URL":"http://arxiv.org/abs/2402.03755","author":[{"family":"Wang","given":"Saizhuo"},{"family":"Yuan","given":"Hang"},{"family":"Ni","given":"Lionel M."},{"family":"Guo","given":"Jian"}],"accessed":{"date-parts":[["2026",4,6]]},"issued":{"date-parts":[["2024",2,6]]}}}],"schema":"https://github.com/citation-style-language/schema/raw/master/csl-citation.json"} </w:instrText>
      </w:r>
      <w:r w:rsidR="00E4562C">
        <w:fldChar w:fldCharType="separate"/>
      </w:r>
      <w:r w:rsidR="00E4562C" w:rsidRPr="00E4562C">
        <w:rPr>
          <w:rFonts w:ascii="Aptos" w:hAnsi="Aptos"/>
        </w:rPr>
        <w:t>[9]</w:t>
      </w:r>
      <w:r w:rsidR="00E4562C">
        <w:fldChar w:fldCharType="end"/>
      </w:r>
      <w:r w:rsidRPr="00A62814">
        <w:t>. None of the reviewed systems incorporates macroeconomic analysis agents covering factors such as interest rates and inflation, and none implement dynamic trailing stop-loss and take-profit mechanisms that continuously adjust to protect gains and limit losses during volatile periods. These gaps directly motivate the framework proposed in this research.</w:t>
      </w:r>
    </w:p>
    <w:p w14:paraId="6F572A89" w14:textId="77777777" w:rsidR="00A62814" w:rsidRDefault="00A62814" w:rsidP="00AB3DBF">
      <w:pPr>
        <w:jc w:val="both"/>
      </w:pPr>
    </w:p>
    <w:p w14:paraId="359AF583" w14:textId="77777777" w:rsidR="00CB0F7F" w:rsidRDefault="00CB0F7F" w:rsidP="00AB3DBF">
      <w:pPr>
        <w:pStyle w:val="Heading3"/>
        <w:jc w:val="both"/>
      </w:pPr>
      <w:bookmarkStart w:id="17" w:name="_Toc228577617"/>
      <w:r w:rsidRPr="00CB0F7F">
        <w:lastRenderedPageBreak/>
        <w:t xml:space="preserve">2.2 Prompt Optimisation and </w:t>
      </w:r>
      <w:proofErr w:type="spellStart"/>
      <w:r w:rsidRPr="00CB0F7F">
        <w:t>DSPy</w:t>
      </w:r>
      <w:proofErr w:type="spellEnd"/>
      <w:r w:rsidRPr="00CB0F7F">
        <w:t xml:space="preserve"> Frameworks</w:t>
      </w:r>
      <w:bookmarkEnd w:id="17"/>
    </w:p>
    <w:p w14:paraId="2E690684" w14:textId="77777777" w:rsidR="00CB0F7F" w:rsidRPr="00CB0F7F" w:rsidRDefault="00CB0F7F" w:rsidP="00AB3DBF">
      <w:pPr>
        <w:jc w:val="both"/>
      </w:pPr>
    </w:p>
    <w:p w14:paraId="5A56A63A" w14:textId="171FA161" w:rsidR="00E947B8" w:rsidRDefault="001C7730" w:rsidP="00AB3DBF">
      <w:pPr>
        <w:jc w:val="both"/>
      </w:pPr>
      <w:r w:rsidRPr="001C7730">
        <w:t>How well LLMs will respond is heavily dependent on how they are prompted, yet traditional prompt engineering relies on manual trial and error, which is time-consuming, requires expertise, and often does not work properly when applied to different models or tasks</w:t>
      </w:r>
      <w:r w:rsidR="004A2486">
        <w:t xml:space="preserve"> </w:t>
      </w:r>
      <w:r w:rsidR="004A2486">
        <w:fldChar w:fldCharType="begin"/>
      </w:r>
      <w:r w:rsidR="00E4562C">
        <w:instrText xml:space="preserve"> ADDIN ZOTERO_ITEM CSL_CITATION {"citationID":"kUk2nIHz","properties":{"formattedCitation":"[10]","plainCitation":"[10]","noteIndex":0},"citationItems":[{"id":432,"uris":["http://zotero.org/users/17573427/items/KRQTYE4P"],"itemData":{"id":432,"type":"article","abstract":"Prompt engineering represents a critical bottleneck to harness the full potential of Large Language Models (LLMs) for solving complex tasks, as it requires specialized expertise, significant trial-and-error, and manual intervention. This challenge is particularly pronounced for tasks involving subjective quality assessment, where defining explicit optimization objectives becomes fundamentally problematic. Existing automated prompt optimization methods falter in these scenarios, as they typically require well-defined task-specific numerical fitness functions or rely on generic templates that cannot capture the nuanced requirements of complex use cases. We introduce DEEVO (DEbate-driven EVOlutionary prompt optimization), a novel framework that guides prompt evolution through a debate-driven evaluation with an Elo-based selection. Contrary to prior work, DEEVOs approach enables exploration of the discrete prompt space while preserving semantic coherence through intelligent crossover and strategic mutation operations that incorporate debate-based feedback, combining elements from both successful and unsuccessful prompts based on identified strengths rather than arbitrary splicing. Using Elo ratings as a fitness proxy, DEEVO simultaneously drives improvement and preserves valuable diversity in the prompt population. Experimental results demonstrate that DEEVO significantly outperforms both manual prompt engineering and alternative state-of-the-art optimization approaches on open-ended tasks and close-ended tasks despite using no ground truth feedback. By connecting LLMs reasoning capabilities with adaptive optimization, DEEVO represents a significant advancement in prompt optimization research by eliminating the need of predetermined metrics to continuously improve AI systems.","DOI":"10.48550/arXiv.2506.00178","language":"en","note":"arXiv:2506.00178 [cs]","number":"arXiv:2506.00178","publisher":"arXiv","source":"arXiv.org","title":"Tournament of Prompts: Evolving LLM Instructions Through Structured Debates and Elo Ratings","title-short":"Tournament of Prompts","URL":"http://arxiv.org/abs/2506.00178","author":[{"family":"Nair","given":"Anirudh"},{"family":"Banerjee","given":"Adi"},{"family":"Mombaerts","given":"Laurent"},{"family":"Hagen","given":"Matthew"},{"family":"Borogovac","given":"Tarik"}],"accessed":{"date-parts":[["2026",4,22]]},"issued":{"date-parts":[["2025",7,22]]}}}],"schema":"https://github.com/citation-style-language/schema/raw/master/csl-citation.json"} </w:instrText>
      </w:r>
      <w:r w:rsidR="004A2486">
        <w:fldChar w:fldCharType="separate"/>
      </w:r>
      <w:r w:rsidR="00E4562C" w:rsidRPr="00E4562C">
        <w:rPr>
          <w:rFonts w:ascii="Aptos" w:hAnsi="Aptos"/>
        </w:rPr>
        <w:t>[10]</w:t>
      </w:r>
      <w:r w:rsidR="004A2486">
        <w:fldChar w:fldCharType="end"/>
      </w:r>
      <w:r w:rsidR="00B0299E">
        <w:t xml:space="preserve">, </w:t>
      </w:r>
      <w:r w:rsidR="00184467">
        <w:fldChar w:fldCharType="begin"/>
      </w:r>
      <w:r w:rsidR="00E4562C">
        <w:instrText xml:space="preserve"> ADDIN ZOTERO_ITEM CSL_CITATION {"citationID":"onS59kjD","properties":{"formattedCitation":"[11]","plainCitation":"[11]","noteIndex":0},"citationItems":[{"id":351,"uris":["http://zotero.org/users/17573427/items/EZYNV4SS"],"itemData":{"id":351,"type":"article","abstract":"The ML community is rapidly exploring techniques for prompting language models (LMs) and for stacking them into pipelines that solve complex tasks. Unfortunately, existing LM pipelines are typically implemented using hard-coded “prompt templates”, i.e. lengthy strings discovered via trial and error. Toward a more systematic approach for developing and optimizing LM pipelines, we introduce DSPy, a programming model that abstracts LM pipelines as text transformation graphs, i.e. imperative computation graphs where LMs are invoked through declarative modules. DSPy modules are parameterized, meaning they can learn (by creating and collecting demonstrations) how to apply compositions of prompting, finetuning, augmentation, and reasoning techniques. We design a compiler that will optimize any DSPy pipeline to maximize a given metric. We conduct two case studies, showing that succinct DSPy programs can express and optimize sophisticated LM pipelines that reason about math word problems, tackle multihop retrieval, answer complex questions, and control agent loops. Within minutes of compiling, a few lines of DSPy allow GPT-3.5 and llama2-13b-chat to selfbootstrap pipelines that outperform standard few-shot prompting (generally by over 25% and 65%, respectively) and pipelines with expert-created demonstrations (by up to 5–46% and 16–40%, respectively). On top of that, DSPy programs compiled to open and relatively small LMs like 770M-parameter T5 and llama2-13b-chat are competitive with approaches that rely on expert-written prompt chains for proprietary GPT-3.5.","DOI":"10.48550/arXiv.2310.03714","language":"en","note":"arXiv:2310.03714 [cs]","number":"arXiv:2310.03714","publisher":"arXiv","source":"arXiv.org","title":"DSPy: Compiling Declarative Language Model Calls into Self-Improving Pipelines","title-short":"DSPy","URL":"http://arxiv.org/abs/2310.03714","author":[{"family":"Khattab","given":"Omar"},{"family":"Singhvi","given":"Arnav"},{"family":"Maheshwari","given":"Paridhi"},{"family":"Zhang","given":"Zhiyuan"},{"family":"Santhanam","given":"Keshav"},{"family":"Vardhamanan","given":"Sri"},{"family":"Haq","given":"Saiful"},{"family":"Sharma","given":"Ashutosh"},{"family":"Joshi","given":"Thomas T."},{"family":"Moazam","given":"Hanna"},{"family":"Miller","given":"Heather"},{"family":"Zaharia","given":"Matei"},{"family":"Potts","given":"Christopher"}],"accessed":{"date-parts":[["2026",4,6]]},"issued":{"date-parts":[["2023",10,5]]}}}],"schema":"https://github.com/citation-style-language/schema/raw/master/csl-citation.json"} </w:instrText>
      </w:r>
      <w:r w:rsidR="00184467">
        <w:fldChar w:fldCharType="separate"/>
      </w:r>
      <w:r w:rsidR="00E4562C" w:rsidRPr="00E4562C">
        <w:rPr>
          <w:rFonts w:ascii="Aptos" w:hAnsi="Aptos"/>
        </w:rPr>
        <w:t>[11]</w:t>
      </w:r>
      <w:r w:rsidR="00184467">
        <w:fldChar w:fldCharType="end"/>
      </w:r>
      <w:r w:rsidRPr="001C7730">
        <w:t>. This problem becomes worse in multi-stage pipelines where multiple LLM calls must work together, as a small change in one prompt can break the whole system</w:t>
      </w:r>
      <w:r w:rsidR="00184467">
        <w:t xml:space="preserve"> </w:t>
      </w:r>
      <w:r w:rsidR="00184467">
        <w:fldChar w:fldCharType="begin"/>
      </w:r>
      <w:r w:rsidR="00E4562C">
        <w:instrText xml:space="preserve"> ADDIN ZOTERO_ITEM CSL_CITATION {"citationID":"PkJFu55g","properties":{"formattedCitation":"[11]","plainCitation":"[11]","noteIndex":0},"citationItems":[{"id":351,"uris":["http://zotero.org/users/17573427/items/EZYNV4SS"],"itemData":{"id":351,"type":"article","abstract":"The ML community is rapidly exploring techniques for prompting language models (LMs) and for stacking them into pipelines that solve complex tasks. Unfortunately, existing LM pipelines are typically implemented using hard-coded “prompt templates”, i.e. lengthy strings discovered via trial and error. Toward a more systematic approach for developing and optimizing LM pipelines, we introduce DSPy, a programming model that abstracts LM pipelines as text transformation graphs, i.e. imperative computation graphs where LMs are invoked through declarative modules. DSPy modules are parameterized, meaning they can learn (by creating and collecting demonstrations) how to apply compositions of prompting, finetuning, augmentation, and reasoning techniques. We design a compiler that will optimize any DSPy pipeline to maximize a given metric. We conduct two case studies, showing that succinct DSPy programs can express and optimize sophisticated LM pipelines that reason about math word problems, tackle multihop retrieval, answer complex questions, and control agent loops. Within minutes of compiling, a few lines of DSPy allow GPT-3.5 and llama2-13b-chat to selfbootstrap pipelines that outperform standard few-shot prompting (generally by over 25% and 65%, respectively) and pipelines with expert-created demonstrations (by up to 5–46% and 16–40%, respectively). On top of that, DSPy programs compiled to open and relatively small LMs like 770M-parameter T5 and llama2-13b-chat are competitive with approaches that rely on expert-written prompt chains for proprietary GPT-3.5.","DOI":"10.48550/arXiv.2310.03714","language":"en","note":"arXiv:2310.03714 [cs]","number":"arXiv:2310.03714","publisher":"arXiv","source":"arXiv.org","title":"DSPy: Compiling Declarative Language Model Calls into Self-Improving Pipelines","title-short":"DSPy","URL":"http://arxiv.org/abs/2310.03714","author":[{"family":"Khattab","given":"Omar"},{"family":"Singhvi","given":"Arnav"},{"family":"Maheshwari","given":"Paridhi"},{"family":"Zhang","given":"Zhiyuan"},{"family":"Santhanam","given":"Keshav"},{"family":"Vardhamanan","given":"Sri"},{"family":"Haq","given":"Saiful"},{"family":"Sharma","given":"Ashutosh"},{"family":"Joshi","given":"Thomas T."},{"family":"Moazam","given":"Hanna"},{"family":"Miller","given":"Heather"},{"family":"Zaharia","given":"Matei"},{"family":"Potts","given":"Christopher"}],"accessed":{"date-parts":[["2026",4,6]]},"issued":{"date-parts":[["2023",10,5]]}}}],"schema":"https://github.com/citation-style-language/schema/raw/master/csl-citation.json"} </w:instrText>
      </w:r>
      <w:r w:rsidR="00184467">
        <w:fldChar w:fldCharType="separate"/>
      </w:r>
      <w:r w:rsidR="00E4562C" w:rsidRPr="00E4562C">
        <w:rPr>
          <w:rFonts w:ascii="Aptos" w:hAnsi="Aptos"/>
        </w:rPr>
        <w:t>[11]</w:t>
      </w:r>
      <w:r w:rsidR="00184467">
        <w:fldChar w:fldCharType="end"/>
      </w:r>
      <w:r w:rsidR="00184467" w:rsidRPr="001C7730">
        <w:t>.</w:t>
      </w:r>
    </w:p>
    <w:p w14:paraId="71BC5C4B" w14:textId="4538DCCC" w:rsidR="004172DB" w:rsidRDefault="001C7730" w:rsidP="00AB3DBF">
      <w:pPr>
        <w:jc w:val="both"/>
      </w:pPr>
      <w:r w:rsidRPr="001C7730">
        <w:t xml:space="preserve">Researchers understood that this manual approach does not scale and have developed automatic prompt optimisation methods that can systematically improve prompts without human intervention. </w:t>
      </w:r>
    </w:p>
    <w:p w14:paraId="74104CF2" w14:textId="3D3C1CAC" w:rsidR="003018B5" w:rsidRDefault="004172DB" w:rsidP="00AB3DBF">
      <w:pPr>
        <w:jc w:val="both"/>
      </w:pPr>
      <w:proofErr w:type="spellStart"/>
      <w:r w:rsidRPr="004172DB">
        <w:t>DSPy</w:t>
      </w:r>
      <w:proofErr w:type="spellEnd"/>
      <w:r w:rsidRPr="004172DB">
        <w:t xml:space="preserve"> addresses this by treating LLM pipelines as </w:t>
      </w:r>
      <w:proofErr w:type="spellStart"/>
      <w:r w:rsidRPr="004172DB">
        <w:t>compilable</w:t>
      </w:r>
      <w:proofErr w:type="spellEnd"/>
      <w:r w:rsidRPr="004172DB">
        <w:t xml:space="preserve"> text transformation graphs, automatically optimising prompts through collected traces of correct intermediate steps </w:t>
      </w:r>
      <w:r w:rsidR="00CD110E">
        <w:t xml:space="preserve"> </w:t>
      </w:r>
      <w:r w:rsidR="00CD110E">
        <w:fldChar w:fldCharType="begin"/>
      </w:r>
      <w:r w:rsidR="008A6CAB">
        <w:instrText xml:space="preserve"> ADDIN ZOTERO_ITEM CSL_CITATION {"citationID":"QtNDDgoR","properties":{"formattedCitation":"[11]","plainCitation":"[11]","noteIndex":0},"citationItems":[{"id":351,"uris":["http://zotero.org/users/17573427/items/EZYNV4SS"],"itemData":{"id":351,"type":"article","abstract":"The ML community is rapidly exploring techniques for prompting language models (LMs) and for stacking them into pipelines that solve complex tasks. Unfortunately, existing LM pipelines are typically implemented using hard-coded “prompt templates”, i.e. lengthy strings discovered via trial and error. Toward a more systematic approach for developing and optimizing LM pipelines, we introduce DSPy, a programming model that abstracts LM pipelines as text transformation graphs, i.e. imperative computation graphs where LMs are invoked through declarative modules. DSPy modules are parameterized, meaning they can learn (by creating and collecting demonstrations) how to apply compositions of prompting, finetuning, augmentation, and reasoning techniques. We design a compiler that will optimize any DSPy pipeline to maximize a given metric. We conduct two case studies, showing that succinct DSPy programs can express and optimize sophisticated LM pipelines that reason about math word problems, tackle multihop retrieval, answer complex questions, and control agent loops. Within minutes of compiling, a few lines of DSPy allow GPT-3.5 and llama2-13b-chat to selfbootstrap pipelines that outperform standard few-shot prompting (generally by over 25% and 65%, respectively) and pipelines with expert-created demonstrations (by up to 5–46% and 16–40%, respectively). On top of that, DSPy programs compiled to open and relatively small LMs like 770M-parameter T5 and llama2-13b-chat are competitive with approaches that rely on expert-written prompt chains for proprietary GPT-3.5.","DOI":"10.48550/arXiv.2310.03714","language":"en","note":"arXiv:2310.03714 [cs]","number":"arXiv:2310.03714","publisher":"arXiv","source":"arXiv.org","title":"DSPy: Compiling Declarative Language Model Calls into Self-Improving Pipelines","title-short":"DSPy","URL":"http://arxiv.org/abs/2310.03714","author":[{"family":"Khattab","given":"Omar"},{"family":"Singhvi","given":"Arnav"},{"family":"Maheshwari","given":"Paridhi"},{"family":"Zhang","given":"Zhiyuan"},{"family":"Santhanam","given":"Keshav"},{"family":"Vardhamanan","given":"Sri"},{"family":"Haq","given":"Saiful"},{"family":"Sharma","given":"Ashutosh"},{"family":"Joshi","given":"Thomas T."},{"family":"Moazam","given":"Hanna"},{"family":"Miller","given":"Heather"},{"family":"Zaharia","given":"Matei"},{"family":"Potts","given":"Christopher"}],"accessed":{"date-parts":[["2026",4,6]]},"issued":{"date-parts":[["2023",10,5]]}}}],"schema":"https://github.com/citation-style-language/schema/raw/master/csl-citation.json"} </w:instrText>
      </w:r>
      <w:r w:rsidR="00CD110E">
        <w:fldChar w:fldCharType="separate"/>
      </w:r>
      <w:r w:rsidR="00CD110E" w:rsidRPr="00E4562C">
        <w:rPr>
          <w:rFonts w:ascii="Aptos" w:hAnsi="Aptos"/>
        </w:rPr>
        <w:t>[11]</w:t>
      </w:r>
      <w:r w:rsidR="00CD110E">
        <w:fldChar w:fldCharType="end"/>
      </w:r>
      <w:r w:rsidRPr="004172DB">
        <w:t xml:space="preserve">. On the GSM8K benchmark, </w:t>
      </w:r>
      <w:proofErr w:type="spellStart"/>
      <w:r w:rsidRPr="004172DB">
        <w:t>DSPy</w:t>
      </w:r>
      <w:proofErr w:type="spellEnd"/>
      <w:r w:rsidRPr="004172DB">
        <w:t xml:space="preserve"> improved accuracy from 33% to 82% for GPT-3.5 and from 9% to 47% for Llama2-13b within minutes, outperforming standard few-shot prompting by over 25% </w:t>
      </w:r>
      <w:r w:rsidR="00CD110E">
        <w:t xml:space="preserve"> </w:t>
      </w:r>
      <w:r w:rsidR="00CD110E">
        <w:fldChar w:fldCharType="begin"/>
      </w:r>
      <w:r w:rsidR="008A6CAB">
        <w:instrText xml:space="preserve"> ADDIN ZOTERO_ITEM CSL_CITATION {"citationID":"Rus1xyEv","properties":{"formattedCitation":"[11]","plainCitation":"[11]","noteIndex":0},"citationItems":[{"id":351,"uris":["http://zotero.org/users/17573427/items/EZYNV4SS"],"itemData":{"id":351,"type":"article","abstract":"The ML community is rapidly exploring techniques for prompting language models (LMs) and for stacking them into pipelines that solve complex tasks. Unfortunately, existing LM pipelines are typically implemented using hard-coded “prompt templates”, i.e. lengthy strings discovered via trial and error. Toward a more systematic approach for developing and optimizing LM pipelines, we introduce DSPy, a programming model that abstracts LM pipelines as text transformation graphs, i.e. imperative computation graphs where LMs are invoked through declarative modules. DSPy modules are parameterized, meaning they can learn (by creating and collecting demonstrations) how to apply compositions of prompting, finetuning, augmentation, and reasoning techniques. We design a compiler that will optimize any DSPy pipeline to maximize a given metric. We conduct two case studies, showing that succinct DSPy programs can express and optimize sophisticated LM pipelines that reason about math word problems, tackle multihop retrieval, answer complex questions, and control agent loops. Within minutes of compiling, a few lines of DSPy allow GPT-3.5 and llama2-13b-chat to selfbootstrap pipelines that outperform standard few-shot prompting (generally by over 25% and 65%, respectively) and pipelines with expert-created demonstrations (by up to 5–46% and 16–40%, respectively). On top of that, DSPy programs compiled to open and relatively small LMs like 770M-parameter T5 and llama2-13b-chat are competitive with approaches that rely on expert-written prompt chains for proprietary GPT-3.5.","DOI":"10.48550/arXiv.2310.03714","language":"en","note":"arXiv:2310.03714 [cs]","number":"arXiv:2310.03714","publisher":"arXiv","source":"arXiv.org","title":"DSPy: Compiling Declarative Language Model Calls into Self-Improving Pipelines","title-short":"DSPy","URL":"http://arxiv.org/abs/2310.03714","author":[{"family":"Khattab","given":"Omar"},{"family":"Singhvi","given":"Arnav"},{"family":"Maheshwari","given":"Paridhi"},{"family":"Zhang","given":"Zhiyuan"},{"family":"Santhanam","given":"Keshav"},{"family":"Vardhamanan","given":"Sri"},{"family":"Haq","given":"Saiful"},{"family":"Sharma","given":"Ashutosh"},{"family":"Joshi","given":"Thomas T."},{"family":"Moazam","given":"Hanna"},{"family":"Miller","given":"Heather"},{"family":"Zaharia","given":"Matei"},{"family":"Potts","given":"Christopher"}],"accessed":{"date-parts":[["2026",4,6]]},"issued":{"date-parts":[["2023",10,5]]}}}],"schema":"https://github.com/citation-style-language/schema/raw/master/csl-citation.json"} </w:instrText>
      </w:r>
      <w:r w:rsidR="00CD110E">
        <w:fldChar w:fldCharType="separate"/>
      </w:r>
      <w:r w:rsidR="00CD110E" w:rsidRPr="00E4562C">
        <w:rPr>
          <w:rFonts w:ascii="Aptos" w:hAnsi="Aptos"/>
        </w:rPr>
        <w:t>[11]</w:t>
      </w:r>
      <w:r w:rsidR="00CD110E">
        <w:fldChar w:fldCharType="end"/>
      </w:r>
      <w:r w:rsidRPr="004172DB">
        <w:t xml:space="preserve">. Building on this, MIPROv2 jointly optimises both instructions and few-shot demonstrations using a Bayesian surrogate model, outperforming baselines on five of seven diverse programmes by up to 13% accuracy, though it tends to overfit to specific examples provided during the proposal phase </w:t>
      </w:r>
      <w:r w:rsidR="008A6CAB">
        <w:fldChar w:fldCharType="begin"/>
      </w:r>
      <w:r w:rsidR="008A6CAB">
        <w:instrText xml:space="preserve"> ADDIN ZOTERO_ITEM CSL_CITATION {"citationID":"jlsMZtbL","properties":{"formattedCitation":"[12]","plainCitation":"[12]","noteIndex":0},"citationItems":[{"id":354,"uris":["http://zotero.org/users/17573427/items/DUC5T2HD"],"itemData":{"id":354,"type":"article","abstract":"Language Model Programs, i.e. sophisticated pipelines of modular language model (LM) calls, are increasingly advancing NLP tasks. However, building these pipelines requires crafting prompts that are jointly effective for all modules. We study prompt optimization for LM programs, i.e. how to update these prompts to maximize a downstream metric without access to module-level labels or gradients. To make this tractable, we factorize our problem into optimizing the free-form instructions and few-shot demonstrations of every module and introduce several strategies to craft task-grounded instructions and navigate credit assignment across modules. Our strategies include (i) program-and-data-aware techniques for proposing effective instructions, (ii) a stochastic mini-batch evaluation function for learning a surrogate model of our objective, and (iii) a meta-optimization procedure in which we refine how LMs construct proposals over time. Using these insights we develop MIPRO, a novel optimizer that outperforms baselines on five of seven diverse LM programs using a best-in-class open-source model (Llama3-8B), by as much as 13% accuracy. We have released our new optimizers and benchmark in DSPy at http://dspy.ai.","DOI":"10.48550/arXiv.2406.11695","language":"en","note":"arXiv:2406.11695 [cs]","number":"arXiv:2406.11695","publisher":"arXiv","source":"arXiv.org","title":"Optimizing Instructions and Demonstrations for Multi-Stage Language Model Programs","URL":"http://arxiv.org/abs/2406.11695","author":[{"family":"Opsahl-Ong","given":"Krista"},{"family":"Ryan","given":"Michael J."},{"family":"Purtell","given":"Josh"},{"family":"Broman","given":"David"},{"family":"Potts","given":"Christopher"},{"family":"Zaharia","given":"Matei"},{"family":"Khattab","given":"Omar"}],"accessed":{"date-parts":[["2026",4,6]]},"issued":{"date-parts":[["2024",10,6]]}}}],"schema":"https://github.com/citation-style-language/schema/raw/master/csl-citation.json"} </w:instrText>
      </w:r>
      <w:r w:rsidR="008A6CAB">
        <w:fldChar w:fldCharType="separate"/>
      </w:r>
      <w:r w:rsidR="008A6CAB" w:rsidRPr="008A6CAB">
        <w:rPr>
          <w:rFonts w:ascii="Aptos" w:hAnsi="Aptos"/>
        </w:rPr>
        <w:t>[12]</w:t>
      </w:r>
      <w:r w:rsidR="008A6CAB">
        <w:fldChar w:fldCharType="end"/>
      </w:r>
      <w:r w:rsidR="00CD110E">
        <w:t xml:space="preserve">, </w:t>
      </w:r>
      <w:r w:rsidR="008A6CAB">
        <w:fldChar w:fldCharType="begin"/>
      </w:r>
      <w:r w:rsidR="008A6CAB">
        <w:instrText xml:space="preserve"> ADDIN ZOTERO_ITEM CSL_CITATION {"citationID":"YT8Vs2ir","properties":{"formattedCitation":"[13]","plainCitation":"[13]","noteIndex":0},"citationItems":[{"id":436,"uris":["http://zotero.org/users/17573427/items/DA7U6EVC"],"itemData":{"id":436,"type":"article-journal","abstract":"Several recent advances to the state of the art in image classiﬁcation benchmarks have come from better conﬁgurations of existing techniques rather than novel approaches to feature learning. Traditionally, hyper-parameter optimization has been the job of humans because they can be very efﬁcient in regimes where only a few trials are possible. Presently, computer clusters and GPU processors make it possible to run more trials and we show that algorithmic approaches can ﬁnd better results. We present hyper-parameter optimization results on tasks of training neural networks and deep belief networks (DBNs). We optimize hyper-parameters using random search and two new greedy sequential methods based on the expected improvement criterion. Random search has been shown to be sufﬁciently efﬁcient for learning neural networks for several datasets, but we show it is unreliable for training DBNs. The sequential algorithms are applied to the most difﬁcult DBN learning problems from [1] and ﬁnd signiﬁcantly better results than the best previously reported. This work contributes novel techniques for making response surface models P (y|x) in which many elements of hyper-parameter assignment (x) are known to be irrelevant given particular values of other elements.","language":"en","source":"Zotero","title":"Algorithms for Hyper-Parameter Optimization","author":[{"family":"Bergstra","given":"James"},{"family":"Bardenet","given":"Remi"},{"family":"Bengio","given":"Yoshua"},{"family":"Kegl","given":"Balazs"}],"issued":{"date-parts":[["2011"]]}}}],"schema":"https://github.com/citation-style-language/schema/raw/master/csl-citation.json"} </w:instrText>
      </w:r>
      <w:r w:rsidR="008A6CAB">
        <w:fldChar w:fldCharType="separate"/>
      </w:r>
      <w:r w:rsidR="008A6CAB" w:rsidRPr="008A6CAB">
        <w:rPr>
          <w:rFonts w:ascii="Aptos" w:hAnsi="Aptos"/>
        </w:rPr>
        <w:t>[13]</w:t>
      </w:r>
      <w:r w:rsidR="008A6CAB">
        <w:fldChar w:fldCharType="end"/>
      </w:r>
      <w:r w:rsidRPr="004172DB">
        <w:t xml:space="preserve">. </w:t>
      </w:r>
      <w:proofErr w:type="spellStart"/>
      <w:r w:rsidRPr="004172DB">
        <w:t>DSPy</w:t>
      </w:r>
      <w:proofErr w:type="spellEnd"/>
      <w:r w:rsidRPr="004172DB">
        <w:t xml:space="preserve"> Assertions further extended the framework by allowing Boolean runtime constraints that automatically trigger prompt retries when violated, improving formatted JSON generation from 37.6% to 98.8%</w:t>
      </w:r>
      <w:r w:rsidR="00CD110E">
        <w:t xml:space="preserve"> </w:t>
      </w:r>
      <w:r w:rsidR="008A6CAB">
        <w:fldChar w:fldCharType="begin"/>
      </w:r>
      <w:r w:rsidR="008A6CAB">
        <w:instrText xml:space="preserve"> ADDIN ZOTERO_ITEM CSL_CITATION {"citationID":"tj4vA8b5","properties":{"formattedCitation":"[14]","plainCitation":"[14]","noteIndex":0},"citationItems":[{"id":358,"uris":["http://zotero.org/users/17573427/items/GT2N572F"],"itemData":{"id":358,"type":"article","abstract":"Chaining language model (LM) calls as composable modules is fueling a new way of programming, but ensuring LMs adhere to important constraints requires heuristic “prompt engineering.” We introduce LM Assertions, a programming construct for expressing computational constraints that LMs should satisfy. We integrate our constructs into the recent DSPy programming model for LMs and present new strategies that allow DSPy to compile programs with LM Assertions into more reliable and accurate systems. We also propose strategies to use assertions at inference time for automatic self-reﬁnement with LMs. We report on four diverse case studies for text generation and ﬁnd that LM Assertions improve not only compliance with imposed rules but also downstream task performance, passing constraints up to 164% more often and generating up to 37% more higher-quality responses.","DOI":"10.48550/arXiv.2312.13382","language":"en","note":"arXiv:2312.13382 [cs]","number":"arXiv:2312.13382","publisher":"arXiv","source":"arXiv.org","title":"DSPy Assertions: Computational Constraints for Self-Refining Language Model Pipelines","title-short":"DSPy Assertions","URL":"http://arxiv.org/abs/2312.13382","author":[{"family":"Singhvi","given":"Arnav"},{"family":"Shetty","given":"Manish"},{"family":"Tan","given":"Shangyin"},{"family":"Potts","given":"Christopher"},{"family":"Sen","given":"Koushik"},{"family":"Zaharia","given":"Matei"},{"family":"Khattab","given":"Omar"}],"accessed":{"date-parts":[["2026",4,6]]},"issued":{"date-parts":[["2024",2,2]]}}}],"schema":"https://github.com/citation-style-language/schema/raw/master/csl-citation.json"} </w:instrText>
      </w:r>
      <w:r w:rsidR="008A6CAB">
        <w:fldChar w:fldCharType="separate"/>
      </w:r>
      <w:r w:rsidR="008A6CAB" w:rsidRPr="008A6CAB">
        <w:rPr>
          <w:rFonts w:ascii="Aptos" w:hAnsi="Aptos"/>
        </w:rPr>
        <w:t>[14]</w:t>
      </w:r>
      <w:r w:rsidR="008A6CAB">
        <w:fldChar w:fldCharType="end"/>
      </w:r>
      <w:r w:rsidRPr="004172DB">
        <w:t>.</w:t>
      </w:r>
    </w:p>
    <w:p w14:paraId="2A767854" w14:textId="77777777" w:rsidR="004172DB" w:rsidRDefault="004172DB" w:rsidP="004172DB">
      <w:pPr>
        <w:keepNext/>
        <w:jc w:val="both"/>
      </w:pPr>
      <w:r w:rsidRPr="00AF2CB3">
        <w:rPr>
          <w:noProof/>
        </w:rPr>
        <w:drawing>
          <wp:inline distT="0" distB="0" distL="0" distR="0" wp14:anchorId="0EF0841B" wp14:editId="3C08B78E">
            <wp:extent cx="5730865" cy="2947182"/>
            <wp:effectExtent l="0" t="0" r="3810" b="5715"/>
            <wp:docPr id="1052756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56707" name=""/>
                    <pic:cNvPicPr/>
                  </pic:nvPicPr>
                  <pic:blipFill>
                    <a:blip r:embed="rId12"/>
                    <a:stretch>
                      <a:fillRect/>
                    </a:stretch>
                  </pic:blipFill>
                  <pic:spPr>
                    <a:xfrm>
                      <a:off x="0" y="0"/>
                      <a:ext cx="5743340" cy="2953598"/>
                    </a:xfrm>
                    <a:prstGeom prst="rect">
                      <a:avLst/>
                    </a:prstGeom>
                  </pic:spPr>
                </pic:pic>
              </a:graphicData>
            </a:graphic>
          </wp:inline>
        </w:drawing>
      </w:r>
    </w:p>
    <w:p w14:paraId="1DF30416" w14:textId="14705FE3" w:rsidR="004172DB" w:rsidRDefault="004172DB" w:rsidP="004172DB">
      <w:pPr>
        <w:pStyle w:val="Caption"/>
        <w:jc w:val="both"/>
      </w:pPr>
      <w:bookmarkStart w:id="18" w:name="_Toc228816049"/>
      <w:r>
        <w:t xml:space="preserve">Figure </w:t>
      </w:r>
      <w:fldSimple w:instr=" SEQ Figure \* ARABIC ">
        <w:r w:rsidR="006C3897">
          <w:rPr>
            <w:noProof/>
          </w:rPr>
          <w:t>4</w:t>
        </w:r>
      </w:fldSimple>
      <w:r>
        <w:t xml:space="preserve">: </w:t>
      </w:r>
      <w:r w:rsidRPr="00893DF2">
        <w:t>GEPA genetic optimi</w:t>
      </w:r>
      <w:r>
        <w:t>s</w:t>
      </w:r>
      <w:r w:rsidRPr="00893DF2">
        <w:t xml:space="preserve">ation loop showing trajectory sampling, natural language reflection, prompt mutation, and Pareto-based selection for maintaining diverse top-performing prompts </w:t>
      </w:r>
      <w:r w:rsidR="00CD110E" w:rsidRPr="00E4562C">
        <w:rPr>
          <w:rFonts w:ascii="Aptos" w:hAnsi="Aptos"/>
          <w:sz w:val="22"/>
        </w:rPr>
        <w:t>[16]</w:t>
      </w:r>
      <w:bookmarkEnd w:id="18"/>
    </w:p>
    <w:p w14:paraId="6548872B" w14:textId="77777777" w:rsidR="004172DB" w:rsidRDefault="004172DB" w:rsidP="00AB3DBF">
      <w:pPr>
        <w:jc w:val="both"/>
      </w:pPr>
    </w:p>
    <w:p w14:paraId="07EFB192" w14:textId="419C6347" w:rsidR="00943066" w:rsidRDefault="004172DB" w:rsidP="00AB3DBF">
      <w:pPr>
        <w:jc w:val="both"/>
      </w:pPr>
      <w:r w:rsidRPr="004172DB">
        <w:t xml:space="preserve">Alternative approaches include </w:t>
      </w:r>
      <w:proofErr w:type="spellStart"/>
      <w:r w:rsidRPr="004172DB">
        <w:t>ProTeGi</w:t>
      </w:r>
      <w:proofErr w:type="spellEnd"/>
      <w:r w:rsidRPr="004172DB">
        <w:t xml:space="preserve">, which applies textual gradient descent to iteratively improve prompts, outperforming prior techniques by 4 to 8% on average </w:t>
      </w:r>
      <w:r w:rsidR="008A6CAB">
        <w:fldChar w:fldCharType="begin"/>
      </w:r>
      <w:r w:rsidR="008A6CAB">
        <w:instrText xml:space="preserve"> ADDIN ZOTERO_ITEM CSL_CITATION {"citationID":"ka6MWxWD","properties":{"formattedCitation":"[15]","plainCitation":"[15]","noteIndex":0},"citationItems":[{"id":360,"uris":["http://zotero.org/users/17573427/items/LXXRWIVG"],"itemData":{"id":360,"type":"article","abstract":"Large Language Models (LLMs) have shown impressive performance as general purpose agents, but their abilities remain highly dependent on prompts which are hand written with onerous trial-and-error effort. We propose a simple and nonparametric solution to this problem, Automatic Prompt Optimization (APO), which is inspired by numerical gradient descent to automatically improve prompts, assuming access to training data and an LLM API. The algorithm uses minibatches of data to form natural language \"gradients\" that criticize the current prompt. The gradients are then \"propagated\" into the prompt by editing the prompt in the opposite semantic direction of the gradient. These gradient descent steps are guided by a beam search and bandit selection procedure which significantly improves algorithmic efficiency. Preliminary results across three benchmark NLP tasks and the novel problem of LLM jailbreak detection suggest that Automatic Prompt Optimization can outperform prior prompt editing techniques and improve an initial prompt's performance by up to 31%, by using data to rewrite vague task descriptions into more precise annotation instructions.","DOI":"10.48550/arXiv.2305.03495","language":"en","note":"arXiv:2305.03495 [cs]","number":"arXiv:2305.03495","publisher":"arXiv","source":"arXiv.org","title":"Automatic Prompt Optimization with \"Gradient Descent\" and Beam Search","URL":"http://arxiv.org/abs/2305.03495","author":[{"family":"Pryzant","given":"Reid"},{"family":"Iter","given":"Dan"},{"family":"Li","given":"Jerry"},{"family":"Lee","given":"Yin Tat"},{"family":"Zhu","given":"Chenguang"},{"family":"Zeng","given":"Michael"}],"accessed":{"date-parts":[["2026",4,6]]},"issued":{"date-parts":[["2023",10,19]]}}}],"schema":"https://github.com/citation-style-language/schema/raw/master/csl-citation.json"} </w:instrText>
      </w:r>
      <w:r w:rsidR="008A6CAB">
        <w:fldChar w:fldCharType="separate"/>
      </w:r>
      <w:r w:rsidR="008A6CAB" w:rsidRPr="008A6CAB">
        <w:rPr>
          <w:rFonts w:ascii="Aptos" w:hAnsi="Aptos"/>
        </w:rPr>
        <w:t>[15]</w:t>
      </w:r>
      <w:r w:rsidR="008A6CAB">
        <w:fldChar w:fldCharType="end"/>
      </w:r>
      <w:r w:rsidRPr="004172DB">
        <w:t xml:space="preserve">, and GEPA, which uses genetic evolution with a Pareto front to maintain diverse high-performing prompts, outperforming reinforcement learning methods by up to 20% </w:t>
      </w:r>
      <w:r w:rsidR="00B0299E">
        <w:t xml:space="preserve">while </w:t>
      </w:r>
      <w:r w:rsidRPr="004172DB">
        <w:t xml:space="preserve">using 35 times fewer rollouts </w:t>
      </w:r>
      <w:r w:rsidR="008A6CAB" w:rsidRPr="00E4562C">
        <w:rPr>
          <w:rFonts w:ascii="Aptos" w:hAnsi="Aptos"/>
        </w:rPr>
        <w:t xml:space="preserve"> </w:t>
      </w:r>
      <w:r w:rsidR="008A6CAB">
        <w:rPr>
          <w:rFonts w:ascii="Aptos" w:hAnsi="Aptos"/>
        </w:rPr>
        <w:lastRenderedPageBreak/>
        <w:fldChar w:fldCharType="begin"/>
      </w:r>
      <w:r w:rsidR="008A6CAB">
        <w:rPr>
          <w:rFonts w:ascii="Aptos" w:hAnsi="Aptos"/>
        </w:rPr>
        <w:instrText xml:space="preserve"> ADDIN ZOTERO_ITEM CSL_CITATION {"citationID":"xwVpJb1U","properties":{"formattedCitation":"[16]","plainCitation":"[16]","noteIndex":0},"citationItems":[{"id":352,"uris":["http://zotero.org/users/17573427/items/C9T54ZMD"],"itemData":{"id":352,"type":"article","abstract":"Large language models (LLMs) are increasingly adapted to downstream tasks via reinforcement learning (RL) methods like Group Relative Policy Optimization (GRPO), which often require thousands of rollouts to learn new tasks. We argue that the interpretable nature of language often provides a much richer learning medium for LLMs, compared to policy gradients derived from sparse, scalar rewards. To test this, we introduce GEPA (Genetic-Pareto), a prompt optimizer that thoroughly incorporates natural language reflection to learn high-level rules from trial and error. Given any AI system containing one or more LLM prompts, GEPA samples trajectories (e.g., reasoning, tool calls, and tool outputs) and reflects on them in natural language to diagnose problems, propose and test prompt updates, and combine complementary lessons from the Pareto frontier of its own attempts. As a result of GEPA’s design, it can often turn even just a few rollouts into a large quality gain. Across six tasks, GEPA outperforms GRPO by 6% on average and by up to 20%, while using up to 35x fewer rollouts. GEPA also outperforms the leading prompt optimizer, MIPROv2, by over 10% (e.g., +12% accuracy on AIME-2025), and demonstrates promising results as an inference-time search strategy for code optimization. We release our code at https://github.com/gepa-ai/gepa.","DOI":"10.48550/arXiv.2507.19457","language":"en","note":"arXiv:2507.19457 [cs]","number":"arXiv:2507.19457","publisher":"arXiv","source":"arXiv.org","title":"GEPA: Reflective Prompt Evolution Can Outperform Reinforcement Learning","title-short":"GEPA","URL":"http://arxiv.org/abs/2507.19457","author":[{"family":"Agrawal","given":"Lakshya A."},{"family":"Tan","given":"Shangyin"},{"family":"Soylu","given":"Dilara"},{"family":"Ziems","given":"Noah"},{"family":"Khare","given":"Rishi"},{"family":"Opsahl-Ong","given":"Krista"},{"family":"Singhvi","given":"Arnav"},{"family":"Shandilya","given":"Herumb"},{"family":"Ryan","given":"Michael J."},{"family":"Jiang","given":"Meng"},{"family":"Potts","given":"Christopher"},{"family":"Sen","given":"Koushik"},{"family":"Dimakis","given":"Alexandros G."},{"family":"Stoica","given":"Ion"},{"family":"Klein","given":"Dan"},{"family":"Zaharia","given":"Matei"},{"family":"Khattab","given":"Omar"}],"accessed":{"date-parts":[["2026",4,6]]},"issued":{"date-parts":[["2026",2,14]]}}}],"schema":"https://github.com/citation-style-language/schema/raw/master/csl-citation.json"} </w:instrText>
      </w:r>
      <w:r w:rsidR="008A6CAB">
        <w:rPr>
          <w:rFonts w:ascii="Aptos" w:hAnsi="Aptos"/>
        </w:rPr>
        <w:fldChar w:fldCharType="separate"/>
      </w:r>
      <w:r w:rsidR="008A6CAB" w:rsidRPr="008A6CAB">
        <w:rPr>
          <w:rFonts w:ascii="Aptos" w:hAnsi="Aptos"/>
        </w:rPr>
        <w:t>[16]</w:t>
      </w:r>
      <w:r w:rsidR="008A6CAB">
        <w:rPr>
          <w:rFonts w:ascii="Aptos" w:hAnsi="Aptos"/>
        </w:rPr>
        <w:fldChar w:fldCharType="end"/>
      </w:r>
      <w:r w:rsidR="008A6CAB" w:rsidRPr="004172DB">
        <w:t xml:space="preserve"> </w:t>
      </w:r>
      <w:r w:rsidR="008A6CAB">
        <w:t xml:space="preserve">, </w:t>
      </w:r>
      <w:r w:rsidR="008A6CAB">
        <w:fldChar w:fldCharType="begin"/>
      </w:r>
      <w:r w:rsidR="008A6CAB">
        <w:instrText xml:space="preserve"> ADDIN ZOTERO_ITEM CSL_CITATION {"citationID":"7lBIH9oe","properties":{"formattedCitation":"[17]","plainCitation":"[17]","noteIndex":0},"citationItems":[{"id":438,"uris":["http://zotero.org/users/17573427/items/F27EDHZT"],"itemData":{"id":438,"type":"article","abstract":"Users can divulge sensitive information to proprietary LLM providers, raising significant privacy concerns. While open-source models, hosted locally on the user's machine, alleviate some concerns, models that users can host locally are often less capable than proprietary frontier models. Toward preserving user privacy while retaining the best quality, we propose Privacy-Conscious Delegation, a novel task for chaining API-based and local models. We utilize recent public collections of user-LLM interactions to construct a natural benchmark called PUPA, which contains personally identifiable information (PII). To study potential approaches, we devise PAPILLON, a multi-stage LLM pipeline that uses prompt optimization to address a simpler version of our task. Our best pipeline maintains high response quality for 85.5% of user queries while restricting privacy leakage to only 7.5%. We still leave a large margin to the generation quality of proprietary LLMs for future work. Our data and code is available at https://github.com/siyan-sylvia-li/PAPILLON.","DOI":"10.48550/arXiv.2410.17127","language":"en","note":"arXiv:2410.17127 [cs]","number":"arXiv:2410.17127","publisher":"arXiv","source":"arXiv.org","title":"PAPILLON: Privacy Preservation from Internet-based and Local Language Model Ensembles","title-short":"PAPILLON","URL":"http://arxiv.org/abs/2410.17127","author":[{"family":"Siyan","given":"Li"},{"family":"Raghuram","given":"Vethavikashini Chithrra"},{"family":"Khattab","given":"Omar"},{"family":"Hirschberg","given":"Julia"},{"family":"Yu","given":"Zhou"}],"accessed":{"date-parts":[["2026",4,22]]},"issued":{"date-parts":[["2025",3,25]]}}}],"schema":"https://github.com/citation-style-language/schema/raw/master/csl-citation.json"} </w:instrText>
      </w:r>
      <w:r w:rsidR="008A6CAB">
        <w:fldChar w:fldCharType="separate"/>
      </w:r>
      <w:r w:rsidR="008A6CAB" w:rsidRPr="008A6CAB">
        <w:rPr>
          <w:rFonts w:ascii="Aptos" w:hAnsi="Aptos"/>
        </w:rPr>
        <w:t>[17]</w:t>
      </w:r>
      <w:r w:rsidR="008A6CAB">
        <w:fldChar w:fldCharType="end"/>
      </w:r>
      <w:r w:rsidR="008A6CAB">
        <w:t xml:space="preserve"> </w:t>
      </w:r>
      <w:r w:rsidRPr="004172DB">
        <w:t xml:space="preserve">. GEPA has notably been applied to financial calculations using the CAPM formula, </w:t>
      </w:r>
      <w:r w:rsidR="00B0299E">
        <w:t xml:space="preserve"> which shows </w:t>
      </w:r>
      <w:r w:rsidRPr="004172DB">
        <w:t xml:space="preserve">the viability of prompt optimisation in financial contexts </w:t>
      </w:r>
      <w:r w:rsidR="008A6CAB">
        <w:rPr>
          <w:rFonts w:ascii="Aptos" w:hAnsi="Aptos"/>
        </w:rPr>
        <w:fldChar w:fldCharType="begin"/>
      </w:r>
      <w:r w:rsidR="008A6CAB">
        <w:rPr>
          <w:rFonts w:ascii="Aptos" w:hAnsi="Aptos"/>
        </w:rPr>
        <w:instrText xml:space="preserve"> ADDIN ZOTERO_ITEM CSL_CITATION {"citationID":"HVJov5Sq","properties":{"formattedCitation":"[16]","plainCitation":"[16]","noteIndex":0},"citationItems":[{"id":352,"uris":["http://zotero.org/users/17573427/items/C9T54ZMD"],"itemData":{"id":352,"type":"article","abstract":"Large language models (LLMs) are increasingly adapted to downstream tasks via reinforcement learning (RL) methods like Group Relative Policy Optimization (GRPO), which often require thousands of rollouts to learn new tasks. We argue that the interpretable nature of language often provides a much richer learning medium for LLMs, compared to policy gradients derived from sparse, scalar rewards. To test this, we introduce GEPA (Genetic-Pareto), a prompt optimizer that thoroughly incorporates natural language reflection to learn high-level rules from trial and error. Given any AI system containing one or more LLM prompts, GEPA samples trajectories (e.g., reasoning, tool calls, and tool outputs) and reflects on them in natural language to diagnose problems, propose and test prompt updates, and combine complementary lessons from the Pareto frontier of its own attempts. As a result of GEPA’s design, it can often turn even just a few rollouts into a large quality gain. Across six tasks, GEPA outperforms GRPO by 6% on average and by up to 20%, while using up to 35x fewer rollouts. GEPA also outperforms the leading prompt optimizer, MIPROv2, by over 10% (e.g., +12% accuracy on AIME-2025), and demonstrates promising results as an inference-time search strategy for code optimization. We release our code at https://github.com/gepa-ai/gepa.","DOI":"10.48550/arXiv.2507.19457","language":"en","note":"arXiv:2507.19457 [cs]","number":"arXiv:2507.19457","publisher":"arXiv","source":"arXiv.org","title":"GEPA: Reflective Prompt Evolution Can Outperform Reinforcement Learning","title-short":"GEPA","URL":"http://arxiv.org/abs/2507.19457","author":[{"family":"Agrawal","given":"Lakshya A."},{"family":"Tan","given":"Shangyin"},{"family":"Soylu","given":"Dilara"},{"family":"Ziems","given":"Noah"},{"family":"Khare","given":"Rishi"},{"family":"Opsahl-Ong","given":"Krista"},{"family":"Singhvi","given":"Arnav"},{"family":"Shandilya","given":"Herumb"},{"family":"Ryan","given":"Michael J."},{"family":"Jiang","given":"Meng"},{"family":"Potts","given":"Christopher"},{"family":"Sen","given":"Koushik"},{"family":"Dimakis","given":"Alexandros G."},{"family":"Stoica","given":"Ion"},{"family":"Klein","given":"Dan"},{"family":"Zaharia","given":"Matei"},{"family":"Khattab","given":"Omar"}],"accessed":{"date-parts":[["2026",4,6]]},"issued":{"date-parts":[["2026",2,14]]}}}],"schema":"https://github.com/citation-style-language/schema/raw/master/csl-citation.json"} </w:instrText>
      </w:r>
      <w:r w:rsidR="008A6CAB">
        <w:rPr>
          <w:rFonts w:ascii="Aptos" w:hAnsi="Aptos"/>
        </w:rPr>
        <w:fldChar w:fldCharType="separate"/>
      </w:r>
      <w:r w:rsidR="008A6CAB" w:rsidRPr="008A6CAB">
        <w:rPr>
          <w:rFonts w:ascii="Aptos" w:hAnsi="Aptos"/>
        </w:rPr>
        <w:t>[16]</w:t>
      </w:r>
      <w:r w:rsidR="008A6CAB">
        <w:rPr>
          <w:rFonts w:ascii="Aptos" w:hAnsi="Aptos"/>
        </w:rPr>
        <w:fldChar w:fldCharType="end"/>
      </w:r>
      <w:r w:rsidRPr="004172DB">
        <w:t xml:space="preserve">. The </w:t>
      </w:r>
      <w:proofErr w:type="spellStart"/>
      <w:r w:rsidRPr="004172DB">
        <w:t>BetterTogether</w:t>
      </w:r>
      <w:proofErr w:type="spellEnd"/>
      <w:r w:rsidRPr="004172DB">
        <w:t xml:space="preserve"> algorithm combines prompt optimisation with </w:t>
      </w:r>
      <w:proofErr w:type="spellStart"/>
      <w:r w:rsidRPr="004172DB">
        <w:t>LoRA</w:t>
      </w:r>
      <w:proofErr w:type="spellEnd"/>
      <w:r w:rsidRPr="004172DB">
        <w:t xml:space="preserve"> fine-tuning in an alternating cycle, outperforming weights-only approaches by up to 60%, though at the cost of approximately 75 GPU hours per run </w:t>
      </w:r>
      <w:r w:rsidR="008A6CAB">
        <w:fldChar w:fldCharType="begin"/>
      </w:r>
      <w:r w:rsidR="008A6CAB">
        <w:instrText xml:space="preserve"> ADDIN ZOTERO_ITEM CSL_CITATION {"citationID":"L9Kk6FJW","properties":{"formattedCitation":"[18]","plainCitation":"[18]","noteIndex":0},"citationItems":[{"id":356,"uris":["http://zotero.org/users/17573427/items/IPJEX5F3"],"itemData":{"id":356,"type":"article","abstract":"Natural Language Processing (NLP) systems are increasingly taking the form of sophisticated modular pipelines, e.g., Retrieval Augmented Generation (RAG), where each module may involve a distinct Language Model (LM) and an associated prompt template. These compound systems often lack intermediate labels or gradient flow to optimize each module, making their end-to-end optimization challenging. Here we seek strategies to optimize both the module-level LM weights and the associated prompt templates of such systems to maximize a downstream task metric. We propose for the first time combining the weight and prompt optimization strategies to optimize a modular LM pipeline by alternating between the two to get the same LM to teach itself. In experiments with multi-hop QA, mathematical reasoning, and feature-based classification using mistral-7b, llama-2-7b, and llama-3-8b, these BetterTogether strategies optimizing the weights and prompts of a pipeline together outperform directly optimizing weights alone and prompts alone by up to 60% and 6%, respectively, on average across LMs and tasks. Our BetterTogether optimizer is released in DSPy at http://dspy.ai.","DOI":"10.48550/arXiv.2407.10930","language":"en","note":"arXiv:2407.10930 [cs]","number":"arXiv:2407.10930","publisher":"arXiv","source":"arXiv.org","title":"Fine-Tuning and Prompt Optimization: Two Great Steps that Work Better Together","title-short":"Fine-Tuning and Prompt Optimization","URL":"http://arxiv.org/abs/2407.10930","author":[{"family":"Soylu","given":"Dilara"},{"family":"Potts","given":"Christopher"},{"family":"Khattab","given":"Omar"}],"accessed":{"date-parts":[["2026",4,6]]},"issued":{"date-parts":[["2024",10,7]]}}}],"schema":"https://github.com/citation-style-language/schema/raw/master/csl-citation.json"} </w:instrText>
      </w:r>
      <w:r w:rsidR="008A6CAB">
        <w:fldChar w:fldCharType="separate"/>
      </w:r>
      <w:r w:rsidR="008A6CAB" w:rsidRPr="008A6CAB">
        <w:rPr>
          <w:rFonts w:ascii="Aptos" w:hAnsi="Aptos"/>
        </w:rPr>
        <w:t>[18]</w:t>
      </w:r>
      <w:r w:rsidR="008A6CAB">
        <w:fldChar w:fldCharType="end"/>
      </w:r>
      <w:r w:rsidR="008A6CAB">
        <w:t xml:space="preserve">, </w:t>
      </w:r>
      <w:r w:rsidR="008A6CAB">
        <w:fldChar w:fldCharType="begin"/>
      </w:r>
      <w:r w:rsidR="008A6CAB">
        <w:instrText xml:space="preserve"> ADDIN ZOTERO_ITEM CSL_CITATION {"citationID":"JsMUjcJ8","properties":{"formattedCitation":"[19]","plainCitation":"[19]","noteIndex":0},"citationItems":[{"id":441,"uris":["http://zotero.org/users/17573427/items/KTGIBCLT"],"itemData":{"id":441,"type":"paper-conference","abstract":"Existing question answering (QA) datasets fail to train QA systems to perform complex reasoning and provide explanations for answers. We introduce HOTPOTQA, a new dataset with 113k Wikipedia-based question-answer pairs with four key features: (1) the questions require ﬁnding and reasoning over multiple supporting documents to answer; (2) the questions are diverse and not constrained to any pre-existing knowledge bases or knowledge schemas; (3) we provide sentence-level supporting facts required for reasoning, allowing QA systems to reason with strong supervision and explain the predictions; (4) we offer a new type of factoid comparison questions to test QA systems’ ability to extract relevant facts and perform necessary comparison. We show that HOTPOTQA is challenging for the latest QA systems, and the supporting facts enable models to improve performance and make explainable predictions.","container-title":"Proceedings of the 2018 Conference on Empirical Methods in Natural Language Processing","DOI":"10.18653/v1/D18-1259","event-title":"Proceedings of the 2018 Conference on Empirical Methods in Natural Language Processing","language":"en","page":"2369-2380","publisher":"Association for Computational Linguistics","publisher-place":"Brussels, Belgium","source":"DOI.org (Crossref)","title":"HotpotQA: A Dataset for Diverse, Explainable Multi-hop Question Answering","title-short":"HotpotQA","URL":"http://aclweb.org/anthology/D18-1259","author":[{"family":"Yang","given":"Zhilin"},{"family":"Qi","given":"Peng"},{"family":"Zhang","given":"Saizheng"},{"family":"Bengio","given":"Yoshua"},{"family":"Cohen","given":"William"},{"family":"Salakhutdinov","given":"Ruslan"},{"family":"Manning","given":"Christopher D."}],"accessed":{"date-parts":[["2026",4,22]]},"issued":{"date-parts":[["2018"]]}}}],"schema":"https://github.com/citation-style-language/schema/raw/master/csl-citation.json"} </w:instrText>
      </w:r>
      <w:r w:rsidR="008A6CAB">
        <w:fldChar w:fldCharType="separate"/>
      </w:r>
      <w:r w:rsidR="008A6CAB" w:rsidRPr="008A6CAB">
        <w:rPr>
          <w:rFonts w:ascii="Aptos" w:hAnsi="Aptos"/>
        </w:rPr>
        <w:t>[19]</w:t>
      </w:r>
      <w:r w:rsidR="008A6CAB">
        <w:fldChar w:fldCharType="end"/>
      </w:r>
      <w:r w:rsidR="008A6CAB">
        <w:t xml:space="preserve">,  </w:t>
      </w:r>
      <w:r w:rsidR="008A6CAB">
        <w:fldChar w:fldCharType="begin"/>
      </w:r>
      <w:r w:rsidR="008A6CAB">
        <w:instrText xml:space="preserve"> ADDIN ZOTERO_ITEM CSL_CITATION {"citationID":"85Qp17Gd","properties":{"formattedCitation":"[20]","plainCitation":"[20]","noteIndex":0},"citationItems":[{"id":443,"uris":["http://zotero.org/users/17573427/items/Y7HZBBYY"],"itemData":{"id":443,"type":"article-journal","abstract":"State-of-the-art language models can match human performance on many tasks, but they still struggle to robustly perform multi-step mathematical reasoning. To diagnose the failures of current models and support research, we introduce GSM8K, a dataset of 8.5K high quality linguistically diverse grade school math word problems. We ﬁnd that even the largest transformer models fail to achieve high test performance, despite the conceptual simplicity of this problem distribution. To increase performance, we propose training veriﬁers to judge the correctness of model completions. At test time, we generate many candidate solutions and select the one ranked highest by the veriﬁer. We demonstrate that veriﬁcation signiﬁcantly improves performance on GSM8K, and we provide strong empirical evidence that veriﬁcation scales more e</w:instrText>
      </w:r>
      <w:r w:rsidR="008A6CAB">
        <w:rPr>
          <w:rFonts w:ascii="Arial" w:hAnsi="Arial" w:cs="Arial"/>
        </w:rPr>
        <w:instrText>ﬀ</w:instrText>
      </w:r>
      <w:r w:rsidR="008A6CAB">
        <w:instrText xml:space="preserve">ectively with increased data than a </w:instrText>
      </w:r>
      <w:r w:rsidR="008A6CAB">
        <w:rPr>
          <w:rFonts w:ascii="Aptos" w:hAnsi="Aptos" w:cs="Aptos"/>
        </w:rPr>
        <w:instrText>ﬁ</w:instrText>
      </w:r>
      <w:r w:rsidR="008A6CAB">
        <w:instrText>netuning baseline.","language":"en","source":"Zotero","title":"Training Veri</w:instrText>
      </w:r>
      <w:r w:rsidR="008A6CAB">
        <w:rPr>
          <w:rFonts w:ascii="Aptos" w:hAnsi="Aptos" w:cs="Aptos"/>
        </w:rPr>
        <w:instrText>ﬁ</w:instrText>
      </w:r>
      <w:r w:rsidR="008A6CAB">
        <w:instrText xml:space="preserve">ers to Solve Math Word Problems","author":[{"family":"Cobbe","given":"Karl"},{"family":"Kosaraju","given":"Vineet"},{"family":"Bavarian","given":"Mohammad"},{"family":"Chen","given":"Mark"},{"family":"Jun","given":"Heewoo"},{"family":"Kaiser","given":"Lukasz"},{"family":"Plappert","given":"Matthias"},{"family":"Tworek","given":"Jerry"},{"family":"Hilton","given":"Jacob"},{"family":"Nakano","given":"Reiichiro"},{"family":"Hesse","given":"Christopher"},{"family":"Schulman","given":"John"}]}}],"schema":"https://github.com/citation-style-language/schema/raw/master/csl-citation.json"} </w:instrText>
      </w:r>
      <w:r w:rsidR="008A6CAB">
        <w:fldChar w:fldCharType="separate"/>
      </w:r>
      <w:r w:rsidR="008A6CAB" w:rsidRPr="008A6CAB">
        <w:rPr>
          <w:rFonts w:ascii="Aptos" w:hAnsi="Aptos"/>
        </w:rPr>
        <w:t>[20]</w:t>
      </w:r>
      <w:r w:rsidR="008A6CAB">
        <w:fldChar w:fldCharType="end"/>
      </w:r>
      <w:r w:rsidRPr="004172DB">
        <w:t>.</w:t>
      </w:r>
    </w:p>
    <w:p w14:paraId="74567B10" w14:textId="77777777" w:rsidR="00AD60AE" w:rsidRDefault="00C61A99" w:rsidP="00AB3DBF">
      <w:pPr>
        <w:keepNext/>
        <w:ind w:left="1440"/>
        <w:jc w:val="both"/>
      </w:pPr>
      <w:r w:rsidRPr="00C61A99">
        <w:rPr>
          <w:noProof/>
        </w:rPr>
        <w:drawing>
          <wp:inline distT="0" distB="0" distL="0" distR="0" wp14:anchorId="09904F7A" wp14:editId="73AA02F1">
            <wp:extent cx="3470910" cy="3235856"/>
            <wp:effectExtent l="0" t="0" r="0" b="3175"/>
            <wp:docPr id="144891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91269" name=""/>
                    <pic:cNvPicPr/>
                  </pic:nvPicPr>
                  <pic:blipFill>
                    <a:blip r:embed="rId13"/>
                    <a:stretch>
                      <a:fillRect/>
                    </a:stretch>
                  </pic:blipFill>
                  <pic:spPr>
                    <a:xfrm>
                      <a:off x="0" y="0"/>
                      <a:ext cx="3470910" cy="3235856"/>
                    </a:xfrm>
                    <a:prstGeom prst="rect">
                      <a:avLst/>
                    </a:prstGeom>
                  </pic:spPr>
                </pic:pic>
              </a:graphicData>
            </a:graphic>
          </wp:inline>
        </w:drawing>
      </w:r>
    </w:p>
    <w:p w14:paraId="5517234F" w14:textId="74234039" w:rsidR="00E947B8" w:rsidRDefault="00AD60AE" w:rsidP="004172DB">
      <w:pPr>
        <w:pStyle w:val="Caption"/>
        <w:jc w:val="both"/>
      </w:pPr>
      <w:bookmarkStart w:id="19" w:name="_Toc228816050"/>
      <w:r>
        <w:t xml:space="preserve">Figure </w:t>
      </w:r>
      <w:fldSimple w:instr=" SEQ Figure \* ARABIC ">
        <w:r w:rsidR="006C3897">
          <w:rPr>
            <w:noProof/>
          </w:rPr>
          <w:t>5</w:t>
        </w:r>
      </w:fldSimple>
      <w:r>
        <w:t xml:space="preserve">: </w:t>
      </w:r>
      <w:proofErr w:type="spellStart"/>
      <w:r w:rsidRPr="009D1A9D">
        <w:t>ProTeGi</w:t>
      </w:r>
      <w:proofErr w:type="spellEnd"/>
      <w:r w:rsidRPr="009D1A9D">
        <w:t xml:space="preserve"> textual gradient descent process showing prompt evaluation, natural language gradient generation, and beam search selection</w:t>
      </w:r>
      <w:r>
        <w:t xml:space="preserve"> </w:t>
      </w:r>
      <w:r w:rsidR="004404C9">
        <w:fldChar w:fldCharType="begin"/>
      </w:r>
      <w:r w:rsidR="008A6CAB">
        <w:instrText xml:space="preserve"> ADDIN ZOTERO_ITEM CSL_CITATION {"citationID":"jJDdzOMK","properties":{"formattedCitation":"[15]","plainCitation":"[15]","noteIndex":0},"citationItems":[{"id":360,"uris":["http://zotero.org/users/17573427/items/LXXRWIVG"],"itemData":{"id":360,"type":"article","abstract":"Large Language Models (LLMs) have shown impressive performance as general purpose agents, but their abilities remain highly dependent on prompts which are hand written with onerous trial-and-error effort. We propose a simple and nonparametric solution to this problem, Automatic Prompt Optimization (APO), which is inspired by numerical gradient descent to automatically improve prompts, assuming access to training data and an LLM API. The algorithm uses minibatches of data to form natural language \"gradients\" that criticize the current prompt. The gradients are then \"propagated\" into the prompt by editing the prompt in the opposite semantic direction of the gradient. These gradient descent steps are guided by a beam search and bandit selection procedure which significantly improves algorithmic efficiency. Preliminary results across three benchmark NLP tasks and the novel problem of LLM jailbreak detection suggest that Automatic Prompt Optimization can outperform prior prompt editing techniques and improve an initial prompt's performance by up to 31%, by using data to rewrite vague task descriptions into more precise annotation instructions.","DOI":"10.48550/arXiv.2305.03495","language":"en","note":"arXiv:2305.03495 [cs]","number":"arXiv:2305.03495","publisher":"arXiv","source":"arXiv.org","title":"Automatic Prompt Optimization with \"Gradient Descent\" and Beam Search","URL":"http://arxiv.org/abs/2305.03495","author":[{"family":"Pryzant","given":"Reid"},{"family":"Iter","given":"Dan"},{"family":"Li","given":"Jerry"},{"family":"Lee","given":"Yin Tat"},{"family":"Zhu","given":"Chenguang"},{"family":"Zeng","given":"Michael"}],"accessed":{"date-parts":[["2026",4,6]]},"issued":{"date-parts":[["2023",10,19]]}}}],"schema":"https://github.com/citation-style-language/schema/raw/master/csl-citation.json"} </w:instrText>
      </w:r>
      <w:r w:rsidR="004404C9">
        <w:fldChar w:fldCharType="separate"/>
      </w:r>
      <w:r w:rsidR="008A6CAB" w:rsidRPr="008A6CAB">
        <w:rPr>
          <w:rFonts w:ascii="Aptos" w:hAnsi="Aptos"/>
          <w:sz w:val="22"/>
        </w:rPr>
        <w:t>[15]</w:t>
      </w:r>
      <w:bookmarkEnd w:id="19"/>
      <w:r w:rsidR="004404C9">
        <w:fldChar w:fldCharType="end"/>
      </w:r>
    </w:p>
    <w:p w14:paraId="71A53FB6" w14:textId="77777777" w:rsidR="004172DB" w:rsidRPr="004172DB" w:rsidRDefault="004172DB" w:rsidP="004172DB"/>
    <w:p w14:paraId="1ACDDE34" w14:textId="2D1554B3" w:rsidR="00970213" w:rsidRDefault="00A005C3" w:rsidP="00AB3DBF">
      <w:pPr>
        <w:jc w:val="both"/>
      </w:pPr>
      <w:r w:rsidRPr="00A005C3">
        <w:t xml:space="preserve"> Despite these advances in prompt optimisation, several critical gaps remain for financial trading applications. First</w:t>
      </w:r>
      <w:r w:rsidR="00B0299E">
        <w:t xml:space="preserve"> of </w:t>
      </w:r>
      <w:r w:rsidRPr="00A005C3">
        <w:t>all</w:t>
      </w:r>
      <w:r w:rsidR="00B0299E">
        <w:t xml:space="preserve"> each</w:t>
      </w:r>
      <w:r w:rsidRPr="00A005C3">
        <w:t xml:space="preserve"> reviewed methods focus on optimising prompts for single tasks like question answering, classification, or maths problems</w:t>
      </w:r>
      <w:r w:rsidR="004404C9">
        <w:t xml:space="preserve"> </w:t>
      </w:r>
      <w:r w:rsidR="004404C9">
        <w:fldChar w:fldCharType="begin"/>
      </w:r>
      <w:r w:rsidR="008A6CAB">
        <w:instrText xml:space="preserve"> ADDIN ZOTERO_ITEM CSL_CITATION {"citationID":"vo36uHD9","properties":{"formattedCitation":"[11], [12], [14], [14], [16]","plainCitation":"[11], [12], [14], [14], [16]","noteIndex":0},"citationItems":[{"id":351,"uris":["http://zotero.org/users/17573427/items/EZYNV4SS"],"itemData":{"id":351,"type":"article","abstract":"The ML community is rapidly exploring techniques for prompting language models (LMs) and for stacking them into pipelines that solve complex tasks. Unfortunately, existing LM pipelines are typically implemented using hard-coded “prompt templates”, i.e. lengthy strings discovered via trial and error. Toward a more systematic approach for developing and optimizing LM pipelines, we introduce DSPy, a programming model that abstracts LM pipelines as text transformation graphs, i.e. imperative computation graphs where LMs are invoked through declarative modules. DSPy modules are parameterized, meaning they can learn (by creating and collecting demonstrations) how to apply compositions of prompting, finetuning, augmentation, and reasoning techniques. We design a compiler that will optimize any DSPy pipeline to maximize a given metric. We conduct two case studies, showing that succinct DSPy programs can express and optimize sophisticated LM pipelines that reason about math word problems, tackle multihop retrieval, answer complex questions, and control agent loops. Within minutes of compiling, a few lines of DSPy allow GPT-3.5 and llama2-13b-chat to selfbootstrap pipelines that outperform standard few-shot prompting (generally by over 25% and 65%, respectively) and pipelines with expert-created demonstrations (by up to 5–46% and 16–40%, respectively). On top of that, DSPy programs compiled to open and relatively small LMs like 770M-parameter T5 and llama2-13b-chat are competitive with approaches that rely on expert-written prompt chains for proprietary GPT-3.5.","DOI":"10.48550/arXiv.2310.03714","language":"en","note":"arXiv:2310.03714 [cs]","number":"arXiv:2310.03714","publisher":"arXiv","source":"arXiv.org","title":"DSPy: Compiling Declarative Language Model Calls into Self-Improving Pipelines","title-short":"DSPy","URL":"http://arxiv.org/abs/2310.03714","author":[{"family":"Khattab","given":"Omar"},{"family":"Singhvi","given":"Arnav"},{"family":"Maheshwari","given":"Paridhi"},{"family":"Zhang","given":"Zhiyuan"},{"family":"Santhanam","given":"Keshav"},{"family":"Vardhamanan","given":"Sri"},{"family":"Haq","given":"Saiful"},{"family":"Sharma","given":"Ashutosh"},{"family":"Joshi","given":"Thomas T."},{"family":"Moazam","given":"Hanna"},{"family":"Miller","given":"Heather"},{"family":"Zaharia","given":"Matei"},{"family":"Potts","given":"Christopher"}],"accessed":{"date-parts":[["2026",4,6]]},"issued":{"date-parts":[["2023",10,5]]}}},{"id":354,"uris":["http://zotero.org/users/17573427/items/DUC5T2HD"],"itemData":{"id":354,"type":"article","abstract":"Language Model Programs, i.e. sophisticated pipelines of modular language model (LM) calls, are increasingly advancing NLP tasks. However, building these pipelines requires crafting prompts that are jointly effective for all modules. We study prompt optimization for LM programs, i.e. how to update these prompts to maximize a downstream metric without access to module-level labels or gradients. To make this tractable, we factorize our problem into optimizing the free-form instructions and few-shot demonstrations of every module and introduce several strategies to craft task-grounded instructions and navigate credit assignment across modules. Our strategies include (i) program-and-data-aware techniques for proposing effective instructions, (ii) a stochastic mini-batch evaluation function for learning a surrogate model of our objective, and (iii) a meta-optimization procedure in which we refine how LMs construct proposals over time. Using these insights we develop MIPRO, a novel optimizer that outperforms baselines on five of seven diverse LM programs using a best-in-class open-source model (Llama3-8B), by as much as 13% accuracy. We have released our new optimizers and benchmark in DSPy at http://dspy.ai.","DOI":"10.48550/arXiv.2406.11695","language":"en","note":"arXiv:2406.11695 [cs]","number":"arXiv:2406.11695","publisher":"arXiv","source":"arXiv.org","title":"Optimizing Instructions and Demonstrations for Multi-Stage Language Model Programs","URL":"http://arxiv.org/abs/2406.11695","author":[{"family":"Opsahl-Ong","given":"Krista"},{"family":"Ryan","given":"Michael J."},{"family":"Purtell","given":"Josh"},{"family":"Broman","given":"David"},{"family":"Potts","given":"Christopher"},{"family":"Zaharia","given":"Matei"},{"family":"Khattab","given":"Omar"}],"accessed":{"date-parts":[["2026",4,6]]},"issued":{"date-parts":[["2024",10,6]]}}},{"id":358,"uris":["http://zotero.org/users/17573427/items/GT2N572F"],"itemData":{"id":358,"type":"article","abstract":"Chaining language model (LM) calls as composable modules is fueling a new way of programming, but ensuring LMs adhere to important constraints requires heuristic “prompt engineering.” We introduce LM Assertions, a programming construct for expressing computational constraints that LMs should satisfy. We integrate our constructs into the recent DSPy programming model for LMs and present new strategies that allow DSPy to compile programs with LM Assertions into more reliable and accurate systems. We also propose strategies to use assertions at inference time for automatic self-reﬁnement with LMs. We report on four diverse case studies for text generation and ﬁnd that LM Assertions improve not only compliance with imposed rules but also downstream task performance, passing constraints up to 164% more often and generating up to 37% more higher-quality responses.","DOI":"10.48550/arXiv.2312.13382","language":"en","note":"arXiv:2312.13382 [cs]","number":"arXiv:2312.13382","publisher":"arXiv","source":"arXiv.org","title":"DSPy Assertions: Computational Constraints for Self-Refining Language Model Pipelines","title-short":"DSPy Assertions","URL":"http://arxiv.org/abs/2312.13382","author":[{"family":"Singhvi","given":"Arnav"},{"family":"Shetty","given":"Manish"},{"family":"Tan","given":"Shangyin"},{"family":"Potts","given":"Christopher"},{"family":"Sen","given":"Koushik"},{"family":"Zaharia","given":"Matei"},{"family":"Khattab","given":"Omar"}],"accessed":{"date-parts":[["2026",4,6]]},"issued":{"date-parts":[["2024",2,2]]}}},{"id":358,"uris":["http://zotero.org/users/17573427/items/GT2N572F"],"itemData":{"id":358,"type":"article","abstract":"Chaining language model (LM) calls as composable modules is fueling a new way of programming, but ensuring LMs adhere to important constraints requires heuristic “prompt engineering.” We introduce LM Assertions, a programming construct for expressing computational constraints that LMs should satisfy. We integrate our constructs into the recent DSPy programming model for LMs and present new strategies that allow DSPy to compile programs with LM Assertions into more reliable and accurate systems. We also propose strategies to use assertions at inference time for automatic self-reﬁnement with LMs. We report on four diverse case studies for text generation and ﬁnd that LM Assertions improve not only compliance with imposed rules but also downstream task performance, passing constraints up to 164% more often and generating up to 37% more higher-quality responses.","DOI":"10.48550/arXiv.2312.13382","language":"en","note":"arXiv:2312.13382 [cs]","number":"arXiv:2312.13382","publisher":"arXiv","source":"arXiv.org","title":"DSPy Assertions: Computational Constraints for Self-Refining Language Model Pipelines","title-short":"DSPy Assertions","URL":"http://arxiv.org/abs/2312.13382","author":[{"family":"Singhvi","given":"Arnav"},{"family":"Shetty","given":"Manish"},{"family":"Tan","given":"Shangyin"},{"family":"Potts","given":"Christopher"},{"family":"Sen","given":"Koushik"},{"family":"Zaharia","given":"Matei"},{"family":"Khattab","given":"Omar"}],"accessed":{"date-parts":[["2026",4,6]]},"issued":{"date-parts":[["2024",2,2]]}}},{"id":352,"uris":["http://zotero.org/users/17573427/items/C9T54ZMD"],"itemData":{"id":352,"type":"article","abstract":"Large language models (LLMs) are increasingly adapted to downstream tasks via reinforcement learning (RL) methods like Group Relative Policy Optimization (GRPO), which often require thousands of rollouts to learn new tasks. We argue that the interpretable nature of language often provides a much richer learning medium for LLMs, compared to policy gradients derived from sparse, scalar rewards. To test this, we introduce GEPA (Genetic-Pareto), a prompt optimizer that thoroughly incorporates natural language reflection to learn high-level rules from trial and error. Given any AI system containing one or more LLM prompts, GEPA samples trajectories (e.g., reasoning, tool calls, and tool outputs) and reflects on them in natural language to diagnose problems, propose and test prompt updates, and combine complementary lessons from the Pareto frontier of its own attempts. As a result of GEPA’s design, it can often turn even just a few rollouts into a large quality gain. Across six tasks, GEPA outperforms GRPO by 6% on average and by up to 20%, while using up to 35x fewer rollouts. GEPA also outperforms the leading prompt optimizer, MIPROv2, by over 10% (e.g., +12% accuracy on AIME-2025), and demonstrates promising results as an inference-time search strategy for code optimization. We release our code at https://github.com/gepa-ai/gepa.","DOI":"10.48550/arXiv.2507.19457","language":"en","note":"arXiv:2507.19457 [cs]","number":"arXiv:2507.19457","publisher":"arXiv","source":"arXiv.org","title":"GEPA: Reflective Prompt Evolution Can Outperform Reinforcement Learning","title-short":"GEPA","URL":"http://arxiv.org/abs/2507.19457","author":[{"family":"Agrawal","given":"Lakshya A."},{"family":"Tan","given":"Shangyin"},{"family":"Soylu","given":"Dilara"},{"family":"Ziems","given":"Noah"},{"family":"Khare","given":"Rishi"},{"family":"Opsahl-Ong","given":"Krista"},{"family":"Singhvi","given":"Arnav"},{"family":"Shandilya","given":"Herumb"},{"family":"Ryan","given":"Michael J."},{"family":"Jiang","given":"Meng"},{"family":"Potts","given":"Christopher"},{"family":"Sen","given":"Koushik"},{"family":"Dimakis","given":"Alexandros G."},{"family":"Stoica","given":"Ion"},{"family":"Klein","given":"Dan"},{"family":"Zaharia","given":"Matei"},{"family":"Khattab","given":"Omar"}],"accessed":{"date-parts":[["2026",4,6]]},"issued":{"date-parts":[["2026",2,14]]}}}],"schema":"https://github.com/citation-style-language/schema/raw/master/csl-citation.json"} </w:instrText>
      </w:r>
      <w:r w:rsidR="004404C9">
        <w:fldChar w:fldCharType="separate"/>
      </w:r>
      <w:r w:rsidR="00107DE3" w:rsidRPr="00107DE3">
        <w:rPr>
          <w:rFonts w:ascii="Aptos" w:hAnsi="Aptos"/>
        </w:rPr>
        <w:t>[11], [12], [14], [14], [16]</w:t>
      </w:r>
      <w:r w:rsidR="004404C9">
        <w:fldChar w:fldCharType="end"/>
      </w:r>
      <w:r w:rsidRPr="00A005C3">
        <w:t>, with no research applying these techniques systematically across multiple collaborating agents in a trading system. Second, existing feedback mechanisms operate at the prompt level without considering real-world trading outcomes like profits, losses, or risk-adjusted returns as optimisation signals</w:t>
      </w:r>
      <w:r w:rsidR="004404C9">
        <w:t xml:space="preserve"> </w:t>
      </w:r>
      <w:r w:rsidR="004404C9" w:rsidRPr="00A005C3">
        <w:t>problems</w:t>
      </w:r>
      <w:r w:rsidR="004404C9">
        <w:t xml:space="preserve"> </w:t>
      </w:r>
      <w:r w:rsidR="004404C9">
        <w:fldChar w:fldCharType="begin"/>
      </w:r>
      <w:r w:rsidR="008A6CAB">
        <w:instrText xml:space="preserve"> ADDIN ZOTERO_ITEM CSL_CITATION {"citationID":"4acumnFs","properties":{"formattedCitation":"[11], [12], [14], [14], [16]","plainCitation":"[11], [12], [14], [14], [16]","noteIndex":0},"citationItems":[{"id":351,"uris":["http://zotero.org/users/17573427/items/EZYNV4SS"],"itemData":{"id":351,"type":"article","abstract":"The ML community is rapidly exploring techniques for prompting language models (LMs) and for stacking them into pipelines that solve complex tasks. Unfortunately, existing LM pipelines are typically implemented using hard-coded “prompt templates”, i.e. lengthy strings discovered via trial and error. Toward a more systematic approach for developing and optimizing LM pipelines, we introduce DSPy, a programming model that abstracts LM pipelines as text transformation graphs, i.e. imperative computation graphs where LMs are invoked through declarative modules. DSPy modules are parameterized, meaning they can learn (by creating and collecting demonstrations) how to apply compositions of prompting, finetuning, augmentation, and reasoning techniques. We design a compiler that will optimize any DSPy pipeline to maximize a given metric. We conduct two case studies, showing that succinct DSPy programs can express and optimize sophisticated LM pipelines that reason about math word problems, tackle multihop retrieval, answer complex questions, and control agent loops. Within minutes of compiling, a few lines of DSPy allow GPT-3.5 and llama2-13b-chat to selfbootstrap pipelines that outperform standard few-shot prompting (generally by over 25% and 65%, respectively) and pipelines with expert-created demonstrations (by up to 5–46% and 16–40%, respectively). On top of that, DSPy programs compiled to open and relatively small LMs like 770M-parameter T5 and llama2-13b-chat are competitive with approaches that rely on expert-written prompt chains for proprietary GPT-3.5.","DOI":"10.48550/arXiv.2310.03714","language":"en","note":"arXiv:2310.03714 [cs]","number":"arXiv:2310.03714","publisher":"arXiv","source":"arXiv.org","title":"DSPy: Compiling Declarative Language Model Calls into Self-Improving Pipelines","title-short":"DSPy","URL":"http://arxiv.org/abs/2310.03714","author":[{"family":"Khattab","given":"Omar"},{"family":"Singhvi","given":"Arnav"},{"family":"Maheshwari","given":"Paridhi"},{"family":"Zhang","given":"Zhiyuan"},{"family":"Santhanam","given":"Keshav"},{"family":"Vardhamanan","given":"Sri"},{"family":"Haq","given":"Saiful"},{"family":"Sharma","given":"Ashutosh"},{"family":"Joshi","given":"Thomas T."},{"family":"Moazam","given":"Hanna"},{"family":"Miller","given":"Heather"},{"family":"Zaharia","given":"Matei"},{"family":"Potts","given":"Christopher"}],"accessed":{"date-parts":[["2026",4,6]]},"issued":{"date-parts":[["2023",10,5]]}}},{"id":354,"uris":["http://zotero.org/users/17573427/items/DUC5T2HD"],"itemData":{"id":354,"type":"article","abstract":"Language Model Programs, i.e. sophisticated pipelines of modular language model (LM) calls, are increasingly advancing NLP tasks. However, building these pipelines requires crafting prompts that are jointly effective for all modules. We study prompt optimization for LM programs, i.e. how to update these prompts to maximize a downstream metric without access to module-level labels or gradients. To make this tractable, we factorize our problem into optimizing the free-form instructions and few-shot demonstrations of every module and introduce several strategies to craft task-grounded instructions and navigate credit assignment across modules. Our strategies include (i) program-and-data-aware techniques for proposing effective instructions, (ii) a stochastic mini-batch evaluation function for learning a surrogate model of our objective, and (iii) a meta-optimization procedure in which we refine how LMs construct proposals over time. Using these insights we develop MIPRO, a novel optimizer that outperforms baselines on five of seven diverse LM programs using a best-in-class open-source model (Llama3-8B), by as much as 13% accuracy. We have released our new optimizers and benchmark in DSPy at http://dspy.ai.","DOI":"10.48550/arXiv.2406.11695","language":"en","note":"arXiv:2406.11695 [cs]","number":"arXiv:2406.11695","publisher":"arXiv","source":"arXiv.org","title":"Optimizing Instructions and Demonstrations for Multi-Stage Language Model Programs","URL":"http://arxiv.org/abs/2406.11695","author":[{"family":"Opsahl-Ong","given":"Krista"},{"family":"Ryan","given":"Michael J."},{"family":"Purtell","given":"Josh"},{"family":"Broman","given":"David"},{"family":"Potts","given":"Christopher"},{"family":"Zaharia","given":"Matei"},{"family":"Khattab","given":"Omar"}],"accessed":{"date-parts":[["2026",4,6]]},"issued":{"date-parts":[["2024",10,6]]}}},{"id":358,"uris":["http://zotero.org/users/17573427/items/GT2N572F"],"itemData":{"id":358,"type":"article","abstract":"Chaining language model (LM) calls as composable modules is fueling a new way of programming, but ensuring LMs adhere to important constraints requires heuristic “prompt engineering.” We introduce LM Assertions, a programming construct for expressing computational constraints that LMs should satisfy. We integrate our constructs into the recent DSPy programming model for LMs and present new strategies that allow DSPy to compile programs with LM Assertions into more reliable and accurate systems. We also propose strategies to use assertions at inference time for automatic self-reﬁnement with LMs. We report on four diverse case studies for text generation and ﬁnd that LM Assertions improve not only compliance with imposed rules but also downstream task performance, passing constraints up to 164% more often and generating up to 37% more higher-quality responses.","DOI":"10.48550/arXiv.2312.13382","language":"en","note":"arXiv:2312.13382 [cs]","number":"arXiv:2312.13382","publisher":"arXiv","source":"arXiv.org","title":"DSPy Assertions: Computational Constraints for Self-Refining Language Model Pipelines","title-short":"DSPy Assertions","URL":"http://arxiv.org/abs/2312.13382","author":[{"family":"Singhvi","given":"Arnav"},{"family":"Shetty","given":"Manish"},{"family":"Tan","given":"Shangyin"},{"family":"Potts","given":"Christopher"},{"family":"Sen","given":"Koushik"},{"family":"Zaharia","given":"Matei"},{"family":"Khattab","given":"Omar"}],"accessed":{"date-parts":[["2026",4,6]]},"issued":{"date-parts":[["2024",2,2]]}}},{"id":358,"uris":["http://zotero.org/users/17573427/items/GT2N572F"],"itemData":{"id":358,"type":"article","abstract":"Chaining language model (LM) calls as composable modules is fueling a new way of programming, but ensuring LMs adhere to important constraints requires heuristic “prompt engineering.” We introduce LM Assertions, a programming construct for expressing computational constraints that LMs should satisfy. We integrate our constructs into the recent DSPy programming model for LMs and present new strategies that allow DSPy to compile programs with LM Assertions into more reliable and accurate systems. We also propose strategies to use assertions at inference time for automatic self-reﬁnement with LMs. We report on four diverse case studies for text generation and ﬁnd that LM Assertions improve not only compliance with imposed rules but also downstream task performance, passing constraints up to 164% more often and generating up to 37% more higher-quality responses.","DOI":"10.48550/arXiv.2312.13382","language":"en","note":"arXiv:2312.13382 [cs]","number":"arXiv:2312.13382","publisher":"arXiv","source":"arXiv.org","title":"DSPy Assertions: Computational Constraints for Self-Refining Language Model Pipelines","title-short":"DSPy Assertions","URL":"http://arxiv.org/abs/2312.13382","author":[{"family":"Singhvi","given":"Arnav"},{"family":"Shetty","given":"Manish"},{"family":"Tan","given":"Shangyin"},{"family":"Potts","given":"Christopher"},{"family":"Sen","given":"Koushik"},{"family":"Zaharia","given":"Matei"},{"family":"Khattab","given":"Omar"}],"accessed":{"date-parts":[["2026",4,6]]},"issued":{"date-parts":[["2024",2,2]]}}},{"id":352,"uris":["http://zotero.org/users/17573427/items/C9T54ZMD"],"itemData":{"id":352,"type":"article","abstract":"Large language models (LLMs) are increasingly adapted to downstream tasks via reinforcement learning (RL) methods like Group Relative Policy Optimization (GRPO), which often require thousands of rollouts to learn new tasks. We argue that the interpretable nature of language often provides a much richer learning medium for LLMs, compared to policy gradients derived from sparse, scalar rewards. To test this, we introduce GEPA (Genetic-Pareto), a prompt optimizer that thoroughly incorporates natural language reflection to learn high-level rules from trial and error. Given any AI system containing one or more LLM prompts, GEPA samples trajectories (e.g., reasoning, tool calls, and tool outputs) and reflects on them in natural language to diagnose problems, propose and test prompt updates, and combine complementary lessons from the Pareto frontier of its own attempts. As a result of GEPA’s design, it can often turn even just a few rollouts into a large quality gain. Across six tasks, GEPA outperforms GRPO by 6% on average and by up to 20%, while using up to 35x fewer rollouts. GEPA also outperforms the leading prompt optimizer, MIPROv2, by over 10% (e.g., +12% accuracy on AIME-2025), and demonstrates promising results as an inference-time search strategy for code optimization. We release our code at https://github.com/gepa-ai/gepa.","DOI":"10.48550/arXiv.2507.19457","language":"en","note":"arXiv:2507.19457 [cs]","number":"arXiv:2507.19457","publisher":"arXiv","source":"arXiv.org","title":"GEPA: Reflective Prompt Evolution Can Outperform Reinforcement Learning","title-short":"GEPA","URL":"http://arxiv.org/abs/2507.19457","author":[{"family":"Agrawal","given":"Lakshya A."},{"family":"Tan","given":"Shangyin"},{"family":"Soylu","given":"Dilara"},{"family":"Ziems","given":"Noah"},{"family":"Khare","given":"Rishi"},{"family":"Opsahl-Ong","given":"Krista"},{"family":"Singhvi","given":"Arnav"},{"family":"Shandilya","given":"Herumb"},{"family":"Ryan","given":"Michael J."},{"family":"Jiang","given":"Meng"},{"family":"Potts","given":"Christopher"},{"family":"Sen","given":"Koushik"},{"family":"Dimakis","given":"Alexandros G."},{"family":"Stoica","given":"Ion"},{"family":"Klein","given":"Dan"},{"family":"Zaharia","given":"Matei"},{"family":"Khattab","given":"Omar"}],"accessed":{"date-parts":[["2026",4,6]]},"issued":{"date-parts":[["2026",2,14]]}}}],"schema":"https://github.com/citation-style-language/schema/raw/master/csl-citation.json"} </w:instrText>
      </w:r>
      <w:r w:rsidR="004404C9">
        <w:fldChar w:fldCharType="separate"/>
      </w:r>
      <w:r w:rsidR="00107DE3" w:rsidRPr="00107DE3">
        <w:rPr>
          <w:rFonts w:ascii="Aptos" w:hAnsi="Aptos"/>
        </w:rPr>
        <w:t>[11], [12], [14], [14], [16]</w:t>
      </w:r>
      <w:r w:rsidR="004404C9">
        <w:fldChar w:fldCharType="end"/>
      </w:r>
      <w:r w:rsidRPr="00A005C3">
        <w:t xml:space="preserve">. Third, while GEPA </w:t>
      </w:r>
      <w:r w:rsidR="00B0299E">
        <w:t xml:space="preserve">shown </w:t>
      </w:r>
      <w:r w:rsidRPr="00A005C3">
        <w:t xml:space="preserve">financial calculations using CAPM </w:t>
      </w:r>
      <w:r w:rsidR="004404C9">
        <w:fldChar w:fldCharType="begin"/>
      </w:r>
      <w:r w:rsidR="008A6CAB">
        <w:instrText xml:space="preserve"> ADDIN ZOTERO_ITEM CSL_CITATION {"citationID":"dnxkxOLf","properties":{"formattedCitation":"[16]","plainCitation":"[16]","noteIndex":0},"citationItems":[{"id":352,"uris":["http://zotero.org/users/17573427/items/C9T54ZMD"],"itemData":{"id":352,"type":"article","abstract":"Large language models (LLMs) are increasingly adapted to downstream tasks via reinforcement learning (RL) methods like Group Relative Policy Optimization (GRPO), which often require thousands of rollouts to learn new tasks. We argue that the interpretable nature of language often provides a much richer learning medium for LLMs, compared to policy gradients derived from sparse, scalar rewards. To test this, we introduce GEPA (Genetic-Pareto), a prompt optimizer that thoroughly incorporates natural language reflection to learn high-level rules from trial and error. Given any AI system containing one or more LLM prompts, GEPA samples trajectories (e.g., reasoning, tool calls, and tool outputs) and reflects on them in natural language to diagnose problems, propose and test prompt updates, and combine complementary lessons from the Pareto frontier of its own attempts. As a result of GEPA’s design, it can often turn even just a few rollouts into a large quality gain. Across six tasks, GEPA outperforms GRPO by 6% on average and by up to 20%, while using up to 35x fewer rollouts. GEPA also outperforms the leading prompt optimizer, MIPROv2, by over 10% (e.g., +12% accuracy on AIME-2025), and demonstrates promising results as an inference-time search strategy for code optimization. We release our code at https://github.com/gepa-ai/gepa.","DOI":"10.48550/arXiv.2507.19457","language":"en","note":"arXiv:2507.19457 [cs]","number":"arXiv:2507.19457","publisher":"arXiv","source":"arXiv.org","title":"GEPA: Reflective Prompt Evolution Can Outperform Reinforcement Learning","title-short":"GEPA","URL":"http://arxiv.org/abs/2507.19457","author":[{"family":"Agrawal","given":"Lakshya A."},{"family":"Tan","given":"Shangyin"},{"family":"Soylu","given":"Dilara"},{"family":"Ziems","given":"Noah"},{"family":"Khare","given":"Rishi"},{"family":"Opsahl-Ong","given":"Krista"},{"family":"Singhvi","given":"Arnav"},{"family":"Shandilya","given":"Herumb"},{"family":"Ryan","given":"Michael J."},{"family":"Jiang","given":"Meng"},{"family":"Potts","given":"Christopher"},{"family":"Sen","given":"Koushik"},{"family":"Dimakis","given":"Alexandros G."},{"family":"Stoica","given":"Ion"},{"family":"Klein","given":"Dan"},{"family":"Zaharia","given":"Matei"},{"family":"Khattab","given":"Omar"}],"accessed":{"date-parts":[["2026",4,6]]},"issued":{"date-parts":[["2026",2,14]]}}}],"schema":"https://github.com/citation-style-language/schema/raw/master/csl-citation.json"} </w:instrText>
      </w:r>
      <w:r w:rsidR="004404C9">
        <w:fldChar w:fldCharType="separate"/>
      </w:r>
      <w:r w:rsidR="008A6CAB" w:rsidRPr="008A6CAB">
        <w:rPr>
          <w:rFonts w:ascii="Aptos" w:hAnsi="Aptos"/>
        </w:rPr>
        <w:t>[16]</w:t>
      </w:r>
      <w:r w:rsidR="004404C9">
        <w:fldChar w:fldCharType="end"/>
      </w:r>
      <w:r w:rsidRPr="00A005C3">
        <w:t>, no research has implemented continuous prompt optimisation based on actual trading performance over time. These gaps highlight the need for a framework that applies prompt optimisation techniques to multi-agent trading systems with feedback loops driven by real trading outcomes rather than static benchmarks.</w:t>
      </w:r>
    </w:p>
    <w:p w14:paraId="4758C79C" w14:textId="77777777" w:rsidR="00AB3DBF" w:rsidRDefault="00AB3DBF" w:rsidP="00CB0F7F"/>
    <w:p w14:paraId="48EAB734" w14:textId="6D66915A" w:rsidR="008B4CEC" w:rsidRDefault="008B4CEC" w:rsidP="008B4CEC">
      <w:pPr>
        <w:pStyle w:val="Heading3"/>
      </w:pPr>
      <w:bookmarkStart w:id="20" w:name="_Toc228577618"/>
      <w:r w:rsidRPr="008B4CEC">
        <w:t>2.3 Reinforcement Learning for Portfolio Management</w:t>
      </w:r>
      <w:bookmarkEnd w:id="20"/>
      <w:r>
        <w:t xml:space="preserve">  </w:t>
      </w:r>
    </w:p>
    <w:p w14:paraId="1A1C595A" w14:textId="77777777" w:rsidR="00265142" w:rsidRPr="00265142" w:rsidRDefault="00265142" w:rsidP="00265142"/>
    <w:p w14:paraId="1E380AF0" w14:textId="721C5FAA" w:rsidR="00E947B8" w:rsidRDefault="00265142" w:rsidP="00AB3DBF">
      <w:pPr>
        <w:jc w:val="both"/>
      </w:pPr>
      <w:r w:rsidRPr="00265142">
        <w:t xml:space="preserve">Reinforcement learning is one of the best techniques for portfolio management because it can learn optimal trading strategies by interacting with the market environment without defining </w:t>
      </w:r>
      <w:r w:rsidR="00053871">
        <w:t xml:space="preserve">static </w:t>
      </w:r>
      <w:r w:rsidRPr="00265142">
        <w:t xml:space="preserve">rules or assumptions about how markets will behave. Traditional portfolio management methods like Modern Portfolio Theory assume that markets are static and that asset returns </w:t>
      </w:r>
      <w:r w:rsidRPr="00265142">
        <w:lastRenderedPageBreak/>
        <w:t>follow normal distributions, but real markets are dynamic, noisy, and constantly changing</w:t>
      </w:r>
      <w:r w:rsidR="003F0359">
        <w:t xml:space="preserve"> </w:t>
      </w:r>
      <w:r w:rsidR="000B202D">
        <w:fldChar w:fldCharType="begin"/>
      </w:r>
      <w:r w:rsidR="008A6CAB">
        <w:instrText xml:space="preserve"> ADDIN ZOTERO_ITEM CSL_CITATION {"citationID":"fNhle4lE","properties":{"formattedCitation":"[21], [22], [23], [24], [25], [26], [27]","plainCitation":"[21], [22], [23], [24], [25], [26], [27]","noteIndex":0},"citationItems":[{"id":369,"uris":["http://zotero.org/users/17573427/items/4EX48BMI"],"itemData":{"id":369,"type":"article-journal","abstract":"Artificial intelligence is transforming financial investment decision-making frameworks, with deep reinforcement learning demonstrating substantial potential in robo-advisory applications. This paper addresses the limitations of traditional portfolio optimization methods in dynamic asset weight adjustment through the development of a deep reinforcement learning-based dynamic optimization model grounded in practical trading processes. The research advances two key innovations: first, the introduction of a novel Sharpe ratio reward function engineered for Actor-Critic deep reinforcement learning algorithms, which ensures stable convergence during training while consistently achieving positive average Sharpe ratios; second, the development of an innovative comprehensive approach to portfolio optimization utilizing deep reinforcement learning, which significantly enhances model optimization capability through the integration of random sampling strategies during training with image-based deep neural network architectures for multi-dimensional financial time series data processing, average Sharpe ratio reward functions, and deep reinforcement learning algorithms. The empirical analysis validates the model using randomly selected constituent stocks from the CSI 300 Index, benchmarking against established financial econometric optimization models. Backtesting results demonstrate the model's efficacy in optimizing portfolio allocation and mitigating investment risk, yielding superior comprehensive performance metrics.","language":"en","source":"Zotero","title":"A Deep Reinforcement Learning Framework for Dynamic Portfolio Optimization: Evidence from China's Stock Market","author":[{"family":"Huang","given":"Gang"},{"family":"Zhou","given":"Xiaohua"},{"family":"Song","given":"Qingyang"}]}},{"id":370,"uris":["http://zotero.org/users/17573427/items/KX5Y3XK9"],"itemData":{"id":370,"type":"article","abstract":"Portfolio management remains a crucial challenge in finance, with traditional methods often falling short in complex and volatile market environments. While deep reinforcement approaches have shown promise, they still face limitations in dynamic risk management, exploitation of temporal markets, and incorporation of complex trading strategies such as short-selling. These limitations can lead to suboptimal portfolio performance, increased vulnerability to market volatility, and missed opportunities in capturing potential returns from diverse market conditions. This paper introduces a Deep Reinforcement Learning Portfolio Management Framework with TimeAwareness and Short-Selling (MTS), offering a robust and adaptive strategy for sustainable investment performance. This framework utilizes a novel encoder-attention mechanism to address the limitations by incorporating temporal market characteristics, a parallel strategy for automated short-selling based on market trends, and risk management through innovative Incremental Conditional Value at Risk, enhancing adaptability and performance. Experimental validation on five diverse datasets from 2019 to 2023 demonstrates MTS’s superiority over traditional algorithms and advanced machine learning techniques. MTS consistently achieves higher cumulative returns, Sharpe, Omega, and Sortino ratios, underscoring its effectiveness in balancing risk and return while adapting to market dynamics. MTS demonstrates an average relative increase of 30.67% in cumulative returns and 29.33% in Sharpe ratio compared to the next best-performing strategies across various datasets.","DOI":"10.48550/arXiv.2503.04143","language":"en","note":"arXiv:2503.04143 [cs]","number":"arXiv:2503.04143","publisher":"arXiv","source":"arXiv.org","title":"MTS: A Deep Reinforcement Learning Portfolio Management Framework with Time-Awareness and Short-Selling","title-short":"MTS","URL":"http://arxiv.org/abs/2503.04143","author":[{"family":"Gu","given":"Fengchen"},{"family":"Jiang","given":"Zhengyong"},{"family":"García-Fernández","given":"Ángel F."},{"family":"Stefanidis","given":"Angelos"},{"family":"Su","given":"Jionglong"},{"family":"Li","given":"Huakang"}],"accessed":{"date-parts":[["2026",4,6]]},"issued":{"date-parts":[["2025",3,6]]}}},{"id":371,"uris":["http://zotero.org/users/17573427/items/GHMAXKKY"],"itemData":{"id":371,"type":"article","abstract":"As deep reinforcement learning (DRL) has been recognized as an effective approach in quantitative ﬁnance, getting hands-on experiences is attractive to beginners. However, to train a practical DRL trading agent that decides where to trade, at what price, and what quantity involves error-prone and arduous development and debugging. In this paper, we introduce a DRL library FinRL that facilitates beginners to expose themselves to quantitative ﬁnance and to develop their own stock trading strategies. Along with easily-reproducible tutorials, FinRL library allows users to streamline their own developments and to compare with existing schemes easily. Within FinRL, virtual environments are conﬁgured with stock market datasets, trading agents are trained with neural networks, and extensive backtesting is analyzed via trading performance. Moreover, it incorporates important trading constraints such as transaction cost, market liquidity and the investor’s degree of risk-aversion. FinRL is featured with completeness, hands-on tutorial and reproducibility that favors beginners: (i) at multiple levels of time granularity, FinRL simulates trading environments across various stock markets, including NASDAQ-100, DJIA, S&amp;P 500, HSI, SSE 50, and CSI 300; (ii) organized in a layered architecture with modular structure, FinRL provides ﬁne-tuned state-of-theart DRL algorithms (DQN, DDPG, PPO, SAC, A2C, TD3, etc.), commonly-used reward functions and standard evaluation baselines to alleviate the debugging workloads and promote the reproducibility, and (iii) being highly extendable, FinRL reserves a complete set of user-import interfaces. Furthermore, we incorporated three application demonstrations, namely single stock trading, multiple stock trading, and portfolio allocation. The FinRL library will be available on Github at link https://github.com/AI4Finance-LLC/FinRL-Library.","DOI":"10.48550/arXiv.2011.09607","language":"en","note":"arXiv:2011.09607 [q-fin]","number":"arXiv:2011.09607","publisher":"arXiv","source":"arXiv.org","title":"FinRL: A Deep Reinforcement Learning Library for Automated Stock Trading in Quantitative Finance","title-short":"FinRL","URL":"http://arxiv.org/abs/2011.09607","author":[{"family":"Liu","given":"Xiao-Yang"},{"family":"Yang","given":"Hongyang"},{"family":"Chen","given":"Qian"},{"family":"Zhang","given":"Runjia"},{"family":"Yang","given":"Liuqing"},{"family":"Xiao","given":"Bowen"},{"family":"Wang","given":"Christina Dan"}],"accessed":{"date-parts":[["2026",4,6]]},"issued":{"date-parts":[["2022",3,2]]}}},{"id":373,"uris":["http://zotero.org/users/17573427/items/YCBHQJF7"],"itemData":{"id":373,"type":"paper-conference","abstract":"Deep reinforcement learning (DRL) has been envisioned to have a competitive edge in quantitative finance. However, there is a steep development curve for quantitative traders to obtain an agent that automatically positions to win in the market, namely to decide where to trade, at what price and what quantity, due to the error-prone programming and arduous debugging. In this paper, we present the first open-source framework FinRL as a full pipeline to help quantitative traders overcome the steep learning curve. FinRL is featured with simplicity, applicability and extensibility under the key principles, full-stack framework, customization, reproducibility and hands-on tutoring.","container-title":"Proceedings of the Second ACM International Conference on AI in Finance","DOI":"10.1145/3490354.3494366","language":"en","note":"arXiv:2111.09395 [q-fin]","page":"1-9","source":"arXiv.org","title":"FinRL: Deep Reinforcement Learning Framework to Automate Trading in Quantitative Finance","title-short":"FinRL","URL":"http://arxiv.org/abs/2111.09395","author":[{"family":"Liu","given":"Xiao-Yang"},{"family":"Yang","given":"Hongyang"},{"family":"Gao","given":"Jiechao"},{"family":"Wang","given":"Christina Dan"}],"accessed":{"date-parts":[["2026",4,6]]},"issued":{"date-parts":[["2021",11,3]]}}},{"id":375,"uris":["http://zotero.org/users/17573427/items/L5WV98XL"],"itemData":{"id":375,"type":"article","abstract":"Large language models (LLMs) fine-tuned on multimodal financial data have demonstrated impressive reasoning capabilities in various financial tasks. However, they often struggle with multi-step, goal-oriented scenarios in interactive financial markets, such as trading, where complex agentic approaches are required to improve decision-making. To address this, we propose FLAG-TRADER, a unified architecture integrating linguistic processing (via LLMs) with gradient-driven reinforcement learning (RL) policy optimization, in which a partially finetuned LLM acts as the policy network, leveraging pre-trained knowledge while adapting to the financial domain through parameter-efficient fine-tuning. Through policy gradient optimization driven by trading rewards, our framework not only enhances LLM performance in trading but also improves results on other financialdomain tasks. We present extensive empirical evidence to validate these enhancements.","DOI":"10.48550/arXiv.2502.11433","language":"en","note":"arXiv:2502.11433 [cs]","number":"arXiv:2502.11433","publisher":"arXiv","source":"arXiv.org","title":"FLAG-Trader: Fusion LLM-Agent with Gradient-based Reinforcement Learning for Financial Trading","title-short":"FLAG-Trader","URL":"http://arxiv.org/abs/2502.11433","author":[{"family":"Xiong","given":"Guojun"},{"family":"Deng","given":"Zhiyang"},{"family":"Wang","given":"Keyi"},{"family":"Cao","given":"Yupeng"},{"family":"Li","given":"Haohang"},{"family":"Yu","given":"Yangyang"},{"family":"Peng","given":"Xueqing"},{"family":"Lin","given":"Mingquan"},{"family":"Smith","given":"Kaleb E."},{"family":"Liu","given":"Xiao-Yang"},{"family":"Huang","given":"Jimin"},{"family":"Ananiadou","given":"Sophia"},{"family":"Xie","given":"Qianqian"}],"accessed":{"date-parts":[["2026",4,6]]},"issued":{"date-parts":[["2025",2,19]]}}},{"id":376,"uris":["http://zotero.org/users/17573427/items/JYYIFAZV"],"itemData":{"id":376,"type":"paper-conference","abstract":"We introduce KPI-EDGAR, a novel dataset for Joint Named Entity Recognition and Relation Extraction building on ﬁnancial reports uploaded to the Electronic Data Gathering, Analysis, and Retrieval (EDGAR) system, where the main objective is to extract Key Performance Indicators (KPIs) from ﬁnancial documents and link them to their numerical values and other attributes. We further provide four accompanying baselines for benchmarking potential future research. Additionally, we propose a new way of measuring the success of said extraction process by incorporating a word-level weighting scheme into the conventional F1 score to better model the inherently fuzzy borders of the entity pairs of a relation in this domain.","container-title":"2022 21st IEEE International Conference on Machine Learning and Applications (ICMLA)","DOI":"10.1109/ICMLA55696.2022.00254","language":"en","note":"arXiv:2210.09163 [cs]","page":"1654-1659","source":"arXiv.org","title":"KPI-EDGAR: A Novel Dataset and Accompanying Metric for Relation Extraction from Financial Documents","title-short":"KPI-EDGAR","URL":"http://arxiv.org/abs/2210.09163","author":[{"family":"Deußer","given":"Tobias"},{"family":"Ali","given":"Syed Musharraf"},{"family":"Hillebrand","given":"Lars"},{"family":"Nurchalifah","given":"Desiana"},{"family":"Jacob","given":"Basil"},{"family":"Bauckhage","given":"Christian"},{"family":"Sifa","given":"Rafet"}],"accessed":{"date-parts":[["2026",4,6]]},"issued":{"date-parts":[["2022",12]]}}},{"id":378,"uris":["http://zotero.org/users/17573427/items/GY45N8J9"],"itemData":{"id":378,"type":"article","abstract":"This research paper delves into the application of Deep Reinforcement Learning (DRL) in asset-class agnostic portfolio optimization, integrating industry-grade methodologies with quantitative finance. At the heart of this integration is our robust framework that not only merges advanced DRL algorithms with modern computational techniques but also emphasizes stringent statistical analysis, software engineering and regulatory compliance. To the best of our knowledge, this is the first study integrating financial Reinforcement Learning with sim-to-real methodologies from robotics and mathematical physics, thus enriching our frameworks and arguments with this unique perspective. Our research culminates with the introduction of AlphaOptimizerNet, a proprietary Reinforcement Learning agent (and corresponding library). Developed from a synthesis of state-of-the-art (SOTA) literature and our unique interdisciplinary methodology, AlphaOptimizerNet demonstrates encouraging riskreturn optimization across various asset classes with realistic constraints. These preliminary results underscore the practical efficacy of our frameworks. As the finance sector increasingly gravitates towards advanced algorithmic solutions, our study bridges theoretical advancements with real-world applicability, offering a template for ensuring safety and robust standards in this technologically driven future.","DOI":"10.48550/arXiv.2403.07916","language":"en","note":"arXiv:2403.07916 [cs]","number":"arXiv:2403.07916","publisher":"arXiv","source":"arXiv.org","title":"Advancing Investment Frontiers: Industry-grade Deep Reinforcement Learning for Portfolio Optimization","title-short":"Advancing Investment Frontiers","URL":"http://arxiv.org/abs/2403.07916","author":[{"family":"Ndikum","given":"Philip"},{"family":"Ndikum","given":"Serge"}],"accessed":{"date-parts":[["2026",4,6]]},"issued":{"date-parts":[["2024",2,27]]}}}],"schema":"https://github.com/citation-style-language/schema/raw/master/csl-citation.json"} </w:instrText>
      </w:r>
      <w:r w:rsidR="000B202D">
        <w:fldChar w:fldCharType="separate"/>
      </w:r>
      <w:r w:rsidR="008A6CAB" w:rsidRPr="008A6CAB">
        <w:rPr>
          <w:rFonts w:ascii="Aptos" w:hAnsi="Aptos"/>
        </w:rPr>
        <w:t>[21], [22], [23], [24], [25], [26], [27]</w:t>
      </w:r>
      <w:r w:rsidR="000B202D">
        <w:fldChar w:fldCharType="end"/>
      </w:r>
      <w:r w:rsidRPr="00265142">
        <w:t xml:space="preserve">. These traditional methods also require </w:t>
      </w:r>
      <w:r w:rsidR="00B0299E">
        <w:t xml:space="preserve">manual </w:t>
      </w:r>
      <w:r w:rsidRPr="00265142">
        <w:t xml:space="preserve">inputs like utility functions and struggle to adapt when market conditions shift suddenly </w:t>
      </w:r>
      <w:r w:rsidR="000B202D">
        <w:fldChar w:fldCharType="begin"/>
      </w:r>
      <w:r w:rsidR="008A6CAB">
        <w:instrText xml:space="preserve"> ADDIN ZOTERO_ITEM CSL_CITATION {"citationID":"v4AxIcrZ","properties":{"formattedCitation":"[21]","plainCitation":"[21]","noteIndex":0},"citationItems":[{"id":369,"uris":["http://zotero.org/users/17573427/items/4EX48BMI"],"itemData":{"id":369,"type":"article-journal","abstract":"Artificial intelligence is transforming financial investment decision-making frameworks, with deep reinforcement learning demonstrating substantial potential in robo-advisory applications. This paper addresses the limitations of traditional portfolio optimization methods in dynamic asset weight adjustment through the development of a deep reinforcement learning-based dynamic optimization model grounded in practical trading processes. The research advances two key innovations: first, the introduction of a novel Sharpe ratio reward function engineered for Actor-Critic deep reinforcement learning algorithms, which ensures stable convergence during training while consistently achieving positive average Sharpe ratios; second, the development of an innovative comprehensive approach to portfolio optimization utilizing deep reinforcement learning, which significantly enhances model optimization capability through the integration of random sampling strategies during training with image-based deep neural network architectures for multi-dimensional financial time series data processing, average Sharpe ratio reward functions, and deep reinforcement learning algorithms. The empirical analysis validates the model using randomly selected constituent stocks from the CSI 300 Index, benchmarking against established financial econometric optimization models. Backtesting results demonstrate the model's efficacy in optimizing portfolio allocation and mitigating investment risk, yielding superior comprehensive performance metrics.","language":"en","source":"Zotero","title":"A Deep Reinforcement Learning Framework for Dynamic Portfolio Optimization: Evidence from China's Stock Market","author":[{"family":"Huang","given":"Gang"},{"family":"Zhou","given":"Xiaohua"},{"family":"Song","given":"Qingyang"}]}}],"schema":"https://github.com/citation-style-language/schema/raw/master/csl-citation.json"} </w:instrText>
      </w:r>
      <w:r w:rsidR="000B202D">
        <w:fldChar w:fldCharType="separate"/>
      </w:r>
      <w:r w:rsidR="008A6CAB" w:rsidRPr="008A6CAB">
        <w:rPr>
          <w:rFonts w:ascii="Aptos" w:hAnsi="Aptos"/>
        </w:rPr>
        <w:t>[21]</w:t>
      </w:r>
      <w:r w:rsidR="000B202D">
        <w:fldChar w:fldCharType="end"/>
      </w:r>
      <w:r w:rsidRPr="00265142">
        <w:t xml:space="preserve">. </w:t>
      </w:r>
    </w:p>
    <w:p w14:paraId="6B6341AC" w14:textId="77777777" w:rsidR="00107DE3" w:rsidRDefault="00107DE3" w:rsidP="00107DE3">
      <w:pPr>
        <w:keepNext/>
        <w:ind w:left="1440"/>
        <w:jc w:val="both"/>
      </w:pPr>
      <w:r w:rsidRPr="00265142">
        <w:rPr>
          <w:noProof/>
        </w:rPr>
        <w:drawing>
          <wp:inline distT="0" distB="0" distL="0" distR="0" wp14:anchorId="4FFF4F18" wp14:editId="108A3D2A">
            <wp:extent cx="3600450" cy="1828800"/>
            <wp:effectExtent l="0" t="0" r="0" b="0"/>
            <wp:docPr id="20740658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00450" cy="1828800"/>
                    </a:xfrm>
                    <a:prstGeom prst="rect">
                      <a:avLst/>
                    </a:prstGeom>
                    <a:noFill/>
                    <a:ln>
                      <a:noFill/>
                    </a:ln>
                  </pic:spPr>
                </pic:pic>
              </a:graphicData>
            </a:graphic>
          </wp:inline>
        </w:drawing>
      </w:r>
    </w:p>
    <w:p w14:paraId="59DB6004" w14:textId="73DC8693" w:rsidR="00107DE3" w:rsidRDefault="00107DE3" w:rsidP="00107DE3">
      <w:pPr>
        <w:pStyle w:val="Caption"/>
        <w:ind w:left="720"/>
        <w:jc w:val="both"/>
      </w:pPr>
      <w:bookmarkStart w:id="21" w:name="_Toc228816051"/>
      <w:r>
        <w:t xml:space="preserve">Figure </w:t>
      </w:r>
      <w:fldSimple w:instr=" SEQ Figure \* ARABIC ">
        <w:r w:rsidR="006C3897">
          <w:rPr>
            <w:noProof/>
          </w:rPr>
          <w:t>6</w:t>
        </w:r>
      </w:fldSimple>
      <w:r>
        <w:t xml:space="preserve">: </w:t>
      </w:r>
      <w:proofErr w:type="spellStart"/>
      <w:r w:rsidRPr="002F1E50">
        <w:t>FinRL</w:t>
      </w:r>
      <w:proofErr w:type="spellEnd"/>
      <w:r w:rsidRPr="002F1E50">
        <w:t xml:space="preserve"> three-layer modular architecture showing data processing, agent training, and live trading components</w:t>
      </w:r>
      <w:r>
        <w:t xml:space="preserve"> </w:t>
      </w:r>
      <w:r w:rsidR="0064783D">
        <w:fldChar w:fldCharType="begin"/>
      </w:r>
      <w:r w:rsidR="0064783D">
        <w:instrText xml:space="preserve"> ADDIN ZOTERO_ITEM CSL_CITATION {"citationID":"BHJWqSQC","properties":{"formattedCitation":"[23]","plainCitation":"[23]","noteIndex":0},"citationItems":[{"id":371,"uris":["http://zotero.org/users/17573427/items/GHMAXKKY"],"itemData":{"id":371,"type":"article","abstract":"As deep reinforcement learning (DRL) has been recognized as an effective approach in quantitative ﬁnance, getting hands-on experiences is attractive to beginners. However, to train a practical DRL trading agent that decides where to trade, at what price, and what quantity involves error-prone and arduous development and debugging. In this paper, we introduce a DRL library FinRL that facilitates beginners to expose themselves to quantitative ﬁnance and to develop their own stock trading strategies. Along with easily-reproducible tutorials, FinRL library allows users to streamline their own developments and to compare with existing schemes easily. Within FinRL, virtual environments are conﬁgured with stock market datasets, trading agents are trained with neural networks, and extensive backtesting is analyzed via trading performance. Moreover, it incorporates important trading constraints such as transaction cost, market liquidity and the investor’s degree of risk-aversion. FinRL is featured with completeness, hands-on tutorial and reproducibility that favors beginners: (i) at multiple levels of time granularity, FinRL simulates trading environments across various stock markets, including NASDAQ-100, DJIA, S&amp;P 500, HSI, SSE 50, and CSI 300; (ii) organized in a layered architecture with modular structure, FinRL provides ﬁne-tuned state-of-theart DRL algorithms (DQN, DDPG, PPO, SAC, A2C, TD3, etc.), commonly-used reward functions and standard evaluation baselines to alleviate the debugging workloads and promote the reproducibility, and (iii) being highly extendable, FinRL reserves a complete set of user-import interfaces. Furthermore, we incorporated three application demonstrations, namely single stock trading, multiple stock trading, and portfolio allocation. The FinRL library will be available on Github at link https://github.com/AI4Finance-LLC/FinRL-Library.","DOI":"10.48550/arXiv.2011.09607","language":"en","note":"arXiv:2011.09607 [q-fin]","number":"arXiv:2011.09607","publisher":"arXiv","source":"arXiv.org","title":"FinRL: A Deep Reinforcement Learning Library for Automated Stock Trading in Quantitative Finance","title-short":"FinRL","URL":"http://arxiv.org/abs/2011.09607","author":[{"family":"Liu","given":"Xiao-Yang"},{"family":"Yang","given":"Hongyang"},{"family":"Chen","given":"Qian"},{"family":"Zhang","given":"Runjia"},{"family":"Yang","given":"Liuqing"},{"family":"Xiao","given":"Bowen"},{"family":"Wang","given":"Christina Dan"}],"accessed":{"date-parts":[["2026",4,6]]},"issued":{"date-parts":[["2022",3,2]]}}}],"schema":"https://github.com/citation-style-language/schema/raw/master/csl-citation.json"} </w:instrText>
      </w:r>
      <w:r w:rsidR="0064783D">
        <w:fldChar w:fldCharType="separate"/>
      </w:r>
      <w:r w:rsidR="0064783D" w:rsidRPr="00107DE3">
        <w:rPr>
          <w:rFonts w:ascii="Aptos" w:hAnsi="Aptos"/>
          <w:sz w:val="22"/>
        </w:rPr>
        <w:t>[23]</w:t>
      </w:r>
      <w:bookmarkEnd w:id="21"/>
      <w:r w:rsidR="0064783D">
        <w:fldChar w:fldCharType="end"/>
      </w:r>
    </w:p>
    <w:p w14:paraId="5D3F95D0" w14:textId="77777777" w:rsidR="00107DE3" w:rsidRDefault="00107DE3" w:rsidP="00AB3DBF">
      <w:pPr>
        <w:jc w:val="both"/>
      </w:pPr>
    </w:p>
    <w:p w14:paraId="1C685899" w14:textId="2A904CA8" w:rsidR="00657571" w:rsidRDefault="00107DE3" w:rsidP="00AB3DBF">
      <w:pPr>
        <w:jc w:val="both"/>
      </w:pPr>
      <w:r w:rsidRPr="00107DE3">
        <w:t xml:space="preserve">The </w:t>
      </w:r>
      <w:proofErr w:type="spellStart"/>
      <w:r w:rsidRPr="00107DE3">
        <w:t>FinRL</w:t>
      </w:r>
      <w:proofErr w:type="spellEnd"/>
      <w:r w:rsidRPr="00107DE3">
        <w:t xml:space="preserve"> library provides a standardised three-layer architecture supporting multiple RL algorithms including PPO, DQN, A2C, and DDPG, achieving annualised returns of 32% to 45% on individual stocks and a 52.61% ensemble return with a Sharpe ratio of 2.81, outperforming the DJIA benchmark </w:t>
      </w:r>
      <w:r>
        <w:fldChar w:fldCharType="begin"/>
      </w:r>
      <w:r w:rsidR="008B72EA">
        <w:instrText xml:space="preserve"> ADDIN ZOTERO_ITEM CSL_CITATION {"citationID":"jsN3MqgU","properties":{"formattedCitation":"[23]","plainCitation":"[23]","noteIndex":0},"citationItems":[{"id":371,"uris":["http://zotero.org/users/17573427/items/GHMAXKKY"],"itemData":{"id":371,"type":"article","abstract":"As deep reinforcement learning (DRL) has been recognized as an effective approach in quantitative ﬁnance, getting hands-on experiences is attractive to beginners. However, to train a practical DRL trading agent that decides where to trade, at what price, and what quantity involves error-prone and arduous development and debugging. In this paper, we introduce a DRL library FinRL that facilitates beginners to expose themselves to quantitative ﬁnance and to develop their own stock trading strategies. Along with easily-reproducible tutorials, FinRL library allows users to streamline their own developments and to compare with existing schemes easily. Within FinRL, virtual environments are conﬁgured with stock market datasets, trading agents are trained with neural networks, and extensive backtesting is analyzed via trading performance. Moreover, it incorporates important trading constraints such as transaction cost, market liquidity and the investor’s degree of risk-aversion. FinRL is featured with completeness, hands-on tutorial and reproducibility that favors beginners: (i) at multiple levels of time granularity, FinRL simulates trading environments across various stock markets, including NASDAQ-100, DJIA, S&amp;P 500, HSI, SSE 50, and CSI 300; (ii) organized in a layered architecture with modular structure, FinRL provides ﬁne-tuned state-of-theart DRL algorithms (DQN, DDPG, PPO, SAC, A2C, TD3, etc.), commonly-used reward functions and standard evaluation baselines to alleviate the debugging workloads and promote the reproducibility, and (iii) being highly extendable, FinRL reserves a complete set of user-import interfaces. Furthermore, we incorporated three application demonstrations, namely single stock trading, multiple stock trading, and portfolio allocation. The FinRL library will be available on Github at link https://github.com/AI4Finance-LLC/FinRL-Library.","DOI":"10.48550/arXiv.2011.09607","language":"en","note":"arXiv:2011.09607 [q-fin]","number":"arXiv:2011.09607","publisher":"arXiv","source":"arXiv.org","title":"FinRL: A Deep Reinforcement Learning Library for Automated Stock Trading in Quantitative Finance","title-short":"FinRL","URL":"http://arxiv.org/abs/2011.09607","author":[{"family":"Liu","given":"Xiao-Yang"},{"family":"Yang","given":"Hongyang"},{"family":"Chen","given":"Qian"},{"family":"Zhang","given":"Runjia"},{"family":"Yang","given":"Liuqing"},{"family":"Xiao","given":"Bowen"},{"family":"Wang","given":"Christina Dan"}],"accessed":{"date-parts":[["2026",4,6]]},"issued":{"date-parts":[["2022",3,2]]}}}],"schema":"https://github.com/citation-style-language/schema/raw/master/csl-citation.json"} </w:instrText>
      </w:r>
      <w:r>
        <w:fldChar w:fldCharType="separate"/>
      </w:r>
      <w:r w:rsidRPr="00107DE3">
        <w:rPr>
          <w:rFonts w:ascii="Aptos" w:hAnsi="Aptos"/>
        </w:rPr>
        <w:t>[23]</w:t>
      </w:r>
      <w:r>
        <w:fldChar w:fldCharType="end"/>
      </w:r>
      <w:r>
        <w:t xml:space="preserve">, </w:t>
      </w:r>
      <w:r>
        <w:fldChar w:fldCharType="begin"/>
      </w:r>
      <w:r>
        <w:instrText xml:space="preserve"> ADDIN ZOTERO_ITEM CSL_CITATION {"citationID":"wmd582Sc","properties":{"formattedCitation":"[24]","plainCitation":"[24]","noteIndex":0},"citationItems":[{"id":373,"uris":["http://zotero.org/users/17573427/items/YCBHQJF7"],"itemData":{"id":373,"type":"paper-conference","abstract":"Deep reinforcement learning (DRL) has been envisioned to have a competitive edge in quantitative finance. However, there is a steep development curve for quantitative traders to obtain an agent that automatically positions to win in the market, namely to decide where to trade, at what price and what quantity, due to the error-prone programming and arduous debugging. In this paper, we present the first open-source framework FinRL as a full pipeline to help quantitative traders overcome the steep learning curve. FinRL is featured with simplicity, applicability and extensibility under the key principles, full-stack framework, customization, reproducibility and hands-on tutoring.","container-title":"Proceedings of the Second ACM International Conference on AI in Finance","DOI":"10.1145/3490354.3494366","language":"en","note":"arXiv:2111.09395 [q-fin]","page":"1-9","source":"arXiv.org","title":"FinRL: Deep Reinforcement Learning Framework to Automate Trading in Quantitative Finance","title-short":"FinRL","URL":"http://arxiv.org/abs/2111.09395","author":[{"family":"Liu","given":"Xiao-Yang"},{"family":"Yang","given":"Hongyang"},{"family":"Gao","given":"Jiechao"},{"family":"Wang","given":"Christina Dan"}],"accessed":{"date-parts":[["2026",4,6]]},"issued":{"date-parts":[["2021",11,3]]}}}],"schema":"https://github.com/citation-style-language/schema/raw/master/csl-citation.json"} </w:instrText>
      </w:r>
      <w:r>
        <w:fldChar w:fldCharType="separate"/>
      </w:r>
      <w:r w:rsidRPr="00107DE3">
        <w:rPr>
          <w:rFonts w:ascii="Aptos" w:hAnsi="Aptos"/>
        </w:rPr>
        <w:t>[24]</w:t>
      </w:r>
      <w:r>
        <w:fldChar w:fldCharType="end"/>
      </w:r>
      <w:r w:rsidRPr="00107DE3">
        <w:t xml:space="preserve">. The MTS framework extended this by </w:t>
      </w:r>
      <w:r w:rsidR="00053871">
        <w:t xml:space="preserve">adding </w:t>
      </w:r>
      <w:r w:rsidRPr="00107DE3">
        <w:t xml:space="preserve">time-aware embeddings and short-selling capabilities, achieving a 52.03% return with a Sharpe ratio of 2.69 over a five-year evaluation period </w:t>
      </w:r>
      <w:r w:rsidRPr="008A6CAB">
        <w:rPr>
          <w:rFonts w:ascii="Aptos" w:hAnsi="Aptos"/>
        </w:rPr>
        <w:t>[22]</w:t>
      </w:r>
      <w:r>
        <w:t xml:space="preserve">, </w:t>
      </w:r>
      <w:r>
        <w:fldChar w:fldCharType="begin"/>
      </w:r>
      <w:r>
        <w:instrText xml:space="preserve"> ADDIN ZOTERO_ITEM CSL_CITATION {"citationID":"tMByZkCF","properties":{"formattedCitation":"[28]","plainCitation":"[28]","noteIndex":0},"citationItems":[{"id":448,"uris":["http://zotero.org/users/17573427/items/4F6J7HL2"],"itemData":{"id":448,"type":"article-journal","abstract":"This article proposes a novel online portfolio selection strategy named “Passive Aggressive Mean Reversion” (PAMR). Unlike traditional trend following approaches, the proposed approach relies upon the mean reversion relation of ﬁnancial markets. Equipped with online passive aggressive learning technique from machine learning, the proposed portfolio selection strategy can effectively exploit the mean reversion property of markets. By analyzing PAMR’s update scheme, we ﬁnd that it nicely trades off between portfolio return and volatility risk and reﬂects the mean reversion trading principle. We also present several variants of PAMR algorithm, including a mixture algorithm which mixes PAMR and other strategies. We conduct extensive numerical experiments to evaluate the empirical performance of the proposed algorithms on various real datasets. The encouraging results show that in most cases the proposed PAMR strategy outperforms all benchmarks and almost all state-of-the-art portfolio selection strategies under various performance metrics. In addition to its superior performance, the proposed PAMR runs extremely fast and thus is very suitable for real-life online trading applications. The experimental testbed including source codes and data sets is available at http://www.cais.ntu.edu.sg/~chhoi/PAMR/.","container-title":"Machine Learning","DOI":"10.1007/s10994-012-5281-z","ISSN":"0885-6125, 1573-0565","issue":"2","journalAbbreviation":"Mach Learn","language":"en","license":"http://www.springer.com/tdm","page":"221-258","source":"DOI.org (Crossref)","title":"PAMR: Passive aggressive mean reversion strategy for portfolio selection","title-short":"PAMR","volume":"87","author":[{"family":"Li","given":"Bin"},{"family":"Zhao","given":"Peilin"},{"family":"Hoi","given":"Steven C. H."},{"family":"Gopalkrishnan","given":"Vivekanand"}],"issued":{"date-parts":[["2012",5]]}}}],"schema":"https://github.com/citation-style-language/schema/raw/master/csl-citation.json"} </w:instrText>
      </w:r>
      <w:r>
        <w:fldChar w:fldCharType="separate"/>
      </w:r>
      <w:r w:rsidRPr="00107DE3">
        <w:rPr>
          <w:rFonts w:ascii="Aptos" w:hAnsi="Aptos"/>
        </w:rPr>
        <w:t>[28]</w:t>
      </w:r>
      <w:r>
        <w:fldChar w:fldCharType="end"/>
      </w:r>
      <w:r>
        <w:t xml:space="preserve">, </w:t>
      </w:r>
      <w:r>
        <w:fldChar w:fldCharType="begin"/>
      </w:r>
      <w:r>
        <w:instrText xml:space="preserve"> ADDIN ZOTERO_ITEM CSL_CITATION {"citationID":"X2eb4h5B","properties":{"formattedCitation":"[29]","plainCitation":"[29]","noteIndex":0},"citationItems":[{"id":447,"uris":["http://zotero.org/users/17573427/items/48LV98IJ"],"itemData":{"id":447,"type":"article-journal","abstract":"On-line portfolio selection has attracted increasing interests in machine learning and AI communities recently. Empirical evidence show that stock’s high and low prices are temporary and stock price relatives are likely to follow the mean reversion phenomenon. While the existing mean reversion strategies are shown to achieve good empirical performance on many real datasets, they often make the single-period mean reversion assumption, which is not always satisﬁed, leading to poor performance in some real datasets. To overcome the limitation, this article proposes a multiple-period mean reversion, or so-called “Moving Average Reversion” (MAR), and a new on-line portfolio selection strategy named “On-Line Moving Average Reversion” (OLMAR), which exploits MAR by applying powerful online learning techniques. From our empirical results, we found that OLMAR can overcome the drawbacks of existing mean reversion algorithms and achieve signiﬁcantly better results, especially on the datasets where existing mean reversion algorithms failed. In addition to superior performance, OLMAR also runs extremely fast, further supporting its practical applicability to a wide range of applications.","language":"en","source":"Zotero","title":"On-Line Portfolio Selection with Moving Average Reversion","author":[{"family":"Li","given":"Bin"},{"family":"Hoi","given":"Steven C H"}]}}],"schema":"https://github.com/citation-style-language/schema/raw/master/csl-citation.json"} </w:instrText>
      </w:r>
      <w:r>
        <w:fldChar w:fldCharType="separate"/>
      </w:r>
      <w:r w:rsidRPr="00107DE3">
        <w:rPr>
          <w:rFonts w:ascii="Aptos" w:hAnsi="Aptos"/>
        </w:rPr>
        <w:t>[29]</w:t>
      </w:r>
      <w:r>
        <w:fldChar w:fldCharType="end"/>
      </w:r>
      <w:r w:rsidRPr="00107DE3">
        <w:t xml:space="preserve">. FLAG-TRADER represents the most relevant development for this research, combining a small 135M parameter LLM with PPO policy gradient optimisation to process both price data and news sentiment, achieving a 50.39% return on TSLA and remarkably outperforming GPT-4o despite its significantly smaller size </w:t>
      </w:r>
      <w:r w:rsidRPr="008A6CAB">
        <w:rPr>
          <w:rFonts w:ascii="Aptos" w:hAnsi="Aptos"/>
        </w:rPr>
        <w:t>[25]</w:t>
      </w:r>
      <w:r w:rsidRPr="00107DE3">
        <w:t xml:space="preserve"> </w:t>
      </w:r>
      <w:r>
        <w:t xml:space="preserve">, </w:t>
      </w:r>
      <w:r>
        <w:fldChar w:fldCharType="begin"/>
      </w:r>
      <w:r>
        <w:instrText xml:space="preserve"> ADDIN ZOTERO_ITEM CSL_CITATION {"citationID":"fOEE3VoR","properties":{"formattedCitation":"[30]","plainCitation":"[30]","noteIndex":0},"citationItems":[{"id":452,"uris":["http://zotero.org/users/17573427/items/ABA2QXUW"],"itemData":{"id":452,"type":"article","abstract":"We propose a new family of policy gradient methods for reinforcement learning, which alternate between sampling data through interaction with the environment, and optimizing a “surrogate” objective function using stochastic gradient ascent. Whereas standard policy gradient methods perform one gradient update per data sample, we propose a novel objective function that enables multiple epochs of minibatch updates. The new methods, which we call proximal policy optimization (PPO), have some of the beneﬁts of trust region policy optimization (TRPO), but they are much simpler to implement, more general, and have better sample complexity (empirically). Our experiments test PPO on a collection of benchmark tasks, including simulated robotic locomotion and Atari game playing, and we show that PPO outperforms other online policy gradient methods, and overall strikes a favorable balance between sample complexity, simplicity, and wall-time.","DOI":"10.48550/arXiv.1707.06347","language":"en","note":"arXiv:1707.06347 [cs]","number":"arXiv:1707.06347","publisher":"arXiv","source":"arXiv.org","title":"Proximal Policy Optimization Algorithms","URL":"http://arxiv.org/abs/1707.06347","author":[{"family":"Schulman","given":"John"},{"family":"Wolski","given":"Filip"},{"family":"Dhariwal","given":"Prafulla"},{"family":"Radford","given":"Alec"},{"family":"Klimov","given":"Oleg"}],"accessed":{"date-parts":[["2026",4,23]]},"issued":{"date-parts":[["2017",8,28]]}}}],"schema":"https://github.com/citation-style-language/schema/raw/master/csl-citation.json"} </w:instrText>
      </w:r>
      <w:r>
        <w:fldChar w:fldCharType="separate"/>
      </w:r>
      <w:r w:rsidRPr="00107DE3">
        <w:rPr>
          <w:rFonts w:ascii="Aptos" w:hAnsi="Aptos"/>
        </w:rPr>
        <w:t>[30]</w:t>
      </w:r>
      <w:r>
        <w:fldChar w:fldCharType="end"/>
      </w:r>
      <w:r w:rsidRPr="00107DE3">
        <w:t>.</w:t>
      </w:r>
    </w:p>
    <w:p w14:paraId="0085793C" w14:textId="77777777" w:rsidR="00107DE3" w:rsidRPr="00265142" w:rsidRDefault="00107DE3" w:rsidP="00AB3DBF">
      <w:pPr>
        <w:jc w:val="both"/>
      </w:pPr>
    </w:p>
    <w:p w14:paraId="5ACA2EB4" w14:textId="77777777" w:rsidR="00AD60AE" w:rsidRDefault="00265142" w:rsidP="00AB3DBF">
      <w:pPr>
        <w:keepNext/>
        <w:jc w:val="both"/>
      </w:pPr>
      <w:r w:rsidRPr="00265142">
        <w:rPr>
          <w:b/>
          <w:bCs/>
          <w:noProof/>
        </w:rPr>
        <w:drawing>
          <wp:inline distT="0" distB="0" distL="0" distR="0" wp14:anchorId="7D62553D" wp14:editId="15C10717">
            <wp:extent cx="6070349" cy="2611120"/>
            <wp:effectExtent l="0" t="0" r="6985" b="0"/>
            <wp:docPr id="20049294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8706" cy="2623317"/>
                    </a:xfrm>
                    <a:prstGeom prst="rect">
                      <a:avLst/>
                    </a:prstGeom>
                    <a:noFill/>
                    <a:ln>
                      <a:noFill/>
                    </a:ln>
                  </pic:spPr>
                </pic:pic>
              </a:graphicData>
            </a:graphic>
          </wp:inline>
        </w:drawing>
      </w:r>
    </w:p>
    <w:p w14:paraId="0C1FC0D7" w14:textId="70B2B1B0" w:rsidR="00265142" w:rsidRDefault="00AD60AE" w:rsidP="00AB3DBF">
      <w:pPr>
        <w:pStyle w:val="Caption"/>
        <w:jc w:val="both"/>
      </w:pPr>
      <w:bookmarkStart w:id="22" w:name="_Toc228816052"/>
      <w:r>
        <w:t xml:space="preserve">Figure </w:t>
      </w:r>
      <w:fldSimple w:instr=" SEQ Figure \* ARABIC ">
        <w:r w:rsidR="006C3897">
          <w:rPr>
            <w:noProof/>
          </w:rPr>
          <w:t>7</w:t>
        </w:r>
      </w:fldSimple>
      <w:r>
        <w:t xml:space="preserve">: </w:t>
      </w:r>
      <w:r w:rsidRPr="00E61537">
        <w:t>MTS system architecture showing time-aware embedding, parallel DRL strategy, and risk-adjusted reward components</w:t>
      </w:r>
      <w:r>
        <w:t xml:space="preserve"> </w:t>
      </w:r>
      <w:r w:rsidR="008B72EA" w:rsidRPr="008A6CAB">
        <w:rPr>
          <w:rFonts w:ascii="Aptos" w:hAnsi="Aptos"/>
          <w:sz w:val="22"/>
        </w:rPr>
        <w:t>[22]</w:t>
      </w:r>
      <w:bookmarkEnd w:id="22"/>
    </w:p>
    <w:p w14:paraId="65C52D4A" w14:textId="77777777" w:rsidR="00265142" w:rsidRPr="00265142" w:rsidRDefault="00265142" w:rsidP="00AB3DBF">
      <w:pPr>
        <w:jc w:val="both"/>
      </w:pPr>
    </w:p>
    <w:p w14:paraId="58676E83" w14:textId="113E448E" w:rsidR="00265142" w:rsidRPr="00265142" w:rsidRDefault="00265142" w:rsidP="00AB3DBF">
      <w:pPr>
        <w:jc w:val="both"/>
      </w:pPr>
      <w:r w:rsidRPr="00265142">
        <w:lastRenderedPageBreak/>
        <w:t xml:space="preserve">Despite these advances, reinforcement learning approaches for portfolio management </w:t>
      </w:r>
      <w:r w:rsidR="00053871">
        <w:t xml:space="preserve">has various </w:t>
      </w:r>
      <w:r w:rsidRPr="00265142">
        <w:t xml:space="preserve">limitations. First, most systems were tested during relatively short periods or favourable market conditions, with testing ranging from six months  to one year </w:t>
      </w:r>
      <w:r w:rsidR="00621198">
        <w:fldChar w:fldCharType="begin"/>
      </w:r>
      <w:r w:rsidR="008A6CAB">
        <w:instrText xml:space="preserve"> ADDIN ZOTERO_ITEM CSL_CITATION {"citationID":"owHInWqc","properties":{"formattedCitation":"[27]","plainCitation":"[27]","noteIndex":0},"citationItems":[{"id":378,"uris":["http://zotero.org/users/17573427/items/GY45N8J9"],"itemData":{"id":378,"type":"article","abstract":"This research paper delves into the application of Deep Reinforcement Learning (DRL) in asset-class agnostic portfolio optimization, integrating industry-grade methodologies with quantitative finance. At the heart of this integration is our robust framework that not only merges advanced DRL algorithms with modern computational techniques but also emphasizes stringent statistical analysis, software engineering and regulatory compliance. To the best of our knowledge, this is the first study integrating financial Reinforcement Learning with sim-to-real methodologies from robotics and mathematical physics, thus enriching our frameworks and arguments with this unique perspective. Our research culminates with the introduction of AlphaOptimizerNet, a proprietary Reinforcement Learning agent (and corresponding library). Developed from a synthesis of state-of-the-art (SOTA) literature and our unique interdisciplinary methodology, AlphaOptimizerNet demonstrates encouraging riskreturn optimization across various asset classes with realistic constraints. These preliminary results underscore the practical efficacy of our frameworks. As the finance sector increasingly gravitates towards advanced algorithmic solutions, our study bridges theoretical advancements with real-world applicability, offering a template for ensuring safety and robust standards in this technologically driven future.","DOI":"10.48550/arXiv.2403.07916","language":"en","note":"arXiv:2403.07916 [cs]","number":"arXiv:2403.07916","publisher":"arXiv","source":"arXiv.org","title":"Advancing Investment Frontiers: Industry-grade Deep Reinforcement Learning for Portfolio Optimization","title-short":"Advancing Investment Frontiers","URL":"http://arxiv.org/abs/2403.07916","author":[{"family":"Ndikum","given":"Philip"},{"family":"Ndikum","given":"Serge"}],"accessed":{"date-parts":[["2026",4,6]]},"issued":{"date-parts":[["2024",2,27]]}}}],"schema":"https://github.com/citation-style-language/schema/raw/master/csl-citation.json"} </w:instrText>
      </w:r>
      <w:r w:rsidR="00621198">
        <w:fldChar w:fldCharType="separate"/>
      </w:r>
      <w:r w:rsidR="008A6CAB" w:rsidRPr="008A6CAB">
        <w:rPr>
          <w:rFonts w:ascii="Aptos" w:hAnsi="Aptos"/>
        </w:rPr>
        <w:t>[27]</w:t>
      </w:r>
      <w:r w:rsidR="00621198">
        <w:fldChar w:fldCharType="end"/>
      </w:r>
      <w:r w:rsidRPr="00265142">
        <w:t>, and many studies focused on bull markets where most strategies would perform well</w:t>
      </w:r>
      <w:r w:rsidR="00EB6014">
        <w:t xml:space="preserve"> </w:t>
      </w:r>
      <w:r w:rsidRPr="00265142">
        <w:t>. While MTS has been tested for five years</w:t>
      </w:r>
      <w:r w:rsidR="00EB6014">
        <w:t xml:space="preserve"> </w:t>
      </w:r>
      <w:r w:rsidR="00EB6014">
        <w:fldChar w:fldCharType="begin"/>
      </w:r>
      <w:r w:rsidR="008A6CAB">
        <w:instrText xml:space="preserve"> ADDIN ZOTERO_ITEM CSL_CITATION {"citationID":"Mggeo5oX","properties":{"formattedCitation":"[22]","plainCitation":"[22]","noteIndex":0},"citationItems":[{"id":370,"uris":["http://zotero.org/users/17573427/items/KX5Y3XK9"],"itemData":{"id":370,"type":"article","abstract":"Portfolio management remains a crucial challenge in finance, with traditional methods often falling short in complex and volatile market environments. While deep reinforcement approaches have shown promise, they still face limitations in dynamic risk management, exploitation of temporal markets, and incorporation of complex trading strategies such as short-selling. These limitations can lead to suboptimal portfolio performance, increased vulnerability to market volatility, and missed opportunities in capturing potential returns from diverse market conditions. This paper introduces a Deep Reinforcement Learning Portfolio Management Framework with TimeAwareness and Short-Selling (MTS), offering a robust and adaptive strategy for sustainable investment performance. This framework utilizes a novel encoder-attention mechanism to address the limitations by incorporating temporal market characteristics, a parallel strategy for automated short-selling based on market trends, and risk management through innovative Incremental Conditional Value at Risk, enhancing adaptability and performance. Experimental validation on five diverse datasets from 2019 to 2023 demonstrates MTS’s superiority over traditional algorithms and advanced machine learning techniques. MTS consistently achieves higher cumulative returns, Sharpe, Omega, and Sortino ratios, underscoring its effectiveness in balancing risk and return while adapting to market dynamics. MTS demonstrates an average relative increase of 30.67% in cumulative returns and 29.33% in Sharpe ratio compared to the next best-performing strategies across various datasets.","DOI":"10.48550/arXiv.2503.04143","language":"en","note":"arXiv:2503.04143 [cs]","number":"arXiv:2503.04143","publisher":"arXiv","source":"arXiv.org","title":"MTS: A Deep Reinforcement Learning Portfolio Management Framework with Time-Awareness and Short-Selling","title-short":"MTS","URL":"http://arxiv.org/abs/2503.04143","author":[{"family":"Gu","given":"Fengchen"},{"family":"Jiang","given":"Zhengyong"},{"family":"García-Fernández","given":"Ángel F."},{"family":"Stefanidis","given":"Angelos"},{"family":"Su","given":"Jionglong"},{"family":"Li","given":"Huakang"}],"accessed":{"date-parts":[["2026",4,6]]},"issued":{"date-parts":[["2025",3,6]]}}}],"schema":"https://github.com/citation-style-language/schema/raw/master/csl-citation.json"} </w:instrText>
      </w:r>
      <w:r w:rsidR="00EB6014">
        <w:fldChar w:fldCharType="separate"/>
      </w:r>
      <w:r w:rsidR="008A6CAB" w:rsidRPr="008A6CAB">
        <w:rPr>
          <w:rFonts w:ascii="Aptos" w:hAnsi="Aptos"/>
        </w:rPr>
        <w:t>[22]</w:t>
      </w:r>
      <w:r w:rsidR="00EB6014">
        <w:fldChar w:fldCharType="end"/>
      </w:r>
      <w:r w:rsidRPr="00265142">
        <w:t xml:space="preserve">, it still lacks </w:t>
      </w:r>
      <w:r w:rsidR="00053871">
        <w:t>auto-</w:t>
      </w:r>
      <w:r w:rsidRPr="00265142">
        <w:t xml:space="preserve">adaptive mechanisms to improve strategy over time. Second, RL agents suffer from large drawdowns during market crashes and struggle with non-stationary data distributions that change over time </w:t>
      </w:r>
      <w:r w:rsidR="00EB6014">
        <w:fldChar w:fldCharType="begin"/>
      </w:r>
      <w:r w:rsidR="008A6CAB">
        <w:instrText xml:space="preserve"> ADDIN ZOTERO_ITEM CSL_CITATION {"citationID":"s3136Gt4","properties":{"formattedCitation":"[25]","plainCitation":"[25]","noteIndex":0},"citationItems":[{"id":375,"uris":["http://zotero.org/users/17573427/items/L5WV98XL"],"itemData":{"id":375,"type":"article","abstract":"Large language models (LLMs) fine-tuned on multimodal financial data have demonstrated impressive reasoning capabilities in various financial tasks. However, they often struggle with multi-step, goal-oriented scenarios in interactive financial markets, such as trading, where complex agentic approaches are required to improve decision-making. To address this, we propose FLAG-TRADER, a unified architecture integrating linguistic processing (via LLMs) with gradient-driven reinforcement learning (RL) policy optimization, in which a partially finetuned LLM acts as the policy network, leveraging pre-trained knowledge while adapting to the financial domain through parameter-efficient fine-tuning. Through policy gradient optimization driven by trading rewards, our framework not only enhances LLM performance in trading but also improves results on other financialdomain tasks. We present extensive empirical evidence to validate these enhancements.","DOI":"10.48550/arXiv.2502.11433","language":"en","note":"arXiv:2502.11433 [cs]","number":"arXiv:2502.11433","publisher":"arXiv","source":"arXiv.org","title":"FLAG-Trader: Fusion LLM-Agent with Gradient-based Reinforcement Learning for Financial Trading","title-short":"FLAG-Trader","URL":"http://arxiv.org/abs/2502.11433","author":[{"family":"Xiong","given":"Guojun"},{"family":"Deng","given":"Zhiyang"},{"family":"Wang","given":"Keyi"},{"family":"Cao","given":"Yupeng"},{"family":"Li","given":"Haohang"},{"family":"Yu","given":"Yangyang"},{"family":"Peng","given":"Xueqing"},{"family":"Lin","given":"Mingquan"},{"family":"Smith","given":"Kaleb E."},{"family":"Liu","given":"Xiao-Yang"},{"family":"Huang","given":"Jimin"},{"family":"Ananiadou","given":"Sophia"},{"family":"Xie","given":"Qianqian"}],"accessed":{"date-parts":[["2026",4,6]]},"issued":{"date-parts":[["2025",2,19]]}}}],"schema":"https://github.com/citation-style-language/schema/raw/master/csl-citation.json"} </w:instrText>
      </w:r>
      <w:r w:rsidR="00EB6014">
        <w:fldChar w:fldCharType="separate"/>
      </w:r>
      <w:r w:rsidR="008A6CAB" w:rsidRPr="008A6CAB">
        <w:rPr>
          <w:rFonts w:ascii="Aptos" w:hAnsi="Aptos"/>
        </w:rPr>
        <w:t>[25]</w:t>
      </w:r>
      <w:r w:rsidR="00EB6014">
        <w:fldChar w:fldCharType="end"/>
      </w:r>
      <w:r w:rsidRPr="00265142">
        <w:t xml:space="preserve">. Third, there is a significant gap between simulation and reality, where strategies that work well in </w:t>
      </w:r>
      <w:proofErr w:type="spellStart"/>
      <w:r w:rsidRPr="00265142">
        <w:t>backtesting</w:t>
      </w:r>
      <w:proofErr w:type="spellEnd"/>
      <w:r w:rsidRPr="00265142">
        <w:t xml:space="preserve"> often fail in live trading </w:t>
      </w:r>
      <w:r w:rsidR="00621198">
        <w:fldChar w:fldCharType="begin"/>
      </w:r>
      <w:r w:rsidR="008A6CAB">
        <w:instrText xml:space="preserve"> ADDIN ZOTERO_ITEM CSL_CITATION {"citationID":"orElOmYk","properties":{"formattedCitation":"[27]","plainCitation":"[27]","noteIndex":0},"citationItems":[{"id":378,"uris":["http://zotero.org/users/17573427/items/GY45N8J9"],"itemData":{"id":378,"type":"article","abstract":"This research paper delves into the application of Deep Reinforcement Learning (DRL) in asset-class agnostic portfolio optimization, integrating industry-grade methodologies with quantitative finance. At the heart of this integration is our robust framework that not only merges advanced DRL algorithms with modern computational techniques but also emphasizes stringent statistical analysis, software engineering and regulatory compliance. To the best of our knowledge, this is the first study integrating financial Reinforcement Learning with sim-to-real methodologies from robotics and mathematical physics, thus enriching our frameworks and arguments with this unique perspective. Our research culminates with the introduction of AlphaOptimizerNet, a proprietary Reinforcement Learning agent (and corresponding library). Developed from a synthesis of state-of-the-art (SOTA) literature and our unique interdisciplinary methodology, AlphaOptimizerNet demonstrates encouraging riskreturn optimization across various asset classes with realistic constraints. These preliminary results underscore the practical efficacy of our frameworks. As the finance sector increasingly gravitates towards advanced algorithmic solutions, our study bridges theoretical advancements with real-world applicability, offering a template for ensuring safety and robust standards in this technologically driven future.","DOI":"10.48550/arXiv.2403.07916","language":"en","note":"arXiv:2403.07916 [cs]","number":"arXiv:2403.07916","publisher":"arXiv","source":"arXiv.org","title":"Advancing Investment Frontiers: Industry-grade Deep Reinforcement Learning for Portfolio Optimization","title-short":"Advancing Investment Frontiers","URL":"http://arxiv.org/abs/2403.07916","author":[{"family":"Ndikum","given":"Philip"},{"family":"Ndikum","given":"Serge"}],"accessed":{"date-parts":[["2026",4,6]]},"issued":{"date-parts":[["2024",2,27]]}}}],"schema":"https://github.com/citation-style-language/schema/raw/master/csl-citation.json"} </w:instrText>
      </w:r>
      <w:r w:rsidR="00621198">
        <w:fldChar w:fldCharType="separate"/>
      </w:r>
      <w:r w:rsidR="008A6CAB" w:rsidRPr="008A6CAB">
        <w:rPr>
          <w:rFonts w:ascii="Aptos" w:hAnsi="Aptos"/>
        </w:rPr>
        <w:t>[27]</w:t>
      </w:r>
      <w:r w:rsidR="00621198">
        <w:fldChar w:fldCharType="end"/>
      </w:r>
      <w:r w:rsidR="00621198">
        <w:t xml:space="preserve"> </w:t>
      </w:r>
      <w:r w:rsidRPr="00265142">
        <w:t>. Fourth, most RL systems use fixed reward functions and cannot adapt their learning objectives based on changing market conditions or past performance. None of the reviewed systems implements dynamic prompt optimisation or feedback loops that adjust the agent's behaviour based on trading outcomes over time. Additionally, while FLAG-TRADER shows promising results combining LLMs with RL</w:t>
      </w:r>
      <w:r w:rsidR="00EB6014">
        <w:t xml:space="preserve"> </w:t>
      </w:r>
      <w:r w:rsidR="00EB6014">
        <w:fldChar w:fldCharType="begin"/>
      </w:r>
      <w:r w:rsidR="008A6CAB">
        <w:instrText xml:space="preserve"> ADDIN ZOTERO_ITEM CSL_CITATION {"citationID":"tfbs0A5j","properties":{"formattedCitation":"[25]","plainCitation":"[25]","noteIndex":0},"citationItems":[{"id":375,"uris":["http://zotero.org/users/17573427/items/L5WV98XL"],"itemData":{"id":375,"type":"article","abstract":"Large language models (LLMs) fine-tuned on multimodal financial data have demonstrated impressive reasoning capabilities in various financial tasks. However, they often struggle with multi-step, goal-oriented scenarios in interactive financial markets, such as trading, where complex agentic approaches are required to improve decision-making. To address this, we propose FLAG-TRADER, a unified architecture integrating linguistic processing (via LLMs) with gradient-driven reinforcement learning (RL) policy optimization, in which a partially finetuned LLM acts as the policy network, leveraging pre-trained knowledge while adapting to the financial domain through parameter-efficient fine-tuning. Through policy gradient optimization driven by trading rewards, our framework not only enhances LLM performance in trading but also improves results on other financialdomain tasks. We present extensive empirical evidence to validate these enhancements.","DOI":"10.48550/arXiv.2502.11433","language":"en","note":"arXiv:2502.11433 [cs]","number":"arXiv:2502.11433","publisher":"arXiv","source":"arXiv.org","title":"FLAG-Trader: Fusion LLM-Agent with Gradient-based Reinforcement Learning for Financial Trading","title-short":"FLAG-Trader","URL":"http://arxiv.org/abs/2502.11433","author":[{"family":"Xiong","given":"Guojun"},{"family":"Deng","given":"Zhiyang"},{"family":"Wang","given":"Keyi"},{"family":"Cao","given":"Yupeng"},{"family":"Li","given":"Haohang"},{"family":"Yu","given":"Yangyang"},{"family":"Peng","given":"Xueqing"},{"family":"Lin","given":"Mingquan"},{"family":"Smith","given":"Kaleb E."},{"family":"Liu","given":"Xiao-Yang"},{"family":"Huang","given":"Jimin"},{"family":"Ananiadou","given":"Sophia"},{"family":"Xie","given":"Qianqian"}],"accessed":{"date-parts":[["2026",4,6]]},"issued":{"date-parts":[["2025",2,19]]}}}],"schema":"https://github.com/citation-style-language/schema/raw/master/csl-citation.json"} </w:instrText>
      </w:r>
      <w:r w:rsidR="00EB6014">
        <w:fldChar w:fldCharType="separate"/>
      </w:r>
      <w:r w:rsidR="008A6CAB" w:rsidRPr="008A6CAB">
        <w:rPr>
          <w:rFonts w:ascii="Aptos" w:hAnsi="Aptos"/>
        </w:rPr>
        <w:t>[25]</w:t>
      </w:r>
      <w:r w:rsidR="00EB6014">
        <w:fldChar w:fldCharType="end"/>
      </w:r>
      <w:r w:rsidRPr="00265142">
        <w:t xml:space="preserve">, the approach fine-tunes model weights </w:t>
      </w:r>
      <w:r w:rsidR="00053871">
        <w:t xml:space="preserve">instead of </w:t>
      </w:r>
      <w:r w:rsidRPr="00265142">
        <w:t>optimising prompts, making it expensive and less flexible than prompt-based approaches. Finally, no system implements dynamic trailing stop loss and trailing profit mechanisms to protect gains and limit losses during volatile periods. These gaps highlight the opportunity for a multi-agent system that combines the reasoning capabilities of LLMs with dynamic prompt optimisation, comprehensive feedback loops, and robust risk management driven by real trading performance.</w:t>
      </w:r>
    </w:p>
    <w:p w14:paraId="205EAF64" w14:textId="77777777" w:rsidR="00AB3DBF" w:rsidRDefault="00AB3DBF" w:rsidP="008B4CEC"/>
    <w:p w14:paraId="06A675EA" w14:textId="77777777" w:rsidR="0010034D" w:rsidRDefault="0010034D" w:rsidP="00AB3DBF">
      <w:pPr>
        <w:pStyle w:val="Heading3"/>
        <w:jc w:val="both"/>
      </w:pPr>
      <w:bookmarkStart w:id="23" w:name="_Toc228577619"/>
      <w:r w:rsidRPr="0010034D">
        <w:t>2.4 Financial Sentiment Analysis</w:t>
      </w:r>
      <w:bookmarkEnd w:id="23"/>
    </w:p>
    <w:p w14:paraId="2D779250" w14:textId="77777777" w:rsidR="0010034D" w:rsidRPr="0010034D" w:rsidRDefault="0010034D" w:rsidP="00AB3DBF">
      <w:pPr>
        <w:jc w:val="both"/>
      </w:pPr>
    </w:p>
    <w:p w14:paraId="41DCD7B6" w14:textId="2E2AF401" w:rsidR="00E947B8" w:rsidRDefault="00B82A27" w:rsidP="00AB3DBF">
      <w:pPr>
        <w:jc w:val="both"/>
      </w:pPr>
      <w:r w:rsidRPr="00B82A27">
        <w:t xml:space="preserve">One of the most important tools during trading is sentiment analysis of media because news and social media </w:t>
      </w:r>
      <w:r w:rsidR="00100591">
        <w:t xml:space="preserve">offer a </w:t>
      </w:r>
      <w:r w:rsidRPr="00B82A27">
        <w:t>real-time window into the market mood, which gives investors a head start before any changes</w:t>
      </w:r>
      <w:r w:rsidR="00100591">
        <w:t xml:space="preserve"> effect in real market scenario</w:t>
      </w:r>
      <w:r w:rsidRPr="00B82A27">
        <w:t xml:space="preserve">. Earlier sentiment analysis methods used to count financial words using a dictionary like Loughran-McDonald, but these approaches oversimplify text, ignore word order and context, and show little correlation with actual stock returns </w:t>
      </w:r>
      <w:r w:rsidR="002F02A0">
        <w:fldChar w:fldCharType="begin"/>
      </w:r>
      <w:r w:rsidR="00107DE3">
        <w:instrText xml:space="preserve"> ADDIN ZOTERO_ITEM CSL_CITATION {"citationID":"BVNTNT6O","properties":{"formattedCitation":"[31]","plainCitation":"[31]","noteIndex":0},"citationItems":[{"id":390,"uris":["http://zotero.org/users/17573427/items/NQYH4JGT"],"itemData":{"id":390,"type":"article-journal","abstract":"We analyse the performance of the large language models (LLMs) OPT, BERT, and FinBERT, alongside the traditional Loughran-McDonald dictionary, in the sentiment analysis of 965,375 U.S. financial news articles from 2010 to 2023. Our findings reveal that the GPT-3-based OPT model significantly outperforms the others, predicting stock market returns with an accuracy of 74.4%. A long-short strategy based on OPT, accounting for 10 basis points (bps) in transaction costs, yields an exceptional Sharpe ratio of 3.05. From August 2021 to July 2023, this strategy produces an impressive 355% gain, outperforming other strategies and traditional market portfolios. This underscores the transformative potential of LLMs in financial market prediction and portfolio management and the necessity of employing sophisticated language models to develop effective investment strategies based on news sentiment.","container-title":"Finance Research Letters","DOI":"10.1016/j.frl.2024.105227","ISSN":"15446123","journalAbbreviation":"Finance Research Letters","language":"en","page":"105227","source":"DOI.org (Crossref)","title":"Sentiment trading with large language models","volume":"62","author":[{"family":"Kirtac","given":"Kemal"},{"family":"Germano","given":"Guido"}],"issued":{"date-parts":[["2024",4]]}}}],"schema":"https://github.com/citation-style-language/schema/raw/master/csl-citation.json"} </w:instrText>
      </w:r>
      <w:r w:rsidR="002F02A0">
        <w:fldChar w:fldCharType="separate"/>
      </w:r>
      <w:r w:rsidR="00107DE3" w:rsidRPr="00107DE3">
        <w:rPr>
          <w:rFonts w:ascii="Aptos" w:hAnsi="Aptos"/>
        </w:rPr>
        <w:t>[31]</w:t>
      </w:r>
      <w:r w:rsidR="002F02A0">
        <w:fldChar w:fldCharType="end"/>
      </w:r>
      <w:r w:rsidR="0040739F">
        <w:t xml:space="preserve">, </w:t>
      </w:r>
      <w:r w:rsidR="0040739F">
        <w:fldChar w:fldCharType="begin"/>
      </w:r>
      <w:r w:rsidR="00107DE3">
        <w:instrText xml:space="preserve"> ADDIN ZOTERO_ITEM CSL_CITATION {"citationID":"q2t8EsSC","properties":{"formattedCitation":"[32]","plainCitation":"[32]","noteIndex":0},"citationItems":[{"id":450,"uris":["http://zotero.org/users/17573427/items/UXAKAZG5"],"itemData":{"id":450,"type":"article-journal","abstract":"A commonly-used platform to assess the tone of business documents in the extant accounting and finance literature is Diction. We argue that Diction is inappropriate for gauging the tone of financial disclosures. About 83% of the Diction optimistic words and 70% of the Diction pessimistic words appearing in a large 10-K sample are likely misclassified. Frequently occurring Diction optimistic words like respect, security, power, and authority will not be considered positive by readers of business documents. Similarly, over 45% of the Diction pessimistic 10-K word-counts are not and no. The Loughran-McDonald (2011) dictionary appears better at capturing tone in business text than Diction.","language":"en","source":"Zotero","title":"The Use of Word Lists in Textual Analysis","author":[{"family":"Loughran","given":"Tim"},{"family":"McDonald","given":"Bill"}]}}],"schema":"https://github.com/citation-style-language/schema/raw/master/csl-citation.json"} </w:instrText>
      </w:r>
      <w:r w:rsidR="0040739F">
        <w:fldChar w:fldCharType="separate"/>
      </w:r>
      <w:r w:rsidR="00107DE3" w:rsidRPr="00107DE3">
        <w:rPr>
          <w:rFonts w:ascii="Aptos" w:hAnsi="Aptos"/>
        </w:rPr>
        <w:t>[32]</w:t>
      </w:r>
      <w:r w:rsidR="0040739F">
        <w:fldChar w:fldCharType="end"/>
      </w:r>
      <w:r w:rsidRPr="00B82A27">
        <w:t xml:space="preserve">. </w:t>
      </w:r>
      <w:r w:rsidR="00100591">
        <w:t xml:space="preserve">After </w:t>
      </w:r>
      <w:r w:rsidRPr="00B82A27">
        <w:t xml:space="preserve">deep learning models has </w:t>
      </w:r>
      <w:r w:rsidR="00100591">
        <w:t>been discovered this field is totally changed.</w:t>
      </w:r>
    </w:p>
    <w:p w14:paraId="1ED9A451" w14:textId="77777777" w:rsidR="008B72EA" w:rsidRDefault="008B72EA" w:rsidP="00AB3DBF">
      <w:pPr>
        <w:jc w:val="both"/>
      </w:pPr>
    </w:p>
    <w:p w14:paraId="53543A61" w14:textId="77777777" w:rsidR="008B72EA" w:rsidRDefault="008B72EA" w:rsidP="008B72EA">
      <w:pPr>
        <w:keepNext/>
      </w:pPr>
      <w:r w:rsidRPr="005A240A">
        <w:rPr>
          <w:noProof/>
        </w:rPr>
        <w:lastRenderedPageBreak/>
        <w:drawing>
          <wp:inline distT="0" distB="0" distL="0" distR="0" wp14:anchorId="683D9FB3" wp14:editId="1F24902A">
            <wp:extent cx="5731510" cy="3071495"/>
            <wp:effectExtent l="0" t="0" r="2540" b="0"/>
            <wp:docPr id="1711484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484093" name=""/>
                    <pic:cNvPicPr/>
                  </pic:nvPicPr>
                  <pic:blipFill>
                    <a:blip r:embed="rId16"/>
                    <a:stretch>
                      <a:fillRect/>
                    </a:stretch>
                  </pic:blipFill>
                  <pic:spPr>
                    <a:xfrm>
                      <a:off x="0" y="0"/>
                      <a:ext cx="5731510" cy="3071495"/>
                    </a:xfrm>
                    <a:prstGeom prst="rect">
                      <a:avLst/>
                    </a:prstGeom>
                  </pic:spPr>
                </pic:pic>
              </a:graphicData>
            </a:graphic>
          </wp:inline>
        </w:drawing>
      </w:r>
    </w:p>
    <w:p w14:paraId="61507FA4" w14:textId="25154939" w:rsidR="008B72EA" w:rsidRPr="0010034D" w:rsidRDefault="008B72EA" w:rsidP="008B72EA">
      <w:pPr>
        <w:pStyle w:val="Caption"/>
        <w:ind w:left="720"/>
      </w:pPr>
      <w:bookmarkStart w:id="24" w:name="_Toc228816053"/>
      <w:r>
        <w:t xml:space="preserve">Figure </w:t>
      </w:r>
      <w:fldSimple w:instr=" SEQ Figure \* ARABIC ">
        <w:r w:rsidR="006C3897">
          <w:rPr>
            <w:noProof/>
          </w:rPr>
          <w:t>8</w:t>
        </w:r>
      </w:fldSimple>
      <w:r>
        <w:t xml:space="preserve">: </w:t>
      </w:r>
      <w:proofErr w:type="spellStart"/>
      <w:r w:rsidRPr="00090566">
        <w:t>FinBERT</w:t>
      </w:r>
      <w:proofErr w:type="spellEnd"/>
      <w:r w:rsidRPr="00090566">
        <w:t xml:space="preserve"> architecture showing pre-training on financial text, further pre-training, and classification fine-tuning for sentiment analysis</w:t>
      </w:r>
      <w:r>
        <w:t xml:space="preserve"> </w:t>
      </w:r>
      <w:r>
        <w:fldChar w:fldCharType="begin"/>
      </w:r>
      <w:r>
        <w:instrText xml:space="preserve"> ADDIN ZOTERO_ITEM CSL_CITATION {"citationID":"WDtDet7s","properties":{"formattedCitation":"[33]","plainCitation":"[33]","noteIndex":0},"citationItems":[{"id":387,"uris":["http://zotero.org/users/17573427/items/ILQ8TYUM"],"itemData":{"id":387,"type":"article","abstract":"Financial sentiment analysis is a challenging task due to the specialized language and lack of labeled data in that domain. Generalpurpose models are not effective enough because of specialized language used in financial context. We hypothesize that pre-trained language models can help with this problem because they require fewer labeled examples and they can be further trained on domainspecific corpora. We introduce FinBERT, a language model based on BERT, to tackle NLP tasks in financial domain. Our results show improvement in every measured metric on current state-of-theart results for two financial sentiment analysis datasets. We find that even with a smaller training set and fine-tuning only a part of the model, FinBERT outperforms state-of-the-art machine learning methods.","DOI":"10.48550/arXiv.1908.10063","language":"en","note":"arXiv:1908.10063 [cs]","number":"arXiv:1908.10063","publisher":"arXiv","source":"arXiv.org","title":"FinBERT: Financial Sentiment Analysis with Pre-trained Language Models","title-short":"FinBERT","URL":"http://arxiv.org/abs/1908.10063","author":[{"family":"Araci","given":"Dogu"}],"accessed":{"date-parts":[["2026",4,6]]},"issued":{"date-parts":[["2019",8,27]]}}}],"schema":"https://github.com/citation-style-language/schema/raw/master/csl-citation.json"} </w:instrText>
      </w:r>
      <w:r>
        <w:fldChar w:fldCharType="separate"/>
      </w:r>
      <w:r w:rsidRPr="00107DE3">
        <w:rPr>
          <w:rFonts w:ascii="Aptos" w:hAnsi="Aptos"/>
        </w:rPr>
        <w:t>[33]</w:t>
      </w:r>
      <w:bookmarkEnd w:id="24"/>
      <w:r>
        <w:fldChar w:fldCharType="end"/>
      </w:r>
    </w:p>
    <w:p w14:paraId="1DCB6A2E" w14:textId="70AADEB8" w:rsidR="001F129B" w:rsidRDefault="00100591" w:rsidP="00AB3DBF">
      <w:pPr>
        <w:jc w:val="both"/>
      </w:pPr>
      <w:r>
        <w:t xml:space="preserve">In this race, </w:t>
      </w:r>
      <w:proofErr w:type="spellStart"/>
      <w:r w:rsidR="008B72EA" w:rsidRPr="008B72EA">
        <w:t>FinBERT</w:t>
      </w:r>
      <w:proofErr w:type="spellEnd"/>
      <w:r w:rsidR="008B72EA" w:rsidRPr="008B72EA">
        <w:t xml:space="preserve"> was among the first models </w:t>
      </w:r>
      <w:r>
        <w:t xml:space="preserve">which has been </w:t>
      </w:r>
      <w:r w:rsidR="008B72EA" w:rsidRPr="008B72EA">
        <w:t>specifically designed for financial sentiment, achieving 86% overall accuracy and improving state-of-the-art performance by 15%, though it struggles with numerical comparisons and confuses neutral statements with positive or negative sentiment</w:t>
      </w:r>
      <w:r w:rsidR="008B72EA">
        <w:t xml:space="preserve"> </w:t>
      </w:r>
      <w:r w:rsidR="008B72EA">
        <w:fldChar w:fldCharType="begin"/>
      </w:r>
      <w:r w:rsidR="008B72EA">
        <w:instrText xml:space="preserve"> ADDIN ZOTERO_ITEM CSL_CITATION {"citationID":"xPvDI0gL","properties":{"formattedCitation":"[33]","plainCitation":"[33]","noteIndex":0},"citationItems":[{"id":387,"uris":["http://zotero.org/users/17573427/items/ILQ8TYUM"],"itemData":{"id":387,"type":"article","abstract":"Financial sentiment analysis is a challenging task due to the specialized language and lack of labeled data in that domain. Generalpurpose models are not effective enough because of specialized language used in financial context. We hypothesize that pre-trained language models can help with this problem because they require fewer labeled examples and they can be further trained on domainspecific corpora. We introduce FinBERT, a language model based on BERT, to tackle NLP tasks in financial domain. Our results show improvement in every measured metric on current state-of-theart results for two financial sentiment analysis datasets. We find that even with a smaller training set and fine-tuning only a part of the model, FinBERT outperforms state-of-the-art machine learning methods.","DOI":"10.48550/arXiv.1908.10063","language":"en","note":"arXiv:1908.10063 [cs]","number":"arXiv:1908.10063","publisher":"arXiv","source":"arXiv.org","title":"FinBERT: Financial Sentiment Analysis with Pre-trained Language Models","title-short":"FinBERT","URL":"http://arxiv.org/abs/1908.10063","author":[{"family":"Araci","given":"Dogu"}],"accessed":{"date-parts":[["2026",4,6]]},"issued":{"date-parts":[["2019",8,27]]}}}],"schema":"https://github.com/citation-style-language/schema/raw/master/csl-citation.json"} </w:instrText>
      </w:r>
      <w:r w:rsidR="008B72EA">
        <w:fldChar w:fldCharType="separate"/>
      </w:r>
      <w:r w:rsidR="008B72EA" w:rsidRPr="008B72EA">
        <w:rPr>
          <w:rFonts w:ascii="Aptos" w:hAnsi="Aptos"/>
        </w:rPr>
        <w:t>[33]</w:t>
      </w:r>
      <w:r w:rsidR="008B72EA">
        <w:fldChar w:fldCharType="end"/>
      </w:r>
      <w:r w:rsidR="008B72EA" w:rsidRPr="008B72EA">
        <w:t>. Instruct-</w:t>
      </w:r>
      <w:proofErr w:type="spellStart"/>
      <w:r w:rsidR="008B72EA" w:rsidRPr="008B72EA">
        <w:t>FinGPT</w:t>
      </w:r>
      <w:proofErr w:type="spellEnd"/>
      <w:r w:rsidR="008B72EA" w:rsidRPr="008B72EA">
        <w:t xml:space="preserve"> improved on this by applying instruction tuning to LLaMA-7B, achieving 88% accuracy on Twitter financial news and </w:t>
      </w:r>
      <w:r>
        <w:t xml:space="preserve">showing </w:t>
      </w:r>
      <w:r w:rsidR="008B72EA" w:rsidRPr="008B72EA">
        <w:t xml:space="preserve">better understanding of numerical financial context </w:t>
      </w:r>
      <w:r w:rsidR="008B72EA">
        <w:fldChar w:fldCharType="begin"/>
      </w:r>
      <w:r w:rsidR="008B72EA">
        <w:instrText xml:space="preserve"> ADDIN ZOTERO_ITEM CSL_CITATION {"citationID":"JFFT9MbP","properties":{"formattedCitation":"[34]","plainCitation":"[34]","noteIndex":0},"citationItems":[{"id":391,"uris":["http://zotero.org/users/17573427/items/6E9DEN6B"],"itemData":{"id":391,"type":"article","abstract":"Sentiment analysis is a vital tool for uncovering insights from financial articles, news, and social media, shaping our understanding of market movements. Despite the impressive capabilities of large language models (LLMs) in financial natural language processing (NLP), they still struggle with accurately interpreting numerical values and grasping financial context, limiting their effectiveness in predicting financial sentiment. In this paper, we introduce a simple yet effective instruction tuning approach to address these issues. By transforming a small portion of supervised financial sentiment analysis data into instruction data and finetuning a general-purpose LLM with this method, we achieve remarkable advancements in financial sentiment analysis. In the experiment, our approach outperforms state-of-the-art supervised sentiment analysis models, as well as widely used LLMs like ChatGPT and LLaMAs, particularly in scenarios where numerical understanding and contextual comprehension are vital.","DOI":"10.48550/arXiv.2306.12659","language":"en","note":"arXiv:2306.12659 [cs]","number":"arXiv:2306.12659","publisher":"arXiv","source":"arXiv.org","title":"Instruct-FinGPT: Financial Sentiment Analysis by Instruction Tuning of General-Purpose Large Language Models","title-short":"Instruct-FinGPT","URL":"http://arxiv.org/abs/2306.12659","author":[{"family":"Zhang","given":"Boyu"},{"family":"Yang","given":"Hongyang"},{"family":"Liu","given":"Xiao-Yang"}],"accessed":{"date-parts":[["2026",4,6]]},"issued":{"date-parts":[["2023",6,22]]}}}],"schema":"https://github.com/citation-style-language/schema/raw/master/csl-citation.json"} </w:instrText>
      </w:r>
      <w:r w:rsidR="008B72EA">
        <w:fldChar w:fldCharType="separate"/>
      </w:r>
      <w:r w:rsidR="008B72EA" w:rsidRPr="008B72EA">
        <w:rPr>
          <w:rFonts w:ascii="Aptos" w:hAnsi="Aptos"/>
        </w:rPr>
        <w:t>[34]</w:t>
      </w:r>
      <w:r w:rsidR="008B72EA">
        <w:fldChar w:fldCharType="end"/>
      </w:r>
      <w:r w:rsidR="008B72EA" w:rsidRPr="008B72EA">
        <w:t>. At a larger scale, OPT fine-tuned on Refinitiv news data generated a long-short trading strategy yielding 355% cumulative returns from 2021 to 2023 with a Sharpe ratio of 3.05</w:t>
      </w:r>
      <w:r>
        <w:t xml:space="preserve"> which confirms </w:t>
      </w:r>
      <w:r w:rsidR="008B72EA" w:rsidRPr="008B72EA">
        <w:t xml:space="preserve">that sentiment contains genuine trading signals </w:t>
      </w:r>
      <w:r w:rsidR="008B72EA">
        <w:fldChar w:fldCharType="begin"/>
      </w:r>
      <w:r w:rsidR="008B72EA">
        <w:instrText xml:space="preserve"> ADDIN ZOTERO_ITEM CSL_CITATION {"citationID":"JcK8QGZb","properties":{"formattedCitation":"[31]","plainCitation":"[31]","noteIndex":0},"citationItems":[{"id":390,"uris":["http://zotero.org/users/17573427/items/NQYH4JGT"],"itemData":{"id":390,"type":"article-journal","abstract":"We analyse the performance of the large language models (LLMs) OPT, BERT, and FinBERT, alongside the traditional Loughran-McDonald dictionary, in the sentiment analysis of 965,375 U.S. financial news articles from 2010 to 2023. Our findings reveal that the GPT-3-based OPT model significantly outperforms the others, predicting stock market returns with an accuracy of 74.4%. A long-short strategy based on OPT, accounting for 10 basis points (bps) in transaction costs, yields an exceptional Sharpe ratio of 3.05. From August 2021 to July 2023, this strategy produces an impressive 355% gain, outperforming other strategies and traditional market portfolios. This underscores the transformative potential of LLMs in financial market prediction and portfolio management and the necessity of employing sophisticated language models to develop effective investment strategies based on news sentiment.","container-title":"Finance Research Letters","DOI":"10.1016/j.frl.2024.105227","ISSN":"15446123","journalAbbreviation":"Finance Research Letters","language":"en","page":"105227","source":"DOI.org (Crossref)","title":"Sentiment trading with large language models","volume":"62","author":[{"family":"Kirtac","given":"Kemal"},{"family":"Germano","given":"Guido"}],"issued":{"date-parts":[["2024",4]]}}}],"schema":"https://github.com/citation-style-language/schema/raw/master/csl-citation.json"} </w:instrText>
      </w:r>
      <w:r w:rsidR="008B72EA">
        <w:fldChar w:fldCharType="separate"/>
      </w:r>
      <w:r w:rsidR="008B72EA" w:rsidRPr="008B72EA">
        <w:rPr>
          <w:rFonts w:ascii="Aptos" w:hAnsi="Aptos"/>
        </w:rPr>
        <w:t>[31]</w:t>
      </w:r>
      <w:r w:rsidR="008B72EA">
        <w:fldChar w:fldCharType="end"/>
      </w:r>
      <w:r w:rsidR="008B72EA" w:rsidRPr="008B72EA">
        <w:t xml:space="preserve">. Combining sentiment with time-series forecasting further improved results, with </w:t>
      </w:r>
      <w:proofErr w:type="spellStart"/>
      <w:r w:rsidR="008B72EA" w:rsidRPr="008B72EA">
        <w:t>FinBERT</w:t>
      </w:r>
      <w:proofErr w:type="spellEnd"/>
      <w:r w:rsidR="008B72EA" w:rsidRPr="008B72EA">
        <w:t xml:space="preserve"> and LSTM together outperforming either model alone, and LLM-based return prediction portfolios reaching up to 27% annual return in North America </w:t>
      </w:r>
      <w:r w:rsidR="008B72EA">
        <w:fldChar w:fldCharType="begin"/>
      </w:r>
      <w:r w:rsidR="008B72EA">
        <w:instrText xml:space="preserve"> ADDIN ZOTERO_ITEM CSL_CITATION {"citationID":"kdyO31Pr","properties":{"formattedCitation":"[35]","plainCitation":"[35]","noteIndex":0},"citationItems":[{"id":395,"uris":["http://zotero.org/users/17573427/items/5YV6JXYJ"],"itemData":{"id":395,"type":"article","abstract":"In this study, we integrate sentiment analysis within a financial framework by leveraging FinBERT, a fine-tuned BERT model specialized for financial text, to construct an advanced deep learning model based on Long Short-Term Memory (LSTM) networks. Our objective is to forecast financial market trends with greater accuracy. To evaluate our model’s predictive capabilities, we apply it to a comprehensive dataset of stock market news and perform a comparative analysis against standard BERT, standalone LSTM, and the traditional ARIMA models. Our findings indicate that incorporating sentiment analysis significantly enhances the model’s ability to anticipate market fluctuations. Furthermore, we propose a suite of optimization techniques aimed at refining the model’s performance, paving the way for more robust and reliable market prediction tools in the field of AI-driven finance.","DOI":"10.48550/arXiv.2306.02136","language":"en","note":"arXiv:2306.02136 [q-fin]","number":"arXiv:2306.02136","publisher":"arXiv","source":"arXiv.org","title":"Financial sentiment analysis using FinBERT with application in predicting stock movement","URL":"http://arxiv.org/abs/2306.02136","author":[{"family":"Jiang","given":"Tingsong"},{"family":"Zeng","given":"Qingyun"}],"accessed":{"date-parts":[["2026",4,6]]},"issued":{"date-parts":[["2025",6,11]]}}}],"schema":"https://github.com/citation-style-language/schema/raw/master/csl-citation.json"} </w:instrText>
      </w:r>
      <w:r w:rsidR="008B72EA">
        <w:fldChar w:fldCharType="separate"/>
      </w:r>
      <w:r w:rsidR="008B72EA" w:rsidRPr="008B72EA">
        <w:rPr>
          <w:rFonts w:ascii="Aptos" w:hAnsi="Aptos"/>
        </w:rPr>
        <w:t>[35]</w:t>
      </w:r>
      <w:r w:rsidR="008B72EA">
        <w:fldChar w:fldCharType="end"/>
      </w:r>
      <w:r w:rsidR="008B72EA">
        <w:t xml:space="preserve">, </w:t>
      </w:r>
      <w:r w:rsidR="008B72EA">
        <w:fldChar w:fldCharType="begin"/>
      </w:r>
      <w:r w:rsidR="008B72EA">
        <w:instrText xml:space="preserve"> ADDIN ZOTERO_ITEM CSL_CITATION {"citationID":"OruojuV5","properties":{"formattedCitation":"[36]","plainCitation":"[36]","noteIndex":0},"citationItems":[{"id":393,"uris":["http://zotero.org/users/17573427/items/AKM86QKD"],"itemData":{"id":393,"type":"article","abstract":"Large language models (LLMs) and their fine-tuning techniques have demonstrated superior performance in various language understanding and generation tasks. This paper explores fine-tuning LLMs for stock return forecasting with financial newsflow. In quantitative investing, return forecasting is fundamental for subsequent tasks like stock picking, portfolio optimization, etc. We formulate the model to include text representation and forecasting modules. We propose to compare the encoder-only and decoder-only LLMs, considering they generate text representations in distinct ways. The impact of these different representations on forecasting performance remains an open question. Meanwhile, we compare two simple methods of integrating LLMs’ token-level representations into the forecasting module. The experiments on real news and investment universes reveal that: (1) aggregated representations from LLMs’ token-level embeddings generally produce return predictions that enhance the performance of long-only and long-short portfolios; (2) in the relatively large investment universe, the decoder LLMs-based prediction model leads to stronger portfolios, whereas in the small universes, there are no consistent winners. Among the three LLMs studied (DeBERTa, Mistral, Llama), Mistral performs more robustly across different universes; (3) return predictions derived from LLMs’ text representations are a strong signal for portfolio construction, outperforming conventional sentiment scores.","DOI":"10.48550/arXiv.2407.18103","language":"en","note":"arXiv:2407.18103 [q-fin]","number":"arXiv:2407.18103","publisher":"arXiv","source":"arXiv.org","title":"Fine-Tuning Large Language Models for Stock Return Prediction Using Newsflow","URL":"http://arxiv.org/abs/2407.18103","author":[{"family":"Guo","given":"Tian"},{"family":"Hauptmann","given":"Emmanuel"}],"accessed":{"date-parts":[["2026",4,6]]},"issued":{"date-parts":[["2024",8,5]]}}}],"schema":"https://github.com/citation-style-language/schema/raw/master/csl-citation.json"} </w:instrText>
      </w:r>
      <w:r w:rsidR="008B72EA">
        <w:fldChar w:fldCharType="separate"/>
      </w:r>
      <w:r w:rsidR="008B72EA" w:rsidRPr="008B72EA">
        <w:rPr>
          <w:rFonts w:ascii="Aptos" w:hAnsi="Aptos"/>
        </w:rPr>
        <w:t>[36]</w:t>
      </w:r>
      <w:r w:rsidR="008B72EA">
        <w:fldChar w:fldCharType="end"/>
      </w:r>
      <w:r w:rsidR="008B72EA" w:rsidRPr="008B72EA">
        <w:t>.</w:t>
      </w:r>
    </w:p>
    <w:p w14:paraId="699435EB" w14:textId="77777777" w:rsidR="008B72EA" w:rsidRDefault="008B72EA" w:rsidP="00AB3DBF">
      <w:pPr>
        <w:jc w:val="both"/>
      </w:pPr>
    </w:p>
    <w:p w14:paraId="121147B4" w14:textId="77777777" w:rsidR="00AD60AE" w:rsidRDefault="005A240A" w:rsidP="00AB3DBF">
      <w:pPr>
        <w:keepNext/>
        <w:jc w:val="both"/>
      </w:pPr>
      <w:r w:rsidRPr="005A240A">
        <w:rPr>
          <w:noProof/>
        </w:rPr>
        <w:lastRenderedPageBreak/>
        <w:drawing>
          <wp:inline distT="0" distB="0" distL="0" distR="0" wp14:anchorId="65D714E9" wp14:editId="495A516F">
            <wp:extent cx="5731510" cy="2472055"/>
            <wp:effectExtent l="0" t="0" r="2540" b="4445"/>
            <wp:docPr id="416927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27629" name=""/>
                    <pic:cNvPicPr/>
                  </pic:nvPicPr>
                  <pic:blipFill>
                    <a:blip r:embed="rId17"/>
                    <a:stretch>
                      <a:fillRect/>
                    </a:stretch>
                  </pic:blipFill>
                  <pic:spPr>
                    <a:xfrm>
                      <a:off x="0" y="0"/>
                      <a:ext cx="5731510" cy="2472055"/>
                    </a:xfrm>
                    <a:prstGeom prst="rect">
                      <a:avLst/>
                    </a:prstGeom>
                  </pic:spPr>
                </pic:pic>
              </a:graphicData>
            </a:graphic>
          </wp:inline>
        </w:drawing>
      </w:r>
    </w:p>
    <w:p w14:paraId="028EE170" w14:textId="2940FEBF" w:rsidR="001F129B" w:rsidRPr="0010034D" w:rsidRDefault="00AD60AE" w:rsidP="00AB3DBF">
      <w:pPr>
        <w:pStyle w:val="Caption"/>
        <w:ind w:left="720"/>
        <w:jc w:val="both"/>
      </w:pPr>
      <w:bookmarkStart w:id="25" w:name="_Toc228816054"/>
      <w:r>
        <w:t xml:space="preserve">Figure </w:t>
      </w:r>
      <w:fldSimple w:instr=" SEQ Figure \* ARABIC ">
        <w:r w:rsidR="006C3897">
          <w:rPr>
            <w:noProof/>
          </w:rPr>
          <w:t>9</w:t>
        </w:r>
      </w:fldSimple>
      <w:r>
        <w:t xml:space="preserve">: </w:t>
      </w:r>
      <w:r w:rsidRPr="00C21197">
        <w:t>Cumulative returns comparing LLM-based sentiment trading strategies against traditional portfolios, showing 355% gains with OPT model</w:t>
      </w:r>
      <w:bookmarkEnd w:id="25"/>
      <w:r w:rsidRPr="00C21197">
        <w:t xml:space="preserve"> </w:t>
      </w:r>
    </w:p>
    <w:p w14:paraId="5FFEF30F" w14:textId="77777777" w:rsidR="00FC5F8F" w:rsidRDefault="00FC5F8F" w:rsidP="00AB3DBF">
      <w:pPr>
        <w:jc w:val="both"/>
      </w:pPr>
    </w:p>
    <w:p w14:paraId="46AC8805" w14:textId="2F8315FE" w:rsidR="00E05121" w:rsidRPr="00E05121" w:rsidRDefault="00E05121" w:rsidP="00E05121">
      <w:pPr>
        <w:jc w:val="both"/>
      </w:pPr>
      <w:r w:rsidRPr="00E05121">
        <w:t xml:space="preserve">Social media presents additional challenges, as standard models like </w:t>
      </w:r>
      <w:proofErr w:type="spellStart"/>
      <w:r w:rsidRPr="00E05121">
        <w:t>FinBERT</w:t>
      </w:r>
      <w:proofErr w:type="spellEnd"/>
      <w:r w:rsidRPr="00E05121">
        <w:t xml:space="preserve"> failed on </w:t>
      </w:r>
      <w:proofErr w:type="spellStart"/>
      <w:r w:rsidRPr="00E05121">
        <w:t>WallStreetBets</w:t>
      </w:r>
      <w:proofErr w:type="spellEnd"/>
      <w:r w:rsidRPr="00E05121">
        <w:t xml:space="preserve"> data due to slang and sarcasm </w:t>
      </w:r>
      <w:r>
        <w:fldChar w:fldCharType="begin"/>
      </w:r>
      <w:r>
        <w:instrText xml:space="preserve"> ADDIN ZOTERO_ITEM CSL_CITATION {"citationID":"1xKiQp5d","properties":{"formattedCitation":"[37]","plainCitation":"[37]","noteIndex":0},"citationItems":[{"id":394,"uris":["http://zotero.org/users/17573427/items/YCN6T5P8"],"itemData":{"id":394,"type":"article","abstract":"Financial sentiment analysis (FSA) presents unique challenges to LLMs that surpass those in typical sentiment analysis due to the nuanced language used in financial contexts. The prowess of these models is often undermined by the inherent subjectivity of sentiment classifications in existing benchmark datasets like Financial Phrasebank. These datasets typically feature undefined sentiment classes that reflect the highly individualized perspectives of annotators, leading to significant variability in annotations. This variability results in an unfair expectation for LLMs during benchmarking, where they are tasked to conjecture the subjective viewpoints of human annotators without sufficient context. In this paper, we introduce the Annotators' Instruction Assisted Prompt, a novel evaluation prompt designed to redefine the task definition of FSA for LLMs. By integrating detailed task instructions originally intended for human annotators into the LLMs' prompt framework, AIAP aims to standardize the understanding of sentiment across both human and machine interpretations, providing a fair and context-rich foundation for sentiment analysis. We utilize a new dataset, WSBS, derived from the WallStreetBets subreddit to demonstrate how AIAP significantly enhances LLM performance by aligning machine operations with the refined task definitions. Experimental results demonstrate that AIAP enhances LLM performance significantly, with improvements up to 9.08. This context-aware approach not only yields incremental gains in performance but also introduces an innovative sentiment-indexing method utilizing model confidence scores. This method enhances stock price prediction models and extracts more value from the financial sentiment analysis, underscoring the significance of WSB as a critical source of financial text. Our research offers insights into both improving FSA through better evaluation methods.","DOI":"10.48550/arXiv.2505.07871","language":"en","note":"arXiv:2505.07871 [cs]","number":"arXiv:2505.07871","publisher":"arXiv","source":"arXiv.org","title":"Evaluating Financial Sentiment Analysis with Annotators Instruction Assisted Prompting: Enhancing Contextual Interpretation and Stock Prediction Accuracy","title-short":"Evaluating Financial Sentiment Analysis with Annotators Instruction Assisted Prompting","URL":"http://arxiv.org/abs/2505.07871","author":[{"family":"Rahman","given":"A. M. Muntasir"},{"family":"Uddin","given":"Ajim"},{"family":"Wang","given":"Guiling \"Grace\""}],"accessed":{"date-parts":[["2026",4,6]]},"issued":{"date-parts":[["2025",5,9]]}}}],"schema":"https://github.com/citation-style-language/schema/raw/master/csl-citation.json"} </w:instrText>
      </w:r>
      <w:r>
        <w:fldChar w:fldCharType="separate"/>
      </w:r>
      <w:r w:rsidRPr="00E05121">
        <w:rPr>
          <w:rFonts w:ascii="Aptos" w:hAnsi="Aptos"/>
        </w:rPr>
        <w:t>[37]</w:t>
      </w:r>
      <w:r>
        <w:fldChar w:fldCharType="end"/>
      </w:r>
      <w:r w:rsidRPr="00E05121">
        <w:t xml:space="preserve">. The AIAP approach addressed this by embedding full annotator guidelines into the prompt, improving accuracy by 5.90%, </w:t>
      </w:r>
      <w:r w:rsidR="00100591">
        <w:t xml:space="preserve">while </w:t>
      </w:r>
      <w:r w:rsidRPr="00E05121">
        <w:t xml:space="preserve">WSB sentiment features improved prediction of meme stock prices such as GME and AMC </w:t>
      </w:r>
      <w:r>
        <w:fldChar w:fldCharType="begin"/>
      </w:r>
      <w:r>
        <w:instrText xml:space="preserve"> ADDIN ZOTERO_ITEM CSL_CITATION {"citationID":"MG48rZzS","properties":{"formattedCitation":"[37]","plainCitation":"[37]","noteIndex":0},"citationItems":[{"id":394,"uris":["http://zotero.org/users/17573427/items/YCN6T5P8"],"itemData":{"id":394,"type":"article","abstract":"Financial sentiment analysis (FSA) presents unique challenges to LLMs that surpass those in typical sentiment analysis due to the nuanced language used in financial contexts. The prowess of these models is often undermined by the inherent subjectivity of sentiment classifications in existing benchmark datasets like Financial Phrasebank. These datasets typically feature undefined sentiment classes that reflect the highly individualized perspectives of annotators, leading to significant variability in annotations. This variability results in an unfair expectation for LLMs during benchmarking, where they are tasked to conjecture the subjective viewpoints of human annotators without sufficient context. In this paper, we introduce the Annotators' Instruction Assisted Prompt, a novel evaluation prompt designed to redefine the task definition of FSA for LLMs. By integrating detailed task instructions originally intended for human annotators into the LLMs' prompt framework, AIAP aims to standardize the understanding of sentiment across both human and machine interpretations, providing a fair and context-rich foundation for sentiment analysis. We utilize a new dataset, WSBS, derived from the WallStreetBets subreddit to demonstrate how AIAP significantly enhances LLM performance by aligning machine operations with the refined task definitions. Experimental results demonstrate that AIAP enhances LLM performance significantly, with improvements up to 9.08. This context-aware approach not only yields incremental gains in performance but also introduces an innovative sentiment-indexing method utilizing model confidence scores. This method enhances stock price prediction models and extracts more value from the financial sentiment analysis, underscoring the significance of WSB as a critical source of financial text. Our research offers insights into both improving FSA through better evaluation methods.","DOI":"10.48550/arXiv.2505.07871","language":"en","note":"arXiv:2505.07871 [cs]","number":"arXiv:2505.07871","publisher":"arXiv","source":"arXiv.org","title":"Evaluating Financial Sentiment Analysis with Annotators Instruction Assisted Prompting: Enhancing Contextual Interpretation and Stock Prediction Accuracy","title-short":"Evaluating Financial Sentiment Analysis with Annotators Instruction Assisted Prompting","URL":"http://arxiv.org/abs/2505.07871","author":[{"family":"Rahman","given":"A. M. Muntasir"},{"family":"Uddin","given":"Ajim"},{"family":"Wang","given":"Guiling \"Grace\""}],"accessed":{"date-parts":[["2026",4,6]]},"issued":{"date-parts":[["2025",5,9]]}}}],"schema":"https://github.com/citation-style-language/schema/raw/master/csl-citation.json"} </w:instrText>
      </w:r>
      <w:r>
        <w:fldChar w:fldCharType="separate"/>
      </w:r>
      <w:r w:rsidRPr="00E05121">
        <w:rPr>
          <w:rFonts w:ascii="Aptos" w:hAnsi="Aptos"/>
        </w:rPr>
        <w:t>[37]</w:t>
      </w:r>
      <w:r>
        <w:fldChar w:fldCharType="end"/>
      </w:r>
      <w:r w:rsidRPr="00E05121">
        <w:t xml:space="preserve">. The FNSPID dataset further </w:t>
      </w:r>
      <w:r w:rsidR="00100591">
        <w:t xml:space="preserve">showed </w:t>
      </w:r>
      <w:r w:rsidRPr="00E05121">
        <w:t xml:space="preserve">that data quality and source credibility significantly affect sentiment performance, with long news text found to distract models and requiring summaries limited to three sentences for stable results </w:t>
      </w:r>
      <w:r>
        <w:fldChar w:fldCharType="begin"/>
      </w:r>
      <w:r>
        <w:instrText xml:space="preserve"> ADDIN ZOTERO_ITEM CSL_CITATION {"citationID":"tIr1QCFi","properties":{"formattedCitation":"[38]","plainCitation":"[38]","noteIndex":0},"citationItems":[{"id":389,"uris":["http://zotero.org/users/17573427/items/3BGUZJIX"],"itemData":{"id":389,"type":"article","abstract":"Financial market predictions utilize historical data to anticipate future stock prices and market trends. Traditionally, these predictions have focused on the statistical analysis of quantitative factors, such as stock prices, trading volumes, inflation rates, and changes in industrial production. Recent advancements in large language models motivate the integrated financial analysis of both sentiment data, particularly market news, and numerical factors. Nonetheless, this methodology frequently encounters constraints due to the paucity of extensive datasets that amalgamate both quantitative and qualitative sentiment analyses. To address this challenge, we introduce a large-scale financial dataset, namely, Financial News and Stock Price Integration Dataset (FNSPID). It comprises 29.7 million stock prices and 15.7 million time-aligned financial news records for 4,775 S&amp;P500 companies, covering the period from 1999 to 2023, sourced from 4 stock market news websites. We demonstrate that FNSPID excels existing stock market datasets in scale and diversity while uniquely incorporating sentiment information. Through financial analysis experiments on FNSPID, we propose: (1) the dataset’s size and quality significantly boost market prediction accuracy; (2) adding sentiment scores modestly enhances performance on the transformer-based model; (3) a reproducible procedure that can update the dataset. Completed work, code, documentation, and examples are available at github.com/Zdong104/FNSPID. FNSPID offers unprecedented opportunities for the financial research community to advance predictive modeling and analysis.","DOI":"10.48550/arXiv.2402.06698","language":"en","note":"arXiv:2402.06698 [q-fin]","number":"arXiv:2402.06698","publisher":"arXiv","source":"arXiv.org","title":"FNSPID: A Comprehensive Financial News Dataset in Time Series","title-short":"FNSPID","URL":"http://arxiv.org/abs/2402.06698","author":[{"family":"Dong","given":"Zihan"},{"family":"Fan","given":"Xinyu"},{"family":"Peng","given":"Zhiyuan"}],"accessed":{"date-parts":[["2026",4,6]]},"issued":{"date-parts":[["2024",2,9]]}}}],"schema":"https://github.com/citation-style-language/schema/raw/master/csl-citation.json"} </w:instrText>
      </w:r>
      <w:r>
        <w:fldChar w:fldCharType="separate"/>
      </w:r>
      <w:r w:rsidRPr="00E05121">
        <w:rPr>
          <w:rFonts w:ascii="Aptos" w:hAnsi="Aptos"/>
        </w:rPr>
        <w:t>[38]</w:t>
      </w:r>
      <w:r>
        <w:fldChar w:fldCharType="end"/>
      </w:r>
      <w:r w:rsidRPr="00E05121">
        <w:t>.</w:t>
      </w:r>
    </w:p>
    <w:p w14:paraId="6B8D39FA" w14:textId="77777777" w:rsidR="00E05121" w:rsidRPr="0010034D" w:rsidRDefault="00E05121" w:rsidP="00AB3DBF">
      <w:pPr>
        <w:jc w:val="both"/>
      </w:pPr>
    </w:p>
    <w:p w14:paraId="57FFCB5A" w14:textId="30A4DFB8" w:rsidR="0010034D" w:rsidRDefault="0010034D" w:rsidP="00AB3DBF">
      <w:pPr>
        <w:jc w:val="both"/>
        <w:rPr>
          <w:b/>
          <w:bCs/>
        </w:rPr>
      </w:pPr>
    </w:p>
    <w:p w14:paraId="120E6AF7" w14:textId="77777777" w:rsidR="005A240A" w:rsidRDefault="005A240A" w:rsidP="00AB3DBF">
      <w:pPr>
        <w:jc w:val="both"/>
        <w:rPr>
          <w:b/>
          <w:bCs/>
        </w:rPr>
      </w:pPr>
    </w:p>
    <w:p w14:paraId="12D441DA" w14:textId="77777777" w:rsidR="00AD60AE" w:rsidRDefault="005A240A" w:rsidP="00AB3DBF">
      <w:pPr>
        <w:keepNext/>
        <w:ind w:left="720"/>
        <w:jc w:val="both"/>
      </w:pPr>
      <w:r w:rsidRPr="005A240A">
        <w:rPr>
          <w:noProof/>
        </w:rPr>
        <w:drawing>
          <wp:inline distT="0" distB="0" distL="0" distR="0" wp14:anchorId="1CDF19D9" wp14:editId="71E80937">
            <wp:extent cx="5731510" cy="1508125"/>
            <wp:effectExtent l="0" t="0" r="2540" b="0"/>
            <wp:docPr id="211582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2092" name=""/>
                    <pic:cNvPicPr/>
                  </pic:nvPicPr>
                  <pic:blipFill>
                    <a:blip r:embed="rId18"/>
                    <a:stretch>
                      <a:fillRect/>
                    </a:stretch>
                  </pic:blipFill>
                  <pic:spPr>
                    <a:xfrm>
                      <a:off x="0" y="0"/>
                      <a:ext cx="5731510" cy="1508125"/>
                    </a:xfrm>
                    <a:prstGeom prst="rect">
                      <a:avLst/>
                    </a:prstGeom>
                  </pic:spPr>
                </pic:pic>
              </a:graphicData>
            </a:graphic>
          </wp:inline>
        </w:drawing>
      </w:r>
    </w:p>
    <w:p w14:paraId="405C87A1" w14:textId="335D9BF0" w:rsidR="001F129B" w:rsidRPr="0010034D" w:rsidRDefault="00AD60AE" w:rsidP="00AB3DBF">
      <w:pPr>
        <w:pStyle w:val="Caption"/>
        <w:jc w:val="both"/>
      </w:pPr>
      <w:bookmarkStart w:id="26" w:name="_Toc228816055"/>
      <w:r>
        <w:t xml:space="preserve">Figure </w:t>
      </w:r>
      <w:fldSimple w:instr=" SEQ Figure \* ARABIC ">
        <w:r w:rsidR="006C3897">
          <w:rPr>
            <w:noProof/>
          </w:rPr>
          <w:t>10</w:t>
        </w:r>
      </w:fldSimple>
      <w:r>
        <w:t xml:space="preserve">: </w:t>
      </w:r>
      <w:r w:rsidRPr="00DD6707">
        <w:t>Instruction tuning template for Instruct-</w:t>
      </w:r>
      <w:proofErr w:type="spellStart"/>
      <w:r w:rsidRPr="00DD6707">
        <w:t>FinGPT</w:t>
      </w:r>
      <w:proofErr w:type="spellEnd"/>
      <w:r w:rsidRPr="00DD6707">
        <w:t xml:space="preserve"> showing how sentiment data is formatted for LLM processing </w:t>
      </w:r>
      <w:r w:rsidR="00147555">
        <w:t xml:space="preserve"> </w:t>
      </w:r>
      <w:r w:rsidR="00147555">
        <w:fldChar w:fldCharType="begin"/>
      </w:r>
      <w:r w:rsidR="00E05121">
        <w:instrText xml:space="preserve"> ADDIN ZOTERO_ITEM CSL_CITATION {"citationID":"dOGsUGUC","properties":{"formattedCitation":"[37]","plainCitation":"[37]","noteIndex":0},"citationItems":[{"id":394,"uris":["http://zotero.org/users/17573427/items/YCN6T5P8"],"itemData":{"id":394,"type":"article","abstract":"Financial sentiment analysis (FSA) presents unique challenges to LLMs that surpass those in typical sentiment analysis due to the nuanced language used in financial contexts. The prowess of these models is often undermined by the inherent subjectivity of sentiment classifications in existing benchmark datasets like Financial Phrasebank. These datasets typically feature undefined sentiment classes that reflect the highly individualized perspectives of annotators, leading to significant variability in annotations. This variability results in an unfair expectation for LLMs during benchmarking, where they are tasked to conjecture the subjective viewpoints of human annotators without sufficient context. In this paper, we introduce the Annotators' Instruction Assisted Prompt, a novel evaluation prompt designed to redefine the task definition of FSA for LLMs. By integrating detailed task instructions originally intended for human annotators into the LLMs' prompt framework, AIAP aims to standardize the understanding of sentiment across both human and machine interpretations, providing a fair and context-rich foundation for sentiment analysis. We utilize a new dataset, WSBS, derived from the WallStreetBets subreddit to demonstrate how AIAP significantly enhances LLM performance by aligning machine operations with the refined task definitions. Experimental results demonstrate that AIAP enhances LLM performance significantly, with improvements up to 9.08. This context-aware approach not only yields incremental gains in performance but also introduces an innovative sentiment-indexing method utilizing model confidence scores. This method enhances stock price prediction models and extracts more value from the financial sentiment analysis, underscoring the significance of WSB as a critical source of financial text. Our research offers insights into both improving FSA through better evaluation methods.","DOI":"10.48550/arXiv.2505.07871","language":"en","note":"arXiv:2505.07871 [cs]","number":"arXiv:2505.07871","publisher":"arXiv","source":"arXiv.org","title":"Evaluating Financial Sentiment Analysis with Annotators Instruction Assisted Prompting: Enhancing Contextual Interpretation and Stock Prediction Accuracy","title-short":"Evaluating Financial Sentiment Analysis with Annotators Instruction Assisted Prompting","URL":"http://arxiv.org/abs/2505.07871","author":[{"family":"Rahman","given":"A. M. Muntasir"},{"family":"Uddin","given":"Ajim"},{"family":"Wang","given":"Guiling \"Grace\""}],"accessed":{"date-parts":[["2026",4,6]]},"issued":{"date-parts":[["2025",5,9]]}}}],"schema":"https://github.com/citation-style-language/schema/raw/master/csl-citation.json"} </w:instrText>
      </w:r>
      <w:r w:rsidR="00147555">
        <w:fldChar w:fldCharType="separate"/>
      </w:r>
      <w:r w:rsidR="00E05121" w:rsidRPr="00E05121">
        <w:rPr>
          <w:rFonts w:ascii="Aptos" w:hAnsi="Aptos"/>
        </w:rPr>
        <w:t>[37]</w:t>
      </w:r>
      <w:bookmarkEnd w:id="26"/>
      <w:r w:rsidR="00147555">
        <w:fldChar w:fldCharType="end"/>
      </w:r>
    </w:p>
    <w:p w14:paraId="7E944DAE" w14:textId="77777777" w:rsidR="00085C57" w:rsidRPr="0010034D" w:rsidRDefault="00085C57" w:rsidP="00AB3DBF">
      <w:pPr>
        <w:jc w:val="both"/>
      </w:pPr>
    </w:p>
    <w:p w14:paraId="4592F341" w14:textId="6E9A61B5" w:rsidR="0010034D" w:rsidRDefault="0010034D" w:rsidP="00AB3DBF">
      <w:pPr>
        <w:jc w:val="both"/>
      </w:pPr>
      <w:r w:rsidRPr="0010034D">
        <w:t xml:space="preserve">Despite significant progress, financial sentiment analysis still faces several limitations that affect its use in trading systems. First, most models treat all news equally regardless of source credibility or article importance </w:t>
      </w:r>
      <w:r w:rsidR="002F02A0">
        <w:fldChar w:fldCharType="begin"/>
      </w:r>
      <w:r w:rsidR="00E05121">
        <w:instrText xml:space="preserve"> ADDIN ZOTERO_ITEM CSL_CITATION {"citationID":"4h67Q8qz","properties":{"formattedCitation":"[39]","plainCitation":"[39]","noteIndex":0},"citationItems":[{"id":397,"uris":["http://zotero.org/users/17573427/items/7BMTIJX2"],"itemData":{"id":397,"type":"article","abstract":"This study integrates real-time sentiment analysis from financial news, GPT-2 (Radford et al., 2019) and FinBERT (Araci, 2019), with technical indicators and timeseries models like ARIMA and ETS to optimize S&amp;P 500 trading strategies. By merging sentiment data with momentum and trend-based metrics, including a benchmark buy-and-hold and sentiment-based approach, is evaluated through assets values and returns. Results show that combining sentiment-driven insights with traditional models improves trading performance, offering a more dynamic approach to stock trading that adapts to market changes in volatile environments.","DOI":"10.48550/arXiv.2507.09739","language":"en","note":"arXiv:2507.09739 [q-fin]","number":"arXiv:2507.09739","publisher":"arXiv","source":"arXiv.org","title":"Enhancing Trading Performance Through Sentiment Analysis with Large Language Models: Evidence from the S&amp;P 500","title-short":"Enhancing Trading Performance Through Sentiment Analysis with Large Language Models","URL":"http://arxiv.org/abs/2507.09739","author":[{"family":"Liu","given":"Haojie"},{"family":"Lin","given":"Zihan"},{"family":"Rojas","given":"Randall R."}],"accessed":{"date-parts":[["2026",4,6]]},"issued":{"date-parts":[["2025",7,13]]}}}],"schema":"https://github.com/citation-style-language/schema/raw/master/csl-citation.json"} </w:instrText>
      </w:r>
      <w:r w:rsidR="002F02A0">
        <w:fldChar w:fldCharType="separate"/>
      </w:r>
      <w:r w:rsidR="00E05121" w:rsidRPr="00E05121">
        <w:rPr>
          <w:rFonts w:ascii="Aptos" w:hAnsi="Aptos"/>
        </w:rPr>
        <w:t>[39]</w:t>
      </w:r>
      <w:r w:rsidR="002F02A0">
        <w:fldChar w:fldCharType="end"/>
      </w:r>
      <w:r w:rsidRPr="0010034D">
        <w:t>. Second, real-time processing remains challenging, with Instruct-</w:t>
      </w:r>
      <w:proofErr w:type="spellStart"/>
      <w:r w:rsidRPr="0010034D">
        <w:t>FinGPT</w:t>
      </w:r>
      <w:proofErr w:type="spellEnd"/>
      <w:r w:rsidRPr="0010034D">
        <w:t xml:space="preserve"> requiring 498 seconds on 8 A100 GPUs to process 2,388 samples </w:t>
      </w:r>
      <w:r w:rsidR="002F02A0">
        <w:fldChar w:fldCharType="begin"/>
      </w:r>
      <w:r w:rsidR="008B72EA">
        <w:instrText xml:space="preserve"> ADDIN ZOTERO_ITEM CSL_CITATION {"citationID":"GiF6iiaN","properties":{"formattedCitation":"[34]","plainCitation":"[34]","noteIndex":0},"citationItems":[{"id":391,"uris":["http://zotero.org/users/17573427/items/6E9DEN6B"],"itemData":{"id":391,"type":"article","abstract":"Sentiment analysis is a vital tool for uncovering insights from financial articles, news, and social media, shaping our understanding of market movements. Despite the impressive capabilities of large language models (LLMs) in financial natural language processing (NLP), they still struggle with accurately interpreting numerical values and grasping financial context, limiting their effectiveness in predicting financial sentiment. In this paper, we introduce a simple yet effective instruction tuning approach to address these issues. By transforming a small portion of supervised financial sentiment analysis data into instruction data and finetuning a general-purpose LLM with this method, we achieve remarkable advancements in financial sentiment analysis. In the experiment, our approach outperforms state-of-the-art supervised sentiment analysis models, as well as widely used LLMs like ChatGPT and LLaMAs, particularly in scenarios where numerical understanding and contextual comprehension are vital.","DOI":"10.48550/arXiv.2306.12659","language":"en","note":"arXiv:2306.12659 [cs]","number":"arXiv:2306.12659","publisher":"arXiv","source":"arXiv.org","title":"Instruct-FinGPT: Financial Sentiment Analysis by Instruction Tuning of General-Purpose Large Language Models","title-short":"Instruct-FinGPT","URL":"http://arxiv.org/abs/2306.12659","author":[{"family":"Zhang","given":"Boyu"},{"family":"Yang","given":"Hongyang"},{"family":"Liu","given":"Xiao-Yang"}],"accessed":{"date-parts":[["2026",4,6]]},"issued":{"date-parts":[["2023",6,22]]}}}],"schema":"https://github.com/citation-style-language/schema/raw/master/csl-citation.json"} </w:instrText>
      </w:r>
      <w:r w:rsidR="002F02A0">
        <w:fldChar w:fldCharType="separate"/>
      </w:r>
      <w:r w:rsidR="008B72EA" w:rsidRPr="008B72EA">
        <w:rPr>
          <w:rFonts w:ascii="Aptos" w:hAnsi="Aptos"/>
        </w:rPr>
        <w:t>[34]</w:t>
      </w:r>
      <w:r w:rsidR="002F02A0">
        <w:fldChar w:fldCharType="end"/>
      </w:r>
      <w:r w:rsidRPr="0010034D">
        <w:t xml:space="preserve">. Third, social media text with slang, sarcasm, and memes remains difficult for formal finance models </w:t>
      </w:r>
      <w:r w:rsidR="002F02A0">
        <w:lastRenderedPageBreak/>
        <w:fldChar w:fldCharType="begin"/>
      </w:r>
      <w:r w:rsidR="00E05121">
        <w:instrText xml:space="preserve"> ADDIN ZOTERO_ITEM CSL_CITATION {"citationID":"jwereTbh","properties":{"formattedCitation":"[37]","plainCitation":"[37]","noteIndex":0},"citationItems":[{"id":394,"uris":["http://zotero.org/users/17573427/items/YCN6T5P8"],"itemData":{"id":394,"type":"article","abstract":"Financial sentiment analysis (FSA) presents unique challenges to LLMs that surpass those in typical sentiment analysis due to the nuanced language used in financial contexts. The prowess of these models is often undermined by the inherent subjectivity of sentiment classifications in existing benchmark datasets like Financial Phrasebank. These datasets typically feature undefined sentiment classes that reflect the highly individualized perspectives of annotators, leading to significant variability in annotations. This variability results in an unfair expectation for LLMs during benchmarking, where they are tasked to conjecture the subjective viewpoints of human annotators without sufficient context. In this paper, we introduce the Annotators' Instruction Assisted Prompt, a novel evaluation prompt designed to redefine the task definition of FSA for LLMs. By integrating detailed task instructions originally intended for human annotators into the LLMs' prompt framework, AIAP aims to standardize the understanding of sentiment across both human and machine interpretations, providing a fair and context-rich foundation for sentiment analysis. We utilize a new dataset, WSBS, derived from the WallStreetBets subreddit to demonstrate how AIAP significantly enhances LLM performance by aligning machine operations with the refined task definitions. Experimental results demonstrate that AIAP enhances LLM performance significantly, with improvements up to 9.08. This context-aware approach not only yields incremental gains in performance but also introduces an innovative sentiment-indexing method utilizing model confidence scores. This method enhances stock price prediction models and extracts more value from the financial sentiment analysis, underscoring the significance of WSB as a critical source of financial text. Our research offers insights into both improving FSA through better evaluation methods.","DOI":"10.48550/arXiv.2505.07871","language":"en","note":"arXiv:2505.07871 [cs]","number":"arXiv:2505.07871","publisher":"arXiv","source":"arXiv.org","title":"Evaluating Financial Sentiment Analysis with Annotators Instruction Assisted Prompting: Enhancing Contextual Interpretation and Stock Prediction Accuracy","title-short":"Evaluating Financial Sentiment Analysis with Annotators Instruction Assisted Prompting","URL":"http://arxiv.org/abs/2505.07871","author":[{"family":"Rahman","given":"A. M. Muntasir"},{"family":"Uddin","given":"Ajim"},{"family":"Wang","given":"Guiling \"Grace\""}],"accessed":{"date-parts":[["2026",4,6]]},"issued":{"date-parts":[["2025",5,9]]}}}],"schema":"https://github.com/citation-style-language/schema/raw/master/csl-citation.json"} </w:instrText>
      </w:r>
      <w:r w:rsidR="002F02A0">
        <w:fldChar w:fldCharType="separate"/>
      </w:r>
      <w:r w:rsidR="00E05121" w:rsidRPr="00E05121">
        <w:rPr>
          <w:rFonts w:ascii="Aptos" w:hAnsi="Aptos"/>
        </w:rPr>
        <w:t>[37]</w:t>
      </w:r>
      <w:r w:rsidR="002F02A0">
        <w:fldChar w:fldCharType="end"/>
      </w:r>
      <w:r w:rsidRPr="0010034D">
        <w:t xml:space="preserve">. Fourth, most studies test sentiment trading over short periods, with some </w:t>
      </w:r>
      <w:proofErr w:type="spellStart"/>
      <w:r w:rsidRPr="0010034D">
        <w:t>backtests</w:t>
      </w:r>
      <w:proofErr w:type="spellEnd"/>
      <w:r w:rsidRPr="0010034D">
        <w:t xml:space="preserve"> covering only a few months </w:t>
      </w:r>
      <w:r w:rsidR="002F02A0">
        <w:fldChar w:fldCharType="begin"/>
      </w:r>
      <w:r w:rsidR="00E05121">
        <w:instrText xml:space="preserve"> ADDIN ZOTERO_ITEM CSL_CITATION {"citationID":"2uHs2ocJ","properties":{"formattedCitation":"[39]","plainCitation":"[39]","noteIndex":0},"citationItems":[{"id":397,"uris":["http://zotero.org/users/17573427/items/7BMTIJX2"],"itemData":{"id":397,"type":"article","abstract":"This study integrates real-time sentiment analysis from financial news, GPT-2 (Radford et al., 2019) and FinBERT (Araci, 2019), with technical indicators and timeseries models like ARIMA and ETS to optimize S&amp;P 500 trading strategies. By merging sentiment data with momentum and trend-based metrics, including a benchmark buy-and-hold and sentiment-based approach, is evaluated through assets values and returns. Results show that combining sentiment-driven insights with traditional models improves trading performance, offering a more dynamic approach to stock trading that adapts to market changes in volatile environments.","DOI":"10.48550/arXiv.2507.09739","language":"en","note":"arXiv:2507.09739 [q-fin]","number":"arXiv:2507.09739","publisher":"arXiv","source":"arXiv.org","title":"Enhancing Trading Performance Through Sentiment Analysis with Large Language Models: Evidence from the S&amp;P 500","title-short":"Enhancing Trading Performance Through Sentiment Analysis with Large Language Models","URL":"http://arxiv.org/abs/2507.09739","author":[{"family":"Liu","given":"Haojie"},{"family":"Lin","given":"Zihan"},{"family":"Rojas","given":"Randall R."}],"accessed":{"date-parts":[["2026",4,6]]},"issued":{"date-parts":[["2025",7,13]]}}}],"schema":"https://github.com/citation-style-language/schema/raw/master/csl-citation.json"} </w:instrText>
      </w:r>
      <w:r w:rsidR="002F02A0">
        <w:fldChar w:fldCharType="separate"/>
      </w:r>
      <w:r w:rsidR="00E05121" w:rsidRPr="00E05121">
        <w:rPr>
          <w:rFonts w:ascii="Aptos" w:hAnsi="Aptos"/>
        </w:rPr>
        <w:t>[39]</w:t>
      </w:r>
      <w:r w:rsidR="002F02A0">
        <w:fldChar w:fldCharType="end"/>
      </w:r>
      <w:r w:rsidRPr="0010034D">
        <w:t xml:space="preserve">, raising questions about long-term performance. Fifth, none of the reviewed systems integrate sentiment analysis with other types of analysis (technical, fundamental, macroeconomic) in a multi-agent framework where agents can share insights and improve based on trading outcomes. Additionally, while some systems combine sentiment with prediction models </w:t>
      </w:r>
      <w:r w:rsidR="002F02A0">
        <w:fldChar w:fldCharType="begin"/>
      </w:r>
      <w:r w:rsidR="008B72EA">
        <w:instrText xml:space="preserve"> ADDIN ZOTERO_ITEM CSL_CITATION {"citationID":"EWhySZ1d","properties":{"formattedCitation":"[35]","plainCitation":"[35]","noteIndex":0},"citationItems":[{"id":395,"uris":["http://zotero.org/users/17573427/items/5YV6JXYJ"],"itemData":{"id":395,"type":"article","abstract":"In this study, we integrate sentiment analysis within a financial framework by leveraging FinBERT, a fine-tuned BERT model specialized for financial text, to construct an advanced deep learning model based on Long Short-Term Memory (LSTM) networks. Our objective is to forecast financial market trends with greater accuracy. To evaluate our model’s predictive capabilities, we apply it to a comprehensive dataset of stock market news and perform a comparative analysis against standard BERT, standalone LSTM, and the traditional ARIMA models. Our findings indicate that incorporating sentiment analysis significantly enhances the model’s ability to anticipate market fluctuations. Furthermore, we propose a suite of optimization techniques aimed at refining the model’s performance, paving the way for more robust and reliable market prediction tools in the field of AI-driven finance.","DOI":"10.48550/arXiv.2306.02136","language":"en","note":"arXiv:2306.02136 [q-fin]","number":"arXiv:2306.02136","publisher":"arXiv","source":"arXiv.org","title":"Financial sentiment analysis using FinBERT with application in predicting stock movement","URL":"http://arxiv.org/abs/2306.02136","author":[{"family":"Jiang","given":"Tingsong"},{"family":"Zeng","given":"Qingyun"}],"accessed":{"date-parts":[["2026",4,6]]},"issued":{"date-parts":[["2025",6,11]]}}}],"schema":"https://github.com/citation-style-language/schema/raw/master/csl-citation.json"} </w:instrText>
      </w:r>
      <w:r w:rsidR="002F02A0">
        <w:fldChar w:fldCharType="separate"/>
      </w:r>
      <w:r w:rsidR="008B72EA" w:rsidRPr="008B72EA">
        <w:rPr>
          <w:rFonts w:ascii="Aptos" w:hAnsi="Aptos"/>
        </w:rPr>
        <w:t>[35]</w:t>
      </w:r>
      <w:r w:rsidR="002F02A0">
        <w:fldChar w:fldCharType="end"/>
      </w:r>
      <w:r w:rsidRPr="0010034D">
        <w:t xml:space="preserve">, none implement continuous feedback loops where sentiment analysis prompts are optimised based on actual trading performance. These gaps highlight the opportunity for a multi-agent system where a dedicated Sentiment Analyst agent works </w:t>
      </w:r>
      <w:proofErr w:type="spellStart"/>
      <w:r w:rsidR="00100591">
        <w:t>parallely</w:t>
      </w:r>
      <w:proofErr w:type="spellEnd"/>
      <w:r w:rsidR="00100591">
        <w:t xml:space="preserve"> with </w:t>
      </w:r>
      <w:r w:rsidRPr="0010034D">
        <w:t>Technical, Fundamental, and Macro Analysts, with dynamic prompt optimisation that improves sentiment interpretation based on whether trading decisions led to profits or losses.</w:t>
      </w:r>
    </w:p>
    <w:p w14:paraId="687397BC" w14:textId="77777777" w:rsidR="00A22B21" w:rsidRDefault="00A22B21" w:rsidP="00AB3DBF">
      <w:pPr>
        <w:jc w:val="both"/>
      </w:pPr>
    </w:p>
    <w:p w14:paraId="31FEA6AB" w14:textId="77777777" w:rsidR="00A22B21" w:rsidRDefault="00A22B21" w:rsidP="00AB3DBF">
      <w:pPr>
        <w:pStyle w:val="Heading3"/>
        <w:jc w:val="both"/>
      </w:pPr>
      <w:bookmarkStart w:id="27" w:name="_Toc228577620"/>
      <w:r w:rsidRPr="00A22B21">
        <w:t>2.5 LLM Agent Frameworks</w:t>
      </w:r>
      <w:bookmarkEnd w:id="27"/>
    </w:p>
    <w:p w14:paraId="12EB2103" w14:textId="77777777" w:rsidR="00590CC8" w:rsidRDefault="00590CC8" w:rsidP="00AB3DBF">
      <w:pPr>
        <w:jc w:val="both"/>
      </w:pPr>
    </w:p>
    <w:p w14:paraId="0871B93C" w14:textId="70833957" w:rsidR="007C2167" w:rsidRDefault="00265142" w:rsidP="00AB3DBF">
      <w:pPr>
        <w:jc w:val="both"/>
      </w:pPr>
      <w:r w:rsidRPr="00265142">
        <w:t xml:space="preserve">Large Language Models are powerful on their own, but they struggle with complex tasks </w:t>
      </w:r>
      <w:r w:rsidR="003A3EF0">
        <w:t xml:space="preserve">which </w:t>
      </w:r>
      <w:r w:rsidRPr="00265142">
        <w:t xml:space="preserve">require multiple steps, long-term planning, and interaction with external tools. When used directly without any framework, LLMs often produce inconsistent outputs, engage in </w:t>
      </w:r>
      <w:r w:rsidR="003A3EF0">
        <w:t xml:space="preserve">unnecessary </w:t>
      </w:r>
      <w:r w:rsidRPr="00265142">
        <w:t xml:space="preserve">conversation, and suffer from hallucinations that get worse when multiple LLM calls are chained together </w:t>
      </w:r>
      <w:r w:rsidR="002F02A0">
        <w:fldChar w:fldCharType="begin"/>
      </w:r>
      <w:r w:rsidR="00E05121">
        <w:instrText xml:space="preserve"> ADDIN ZOTERO_ITEM CSL_CITATION {"citationID":"1MgKGsrP","properties":{"formattedCitation":"[40]","plainCitation":"[40]","noteIndex":0},"citationItems":[{"id":404,"uris":["http://zotero.org/users/17573427/items/Q5PTC498"],"itemData":{"id":404,"type":"article","abstract":"Remarkable progress has been made on automated problem solving through societies of agents based on large language models (LLMs). Existing LLM-based multi-agent systems can already solve simple dialogue tasks. Solutions to more complex tasks, however, are complicated through logic inconsistencies due to cascading hallucinations caused by naively chaining LLMs. Here we introduce MetaGPT, an innovative meta-programming framework incorporating efficient human workflows into LLM-based multi-agent collaborations. MetaGPT encodes Standardized Operating Procedures (SOPs) into prompt sequences for more streamlined workflows, thus allowing agents with human-like domain expertise to verify intermediate results and reduce errors. MetaGPT utilizes an assembly line paradigm to assign diverse roles to various agents, efficiently breaking down complex tasks into subtasks involving many agents working together. On collaborative software engineering benchmarks, MetaGPT generates more coherent solutions than previous chat-based multi-agent systems. Our project can be found at https://github.com/geekan/MetaGPT.","DOI":"10.48550/arXiv.2308.00352","language":"en","note":"arXiv:2308.00352 [cs]","number":"arXiv:2308.00352","publisher":"arXiv","source":"arXiv.org","title":"MetaGPT: Meta Programming for A Multi-Agent Collaborative Framework","title-short":"MetaGPT","URL":"http://arxiv.org/abs/2308.00352","author":[{"family":"Hong","given":"Sirui"},{"family":"Zhuge","given":"Mingchen"},{"family":"Chen","given":"Jiaqi"},{"family":"Zheng","given":"Xiawu"},{"family":"Cheng","given":"Yuheng"},{"family":"Zhang","given":"Ceyao"},{"family":"Wang","given":"Jinlin"},{"family":"Wang","given":"Zili"},{"family":"Yau","given":"Steven Ka Shing"},{"family":"Lin","given":"Zijuan"},{"family":"Zhou","given":"Liyang"},{"family":"Ran","given":"Chenyu"},{"family":"Xiao","given":"Lingfeng"},{"family":"Wu","given":"Chenglin"},{"family":"Schmidhuber","given":"Jürgen"}],"accessed":{"date-parts":[["2026",4,6]]},"issued":{"date-parts":[["2024",11,1]]}}}],"schema":"https://github.com/citation-style-language/schema/raw/master/csl-citation.json"} </w:instrText>
      </w:r>
      <w:r w:rsidR="002F02A0">
        <w:fldChar w:fldCharType="separate"/>
      </w:r>
      <w:r w:rsidR="00E05121" w:rsidRPr="00E05121">
        <w:rPr>
          <w:rFonts w:ascii="Aptos" w:hAnsi="Aptos"/>
        </w:rPr>
        <w:t>[40]</w:t>
      </w:r>
      <w:r w:rsidR="002F02A0">
        <w:fldChar w:fldCharType="end"/>
      </w:r>
      <w:r w:rsidRPr="00265142">
        <w:t xml:space="preserve">. Agent frameworks solve these problems by giving LLMs structure, memory, and the ability to use tools, allowing them to work on tasks that would be impossible with simple prompting. </w:t>
      </w:r>
    </w:p>
    <w:p w14:paraId="4BB80E79" w14:textId="77777777" w:rsidR="00265142" w:rsidRPr="00265142" w:rsidRDefault="00265142" w:rsidP="00AB3DBF">
      <w:pPr>
        <w:jc w:val="both"/>
      </w:pPr>
    </w:p>
    <w:p w14:paraId="3C322AA8" w14:textId="77777777" w:rsidR="00AD60AE" w:rsidRDefault="00265142" w:rsidP="00AB3DBF">
      <w:pPr>
        <w:keepNext/>
        <w:ind w:left="720"/>
        <w:jc w:val="both"/>
      </w:pPr>
      <w:r w:rsidRPr="00265142">
        <w:rPr>
          <w:noProof/>
        </w:rPr>
        <w:lastRenderedPageBreak/>
        <w:drawing>
          <wp:inline distT="0" distB="0" distL="0" distR="0" wp14:anchorId="7BEF5FC0" wp14:editId="3CDF2147">
            <wp:extent cx="5073650" cy="4597400"/>
            <wp:effectExtent l="0" t="0" r="0" b="0"/>
            <wp:docPr id="17531206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73650" cy="4597400"/>
                    </a:xfrm>
                    <a:prstGeom prst="rect">
                      <a:avLst/>
                    </a:prstGeom>
                    <a:noFill/>
                    <a:ln>
                      <a:noFill/>
                    </a:ln>
                  </pic:spPr>
                </pic:pic>
              </a:graphicData>
            </a:graphic>
          </wp:inline>
        </w:drawing>
      </w:r>
    </w:p>
    <w:p w14:paraId="56DEDFC4" w14:textId="01F202B5" w:rsidR="00265142" w:rsidRDefault="00AD60AE" w:rsidP="00AB3DBF">
      <w:pPr>
        <w:pStyle w:val="Caption"/>
        <w:ind w:left="720"/>
        <w:jc w:val="both"/>
      </w:pPr>
      <w:bookmarkStart w:id="28" w:name="_Toc228816056"/>
      <w:r>
        <w:t xml:space="preserve">Figure </w:t>
      </w:r>
      <w:fldSimple w:instr=" SEQ Figure \* ARABIC ">
        <w:r w:rsidR="006C3897">
          <w:rPr>
            <w:noProof/>
          </w:rPr>
          <w:t>11</w:t>
        </w:r>
      </w:fldSimple>
      <w:r>
        <w:t xml:space="preserve">: </w:t>
      </w:r>
      <w:r w:rsidRPr="00CA155B">
        <w:t xml:space="preserve">Comparison of Standard prompting, Chain-of-Thought, Act-only, and </w:t>
      </w:r>
      <w:proofErr w:type="spellStart"/>
      <w:r w:rsidRPr="00CA155B">
        <w:t>ReAct</w:t>
      </w:r>
      <w:proofErr w:type="spellEnd"/>
      <w:r w:rsidRPr="00CA155B">
        <w:t xml:space="preserve"> approaches across question-answering and decision-making tasks </w:t>
      </w:r>
      <w:r w:rsidR="00C44D2E" w:rsidRPr="00C44D2E">
        <w:t>[41]</w:t>
      </w:r>
      <w:bookmarkEnd w:id="28"/>
    </w:p>
    <w:p w14:paraId="74D34099" w14:textId="77777777" w:rsidR="00AD60AE" w:rsidRPr="00265142" w:rsidRDefault="00AD60AE" w:rsidP="00AB3DBF">
      <w:pPr>
        <w:jc w:val="both"/>
      </w:pPr>
    </w:p>
    <w:p w14:paraId="3F3B3B5E" w14:textId="5ADF6098" w:rsidR="00265142" w:rsidRPr="00265142" w:rsidRDefault="00C44D2E" w:rsidP="00AB3DBF">
      <w:pPr>
        <w:jc w:val="both"/>
      </w:pPr>
      <w:r w:rsidRPr="00C44D2E">
        <w:t xml:space="preserve">Chain-of-Thought prompting </w:t>
      </w:r>
      <w:r w:rsidR="003A3EF0">
        <w:t xml:space="preserve">has shown </w:t>
      </w:r>
      <w:r w:rsidRPr="00C44D2E">
        <w:t xml:space="preserve">that asking LLMs to reason step-by-step </w:t>
      </w:r>
      <w:r w:rsidR="003A3EF0">
        <w:t xml:space="preserve">increase </w:t>
      </w:r>
      <w:r w:rsidRPr="00C44D2E">
        <w:t>performance on multi-step problems, increasing the GSM8K solve rate from 18% to 57%</w:t>
      </w:r>
      <w:r>
        <w:t xml:space="preserve"> </w:t>
      </w:r>
      <w:r>
        <w:fldChar w:fldCharType="begin"/>
      </w:r>
      <w:r>
        <w:instrText xml:space="preserve"> ADDIN ZOTERO_ITEM CSL_CITATION {"citationID":"l1tYvtHE","properties":{"formattedCitation":"[41]","plainCitation":"[41]","noteIndex":0},"citationItems":[{"id":408,"uris":["http://zotero.org/users/17573427/items/8Y24YM8C"],"itemData":{"id":408,"type":"article","abstract":"We explore how generating a chain of thought—a series of intermediate reasoning steps—signiﬁcantly improves the ability of large language models to perform complex reasoning. In particular, we show how such reasoning abilities emerge naturally in sufﬁciently large language models via a simple method called chain-ofthought prompting, where a few chain of thought demonstrations are provided as exemplars in prompting. Experiments on three large language models show that chain-of-thought prompting improves performance on a range of arithmetic, commonsense, and symbolic reasoning tasks. The empirical gains can be striking. For instance, prompting a PaLM 540B with just eight chain-of-thought exemplars achieves state-of-the-art accuracy on the GSM8K benchmark of math word problems, surpassing even ﬁnetuned GPT-3 with a veriﬁer.","DOI":"10.48550/arXiv.2201.11903","language":"en","note":"arXiv:2201.11903 [cs]","number":"arXiv:2201.11903","publisher":"arXiv","source":"arXiv.org","title":"Chain-of-Thought Prompting Elicits Reasoning in Large Language Models","URL":"http://arxiv.org/abs/2201.11903","author":[{"family":"Wei","given":"Jason"},{"family":"Wang","given":"Xuezhi"},{"family":"Schuurmans","given":"Dale"},{"family":"Bosma","given":"Maarten"},{"family":"Ichter","given":"Brian"},{"family":"Xia","given":"Fei"},{"family":"Chi","given":"Ed"},{"family":"Le","given":"Quoc"},{"family":"Zhou","given":"Denny"}],"accessed":{"date-parts":[["2026",4,6]]},"issued":{"date-parts":[["2023",1,10]]}}}],"schema":"https://github.com/citation-style-language/schema/raw/master/csl-citation.json"} </w:instrText>
      </w:r>
      <w:r>
        <w:fldChar w:fldCharType="separate"/>
      </w:r>
      <w:r w:rsidRPr="00C44D2E">
        <w:rPr>
          <w:rFonts w:ascii="Aptos" w:hAnsi="Aptos"/>
        </w:rPr>
        <w:t>[41]</w:t>
      </w:r>
      <w:r>
        <w:fldChar w:fldCharType="end"/>
      </w:r>
      <w:r>
        <w:t>.</w:t>
      </w:r>
      <w:r w:rsidRPr="00C44D2E">
        <w:t xml:space="preserve"> However</w:t>
      </w:r>
      <w:r>
        <w:t>,</w:t>
      </w:r>
      <w:r w:rsidRPr="00C44D2E">
        <w:t xml:space="preserve"> it only works reliably in very large models and provides no guarantee that reasoning steps are factually correct</w:t>
      </w:r>
      <w:r>
        <w:t xml:space="preserve"> </w:t>
      </w:r>
      <w:r>
        <w:fldChar w:fldCharType="begin"/>
      </w:r>
      <w:r>
        <w:instrText xml:space="preserve"> ADDIN ZOTERO_ITEM CSL_CITATION {"citationID":"qgAe3onc","properties":{"formattedCitation":"[41]","plainCitation":"[41]","noteIndex":0},"citationItems":[{"id":408,"uris":["http://zotero.org/users/17573427/items/8Y24YM8C"],"itemData":{"id":408,"type":"article","abstract":"We explore how generating a chain of thought—a series of intermediate reasoning steps—signiﬁcantly improves the ability of large language models to perform complex reasoning. In particular, we show how such reasoning abilities emerge naturally in sufﬁciently large language models via a simple method called chain-ofthought prompting, where a few chain of thought demonstrations are provided as exemplars in prompting. Experiments on three large language models show that chain-of-thought prompting improves performance on a range of arithmetic, commonsense, and symbolic reasoning tasks. The empirical gains can be striking. For instance, prompting a PaLM 540B with just eight chain-of-thought exemplars achieves state-of-the-art accuracy on the GSM8K benchmark of math word problems, surpassing even ﬁnetuned GPT-3 with a veriﬁer.","DOI":"10.48550/arXiv.2201.11903","language":"en","note":"arXiv:2201.11903 [cs]","number":"arXiv:2201.11903","publisher":"arXiv","source":"arXiv.org","title":"Chain-of-Thought Prompting Elicits Reasoning in Large Language Models","URL":"http://arxiv.org/abs/2201.11903","author":[{"family":"Wei","given":"Jason"},{"family":"Wang","given":"Xuezhi"},{"family":"Schuurmans","given":"Dale"},{"family":"Bosma","given":"Maarten"},{"family":"Ichter","given":"Brian"},{"family":"Xia","given":"Fei"},{"family":"Chi","given":"Ed"},{"family":"Le","given":"Quoc"},{"family":"Zhou","given":"Denny"}],"accessed":{"date-parts":[["2026",4,6]]},"issued":{"date-parts":[["2023",1,10]]}}}],"schema":"https://github.com/citation-style-language/schema/raw/master/csl-citation.json"} </w:instrText>
      </w:r>
      <w:r>
        <w:fldChar w:fldCharType="separate"/>
      </w:r>
      <w:r w:rsidRPr="00C44D2E">
        <w:rPr>
          <w:rFonts w:ascii="Aptos" w:hAnsi="Aptos"/>
        </w:rPr>
        <w:t>[41]</w:t>
      </w:r>
      <w:r>
        <w:fldChar w:fldCharType="end"/>
      </w:r>
      <w:r w:rsidRPr="00C44D2E">
        <w:t xml:space="preserve">. </w:t>
      </w:r>
      <w:proofErr w:type="spellStart"/>
      <w:r w:rsidRPr="00C44D2E">
        <w:t>ReAct</w:t>
      </w:r>
      <w:proofErr w:type="spellEnd"/>
      <w:r w:rsidRPr="00C44D2E">
        <w:t xml:space="preserve"> extended this by interleaving reasoning with external tool use, reducing hallucinations significantly and achieving a 34% improvement on </w:t>
      </w:r>
      <w:proofErr w:type="spellStart"/>
      <w:r w:rsidRPr="00C44D2E">
        <w:t>ALFWorld</w:t>
      </w:r>
      <w:proofErr w:type="spellEnd"/>
      <w:r w:rsidRPr="00C44D2E">
        <w:t xml:space="preserve"> decision-making tasks, though agents can fall into repetitive thought-action loops when search results are unhelpful </w:t>
      </w:r>
      <w:r>
        <w:fldChar w:fldCharType="begin"/>
      </w:r>
      <w:r>
        <w:instrText xml:space="preserve"> ADDIN ZOTERO_ITEM CSL_CITATION {"citationID":"cQo4tlzL","properties":{"formattedCitation":"[42]","plainCitation":"[42]","noteIndex":0},"citationItems":[{"id":406,"uris":["http://zotero.org/users/17573427/items/VFYJ7ZX9"],"itemData":{"id":406,"type":"article","abstract":"While large language models (LLMs) have demonstrated impressive performance across tasks in language understanding and interactive decision making, their abilities for reasoning (e.g. chain-of-thought prompting) and acting (e.g. action plan generation) have primarily been studied as separate topics. In this paper, we explore the use of LLMs to generate both reasoning traces and task-speciﬁc actions in an interleaved manner, allowing for greater synergy between the two: reasoning traces help the model induce, track, and update action plans as well as handle exceptions, while actions allow it to interface with and gather additional information from external sources such as knowledge bases or environments. We apply our approach, named ReAct, to a diverse set of language and decision making tasks and demonstrate its effectiveness over state-of-the-art baselines in addition to improved human interpretability and trustworthiness. Concretely, on question answering (HotpotQA) and fact veriﬁcation (Fever), ReAct overcomes prevalent issues of hallucination and error propagation in chain-of-thought reasoning by interacting with a simple Wikipedia API, and generating human-like task-solving trajectories that are more interpretable than baselines without reasoning traces. Furthermore, on two interactive decision making benchmarks (ALFWorld and WebShop), ReAct outperforms imitation and reinforcement learning methods by an absolute success rate of 34% and 10% respectively, while being prompted with only one or two in-context examples.","DOI":"10.48550/arXiv.2210.03629","language":"en","note":"arXiv:2210.03629 [cs]","number":"arXiv:2210.03629","publisher":"arXiv","source":"arXiv.org","title":"ReAct: Synergizing Reasoning and Acting in Language Models","title-short":"ReAct","URL":"http://arxiv.org/abs/2210.03629","author":[{"family":"Yao","given":"Shunyu"},{"family":"Zhao","given":"Jeffrey"},{"family":"Yu","given":"Dian"},{"family":"Du","given":"Nan"},{"family":"Shafran","given":"Izhak"},{"family":"Narasimhan","given":"Karthik"},{"family":"Cao","given":"Yuan"}],"accessed":{"date-parts":[["2026",4,6]]},"issued":{"date-parts":[["2023",3,10]]}}}],"schema":"https://github.com/citation-style-language/schema/raw/master/csl-citation.json"} </w:instrText>
      </w:r>
      <w:r>
        <w:fldChar w:fldCharType="separate"/>
      </w:r>
      <w:r w:rsidRPr="00C44D2E">
        <w:rPr>
          <w:rFonts w:ascii="Aptos" w:hAnsi="Aptos"/>
        </w:rPr>
        <w:t>[42]</w:t>
      </w:r>
      <w:r>
        <w:fldChar w:fldCharType="end"/>
      </w:r>
      <w:r>
        <w:t xml:space="preserve">, </w:t>
      </w:r>
      <w:r>
        <w:fldChar w:fldCharType="begin"/>
      </w:r>
      <w:r>
        <w:instrText xml:space="preserve"> ADDIN ZOTERO_ITEM CSL_CITATION {"citationID":"v1eeXtFc","properties":{"formattedCitation":"[43]","plainCitation":"[43]","noteIndex":0},"citationItems":[{"id":468,"uris":["http://zotero.org/users/17573427/items/3MHSHYVY"],"itemData":{"id":468,"type":"article","abstract":"Existing benchmarks for grounding language in interactive environments either lack real-world linguistic elements, or prove difﬁcult to scale up due to substantial human involvement in the collection of data or feedback signals. To bridge this gap, we develop WebShop – a simulated e-commerce website environment with 1.18 million real-world products and 12, 087 crowd-sourced text instructions. Given a text instruction specifying a product requirement, an agent needs to navigate multiple types of webpages and issue diverse actions to ﬁnd, customize, and purchase an item. WebShop provides several challenges for language grounding including understanding compositional instructions, query (re-)formulation, comprehending and acting on noisy text in webpages, and performing strategic exploration. We collect over 1, 600 human demonstrations for the task, and train and evaluate a diverse range of agents using reinforcement learning, imitation learning, and pre-trained image and language models. Our best model achieves a task success rate of 29%, which outperforms rule-based heuristics (9.6%) but is far lower than human expert performance (59%). We also analyze agent and human trajectories and ablate various model components to provide insights for developing future agents with stronger language understanding and decision making abilities. Finally, we show that agents trained on WebShop exhibit non-trivial sim-to-real transfer when evaluated on amazon.com and ebay.com , indicating the potential value of WebShop in developing practical web-based agents that can operate in the wild.","DOI":"10.48550/arXiv.2207.01206","language":"en","note":"arXiv:2207.01206 [cs]","number":"arXiv:2207.01206","publisher":"arXiv","source":"arXiv.org","title":"WebShop: Towards Scalable Real-World Web Interaction with Grounded Language Agents","title-short":"WebShop","URL":"http://arxiv.org/abs/2207.01206","author":[{"family":"Yao","given":"Shunyu"},{"family":"Chen","given":"Howard"},{"family":"Yang","given":"John"},{"family":"Narasimhan","given":"Karthik"}],"accessed":{"date-parts":[["2026",4,23]]},"issued":{"date-parts":[["2023",2,8]]}}}],"schema":"https://github.com/citation-style-language/schema/raw/master/csl-citation.json"} </w:instrText>
      </w:r>
      <w:r>
        <w:fldChar w:fldCharType="separate"/>
      </w:r>
      <w:r w:rsidRPr="00C44D2E">
        <w:rPr>
          <w:rFonts w:ascii="Aptos" w:hAnsi="Aptos"/>
        </w:rPr>
        <w:t>[43]</w:t>
      </w:r>
      <w:r>
        <w:fldChar w:fldCharType="end"/>
      </w:r>
      <w:r>
        <w:t xml:space="preserve">, </w:t>
      </w:r>
      <w:r w:rsidR="00594C2A">
        <w:fldChar w:fldCharType="begin"/>
      </w:r>
      <w:r w:rsidR="00594C2A">
        <w:instrText xml:space="preserve"> ADDIN ZOTERO_ITEM CSL_CITATION {"citationID":"Tcc7Atd8","properties":{"formattedCitation":"[44]","plainCitation":"[44]","noteIndex":0},"citationItems":[{"id":466,"uris":["http://zotero.org/users/17573427/items/AV43AIWD"],"itemData":{"id":466,"type":"article","abstract":"Given a simple request like Put a washed apple in the kitchen fridge, humans can reason in purely abstract terms by imagining action sequences and scoring their likelihood of success, prototypicality, and efﬁciency, all without moving a muscle. Once we see the kitchen in question, we can update our abstract plans to ﬁt the scene. Embodied agents require the same abilities, but existing work does not yet provide the infrastructure necessary for both reasoning abstractly and executing concretely. We address this limitation by introducing ALFWorld, a simulator that enables agents to learn abstract, text-based policies in TextWorld (Côté et al., 2018) and then execute goals from the ALFRED benchmark (Shridhar et al., 2020) in a rich visual environment. ALFWorld enables the creation of a new BUTLER agent whose abstract knowledge, learned in TextWorld, corresponds directly to concrete, visually grounded actions. In turn, as we demonstrate empirically, this fosters better agent generalization than training only in the visually grounded environment. BUTLER’s simple, modular design factors the problem to allow researchers to focus on models for improving every piece of the pipeline (language understanding, planning, navigation, and visual scene understanding).","DOI":"10.48550/arXiv.2010.03768","language":"en","note":"arXiv:2010.03768 [cs]","number":"arXiv:2010.03768","publisher":"arXiv","source":"arXiv.org","title":"ALFWorld: Aligning Text and Embodied Environments for Interactive Learning","title-short":"ALFWorld","URL":"http://arxiv.org/abs/2010.03768","author":[{"family":"Shridhar","given":"Mohit"},{"family":"Yuan","given":"Xingdi"},{"family":"Côté","given":"Marc-Alexandre"},{"family":"Bisk","given":"Yonatan"},{"family":"Trischler","given":"Adam"},{"family":"Hausknecht","given":"Matthew"}],"accessed":{"date-parts":[["2026",4,23]]},"issued":{"date-parts":[["2021",3,14]]}}}],"schema":"https://github.com/citation-style-language/schema/raw/master/csl-citation.json"} </w:instrText>
      </w:r>
      <w:r w:rsidR="00594C2A">
        <w:fldChar w:fldCharType="separate"/>
      </w:r>
      <w:r w:rsidR="00594C2A" w:rsidRPr="00594C2A">
        <w:rPr>
          <w:rFonts w:ascii="Aptos" w:hAnsi="Aptos"/>
        </w:rPr>
        <w:t>[44]</w:t>
      </w:r>
      <w:r w:rsidR="00594C2A">
        <w:fldChar w:fldCharType="end"/>
      </w:r>
      <w:r w:rsidRPr="00C44D2E">
        <w:t xml:space="preserve">. Reflexion introduced verbal reinforcement learning where agents reflect on failures in natural language, achieving 91% accuracy on </w:t>
      </w:r>
      <w:proofErr w:type="spellStart"/>
      <w:r w:rsidRPr="00C44D2E">
        <w:t>HumanEval</w:t>
      </w:r>
      <w:proofErr w:type="spellEnd"/>
      <w:r w:rsidRPr="00C44D2E">
        <w:t xml:space="preserve"> coding tasks and surpassing GPT-4's 80.1%, though memory is </w:t>
      </w:r>
      <w:r w:rsidR="003A3EF0">
        <w:t xml:space="preserve">directly connected with </w:t>
      </w:r>
      <w:r w:rsidRPr="00C44D2E">
        <w:t xml:space="preserve">context window size and the approach can get stuck in local minima where the agent keeps repeating similar mistakes </w:t>
      </w:r>
      <w:r w:rsidR="00594C2A">
        <w:fldChar w:fldCharType="begin"/>
      </w:r>
      <w:r w:rsidR="00594C2A">
        <w:instrText xml:space="preserve"> ADDIN ZOTERO_ITEM CSL_CITATION {"citationID":"o3776r2H","properties":{"formattedCitation":"[45]","plainCitation":"[45]","noteIndex":0},"citationItems":[{"id":409,"uris":["http://zotero.org/users/17573427/items/H3XWCEHQ"],"itemData":{"id":409,"type":"article","abstract":"Large language models (LLMs) have been increasingly used to interact with external environments (e.g., games, compilers, APIs) as goal-driven agents. However, it remains challenging for these language agents to quickly and efficiently learn from trial-and-error as traditional reinforcement learning methods require extensive training samples and expensive model fine-tuning. We propose Reflexion, a novel framework to reinforce language agents not by updating weights, but instead through linguistic feedback. Concretely, Reflexion agents verbally reflect on task feedback signals, then maintain their own reflective text in an episodic memory buffer to induce better decision-making in subsequent trials. Reflexion is flexible enough to incorporate various types (scalar values or free-form language) and sources (external or internally simulated) of feedback signals, and obtains significant improvements over a baseline agent across diverse tasks (sequential decision-making, coding, language reasoning). For example, Reflexion achieves a 91% pass@1 accuracy on the HumanEval coding benchmark, surpassing the previous state-of-the-art GPT-4 that achieves 80%. We also conduct ablation and analysis studies using different feedback signals, feedback incorporation methods, and agent types, and provide insights into how they affect performance. We release all code, demos, and datasets at https://github.com/noahshinn024/reflexion.","DOI":"10.48550/arXiv.2303.11366","language":"en","note":"arXiv:2303.11366 [cs]","number":"arXiv:2303.11366","publisher":"arXiv","source":"arXiv.org","title":"Reflexion: Language Agents with Verbal Reinforcement Learning","title-short":"Reflexion","URL":"http://arxiv.org/abs/2303.11366","author":[{"family":"Shinn","given":"Noah"},{"family":"Cassano","given":"Federico"},{"family":"Berman","given":"Edward"},{"family":"Gopinath","given":"Ashwin"},{"family":"Narasimhan","given":"Karthik"},{"family":"Yao","given":"Shunyu"}],"accessed":{"date-parts":[["2026",4,6]]},"issued":{"date-parts":[["2023",10,10]]}}}],"schema":"https://github.com/citation-style-language/schema/raw/master/csl-citation.json"} </w:instrText>
      </w:r>
      <w:r w:rsidR="00594C2A">
        <w:fldChar w:fldCharType="separate"/>
      </w:r>
      <w:r w:rsidR="00594C2A" w:rsidRPr="00594C2A">
        <w:rPr>
          <w:rFonts w:ascii="Aptos" w:hAnsi="Aptos"/>
        </w:rPr>
        <w:t>[45]</w:t>
      </w:r>
      <w:r w:rsidR="00594C2A">
        <w:fldChar w:fldCharType="end"/>
      </w:r>
      <w:r w:rsidRPr="00C44D2E">
        <w:t>.</w:t>
      </w:r>
    </w:p>
    <w:p w14:paraId="5E6164D5" w14:textId="77777777" w:rsidR="00265142" w:rsidRPr="00265142" w:rsidRDefault="00265142" w:rsidP="00AB3DBF">
      <w:pPr>
        <w:jc w:val="both"/>
      </w:pPr>
    </w:p>
    <w:p w14:paraId="0D1C544D" w14:textId="77777777" w:rsidR="00AD60AE" w:rsidRDefault="00265142" w:rsidP="00AB3DBF">
      <w:pPr>
        <w:keepNext/>
        <w:jc w:val="both"/>
      </w:pPr>
      <w:r w:rsidRPr="00265142">
        <w:rPr>
          <w:b/>
          <w:bCs/>
          <w:noProof/>
        </w:rPr>
        <w:lastRenderedPageBreak/>
        <w:drawing>
          <wp:inline distT="0" distB="0" distL="0" distR="0" wp14:anchorId="293942C6" wp14:editId="758A7321">
            <wp:extent cx="5721350" cy="3124200"/>
            <wp:effectExtent l="0" t="0" r="0" b="0"/>
            <wp:docPr id="192114797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1350" cy="3124200"/>
                    </a:xfrm>
                    <a:prstGeom prst="rect">
                      <a:avLst/>
                    </a:prstGeom>
                    <a:noFill/>
                    <a:ln>
                      <a:noFill/>
                    </a:ln>
                  </pic:spPr>
                </pic:pic>
              </a:graphicData>
            </a:graphic>
          </wp:inline>
        </w:drawing>
      </w:r>
    </w:p>
    <w:p w14:paraId="1396A9F3" w14:textId="55E6B1BC" w:rsidR="00AD60AE" w:rsidRDefault="00AD60AE" w:rsidP="00AB3DBF">
      <w:pPr>
        <w:pStyle w:val="Caption"/>
        <w:jc w:val="both"/>
      </w:pPr>
      <w:bookmarkStart w:id="29" w:name="_Toc228816057"/>
      <w:r w:rsidRPr="00AD60AE">
        <w:t xml:space="preserve">Figure </w:t>
      </w:r>
      <w:fldSimple w:instr=" SEQ Figure \* ARABIC ">
        <w:r w:rsidR="006C3897">
          <w:rPr>
            <w:noProof/>
          </w:rPr>
          <w:t>12</w:t>
        </w:r>
      </w:fldSimple>
      <w:r w:rsidRPr="00AD60AE">
        <w:t xml:space="preserve">: </w:t>
      </w:r>
      <w:proofErr w:type="spellStart"/>
      <w:r w:rsidRPr="00AD60AE">
        <w:t>MetaGPT</w:t>
      </w:r>
      <w:proofErr w:type="spellEnd"/>
      <w:r w:rsidRPr="00AD60AE">
        <w:t xml:space="preserve"> framework showing software development SOPs with different agent roles (Product Manager, Architect, Engineer, QA) and the shared message pool for communication </w:t>
      </w:r>
      <w:r w:rsidR="002F02A0">
        <w:fldChar w:fldCharType="begin"/>
      </w:r>
      <w:r w:rsidR="00E05121">
        <w:instrText xml:space="preserve"> ADDIN ZOTERO_ITEM CSL_CITATION {"citationID":"d1MZ54pH","properties":{"formattedCitation":"[40]","plainCitation":"[40]","noteIndex":0},"citationItems":[{"id":404,"uris":["http://zotero.org/users/17573427/items/Q5PTC498"],"itemData":{"id":404,"type":"article","abstract":"Remarkable progress has been made on automated problem solving through societies of agents based on large language models (LLMs). Existing LLM-based multi-agent systems can already solve simple dialogue tasks. Solutions to more complex tasks, however, are complicated through logic inconsistencies due to cascading hallucinations caused by naively chaining LLMs. Here we introduce MetaGPT, an innovative meta-programming framework incorporating efficient human workflows into LLM-based multi-agent collaborations. MetaGPT encodes Standardized Operating Procedures (SOPs) into prompt sequences for more streamlined workflows, thus allowing agents with human-like domain expertise to verify intermediate results and reduce errors. MetaGPT utilizes an assembly line paradigm to assign diverse roles to various agents, efficiently breaking down complex tasks into subtasks involving many agents working together. On collaborative software engineering benchmarks, MetaGPT generates more coherent solutions than previous chat-based multi-agent systems. Our project can be found at https://github.com/geekan/MetaGPT.","DOI":"10.48550/arXiv.2308.00352","language":"en","note":"arXiv:2308.00352 [cs]","number":"arXiv:2308.00352","publisher":"arXiv","source":"arXiv.org","title":"MetaGPT: Meta Programming for A Multi-Agent Collaborative Framework","title-short":"MetaGPT","URL":"http://arxiv.org/abs/2308.00352","author":[{"family":"Hong","given":"Sirui"},{"family":"Zhuge","given":"Mingchen"},{"family":"Chen","given":"Jiaqi"},{"family":"Zheng","given":"Xiawu"},{"family":"Cheng","given":"Yuheng"},{"family":"Zhang","given":"Ceyao"},{"family":"Wang","given":"Jinlin"},{"family":"Wang","given":"Zili"},{"family":"Yau","given":"Steven Ka Shing"},{"family":"Lin","given":"Zijuan"},{"family":"Zhou","given":"Liyang"},{"family":"Ran","given":"Chenyu"},{"family":"Xiao","given":"Lingfeng"},{"family":"Wu","given":"Chenglin"},{"family":"Schmidhuber","given":"Jürgen"}],"accessed":{"date-parts":[["2026",4,6]]},"issued":{"date-parts":[["2024",11,1]]}}}],"schema":"https://github.com/citation-style-language/schema/raw/master/csl-citation.json"} </w:instrText>
      </w:r>
      <w:r w:rsidR="002F02A0">
        <w:fldChar w:fldCharType="separate"/>
      </w:r>
      <w:r w:rsidR="00E05121" w:rsidRPr="00E05121">
        <w:rPr>
          <w:rFonts w:ascii="Aptos" w:hAnsi="Aptos"/>
          <w:sz w:val="22"/>
        </w:rPr>
        <w:t>[40]</w:t>
      </w:r>
      <w:bookmarkEnd w:id="29"/>
      <w:r w:rsidR="002F02A0">
        <w:fldChar w:fldCharType="end"/>
      </w:r>
    </w:p>
    <w:p w14:paraId="4B9CAC4A" w14:textId="77777777" w:rsidR="006713FB" w:rsidRPr="006713FB" w:rsidRDefault="006713FB" w:rsidP="00AB3DBF">
      <w:pPr>
        <w:jc w:val="both"/>
      </w:pPr>
    </w:p>
    <w:p w14:paraId="1B6113EF" w14:textId="745FC100" w:rsidR="00265142" w:rsidRPr="00265142" w:rsidRDefault="00C44D2E" w:rsidP="00AB3DBF">
      <w:pPr>
        <w:jc w:val="both"/>
      </w:pPr>
      <w:r w:rsidRPr="00C44D2E">
        <w:t>Whil</w:t>
      </w:r>
      <w:r>
        <w:t>e</w:t>
      </w:r>
      <w:r w:rsidRPr="00C44D2E">
        <w:t xml:space="preserve"> these single-agent reasoning improvements </w:t>
      </w:r>
      <w:r w:rsidR="003A3EF0">
        <w:t xml:space="preserve">shown </w:t>
      </w:r>
      <w:r w:rsidRPr="00C44D2E">
        <w:t>significant progress, the growing complexity of real-world tasks led researchers to explore how multiple specialised agents could collaborate more effectively within structured frameworks.</w:t>
      </w:r>
      <w:r>
        <w:t xml:space="preserve"> </w:t>
      </w:r>
      <w:proofErr w:type="spellStart"/>
      <w:r w:rsidRPr="00C44D2E">
        <w:t>MetaGPT</w:t>
      </w:r>
      <w:proofErr w:type="spellEnd"/>
      <w:r w:rsidRPr="00C44D2E">
        <w:t xml:space="preserve"> formalised multi-agent collaboration through Standardised Operating Procedures assigning distinct roles to each agent, achieving 100% task completion on software development benchmarks and demonstrating that structured role division outperforms unstructured agent interaction </w:t>
      </w:r>
      <w:r w:rsidR="00594C2A">
        <w:fldChar w:fldCharType="begin"/>
      </w:r>
      <w:r w:rsidR="00594C2A">
        <w:instrText xml:space="preserve"> ADDIN ZOTERO_ITEM CSL_CITATION {"citationID":"GOXrIcra","properties":{"formattedCitation":"[40]","plainCitation":"[40]","noteIndex":0},"citationItems":[{"id":404,"uris":["http://zotero.org/users/17573427/items/Q5PTC498"],"itemData":{"id":404,"type":"article","abstract":"Remarkable progress has been made on automated problem solving through societies of agents based on large language models (LLMs). Existing LLM-based multi-agent systems can already solve simple dialogue tasks. Solutions to more complex tasks, however, are complicated through logic inconsistencies due to cascading hallucinations caused by naively chaining LLMs. Here we introduce MetaGPT, an innovative meta-programming framework incorporating efficient human workflows into LLM-based multi-agent collaborations. MetaGPT encodes Standardized Operating Procedures (SOPs) into prompt sequences for more streamlined workflows, thus allowing agents with human-like domain expertise to verify intermediate results and reduce errors. MetaGPT utilizes an assembly line paradigm to assign diverse roles to various agents, efficiently breaking down complex tasks into subtasks involving many agents working together. On collaborative software engineering benchmarks, MetaGPT generates more coherent solutions than previous chat-based multi-agent systems. Our project can be found at https://github.com/geekan/MetaGPT.","DOI":"10.48550/arXiv.2308.00352","language":"en","note":"arXiv:2308.00352 [cs]","number":"arXiv:2308.00352","publisher":"arXiv","source":"arXiv.org","title":"MetaGPT: Meta Programming for A Multi-Agent Collaborative Framework","title-short":"MetaGPT","URL":"http://arxiv.org/abs/2308.00352","author":[{"family":"Hong","given":"Sirui"},{"family":"Zhuge","given":"Mingchen"},{"family":"Chen","given":"Jiaqi"},{"family":"Zheng","given":"Xiawu"},{"family":"Cheng","given":"Yuheng"},{"family":"Zhang","given":"Ceyao"},{"family":"Wang","given":"Jinlin"},{"family":"Wang","given":"Zili"},{"family":"Yau","given":"Steven Ka Shing"},{"family":"Lin","given":"Zijuan"},{"family":"Zhou","given":"Liyang"},{"family":"Ran","given":"Chenyu"},{"family":"Xiao","given":"Lingfeng"},{"family":"Wu","given":"Chenglin"},{"family":"Schmidhuber","given":"Jürgen"}],"accessed":{"date-parts":[["2026",4,6]]},"issued":{"date-parts":[["2024",11,1]]}}}],"schema":"https://github.com/citation-style-language/schema/raw/master/csl-citation.json"} </w:instrText>
      </w:r>
      <w:r w:rsidR="00594C2A">
        <w:fldChar w:fldCharType="separate"/>
      </w:r>
      <w:r w:rsidR="00594C2A" w:rsidRPr="00594C2A">
        <w:rPr>
          <w:rFonts w:ascii="Aptos" w:hAnsi="Aptos"/>
        </w:rPr>
        <w:t>[40]</w:t>
      </w:r>
      <w:r w:rsidR="00594C2A">
        <w:fldChar w:fldCharType="end"/>
      </w:r>
      <w:r w:rsidR="00594C2A">
        <w:t xml:space="preserve">, </w:t>
      </w:r>
      <w:r w:rsidR="00594C2A">
        <w:fldChar w:fldCharType="begin"/>
      </w:r>
      <w:r w:rsidR="00594C2A">
        <w:instrText xml:space="preserve"> ADDIN ZOTERO_ITEM CSL_CITATION {"citationID":"XI8HjS42","properties":{"formattedCitation":"[46]","plainCitation":"[46]","noteIndex":0},"citationItems":[{"id":454,"uris":["http://zotero.org/users/17573427/items/K6URJLHG"],"itemData":{"id":454,"type":"article","abstract":"This paper explores the limits of the current generation of large language models for program synthesis in general purpose programming languages. We evaluate a collection of such models (with between 244M and 137B parameters) on two new benchmarks, MBPP and MathQA-Python, in both the few-shot and ﬁne-tuning regimes. Our benchmarks are designed to measure the ability of these models to synthesize short Python programs from natural language descriptions. The Mostly Basic Programming Problems (MBPP) dataset contains 974 programming tasks, designed to be solvable by entry-level programmers. The MathQA-Python dataset, a Python version of the MathQA benchmark, contains 23914 problems that evaluate the ability of the models to synthesize code from more complex text. On both datasets, we ﬁnd that synthesis performance scales log-linearly with model size. Our largest models, even without ﬁnetuning on a code dataset, can synthesize solutions to 59.6% of the problems from MBPP using few-shot learning with a well-designed prompt. Fine-tuning on a held-out portion of the dataset improves performance by about 10 percentage points across most model sizes. On the MathQA-Python dataset, the largest ﬁne-tuned model achieves 83.8% accuracy. Going further, we study the model’s ability to engage in dialog about code, incorporating human feedback to improve its solutions. We ﬁnd that natural language feedback from a human halves the error rate compared to the model’s initial prediction. Additionally, we conduct an error analysis to shed light on where these models fall short and what types of programs are most difﬁcult to generate. Finally, we explore the semantic grounding of these models by ﬁne-tuning them to predict the results of program execution. We ﬁnd that even our best models are generally unable to predict the output of a program given a speciﬁc input.","DOI":"10.48550/arXiv.2108.07732","language":"en","note":"arXiv:2108.07732 [cs]","number":"arXiv:2108.07732","publisher":"arXiv","source":"arXiv.org","title":"Program Synthesis with Large Language Models","URL":"http://arxiv.org/abs/2108.07732","author":[{"family":"Austin","given":"Jacob"},{"family":"Odena","given":"Augustus"},{"family":"Nye","given":"Maxwell"},{"family":"Bosma","given":"Maarten"},{"family":"Michalewski","given":"Henryk"},{"family":"Dohan","given":"David"},{"family":"Jiang","given":"Ellen"},{"family":"Cai","given":"Carrie"},{"family":"Terry","given":"Michael"},{"family":"Le","given":"Quoc"},{"family":"Sutton","given":"Charles"}],"accessed":{"date-parts":[["2026",4,23]]},"issued":{"date-parts":[["2021",8,16]]}}}],"schema":"https://github.com/citation-style-language/schema/raw/master/csl-citation.json"} </w:instrText>
      </w:r>
      <w:r w:rsidR="00594C2A">
        <w:fldChar w:fldCharType="separate"/>
      </w:r>
      <w:r w:rsidR="00594C2A" w:rsidRPr="00594C2A">
        <w:rPr>
          <w:rFonts w:ascii="Aptos" w:hAnsi="Aptos"/>
        </w:rPr>
        <w:t>[46]</w:t>
      </w:r>
      <w:r w:rsidR="00594C2A">
        <w:fldChar w:fldCharType="end"/>
      </w:r>
      <w:r w:rsidRPr="00C44D2E">
        <w:t xml:space="preserve">. Generative Agents pushed this further by simulating 25 autonomous agents in a virtual environment, each with a memory stream </w:t>
      </w:r>
      <w:r w:rsidR="00267A39">
        <w:t xml:space="preserve">fetching </w:t>
      </w:r>
      <w:r w:rsidRPr="00C44D2E">
        <w:t>experiences based on</w:t>
      </w:r>
      <w:r w:rsidR="00267A39">
        <w:t xml:space="preserve"> recency</w:t>
      </w:r>
      <w:r w:rsidRPr="00C44D2E">
        <w:t xml:space="preserve">, importance, and relevance </w:t>
      </w:r>
      <w:r w:rsidR="00594C2A">
        <w:fldChar w:fldCharType="begin"/>
      </w:r>
      <w:r w:rsidR="00594C2A">
        <w:instrText xml:space="preserve"> ADDIN ZOTERO_ITEM CSL_CITATION {"citationID":"AqCyw1uN","properties":{"formattedCitation":"[47]","plainCitation":"[47]","noteIndex":0},"citationItems":[{"id":405,"uris":["http://zotero.org/users/17573427/items/VPP92FEL"],"itemData":{"id":405,"type":"article","abstract":"Believable proxies of human behavior can empower interactive applications ranging from immersive environments to rehearsal spaces for interpersonal communication to prototyping tools. In this paper, we introduce generative agents--computational software agents that simulate believable human behavior. Generative agents wake up, cook breakfast, and head to work; artists paint, while authors write; they form opinions, notice each other, and initiate conversations; they remember and reflect on days past as they plan the next day. To enable generative agents, we describe an architecture that extends a large language model to store a complete record of the agent's experiences using natural language, synthesize those memories over time into higher-level reflections, and retrieve them dynamically to plan behavior. We instantiate generative agents to populate an interactive sandbox environment inspired by The Sims, where end users can interact with a small town of twenty five agents using natural language. In an evaluation, these generative agents produce believable individual and emergent social behaviors: for example, starting with only a single user-specified notion that one agent wants to throw a Valentine's Day party, the agents autonomously spread invitations to the party over the next two days, make new acquaintances, ask each other out on dates to the party, and coordinate to show up for the party together at the right time. We demonstrate through ablation that the components of our agent architecture--observation, planning, and reflection--each contribute critically to the believability of agent behavior. By fusing large language models with computational, interactive agents, this work introduces architectural and interaction patterns for enabling believable simulations of human behavior.","DOI":"10.48550/arXiv.2304.03442","language":"en","note":"arXiv:2304.03442 [cs]","number":"arXiv:2304.03442","publisher":"arXiv","source":"arXiv.org","title":"Generative Agents: Interactive Simulacra of Human Behavior","title-short":"Generative Agents","URL":"http://arxiv.org/abs/2304.03442","author":[{"family":"Park","given":"Joon Sung"},{"family":"O'Brien","given":"Joseph C."},{"family":"Cai","given":"Carrie J."},{"family":"Morris","given":"Meredith Ringel"},{"family":"Liang","given":"Percy"},{"family":"Bernstein","given":"Michael S."}],"accessed":{"date-parts":[["2026",4,6]]},"issued":{"date-parts":[["2023",8,6]]}}}],"schema":"https://github.com/citation-style-language/schema/raw/master/csl-citation.json"} </w:instrText>
      </w:r>
      <w:r w:rsidR="00594C2A">
        <w:fldChar w:fldCharType="separate"/>
      </w:r>
      <w:r w:rsidR="00594C2A" w:rsidRPr="00594C2A">
        <w:rPr>
          <w:rFonts w:ascii="Aptos" w:hAnsi="Aptos"/>
        </w:rPr>
        <w:t>[47]</w:t>
      </w:r>
      <w:r w:rsidR="00594C2A">
        <w:fldChar w:fldCharType="end"/>
      </w:r>
      <w:r w:rsidRPr="00C44D2E">
        <w:t xml:space="preserve">. These agents </w:t>
      </w:r>
      <w:r w:rsidR="00267A39">
        <w:t xml:space="preserve">shown new </w:t>
      </w:r>
      <w:r w:rsidRPr="00C44D2E">
        <w:t xml:space="preserve">social behaviours such as forming relationships and coordinating group activities without any manual scripting, showing that complex dynamics can emerge from simple agent architectures when memory and reflection are properly implemented </w:t>
      </w:r>
      <w:r w:rsidR="00594C2A">
        <w:fldChar w:fldCharType="begin"/>
      </w:r>
      <w:r w:rsidR="00594C2A">
        <w:instrText xml:space="preserve"> ADDIN ZOTERO_ITEM CSL_CITATION {"citationID":"8szmCSW3","properties":{"formattedCitation":"[47]","plainCitation":"[47]","noteIndex":0},"citationItems":[{"id":405,"uris":["http://zotero.org/users/17573427/items/VPP92FEL"],"itemData":{"id":405,"type":"article","abstract":"Believable proxies of human behavior can empower interactive applications ranging from immersive environments to rehearsal spaces for interpersonal communication to prototyping tools. In this paper, we introduce generative agents--computational software agents that simulate believable human behavior. Generative agents wake up, cook breakfast, and head to work; artists paint, while authors write; they form opinions, notice each other, and initiate conversations; they remember and reflect on days past as they plan the next day. To enable generative agents, we describe an architecture that extends a large language model to store a complete record of the agent's experiences using natural language, synthesize those memories over time into higher-level reflections, and retrieve them dynamically to plan behavior. We instantiate generative agents to populate an interactive sandbox environment inspired by The Sims, where end users can interact with a small town of twenty five agents using natural language. In an evaluation, these generative agents produce believable individual and emergent social behaviors: for example, starting with only a single user-specified notion that one agent wants to throw a Valentine's Day party, the agents autonomously spread invitations to the party over the next two days, make new acquaintances, ask each other out on dates to the party, and coordinate to show up for the party together at the right time. We demonstrate through ablation that the components of our agent architecture--observation, planning, and reflection--each contribute critically to the believability of agent behavior. By fusing large language models with computational, interactive agents, this work introduces architectural and interaction patterns for enabling believable simulations of human behavior.","DOI":"10.48550/arXiv.2304.03442","language":"en","note":"arXiv:2304.03442 [cs]","number":"arXiv:2304.03442","publisher":"arXiv","source":"arXiv.org","title":"Generative Agents: Interactive Simulacra of Human Behavior","title-short":"Generative Agents","URL":"http://arxiv.org/abs/2304.03442","author":[{"family":"Park","given":"Joon Sung"},{"family":"O'Brien","given":"Joseph C."},{"family":"Cai","given":"Carrie J."},{"family":"Morris","given":"Meredith Ringel"},{"family":"Liang","given":"Percy"},{"family":"Bernstein","given":"Michael S."}],"accessed":{"date-parts":[["2026",4,6]]},"issued":{"date-parts":[["2023",8,6]]}}}],"schema":"https://github.com/citation-style-language/schema/raw/master/csl-citation.json"} </w:instrText>
      </w:r>
      <w:r w:rsidR="00594C2A">
        <w:fldChar w:fldCharType="separate"/>
      </w:r>
      <w:r w:rsidR="00594C2A" w:rsidRPr="00594C2A">
        <w:rPr>
          <w:rFonts w:ascii="Aptos" w:hAnsi="Aptos"/>
        </w:rPr>
        <w:t>[47]</w:t>
      </w:r>
      <w:r w:rsidR="00594C2A">
        <w:fldChar w:fldCharType="end"/>
      </w:r>
      <w:r w:rsidRPr="00C44D2E">
        <w:t xml:space="preserve">. A </w:t>
      </w:r>
      <w:r w:rsidR="00267A39">
        <w:t xml:space="preserve">detailed </w:t>
      </w:r>
      <w:r w:rsidRPr="00C44D2E">
        <w:t xml:space="preserve">survey of multi-agent communication structures identified layered, decentralised, centralised, and shared message pool architectures, finding that debate mechanisms improve factuality but hallucinations have a cascading effect where misinformation from one agent spreads to others </w:t>
      </w:r>
      <w:r w:rsidR="00594C2A">
        <w:fldChar w:fldCharType="begin"/>
      </w:r>
      <w:r w:rsidR="00594C2A">
        <w:instrText xml:space="preserve"> ADDIN ZOTERO_ITEM CSL_CITATION {"citationID":"rLytqYG9","properties":{"formattedCitation":"[48]","plainCitation":"[48]","noteIndex":0},"citationItems":[{"id":411,"uris":["http://zotero.org/users/17573427/items/DPMVKW45"],"itemData":{"id":411,"type":"article","abstract":"Large Language Models (LLMs) have achieved remarkable success across a wide array of tasks. Due to the impressive planning and reasoning abilities of LLMs, they have been used as autonomous agents to do many tasks automatically. Recently, based on the development of using one LLM as a single planning or decision-making agent, LLMbased multi-agent systems have achieved considerable progress in complex problem-solving and world simulation. To provide the community with an overview of this dynamic field, we present this survey to offer an in-depth discussion on the essential aspects of multi-agent systems based on LLMs, as well as the challenges. Our goal is for readers to gain substantial insights on the following questions: What domains and environments do LLM-based multi-agents simulate? How are these agents profiled and how do they communicate? What mechanisms contribute to the growth of agents’ capacities? For those interested in delving into this field of study, we also summarize the commonly used datasets or benchmarks for them to have convenient access. To keep researchers updated on the latest studies, we maintain an open-source GitHub repository, dedicated to outlining the research on LLMbased multi-agent systems.","DOI":"10.48550/arXiv.2402.01680","language":"en","note":"arXiv:2402.01680 [cs]","number":"arXiv:2402.01680","publisher":"arXiv","source":"arXiv.org","title":"Large Language Model based Multi-Agents: A Survey of Progress and Challenges","title-short":"Large Language Model based Multi-Agents","URL":"http://arxiv.org/abs/2402.01680","author":[{"family":"Guo","given":"Taicheng"},{"family":"Chen","given":"Xiuying"},{"family":"Wang","given":"Yaqi"},{"family":"Chang","given":"Ruidi"},{"family":"Pei","given":"Shichao"},{"family":"Chawla","given":"Nitesh V."},{"family":"Wiest","given":"Olaf"},{"family":"Zhang","given":"Xiangliang"}],"accessed":{"date-parts":[["2026",4,6]]},"issued":{"date-parts":[["2024",4,19]]}}}],"schema":"https://github.com/citation-style-language/schema/raw/master/csl-citation.json"} </w:instrText>
      </w:r>
      <w:r w:rsidR="00594C2A">
        <w:fldChar w:fldCharType="separate"/>
      </w:r>
      <w:r w:rsidR="00594C2A" w:rsidRPr="00594C2A">
        <w:rPr>
          <w:rFonts w:ascii="Aptos" w:hAnsi="Aptos"/>
        </w:rPr>
        <w:t>[48]</w:t>
      </w:r>
      <w:r w:rsidR="00594C2A">
        <w:fldChar w:fldCharType="end"/>
      </w:r>
      <w:r w:rsidRPr="00C44D2E">
        <w:t>.</w:t>
      </w:r>
    </w:p>
    <w:p w14:paraId="53B790C4" w14:textId="77777777" w:rsidR="00BE3422" w:rsidRDefault="00265142" w:rsidP="00AB3DBF">
      <w:pPr>
        <w:keepNext/>
        <w:ind w:left="2160"/>
        <w:jc w:val="both"/>
      </w:pPr>
      <w:r w:rsidRPr="00265142">
        <w:rPr>
          <w:noProof/>
        </w:rPr>
        <w:lastRenderedPageBreak/>
        <w:drawing>
          <wp:inline distT="0" distB="0" distL="0" distR="0" wp14:anchorId="14C36519" wp14:editId="424C2170">
            <wp:extent cx="2819400" cy="2743200"/>
            <wp:effectExtent l="0" t="0" r="0" b="0"/>
            <wp:docPr id="9981102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0" cy="2743200"/>
                    </a:xfrm>
                    <a:prstGeom prst="rect">
                      <a:avLst/>
                    </a:prstGeom>
                    <a:noFill/>
                    <a:ln>
                      <a:noFill/>
                    </a:ln>
                  </pic:spPr>
                </pic:pic>
              </a:graphicData>
            </a:graphic>
          </wp:inline>
        </w:drawing>
      </w:r>
    </w:p>
    <w:p w14:paraId="28ACFB09" w14:textId="793016FC" w:rsidR="00265142" w:rsidRDefault="00BE3422" w:rsidP="00AB3DBF">
      <w:pPr>
        <w:pStyle w:val="Caption"/>
        <w:ind w:left="720"/>
        <w:jc w:val="both"/>
      </w:pPr>
      <w:bookmarkStart w:id="30" w:name="_Toc228816058"/>
      <w:r>
        <w:t xml:space="preserve">Figure </w:t>
      </w:r>
      <w:fldSimple w:instr=" SEQ Figure \* ARABIC ">
        <w:r w:rsidR="006C3897">
          <w:rPr>
            <w:noProof/>
          </w:rPr>
          <w:t>13</w:t>
        </w:r>
      </w:fldSimple>
      <w:r>
        <w:t xml:space="preserve">: </w:t>
      </w:r>
      <w:r w:rsidRPr="002F1F62">
        <w:t xml:space="preserve">Four typical communication structures for multi-agent systems: Layered, Decentralised, Centralised, and Shared Message Pool </w:t>
      </w:r>
      <w:r w:rsidR="002F02A0">
        <w:fldChar w:fldCharType="begin"/>
      </w:r>
      <w:r w:rsidR="00594C2A">
        <w:instrText xml:space="preserve"> ADDIN ZOTERO_ITEM CSL_CITATION {"citationID":"PT06h8lU","properties":{"formattedCitation":"[48]","plainCitation":"[48]","noteIndex":0},"citationItems":[{"id":411,"uris":["http://zotero.org/users/17573427/items/DPMVKW45"],"itemData":{"id":411,"type":"article","abstract":"Large Language Models (LLMs) have achieved remarkable success across a wide array of tasks. Due to the impressive planning and reasoning abilities of LLMs, they have been used as autonomous agents to do many tasks automatically. Recently, based on the development of using one LLM as a single planning or decision-making agent, LLMbased multi-agent systems have achieved considerable progress in complex problem-solving and world simulation. To provide the community with an overview of this dynamic field, we present this survey to offer an in-depth discussion on the essential aspects of multi-agent systems based on LLMs, as well as the challenges. Our goal is for readers to gain substantial insights on the following questions: What domains and environments do LLM-based multi-agents simulate? How are these agents profiled and how do they communicate? What mechanisms contribute to the growth of agents’ capacities? For those interested in delving into this field of study, we also summarize the commonly used datasets or benchmarks for them to have convenient access. To keep researchers updated on the latest studies, we maintain an open-source GitHub repository, dedicated to outlining the research on LLMbased multi-agent systems.","DOI":"10.48550/arXiv.2402.01680","language":"en","note":"arXiv:2402.01680 [cs]","number":"arXiv:2402.01680","publisher":"arXiv","source":"arXiv.org","title":"Large Language Model based Multi-Agents: A Survey of Progress and Challenges","title-short":"Large Language Model based Multi-Agents","URL":"http://arxiv.org/abs/2402.01680","author":[{"family":"Guo","given":"Taicheng"},{"family":"Chen","given":"Xiuying"},{"family":"Wang","given":"Yaqi"},{"family":"Chang","given":"Ruidi"},{"family":"Pei","given":"Shichao"},{"family":"Chawla","given":"Nitesh V."},{"family":"Wiest","given":"Olaf"},{"family":"Zhang","given":"Xiangliang"}],"accessed":{"date-parts":[["2026",4,6]]},"issued":{"date-parts":[["2024",4,19]]}}}],"schema":"https://github.com/citation-style-language/schema/raw/master/csl-citation.json"} </w:instrText>
      </w:r>
      <w:r w:rsidR="002F02A0">
        <w:fldChar w:fldCharType="separate"/>
      </w:r>
      <w:r w:rsidR="00594C2A" w:rsidRPr="00594C2A">
        <w:rPr>
          <w:rFonts w:ascii="Aptos" w:hAnsi="Aptos"/>
          <w:sz w:val="22"/>
        </w:rPr>
        <w:t>[48]</w:t>
      </w:r>
      <w:bookmarkEnd w:id="30"/>
      <w:r w:rsidR="002F02A0">
        <w:fldChar w:fldCharType="end"/>
      </w:r>
    </w:p>
    <w:p w14:paraId="23C92A10" w14:textId="77777777" w:rsidR="00BE3422" w:rsidRPr="00265142" w:rsidRDefault="00BE3422" w:rsidP="00AB3DBF">
      <w:pPr>
        <w:jc w:val="both"/>
      </w:pPr>
    </w:p>
    <w:p w14:paraId="22D0B246" w14:textId="433A66CC" w:rsidR="00265142" w:rsidRDefault="00C44D2E" w:rsidP="00AB3DBF">
      <w:pPr>
        <w:jc w:val="both"/>
      </w:pPr>
      <w:r w:rsidRPr="00C44D2E">
        <w:t xml:space="preserve">Despite these advances, no existing framework is specifically designed for financial markets where decisions must be made quickly and mistakes carry direct monetary consequences </w:t>
      </w:r>
      <w:r w:rsidR="00594C2A">
        <w:fldChar w:fldCharType="begin"/>
      </w:r>
      <w:r w:rsidR="00594C2A">
        <w:instrText xml:space="preserve"> ADDIN ZOTERO_ITEM CSL_CITATION {"citationID":"5PafYsdX","properties":{"formattedCitation":"[40]","plainCitation":"[40]","noteIndex":0},"citationItems":[{"id":404,"uris":["http://zotero.org/users/17573427/items/Q5PTC498"],"itemData":{"id":404,"type":"article","abstract":"Remarkable progress has been made on automated problem solving through societies of agents based on large language models (LLMs). Existing LLM-based multi-agent systems can already solve simple dialogue tasks. Solutions to more complex tasks, however, are complicated through logic inconsistencies due to cascading hallucinations caused by naively chaining LLMs. Here we introduce MetaGPT, an innovative meta-programming framework incorporating efficient human workflows into LLM-based multi-agent collaborations. MetaGPT encodes Standardized Operating Procedures (SOPs) into prompt sequences for more streamlined workflows, thus allowing agents with human-like domain expertise to verify intermediate results and reduce errors. MetaGPT utilizes an assembly line paradigm to assign diverse roles to various agents, efficiently breaking down complex tasks into subtasks involving many agents working together. On collaborative software engineering benchmarks, MetaGPT generates more coherent solutions than previous chat-based multi-agent systems. Our project can be found at https://github.com/geekan/MetaGPT.","DOI":"10.48550/arXiv.2308.00352","language":"en","note":"arXiv:2308.00352 [cs]","number":"arXiv:2308.00352","publisher":"arXiv","source":"arXiv.org","title":"MetaGPT: Meta Programming for A Multi-Agent Collaborative Framework","title-short":"MetaGPT","URL":"http://arxiv.org/abs/2308.00352","author":[{"family":"Hong","given":"Sirui"},{"family":"Zhuge","given":"Mingchen"},{"family":"Chen","given":"Jiaqi"},{"family":"Zheng","given":"Xiawu"},{"family":"Cheng","given":"Yuheng"},{"family":"Zhang","given":"Ceyao"},{"family":"Wang","given":"Jinlin"},{"family":"Wang","given":"Zili"},{"family":"Yau","given":"Steven Ka Shing"},{"family":"Lin","given":"Zijuan"},{"family":"Zhou","given":"Liyang"},{"family":"Ran","given":"Chenyu"},{"family":"Xiao","given":"Lingfeng"},{"family":"Wu","given":"Chenglin"},{"family":"Schmidhuber","given":"Jürgen"}],"accessed":{"date-parts":[["2026",4,6]]},"issued":{"date-parts":[["2024",11,1]]}}}],"schema":"https://github.com/citation-style-language/schema/raw/master/csl-citation.json"} </w:instrText>
      </w:r>
      <w:r w:rsidR="00594C2A">
        <w:fldChar w:fldCharType="separate"/>
      </w:r>
      <w:r w:rsidR="00594C2A" w:rsidRPr="00594C2A">
        <w:rPr>
          <w:rFonts w:ascii="Aptos" w:hAnsi="Aptos"/>
        </w:rPr>
        <w:t>[40]</w:t>
      </w:r>
      <w:r w:rsidR="00594C2A">
        <w:fldChar w:fldCharType="end"/>
      </w:r>
      <w:r w:rsidR="00594C2A">
        <w:t xml:space="preserve">, </w:t>
      </w:r>
      <w:r w:rsidR="00594C2A">
        <w:fldChar w:fldCharType="begin"/>
      </w:r>
      <w:r w:rsidR="00594C2A">
        <w:instrText xml:space="preserve"> ADDIN ZOTERO_ITEM CSL_CITATION {"citationID":"bO002k2y","properties":{"formattedCitation":"[41], [42], [45], [47], [48]","plainCitation":"[41], [42], [45], [47], [48]","noteIndex":0},"citationItems":[{"id":408,"uris":["http://zotero.org/users/17573427/items/8Y24YM8C"],"itemData":{"id":408,"type":"article","abstract":"We explore how generating a chain of thought—a series of intermediate reasoning steps—signiﬁcantly improves the ability of large language models to perform complex reasoning. In particular, we show how such reasoning abilities emerge naturally in sufﬁciently large language models via a simple method called chain-ofthought prompting, where a few chain of thought demonstrations are provided as exemplars in prompting. Experiments on three large language models show that chain-of-thought prompting improves performance on a range of arithmetic, commonsense, and symbolic reasoning tasks. The empirical gains can be striking. For instance, prompting a PaLM 540B with just eight chain-of-thought exemplars achieves state-of-the-art accuracy on the GSM8K benchmark of math word problems, surpassing even ﬁnetuned GPT-3 with a veriﬁer.","DOI":"10.48550/arXiv.2201.11903","language":"en","note":"arXiv:2201.11903 [cs]","number":"arXiv:2201.11903","publisher":"arXiv","source":"arXiv.org","title":"Chain-of-Thought Prompting Elicits Reasoning in Large Language Models","URL":"http://arxiv.org/abs/2201.11903","author":[{"family":"Wei","given":"Jason"},{"family":"Wang","given":"Xuezhi"},{"family":"Schuurmans","given":"Dale"},{"family":"Bosma","given":"Maarten"},{"family":"Ichter","given":"Brian"},{"family":"Xia","given":"Fei"},{"family":"Chi","given":"Ed"},{"family":"Le","given":"Quoc"},{"family":"Zhou","given":"Denny"}],"accessed":{"date-parts":[["2026",4,6]]},"issued":{"date-parts":[["2023",1,10]]}}},{"id":406,"uris":["http://zotero.org/users/17573427/items/VFYJ7ZX9"],"itemData":{"id":406,"type":"article","abstract":"While large language models (LLMs) have demonstrated impressive performance across tasks in language understanding and interactive decision making, their abilities for reasoning (e.g. chain-of-thought prompting) and acting (e.g. action plan generation) have primarily been studied as separate topics. In this paper, we explore the use of LLMs to generate both reasoning traces and task-speciﬁc actions in an interleaved manner, allowing for greater synergy between the two: reasoning traces help the model induce, track, and update action plans as well as handle exceptions, while actions allow it to interface with and gather additional information from external sources such as knowledge bases or environments. We apply our approach, named ReAct, to a diverse set of language and decision making tasks and demonstrate its effectiveness over state-of-the-art baselines in addition to improved human interpretability and trustworthiness. Concretely, on question answering (HotpotQA) and fact veriﬁcation (Fever), ReAct overcomes prevalent issues of hallucination and error propagation in chain-of-thought reasoning by interacting with a simple Wikipedia API, and generating human-like task-solving trajectories that are more interpretable than baselines without reasoning traces. Furthermore, on two interactive decision making benchmarks (ALFWorld and WebShop), ReAct outperforms imitation and reinforcement learning methods by an absolute success rate of 34% and 10% respectively, while being prompted with only one or two in-context examples.","DOI":"10.48550/arXiv.2210.03629","language":"en","note":"arXiv:2210.03629 [cs]","number":"arXiv:2210.03629","publisher":"arXiv","source":"arXiv.org","title":"ReAct: Synergizing Reasoning and Acting in Language Models","title-short":"ReAct","URL":"http://arxiv.org/abs/2210.03629","author":[{"family":"Yao","given":"Shunyu"},{"family":"Zhao","given":"Jeffrey"},{"family":"Yu","given":"Dian"},{"family":"Du","given":"Nan"},{"family":"Shafran","given":"Izhak"},{"family":"Narasimhan","given":"Karthik"},{"family":"Cao","given":"Yuan"}],"accessed":{"date-parts":[["2026",4,6]]},"issued":{"date-parts":[["2023",3,10]]}}},{"id":409,"uris":["http://zotero.org/users/17573427/items/H3XWCEHQ"],"itemData":{"id":409,"type":"article","abstract":"Large language models (LLMs) have been increasingly used to interact with external environments (e.g., games, compilers, APIs) as goal-driven agents. However, it remains challenging for these language agents to quickly and efficiently learn from trial-and-error as traditional reinforcement learning methods require extensive training samples and expensive model fine-tuning. We propose Reflexion, a novel framework to reinforce language agents not by updating weights, but instead through linguistic feedback. Concretely, Reflexion agents verbally reflect on task feedback signals, then maintain their own reflective text in an episodic memory buffer to induce better decision-making in subsequent trials. Reflexion is flexible enough to incorporate various types (scalar values or free-form language) and sources (external or internally simulated) of feedback signals, and obtains significant improvements over a baseline agent across diverse tasks (sequential decision-making, coding, language reasoning). For example, Reflexion achieves a 91% pass@1 accuracy on the HumanEval coding benchmark, surpassing the previous state-of-the-art GPT-4 that achieves 80%. We also conduct ablation and analysis studies using different feedback signals, feedback incorporation methods, and agent types, and provide insights into how they affect performance. We release all code, demos, and datasets at https://github.com/noahshinn024/reflexion.","DOI":"10.48550/arXiv.2303.11366","language":"en","note":"arXiv:2303.11366 [cs]","number":"arXiv:2303.11366","publisher":"arXiv","source":"arXiv.org","title":"Reflexion: Language Agents with Verbal Reinforcement Learning","title-short":"Reflexion","URL":"http://arxiv.org/abs/2303.11366","author":[{"family":"Shinn","given":"Noah"},{"family":"Cassano","given":"Federico"},{"family":"Berman","given":"Edward"},{"family":"Gopinath","given":"Ashwin"},{"family":"Narasimhan","given":"Karthik"},{"family":"Yao","given":"Shunyu"}],"accessed":{"date-parts":[["2026",4,6]]},"issued":{"date-parts":[["2023",10,10]]}}},{"id":405,"uris":["http://zotero.org/users/17573427/items/VPP92FEL"],"itemData":{"id":405,"type":"article","abstract":"Believable proxies of human behavior can empower interactive applications ranging from immersive environments to rehearsal spaces for interpersonal communication to prototyping tools. In this paper, we introduce generative agents--computational software agents that simulate believable human behavior. Generative agents wake up, cook breakfast, and head to work; artists paint, while authors write; they form opinions, notice each other, and initiate conversations; they remember and reflect on days past as they plan the next day. To enable generative agents, we describe an architecture that extends a large language model to store a complete record of the agent's experiences using natural language, synthesize those memories over time into higher-level reflections, and retrieve them dynamically to plan behavior. We instantiate generative agents to populate an interactive sandbox environment inspired by The Sims, where end users can interact with a small town of twenty five agents using natural language. In an evaluation, these generative agents produce believable individual and emergent social behaviors: for example, starting with only a single user-specified notion that one agent wants to throw a Valentine's Day party, the agents autonomously spread invitations to the party over the next two days, make new acquaintances, ask each other out on dates to the party, and coordinate to show up for the party together at the right time. We demonstrate through ablation that the components of our agent architecture--observation, planning, and reflection--each contribute critically to the believability of agent behavior. By fusing large language models with computational, interactive agents, this work introduces architectural and interaction patterns for enabling believable simulations of human behavior.","DOI":"10.48550/arXiv.2304.03442","language":"en","note":"arXiv:2304.03442 [cs]","number":"arXiv:2304.03442","publisher":"arXiv","source":"arXiv.org","title":"Generative Agents: Interactive Simulacra of Human Behavior","title-short":"Generative Agents","URL":"http://arxiv.org/abs/2304.03442","author":[{"family":"Park","given":"Joon Sung"},{"family":"O'Brien","given":"Joseph C."},{"family":"Cai","given":"Carrie J."},{"family":"Morris","given":"Meredith Ringel"},{"family":"Liang","given":"Percy"},{"family":"Bernstein","given":"Michael S."}],"accessed":{"date-parts":[["2026",4,6]]},"issued":{"date-parts":[["2023",8,6]]}}},{"id":411,"uris":["http://zotero.org/users/17573427/items/DPMVKW45"],"itemData":{"id":411,"type":"article","abstract":"Large Language Models (LLMs) have achieved remarkable success across a wide array of tasks. Due to the impressive planning and reasoning abilities of LLMs, they have been used as autonomous agents to do many tasks automatically. Recently, based on the development of using one LLM as a single planning or decision-making agent, LLMbased multi-agent systems have achieved considerable progress in complex problem-solving and world simulation. To provide the community with an overview of this dynamic field, we present this survey to offer an in-depth discussion on the essential aspects of multi-agent systems based on LLMs, as well as the challenges. Our goal is for readers to gain substantial insights on the following questions: What domains and environments do LLM-based multi-agents simulate? How are these agents profiled and how do they communicate? What mechanisms contribute to the growth of agents’ capacities? For those interested in delving into this field of study, we also summarize the commonly used datasets or benchmarks for them to have convenient access. To keep researchers updated on the latest studies, we maintain an open-source GitHub repository, dedicated to outlining the research on LLMbased multi-agent systems.","DOI":"10.48550/arXiv.2402.01680","language":"en","note":"arXiv:2402.01680 [cs]","number":"arXiv:2402.01680","publisher":"arXiv","source":"arXiv.org","title":"Large Language Model based Multi-Agents: A Survey of Progress and Challenges","title-short":"Large Language Model based Multi-Agents","URL":"http://arxiv.org/abs/2402.01680","author":[{"family":"Guo","given":"Taicheng"},{"family":"Chen","given":"Xiuying"},{"family":"Wang","given":"Yaqi"},{"family":"Chang","given":"Ruidi"},{"family":"Pei","given":"Shichao"},{"family":"Chawla","given":"Nitesh V."},{"family":"Wiest","given":"Olaf"},{"family":"Zhang","given":"Xiangliang"}],"accessed":{"date-parts":[["2026",4,6]]},"issued":{"date-parts":[["2024",4,19]]}}}],"schema":"https://github.com/citation-style-language/schema/raw/master/csl-citation.json"} </w:instrText>
      </w:r>
      <w:r w:rsidR="00594C2A">
        <w:fldChar w:fldCharType="separate"/>
      </w:r>
      <w:r w:rsidR="00594C2A" w:rsidRPr="00594C2A">
        <w:rPr>
          <w:rFonts w:ascii="Aptos" w:hAnsi="Aptos"/>
        </w:rPr>
        <w:t>[41], [42], [45], [47], [48]</w:t>
      </w:r>
      <w:r w:rsidR="00594C2A">
        <w:fldChar w:fldCharType="end"/>
      </w:r>
      <w:r w:rsidRPr="00C44D2E">
        <w:t>. No framework implements continuous prompt optimisation based on real trading outcomes, collaborative financial analysis across technical, fundamental, sentiment, and macroeconomic agents, or dynamic trailing stop-loss mechanisms. These gaps highlight the need for a purpose-built multi-agent framework for portfolio management with integrated risk management and performance-driven prompt optimisation.</w:t>
      </w:r>
    </w:p>
    <w:p w14:paraId="6A7444F2" w14:textId="77777777" w:rsidR="00C44D2E" w:rsidRDefault="00C44D2E" w:rsidP="00AB3DBF">
      <w:pPr>
        <w:jc w:val="both"/>
      </w:pPr>
    </w:p>
    <w:p w14:paraId="42B52314" w14:textId="65627EF9" w:rsidR="00882981" w:rsidRDefault="00882981" w:rsidP="00AB3DBF">
      <w:pPr>
        <w:pStyle w:val="Heading3"/>
        <w:jc w:val="both"/>
      </w:pPr>
      <w:bookmarkStart w:id="31" w:name="_Toc228577621"/>
      <w:r w:rsidRPr="00882981">
        <w:t>2.6 Financial Large Language Models</w:t>
      </w:r>
      <w:bookmarkEnd w:id="31"/>
    </w:p>
    <w:p w14:paraId="2D91B5A8" w14:textId="77777777" w:rsidR="00882981" w:rsidRPr="00882981" w:rsidRDefault="00882981" w:rsidP="00AB3DBF">
      <w:pPr>
        <w:jc w:val="both"/>
      </w:pPr>
    </w:p>
    <w:p w14:paraId="211E2D78" w14:textId="618FCC6F" w:rsidR="00BE3422" w:rsidRPr="00882981" w:rsidRDefault="00594C2A" w:rsidP="00AB3DBF">
      <w:pPr>
        <w:jc w:val="both"/>
      </w:pPr>
      <w:r w:rsidRPr="00594C2A">
        <w:t xml:space="preserve">Applying Large Language Models to finance presents </w:t>
      </w:r>
      <w:r w:rsidR="00267A39">
        <w:t xml:space="preserve">has n number of unique </w:t>
      </w:r>
      <w:r w:rsidRPr="00594C2A">
        <w:t xml:space="preserve">challenges, as financial information becomes outdated within hours, markets shift constantly, and proprietary models such as </w:t>
      </w:r>
      <w:proofErr w:type="spellStart"/>
      <w:r w:rsidRPr="00594C2A">
        <w:t>BloombergGPT</w:t>
      </w:r>
      <w:proofErr w:type="spellEnd"/>
      <w:r w:rsidRPr="00594C2A">
        <w:t xml:space="preserve"> carry training costs of approximately $3 million that place </w:t>
      </w:r>
      <w:r w:rsidR="00267A39">
        <w:t>which filter most of the researcher</w:t>
      </w:r>
      <w:r w:rsidR="00AF4DE1">
        <w:fldChar w:fldCharType="begin"/>
      </w:r>
      <w:r w:rsidR="00AF4DE1">
        <w:instrText xml:space="preserve"> ADDIN ZOTERO_ITEM CSL_CITATION {"citationID":"okm6uE4Z","properties":{"formattedCitation":"[49]","plainCitation":"[49]","noteIndex":0},"citationItems":[{"id":418,"uris":["http://zotero.org/users/17573427/items/FYL2SXBL"],"itemData":{"id":418,"type":"article-journal","abstract":"Large language models (LLMs) have shown the potential of revolutionizing natural language processing in diverse domains, sparking great interest in finance. However, the finance domain presents unique challenges, including high temporal sensitivity, constant dynamism, and a low signalto-noise ratio (SNR). While proprietary models like BloombergGPT have taken advantage of their unique data accumulation, such privileged access calls for an open-source alternative to democratize internet-scale financial data.","container-title":"SSRN Electronic Journal","DOI":"10.2139/ssrn.4489826","ISSN":"1556-5068","journalAbbreviation":"SSRN Journal","language":"en","source":"DOI.org (Crossref)","title":"FinGPT: Open-Source Financial Large Language Models","title-short":"FinGPT","URL":"https://www.ssrn.com/abstract=4489826","author":[{"family":"Yang","given":"Hongyang"},{"family":"Liu","given":"Xiao-Yang"},{"family":"Dan Wang","given":"Christina"}],"accessed":{"date-parts":[["2026",4,6]]},"issued":{"date-parts":[["2023"]]}}}],"schema":"https://github.com/citation-style-language/schema/raw/master/csl-citation.json"} </w:instrText>
      </w:r>
      <w:r w:rsidR="00AF4DE1">
        <w:fldChar w:fldCharType="separate"/>
      </w:r>
      <w:r w:rsidR="00AF4DE1" w:rsidRPr="00AF4DE1">
        <w:rPr>
          <w:rFonts w:ascii="Aptos" w:hAnsi="Aptos"/>
        </w:rPr>
        <w:t>[49]</w:t>
      </w:r>
      <w:r w:rsidR="00AF4DE1">
        <w:fldChar w:fldCharType="end"/>
      </w:r>
      <w:r w:rsidRPr="00594C2A">
        <w:t xml:space="preserve">. </w:t>
      </w:r>
      <w:proofErr w:type="spellStart"/>
      <w:r w:rsidRPr="00594C2A">
        <w:t>FinGPT</w:t>
      </w:r>
      <w:proofErr w:type="spellEnd"/>
      <w:r w:rsidRPr="00594C2A">
        <w:t xml:space="preserve"> addressed this by introducing a data-centric five-layer framework using lightweight fine-tuning methods such as </w:t>
      </w:r>
      <w:proofErr w:type="spellStart"/>
      <w:r w:rsidRPr="00594C2A">
        <w:t>LoRA</w:t>
      </w:r>
      <w:proofErr w:type="spellEnd"/>
      <w:r w:rsidRPr="00594C2A">
        <w:t>, reducing adaptation costs to approximately $300 whil</w:t>
      </w:r>
      <w:r w:rsidR="00267A39">
        <w:t>e</w:t>
      </w:r>
      <w:r w:rsidRPr="00594C2A">
        <w:t xml:space="preserve"> achieving 82.1% sentiment accuracy through Reinforcement Learning on Stock Prices, significantly outperforming both zero-shot ChatGPT and </w:t>
      </w:r>
      <w:proofErr w:type="spellStart"/>
      <w:r w:rsidRPr="00594C2A">
        <w:t>BloombergGPT</w:t>
      </w:r>
      <w:proofErr w:type="spellEnd"/>
      <w:r w:rsidR="00501E03">
        <w:t xml:space="preserve"> </w:t>
      </w:r>
      <w:r w:rsidR="00AF4DE1">
        <w:fldChar w:fldCharType="begin"/>
      </w:r>
      <w:r w:rsidR="00AF4DE1">
        <w:instrText xml:space="preserve"> ADDIN ZOTERO_ITEM CSL_CITATION {"citationID":"JuoljgSP","properties":{"formattedCitation":"[49]","plainCitation":"[49]","noteIndex":0},"citationItems":[{"id":418,"uris":["http://zotero.org/users/17573427/items/FYL2SXBL"],"itemData":{"id":418,"type":"article-journal","abstract":"Large language models (LLMs) have shown the potential of revolutionizing natural language processing in diverse domains, sparking great interest in finance. However, the finance domain presents unique challenges, including high temporal sensitivity, constant dynamism, and a low signalto-noise ratio (SNR). While proprietary models like BloombergGPT have taken advantage of their unique data accumulation, such privileged access calls for an open-source alternative to democratize internet-scale financial data.","container-title":"SSRN Electronic Journal","DOI":"10.2139/ssrn.4489826","ISSN":"1556-5068","journalAbbreviation":"SSRN Journal","language":"en","source":"DOI.org (Crossref)","title":"FinGPT: Open-Source Financial Large Language Models","title-short":"FinGPT","URL":"https://www.ssrn.com/abstract=4489826","author":[{"family":"Yang","given":"Hongyang"},{"family":"Liu","given":"Xiao-Yang"},{"family":"Dan Wang","given":"Christina"}],"accessed":{"date-parts":[["2026",4,6]]},"issued":{"date-parts":[["2023"]]}}}],"schema":"https://github.com/citation-style-language/schema/raw/master/csl-citation.json"} </w:instrText>
      </w:r>
      <w:r w:rsidR="00AF4DE1">
        <w:fldChar w:fldCharType="separate"/>
      </w:r>
      <w:r w:rsidR="00AF4DE1" w:rsidRPr="00AF4DE1">
        <w:rPr>
          <w:rFonts w:ascii="Aptos" w:hAnsi="Aptos"/>
        </w:rPr>
        <w:t>[49]</w:t>
      </w:r>
      <w:r w:rsidR="00AF4DE1">
        <w:fldChar w:fldCharType="end"/>
      </w:r>
      <w:r w:rsidRPr="00594C2A">
        <w:t xml:space="preserve">. PIXIU complemented this with a comprehensive ecosystem comprising the </w:t>
      </w:r>
      <w:proofErr w:type="spellStart"/>
      <w:r w:rsidRPr="00594C2A">
        <w:t>FinMA</w:t>
      </w:r>
      <w:proofErr w:type="spellEnd"/>
      <w:r w:rsidRPr="00594C2A">
        <w:t xml:space="preserve"> model, a 136K sample instruction dataset, and the FLARE evaluation benchmark, achieving state-of-the-art results on sentiment and news classification though struggling with quantitative reasoning due to limited mathematical pretraining </w:t>
      </w:r>
      <w:r w:rsidR="00AF4DE1">
        <w:t xml:space="preserve"> </w:t>
      </w:r>
      <w:r w:rsidR="00AF4DE1">
        <w:fldChar w:fldCharType="begin"/>
      </w:r>
      <w:r w:rsidR="00AF4DE1">
        <w:instrText xml:space="preserve"> ADDIN ZOTERO_ITEM CSL_CITATION {"citationID":"ptKM9uGr","properties":{"formattedCitation":"[50]","plainCitation":"[50]","noteIndex":0},"citationItems":[{"id":419,"uris":["http://zotero.org/users/17573427/items/CSAFEEAP"],"itemData":{"id":419,"type":"article-journal","abstract":"Although large language models (LLMs) has shown great performance on natural language processing (NLP) in the financial domain, there are no publicly available financial tailtored LLMs, instruction tuning datasets, and evaluation benchmarks, which is critical for continually pushing forward the open-source development of financial artificial intelligence (AI). This paper introduces PIXIU, a comprehensive framework including the first financial LLM based on fine-tuning LLaMA with instruction data, the first instruction data with 136K data samples to support the finetuning, and an evaluation benchmark with 5 tasks and 9 datasets. We first construct the large-scale multi-task instruction data considering a variety of financial tasks, financial document types, and financial data modalities. We then propose a financial LLM called FinMA by fine-tuning LLaMA with the constructed dataset to be able to follow instructions for various financial tasks. To support the evaluation of financial LLMs, we propose a standardized benchmark that covers a set of critical financial tasks, including five financial NLP tasks and one financial prediction task. With this benchmark, we conduct a detailed analysis of FinMA and several existing LLMs, uncovering their strengths and weaknesses in handling critical financial tasks. The model, datasets, benchmark, and experimental results are open-sourced 1 to facilitate future research in financial AI.","language":"en","source":"Zotero","title":"PIXIU: A Large Language Model, Instruction Data and Evaluation Benchmark for Finance","author":[{"family":"Xie","given":"Qianqian"},{"family":"Han","given":"Weiguang"},{"family":"Zhang","given":"Xiao"},{"family":"Lai","given":"Yanzhao"},{"family":"Peng","given":"Min"},{"family":"Lopez-Lira","given":"Alejandro"},{"family":"Huang","given":"Jimin"}]}}],"schema":"https://github.com/citation-style-language/schema/raw/master/csl-citation.json"} </w:instrText>
      </w:r>
      <w:r w:rsidR="00AF4DE1">
        <w:fldChar w:fldCharType="separate"/>
      </w:r>
      <w:r w:rsidR="00AF4DE1" w:rsidRPr="00AF4DE1">
        <w:rPr>
          <w:rFonts w:ascii="Aptos" w:hAnsi="Aptos"/>
        </w:rPr>
        <w:t>[50]</w:t>
      </w:r>
      <w:r w:rsidR="00AF4DE1">
        <w:fldChar w:fldCharType="end"/>
      </w:r>
      <w:r w:rsidRPr="00594C2A">
        <w:t>.</w:t>
      </w:r>
    </w:p>
    <w:p w14:paraId="1B0BD9A0" w14:textId="77777777" w:rsidR="00BE3422" w:rsidRDefault="00882981" w:rsidP="00AB3DBF">
      <w:pPr>
        <w:keepNext/>
        <w:ind w:left="720"/>
        <w:jc w:val="both"/>
      </w:pPr>
      <w:r w:rsidRPr="00882981">
        <w:rPr>
          <w:b/>
          <w:bCs/>
          <w:noProof/>
        </w:rPr>
        <w:lastRenderedPageBreak/>
        <w:drawing>
          <wp:inline distT="0" distB="0" distL="0" distR="0" wp14:anchorId="4602630F" wp14:editId="3270BD73">
            <wp:extent cx="4995545" cy="3043293"/>
            <wp:effectExtent l="0" t="0" r="0" b="5080"/>
            <wp:docPr id="121421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11506" name=""/>
                    <pic:cNvPicPr/>
                  </pic:nvPicPr>
                  <pic:blipFill>
                    <a:blip r:embed="rId22"/>
                    <a:stretch>
                      <a:fillRect/>
                    </a:stretch>
                  </pic:blipFill>
                  <pic:spPr>
                    <a:xfrm>
                      <a:off x="0" y="0"/>
                      <a:ext cx="5005446" cy="3049325"/>
                    </a:xfrm>
                    <a:prstGeom prst="rect">
                      <a:avLst/>
                    </a:prstGeom>
                  </pic:spPr>
                </pic:pic>
              </a:graphicData>
            </a:graphic>
          </wp:inline>
        </w:drawing>
      </w:r>
    </w:p>
    <w:p w14:paraId="619A43DC" w14:textId="3F49DF73" w:rsidR="00BE3422" w:rsidRDefault="00BE3422" w:rsidP="00AB3DBF">
      <w:pPr>
        <w:pStyle w:val="Caption"/>
        <w:ind w:left="720"/>
        <w:jc w:val="both"/>
      </w:pPr>
      <w:bookmarkStart w:id="32" w:name="_Toc228816059"/>
      <w:r>
        <w:t xml:space="preserve">Figure </w:t>
      </w:r>
      <w:fldSimple w:instr=" SEQ Figure \* ARABIC ">
        <w:r w:rsidR="006C3897">
          <w:rPr>
            <w:noProof/>
          </w:rPr>
          <w:t>14</w:t>
        </w:r>
      </w:fldSimple>
      <w:r>
        <w:t xml:space="preserve">: </w:t>
      </w:r>
      <w:proofErr w:type="spellStart"/>
      <w:r w:rsidRPr="00061A30">
        <w:t>FinGPT</w:t>
      </w:r>
      <w:proofErr w:type="spellEnd"/>
      <w:r w:rsidRPr="00061A30">
        <w:t xml:space="preserve"> five-layer framework showing Data Source, Data Engineering, LLMs, Tasks, and Applications layers for financial language model deployment </w:t>
      </w:r>
      <w:r w:rsidR="002F02A0">
        <w:fldChar w:fldCharType="begin"/>
      </w:r>
      <w:r w:rsidR="00594C2A">
        <w:instrText xml:space="preserve"> ADDIN ZOTERO_ITEM CSL_CITATION {"citationID":"BHQ75nBp","properties":{"formattedCitation":"[49]","plainCitation":"[49]","noteIndex":0},"citationItems":[{"id":418,"uris":["http://zotero.org/users/17573427/items/FYL2SXBL"],"itemData":{"id":418,"type":"article-journal","abstract":"Large language models (LLMs) have shown the potential of revolutionizing natural language processing in diverse domains, sparking great interest in finance. However, the finance domain presents unique challenges, including high temporal sensitivity, constant dynamism, and a low signalto-noise ratio (SNR). While proprietary models like BloombergGPT have taken advantage of their unique data accumulation, such privileged access calls for an open-source alternative to democratize internet-scale financial data.","container-title":"SSRN Electronic Journal","DOI":"10.2139/ssrn.4489826","ISSN":"1556-5068","journalAbbreviation":"SSRN Journal","language":"en","source":"DOI.org (Crossref)","title":"FinGPT: Open-Source Financial Large Language Models","title-short":"FinGPT","URL":"https://www.ssrn.com/abstract=4489826","author":[{"family":"Yang","given":"Hongyang"},{"family":"Liu","given":"Xiao-Yang"},{"family":"Dan Wang","given":"Christina"}],"accessed":{"date-parts":[["2026",4,6]]},"issued":{"date-parts":[["2023"]]}}}],"schema":"https://github.com/citation-style-language/schema/raw/master/csl-citation.json"} </w:instrText>
      </w:r>
      <w:r w:rsidR="002F02A0">
        <w:fldChar w:fldCharType="separate"/>
      </w:r>
      <w:r w:rsidR="00594C2A" w:rsidRPr="00594C2A">
        <w:rPr>
          <w:rFonts w:ascii="Aptos" w:hAnsi="Aptos"/>
          <w:sz w:val="22"/>
        </w:rPr>
        <w:t>[49]</w:t>
      </w:r>
      <w:bookmarkEnd w:id="32"/>
      <w:r w:rsidR="002F02A0">
        <w:fldChar w:fldCharType="end"/>
      </w:r>
    </w:p>
    <w:p w14:paraId="204F3BF2" w14:textId="77777777" w:rsidR="00BE3422" w:rsidRPr="00BE3422" w:rsidRDefault="00BE3422" w:rsidP="00AB3DBF">
      <w:pPr>
        <w:jc w:val="both"/>
      </w:pPr>
    </w:p>
    <w:p w14:paraId="78F41EEC" w14:textId="34D56AA7" w:rsidR="00882981" w:rsidRDefault="00594C2A" w:rsidP="00594C2A">
      <w:pPr>
        <w:jc w:val="both"/>
      </w:pPr>
      <w:r w:rsidRPr="00594C2A">
        <w:t xml:space="preserve">Beyond sentiment, </w:t>
      </w:r>
      <w:proofErr w:type="spellStart"/>
      <w:r w:rsidRPr="00594C2A">
        <w:t>LLMFactor</w:t>
      </w:r>
      <w:proofErr w:type="spellEnd"/>
      <w:r w:rsidRPr="00594C2A">
        <w:t xml:space="preserve"> applied Sequential Knowledge-Guided Prompting to extract explainable price-moving factors from news, achieving 63% accuracy on US markets and outperforming baselines by up to 11% in Matthews Correlation Coefficient </w:t>
      </w:r>
      <w:r w:rsidR="00AF4DE1">
        <w:fldChar w:fldCharType="begin"/>
      </w:r>
      <w:r w:rsidR="00501E03">
        <w:instrText xml:space="preserve"> ADDIN ZOTERO_ITEM CSL_CITATION {"citationID":"WEsNgiQj","properties":{"formattedCitation":"[51]","plainCitation":"[51]","noteIndex":0},"citationItems":[{"id":420,"uris":["http://zotero.org/users/17573427/items/8RCAG657"],"itemData":{"id":420,"type":"paper-conference","abstract":"Recently, Large Language Models (LLMs) have attracted significant attention for their exceptional performance across a broad range of tasks, particularly in text analysis. However, the finance sector presents a distinct challenge due to its dependence on time-series data for complex forecasting tasks. In this study, we introduce a novel framework called LLMFactor, which employs Sequential Knowledge-Guided Prompting (SKGP) to identify factors that influence stock movements using LLMs. Unlike previous methods that relied on keyphrases or sentiment analysis, this approach focuses on extracting factors more directly related to stock market dynamics, providing clear explanations for complex temporal changes. Our framework directs the LLMs to create background knowledge through a fill-in-the-blank strategy and then discerns potential factors affecting stock prices from related news. Guided by background knowledge and identified factors, we leverage historical stock prices in textual format to predict stock movement. An extensive evaluation of the LLMFactor framework across four benchmark datasets from both the U.S. and Chinese stock markets demonstrates its superiority over existing state-of-the-art methods and its effectiveness in financial time-series forecasting.","container-title":"Findings of the Association for Computational Linguistics ACL 2024","DOI":"10.18653/v1/2024.findings-acl.185","event-title":"Findings of the Association for Computational Linguistics ACL 2024","language":"en","page":"3120-3131","publisher":"Association for Computational Linguistics","publisher-place":"Bangkok, Thailand and virtual meeting","source":"DOI.org (Crossref)","title":"LLMFactor: Extracting Profitable Factors through Prompts for Explainable Stock Movement Prediction","title-short":"LLMFactor","URL":"https://aclanthology.org/2024.findings-acl.185","author":[{"family":"Wang","given":"Meiyun"},{"family":"Izumi","given":"Kiyoshi"},{"family":"Sakaji","given":"Hiroki"}],"accessed":{"date-parts":[["2026",4,6]]},"issued":{"date-parts":[["2024"]]}}}],"schema":"https://github.com/citation-style-language/schema/raw/master/csl-citation.json"} </w:instrText>
      </w:r>
      <w:r w:rsidR="00AF4DE1">
        <w:fldChar w:fldCharType="separate"/>
      </w:r>
      <w:r w:rsidR="00501E03" w:rsidRPr="00501E03">
        <w:rPr>
          <w:rFonts w:ascii="Aptos" w:hAnsi="Aptos"/>
        </w:rPr>
        <w:t>[51]</w:t>
      </w:r>
      <w:r w:rsidR="00AF4DE1">
        <w:fldChar w:fldCharType="end"/>
      </w:r>
      <w:r w:rsidRPr="00594C2A">
        <w:t>. The SEP framework further advanced this</w:t>
      </w:r>
      <w:r w:rsidR="00267A39">
        <w:t xml:space="preserve"> work </w:t>
      </w:r>
      <w:r w:rsidRPr="00594C2A">
        <w:t xml:space="preserve"> by combining summarisation, explanation, and prediction with PPO self-reflection, enabling more </w:t>
      </w:r>
      <w:r w:rsidR="00267A39">
        <w:t xml:space="preserve">strong </w:t>
      </w:r>
      <w:r w:rsidRPr="00594C2A">
        <w:t xml:space="preserve">directional predictions from mixed sentiment signals </w:t>
      </w:r>
      <w:r w:rsidR="00501E03">
        <w:fldChar w:fldCharType="begin"/>
      </w:r>
      <w:r w:rsidR="00501E03">
        <w:instrText xml:space="preserve"> ADDIN ZOTERO_ITEM CSL_CITATION {"citationID":"fn6ZoOVq","properties":{"formattedCitation":"[52]","plainCitation":"[52]","noteIndex":0},"citationItems":[{"id":421,"uris":["http://zotero.org/users/17573427/items/NMAQISMW"],"itemData":{"id":421,"type":"paper-conference","abstract":"Explaining stock predictions is generally a difficult task for traditional non-generative deep learning models, where explanations are limited to visualizing the attention weights on important texts. Today, Large Language Models (LLMs) present a solution to this problem, given their known capabilities to generate human-readable explanations for their decision-making process. However, the task of stock prediction remains challenging for LLMs, as it requires the ability to weigh the varying impacts of chaotic social texts on stock prices. The problem gets progressively harder with the introduction of the explanation component, which requires LLMs to explain verbally why certain factors are more important than the others. On the other hand, to fine-tune LLMs for such a task, one would need expert-annotated samples of explanation for every stock movement in the training set, which is expensive and impractical to scale.","container-title":"Proceedings of the ACM Web Conference 2024","DOI":"10.1145/3589334.3645611","event-title":"WWW '24: The ACM Web Conference 2024","ISBN":"979-8-4007-0171-9","language":"en","page":"4304-4315","publisher":"ACM","publisher-place":"Singapore Singapore","source":"DOI.org (Crossref)","title":"Learning to Generate Explainable Stock Predictions using Self-Reflective Large Language Models","URL":"https://dl.acm.org/doi/10.1145/3589334.3645611","author":[{"family":"Koa","given":"Kelvin J.L."},{"family":"Ma","given":"Yunshan"},{"family":"Ng","given":"Ritchie"},{"family":"Chua","given":"Tat-Seng"}],"accessed":{"date-parts":[["2026",4,6]]},"issued":{"date-parts":[["2024",5,13]]}}}],"schema":"https://github.com/citation-style-language/schema/raw/master/csl-citation.json"} </w:instrText>
      </w:r>
      <w:r w:rsidR="00501E03">
        <w:fldChar w:fldCharType="separate"/>
      </w:r>
      <w:r w:rsidR="00501E03" w:rsidRPr="00501E03">
        <w:rPr>
          <w:rFonts w:ascii="Aptos" w:hAnsi="Aptos"/>
        </w:rPr>
        <w:t>[52]</w:t>
      </w:r>
      <w:r w:rsidR="00501E03">
        <w:fldChar w:fldCharType="end"/>
      </w:r>
      <w:r w:rsidR="00501E03">
        <w:t xml:space="preserve">, </w:t>
      </w:r>
      <w:r w:rsidR="00501E03">
        <w:fldChar w:fldCharType="begin"/>
      </w:r>
      <w:r w:rsidR="00501E03">
        <w:instrText xml:space="preserve"> ADDIN ZOTERO_ITEM CSL_CITATION {"citationID":"SZDkCqSg","properties":{"formattedCitation":"[53]","plainCitation":"[53]","noteIndex":0},"citationItems":[{"id":457,"uris":["http://zotero.org/users/17573427/items/8469W7UV"],"itemData":{"id":457,"type":"article","abstract":"Topic models can be useful tools to discover latent topics in collections of documents. Recent studies have shown the feasibility of approach topic modeling as a clustering task. We present BERTopic, a topic model that extends this process by extracting coherent topic representation through the development of a class-based variation of TF-IDF. More specifically, BERTopic generates document embedding with pre-trained transformer-based language models, clusters these embeddings, and ﬁnally, generates topic representations with the class-based TF-IDF procedure. BERTopic generates coherent topics and remains competitive across a variety of benchmarks involving classical models and those that follow the more recent clustering approach of topic modeling.","DOI":"10.48550/arXiv.2203.05794","language":"en","note":"arXiv:2203.05794 [cs]","number":"arXiv:2203.05794","publisher":"arXiv","source":"arXiv.org","title":"BERTopic: Neural topic modeling with a class-based TF-IDF procedure","title-short":"BERTopic","URL":"http://arxiv.org/abs/2203.05794","author":[{"family":"Grootendorst","given":"Maarten"}],"accessed":{"date-parts":[["2026",4,23]]},"issued":{"date-parts":[["2022",3,11]]}}}],"schema":"https://github.com/citation-style-language/schema/raw/master/csl-citation.json"} </w:instrText>
      </w:r>
      <w:r w:rsidR="00501E03">
        <w:fldChar w:fldCharType="separate"/>
      </w:r>
      <w:r w:rsidR="00501E03" w:rsidRPr="00501E03">
        <w:rPr>
          <w:rFonts w:ascii="Aptos" w:hAnsi="Aptos"/>
        </w:rPr>
        <w:t>[53]</w:t>
      </w:r>
      <w:r w:rsidR="00501E03">
        <w:fldChar w:fldCharType="end"/>
      </w:r>
      <w:r w:rsidRPr="00594C2A">
        <w:t>. A comprehensive Financial AI survey highlights a persistent gap between theoretical advances and practical deployment, noting that resource-intensive models carry latency that makes them impractical for real-time trading</w:t>
      </w:r>
      <w:r w:rsidR="00501E03">
        <w:t xml:space="preserve"> </w:t>
      </w:r>
      <w:r w:rsidR="00501E03">
        <w:fldChar w:fldCharType="begin"/>
      </w:r>
      <w:r w:rsidR="00501E03">
        <w:instrText xml:space="preserve"> ADDIN ZOTERO_ITEM CSL_CITATION {"citationID":"nqqJOm7o","properties":{"formattedCitation":"[54]","plainCitation":"[54]","noteIndex":0},"citationItems":[{"id":471,"uris":["http://zotero.org/users/17573427/items/UZ7EUAN5"],"itemData":{"id":471,"type":"article","abstract":"Financial AI empowers sophisticated approaches to financial market forecasting, portfolio optimization, and automated trading. This survey provides a systematic analysis of these developments across three primary dimensions: predictive models that capture complex market dynamics, decisionmaking frameworks that optimize trading and investment strategies, and knowledge augmentation systems that leverage unstructured financial information. We examine significant innovations including foundation models for financial time series, graph-based architectures for market relationship modeling, and hierarchical frameworks for portfolio optimization. Analysis reveals crucial trade-offs between model sophistication and practical constraints, particularly in high-frequency trading applications. We identify critical gaps and open challenges between theoretical advances and industrial implementation, outlining open challenges and opportunities for improving both model performance and practical applicability1.","DOI":"10.48550/arXiv.2411.12747","language":"en","note":"arXiv:2411.12747 [q-fin]","number":"arXiv:2411.12747","publisher":"arXiv","source":"arXiv.org","title":"A Survey of Financial AI: Architectures, Advances and Open Challenges","title-short":"A Survey of Financial AI","URL":"http://arxiv.org/abs/2411.12747","author":[{"family":"Liu","given":"Junhua"}],"accessed":{"date-parts":[["2026",5,1]]},"issued":{"date-parts":[["2024",11,1]]}}}],"schema":"https://github.com/citation-style-language/schema/raw/master/csl-citation.json"} </w:instrText>
      </w:r>
      <w:r w:rsidR="00501E03">
        <w:fldChar w:fldCharType="separate"/>
      </w:r>
      <w:r w:rsidR="00501E03" w:rsidRPr="00501E03">
        <w:rPr>
          <w:rFonts w:ascii="Aptos" w:hAnsi="Aptos"/>
        </w:rPr>
        <w:t>[54]</w:t>
      </w:r>
      <w:r w:rsidR="00501E03">
        <w:fldChar w:fldCharType="end"/>
      </w:r>
      <w:r w:rsidRPr="00594C2A">
        <w:t>.</w:t>
      </w:r>
    </w:p>
    <w:p w14:paraId="485331CE" w14:textId="4E126E58" w:rsidR="00882981" w:rsidRDefault="00882981" w:rsidP="00AB3DBF">
      <w:pPr>
        <w:jc w:val="both"/>
        <w:rPr>
          <w:b/>
          <w:bCs/>
        </w:rPr>
      </w:pPr>
    </w:p>
    <w:p w14:paraId="75FF1AAB" w14:textId="77777777" w:rsidR="00BE3422" w:rsidRDefault="00882981" w:rsidP="00AB3DBF">
      <w:pPr>
        <w:keepNext/>
        <w:jc w:val="both"/>
      </w:pPr>
      <w:r w:rsidRPr="00882981">
        <w:rPr>
          <w:noProof/>
        </w:rPr>
        <w:drawing>
          <wp:inline distT="0" distB="0" distL="0" distR="0" wp14:anchorId="120031C6" wp14:editId="755E2B45">
            <wp:extent cx="5731510" cy="1800225"/>
            <wp:effectExtent l="0" t="0" r="2540" b="9525"/>
            <wp:docPr id="1184836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36015" name=""/>
                    <pic:cNvPicPr/>
                  </pic:nvPicPr>
                  <pic:blipFill>
                    <a:blip r:embed="rId23"/>
                    <a:stretch>
                      <a:fillRect/>
                    </a:stretch>
                  </pic:blipFill>
                  <pic:spPr>
                    <a:xfrm>
                      <a:off x="0" y="0"/>
                      <a:ext cx="5731510" cy="1800225"/>
                    </a:xfrm>
                    <a:prstGeom prst="rect">
                      <a:avLst/>
                    </a:prstGeom>
                  </pic:spPr>
                </pic:pic>
              </a:graphicData>
            </a:graphic>
          </wp:inline>
        </w:drawing>
      </w:r>
    </w:p>
    <w:p w14:paraId="2C8EF6C7" w14:textId="7D84809E" w:rsidR="00882981" w:rsidRDefault="00BE3422" w:rsidP="00AB3DBF">
      <w:pPr>
        <w:pStyle w:val="Caption"/>
        <w:jc w:val="both"/>
      </w:pPr>
      <w:bookmarkStart w:id="33" w:name="_Toc228816060"/>
      <w:r>
        <w:t xml:space="preserve">Figure </w:t>
      </w:r>
      <w:fldSimple w:instr=" SEQ Figure \* ARABIC ">
        <w:r w:rsidR="006C3897">
          <w:rPr>
            <w:noProof/>
          </w:rPr>
          <w:t>15</w:t>
        </w:r>
      </w:fldSimple>
      <w:r>
        <w:t xml:space="preserve">: </w:t>
      </w:r>
      <w:r w:rsidRPr="003E4E61">
        <w:t xml:space="preserve">SEP framework showing Summarize, Explain, and Predict modules with self-reflective loop for generating explainable stock predictions </w:t>
      </w:r>
      <w:r w:rsidR="002F02A0">
        <w:fldChar w:fldCharType="begin"/>
      </w:r>
      <w:r w:rsidR="00501E03">
        <w:instrText xml:space="preserve"> ADDIN ZOTERO_ITEM CSL_CITATION {"citationID":"WTFt1j51","properties":{"formattedCitation":"[52]","plainCitation":"[52]","noteIndex":0},"citationItems":[{"id":421,"uris":["http://zotero.org/users/17573427/items/NMAQISMW"],"itemData":{"id":421,"type":"paper-conference","abstract":"Explaining stock predictions is generally a difficult task for traditional non-generative deep learning models, where explanations are limited to visualizing the attention weights on important texts. Today, Large Language Models (LLMs) present a solution to this problem, given their known capabilities to generate human-readable explanations for their decision-making process. However, the task of stock prediction remains challenging for LLMs, as it requires the ability to weigh the varying impacts of chaotic social texts on stock prices. The problem gets progressively harder with the introduction of the explanation component, which requires LLMs to explain verbally why certain factors are more important than the others. On the other hand, to fine-tune LLMs for such a task, one would need expert-annotated samples of explanation for every stock movement in the training set, which is expensive and impractical to scale.","container-title":"Proceedings of the ACM Web Conference 2024","DOI":"10.1145/3589334.3645611","event-title":"WWW '24: The ACM Web Conference 2024","ISBN":"979-8-4007-0171-9","language":"en","page":"4304-4315","publisher":"ACM","publisher-place":"Singapore Singapore","source":"DOI.org (Crossref)","title":"Learning to Generate Explainable Stock Predictions using Self-Reflective Large Language Models","URL":"https://dl.acm.org/doi/10.1145/3589334.3645611","author":[{"family":"Koa","given":"Kelvin J.L."},{"family":"Ma","given":"Yunshan"},{"family":"Ng","given":"Ritchie"},{"family":"Chua","given":"Tat-Seng"}],"accessed":{"date-parts":[["2026",4,6]]},"issued":{"date-parts":[["2024",5,13]]}}}],"schema":"https://github.com/citation-style-language/schema/raw/master/csl-citation.json"} </w:instrText>
      </w:r>
      <w:r w:rsidR="002F02A0">
        <w:fldChar w:fldCharType="separate"/>
      </w:r>
      <w:r w:rsidR="00501E03" w:rsidRPr="00501E03">
        <w:rPr>
          <w:rFonts w:ascii="Aptos" w:hAnsi="Aptos"/>
          <w:sz w:val="22"/>
        </w:rPr>
        <w:t>[52]</w:t>
      </w:r>
      <w:bookmarkEnd w:id="33"/>
      <w:r w:rsidR="002F02A0">
        <w:fldChar w:fldCharType="end"/>
      </w:r>
    </w:p>
    <w:p w14:paraId="02625B73" w14:textId="77777777" w:rsidR="00BE3422" w:rsidRPr="00BE3422" w:rsidRDefault="00BE3422" w:rsidP="00AB3DBF">
      <w:pPr>
        <w:jc w:val="both"/>
      </w:pPr>
    </w:p>
    <w:p w14:paraId="3B267B25" w14:textId="1703D320" w:rsidR="00EA541E" w:rsidRDefault="00AF4DE1" w:rsidP="00A22B21">
      <w:r w:rsidRPr="00AF4DE1">
        <w:t xml:space="preserve">Despite this progress, no reviewed model operates within a multi-agent architecture where specialised LLMs collaborate across different analytical domains, and none implement </w:t>
      </w:r>
      <w:r w:rsidRPr="00AF4DE1">
        <w:lastRenderedPageBreak/>
        <w:t xml:space="preserve">continuous prompt optimisation driven by actual trading outcomes over extended periods </w:t>
      </w:r>
      <w:r w:rsidR="00501E03">
        <w:fldChar w:fldCharType="begin"/>
      </w:r>
      <w:r w:rsidR="00501E03">
        <w:instrText xml:space="preserve"> ADDIN ZOTERO_ITEM CSL_CITATION {"citationID":"JuoljgSP","properties":{"formattedCitation":"[49]","plainCitation":"[49]","noteIndex":0},"citationItems":[{"id":418,"uris":["http://zotero.org/users/17573427/items/FYL2SXBL"],"itemData":{"id":418,"type":"article-journal","abstract":"Large language models (LLMs) have shown the potential of revolutionizing natural language processing in diverse domains, sparking great interest in finance. However, the finance domain presents unique challenges, including high temporal sensitivity, constant dynamism, and a low signalto-noise ratio (SNR). While proprietary models like BloombergGPT have taken advantage of their unique data accumulation, such privileged access calls for an open-source alternative to democratize internet-scale financial data.","container-title":"SSRN Electronic Journal","DOI":"10.2139/ssrn.4489826","ISSN":"1556-5068","journalAbbreviation":"SSRN Journal","language":"en","source":"DOI.org (Crossref)","title":"FinGPT: Open-Source Financial Large Language Models","title-short":"FinGPT","URL":"https://www.ssrn.com/abstract=4489826","author":[{"family":"Yang","given":"Hongyang"},{"family":"Liu","given":"Xiao-Yang"},{"family":"Dan Wang","given":"Christina"}],"accessed":{"date-parts":[["2026",4,6]]},"issued":{"date-parts":[["2023"]]}}}],"schema":"https://github.com/citation-style-language/schema/raw/master/csl-citation.json"} </w:instrText>
      </w:r>
      <w:r w:rsidR="00501E03">
        <w:fldChar w:fldCharType="separate"/>
      </w:r>
      <w:r w:rsidR="00501E03" w:rsidRPr="00AF4DE1">
        <w:rPr>
          <w:rFonts w:ascii="Aptos" w:hAnsi="Aptos"/>
        </w:rPr>
        <w:t>[49]</w:t>
      </w:r>
      <w:r w:rsidR="00501E03">
        <w:fldChar w:fldCharType="end"/>
      </w:r>
      <w:r w:rsidR="00501E03" w:rsidRPr="00AF4DE1">
        <w:t xml:space="preserve"> </w:t>
      </w:r>
      <w:r w:rsidR="00501E03">
        <w:t xml:space="preserve">, </w:t>
      </w:r>
      <w:r w:rsidR="00501E03">
        <w:fldChar w:fldCharType="begin"/>
      </w:r>
      <w:r w:rsidR="00501E03">
        <w:instrText xml:space="preserve"> ADDIN ZOTERO_ITEM CSL_CITATION {"citationID":"ptKM9uGr","properties":{"formattedCitation":"[50]","plainCitation":"[50]","noteIndex":0},"citationItems":[{"id":419,"uris":["http://zotero.org/users/17573427/items/CSAFEEAP"],"itemData":{"id":419,"type":"article-journal","abstract":"Although large language models (LLMs) has shown great performance on natural language processing (NLP) in the financial domain, there are no publicly available financial tailtored LLMs, instruction tuning datasets, and evaluation benchmarks, which is critical for continually pushing forward the open-source development of financial artificial intelligence (AI). This paper introduces PIXIU, a comprehensive framework including the first financial LLM based on fine-tuning LLaMA with instruction data, the first instruction data with 136K data samples to support the finetuning, and an evaluation benchmark with 5 tasks and 9 datasets. We first construct the large-scale multi-task instruction data considering a variety of financial tasks, financial document types, and financial data modalities. We then propose a financial LLM called FinMA by fine-tuning LLaMA with the constructed dataset to be able to follow instructions for various financial tasks. To support the evaluation of financial LLMs, we propose a standardized benchmark that covers a set of critical financial tasks, including five financial NLP tasks and one financial prediction task. With this benchmark, we conduct a detailed analysis of FinMA and several existing LLMs, uncovering their strengths and weaknesses in handling critical financial tasks. The model, datasets, benchmark, and experimental results are open-sourced 1 to facilitate future research in financial AI.","language":"en","source":"Zotero","title":"PIXIU: A Large Language Model, Instruction Data and Evaluation Benchmark for Finance","author":[{"family":"Xie","given":"Qianqian"},{"family":"Han","given":"Weiguang"},{"family":"Zhang","given":"Xiao"},{"family":"Lai","given":"Yanzhao"},{"family":"Peng","given":"Min"},{"family":"Lopez-Lira","given":"Alejandro"},{"family":"Huang","given":"Jimin"}]}}],"schema":"https://github.com/citation-style-language/schema/raw/master/csl-citation.json"} </w:instrText>
      </w:r>
      <w:r w:rsidR="00501E03">
        <w:fldChar w:fldCharType="separate"/>
      </w:r>
      <w:r w:rsidR="00501E03" w:rsidRPr="00AF4DE1">
        <w:rPr>
          <w:rFonts w:ascii="Aptos" w:hAnsi="Aptos"/>
        </w:rPr>
        <w:t>[50]</w:t>
      </w:r>
      <w:r w:rsidR="00501E03">
        <w:fldChar w:fldCharType="end"/>
      </w:r>
      <w:r w:rsidR="00501E03" w:rsidRPr="00AF4DE1">
        <w:t xml:space="preserve"> </w:t>
      </w:r>
      <w:r w:rsidR="00501E03">
        <w:t xml:space="preserve">, </w:t>
      </w:r>
      <w:r w:rsidR="00501E03">
        <w:fldChar w:fldCharType="begin"/>
      </w:r>
      <w:r w:rsidR="00501E03">
        <w:instrText xml:space="preserve"> ADDIN ZOTERO_ITEM CSL_CITATION {"citationID":"WEsNgiQj","properties":{"formattedCitation":"[51]","plainCitation":"[51]","noteIndex":0},"citationItems":[{"id":420,"uris":["http://zotero.org/users/17573427/items/8RCAG657"],"itemData":{"id":420,"type":"paper-conference","abstract":"Recently, Large Language Models (LLMs) have attracted significant attention for their exceptional performance across a broad range of tasks, particularly in text analysis. However, the finance sector presents a distinct challenge due to its dependence on time-series data for complex forecasting tasks. In this study, we introduce a novel framework called LLMFactor, which employs Sequential Knowledge-Guided Prompting (SKGP) to identify factors that influence stock movements using LLMs. Unlike previous methods that relied on keyphrases or sentiment analysis, this approach focuses on extracting factors more directly related to stock market dynamics, providing clear explanations for complex temporal changes. Our framework directs the LLMs to create background knowledge through a fill-in-the-blank strategy and then discerns potential factors affecting stock prices from related news. Guided by background knowledge and identified factors, we leverage historical stock prices in textual format to predict stock movement. An extensive evaluation of the LLMFactor framework across four benchmark datasets from both the U.S. and Chinese stock markets demonstrates its superiority over existing state-of-the-art methods and its effectiveness in financial time-series forecasting.","container-title":"Findings of the Association for Computational Linguistics ACL 2024","DOI":"10.18653/v1/2024.findings-acl.185","event-title":"Findings of the Association for Computational Linguistics ACL 2024","language":"en","page":"3120-3131","publisher":"Association for Computational Linguistics","publisher-place":"Bangkok, Thailand and virtual meeting","source":"DOI.org (Crossref)","title":"LLMFactor: Extracting Profitable Factors through Prompts for Explainable Stock Movement Prediction","title-short":"LLMFactor","URL":"https://aclanthology.org/2024.findings-acl.185","author":[{"family":"Wang","given":"Meiyun"},{"family":"Izumi","given":"Kiyoshi"},{"family":"Sakaji","given":"Hiroki"}],"accessed":{"date-parts":[["2026",4,6]]},"issued":{"date-parts":[["2024"]]}}}],"schema":"https://github.com/citation-style-language/schema/raw/master/csl-citation.json"} </w:instrText>
      </w:r>
      <w:r w:rsidR="00501E03">
        <w:fldChar w:fldCharType="separate"/>
      </w:r>
      <w:r w:rsidR="00501E03" w:rsidRPr="00501E03">
        <w:rPr>
          <w:rFonts w:ascii="Aptos" w:hAnsi="Aptos"/>
        </w:rPr>
        <w:t>[51]</w:t>
      </w:r>
      <w:r w:rsidR="00501E03">
        <w:fldChar w:fldCharType="end"/>
      </w:r>
      <w:r w:rsidR="00501E03" w:rsidRPr="00AF4DE1">
        <w:t xml:space="preserve"> </w:t>
      </w:r>
      <w:r w:rsidR="00501E03">
        <w:t xml:space="preserve">, </w:t>
      </w:r>
      <w:r w:rsidR="00F12196">
        <w:fldChar w:fldCharType="begin"/>
      </w:r>
      <w:r w:rsidR="00F12196">
        <w:instrText xml:space="preserve"> ADDIN ZOTERO_ITEM CSL_CITATION {"citationID":"fn6ZoOVq","properties":{"formattedCitation":"[52]","plainCitation":"[52]","noteIndex":0},"citationItems":[{"id":421,"uris":["http://zotero.org/users/17573427/items/NMAQISMW"],"itemData":{"id":421,"type":"paper-conference","abstract":"Explaining stock predictions is generally a difficult task for traditional non-generative deep learning models, where explanations are limited to visualizing the attention weights on important texts. Today, Large Language Models (LLMs) present a solution to this problem, given their known capabilities to generate human-readable explanations for their decision-making process. However, the task of stock prediction remains challenging for LLMs, as it requires the ability to weigh the varying impacts of chaotic social texts on stock prices. The problem gets progressively harder with the introduction of the explanation component, which requires LLMs to explain verbally why certain factors are more important than the others. On the other hand, to fine-tune LLMs for such a task, one would need expert-annotated samples of explanation for every stock movement in the training set, which is expensive and impractical to scale.","container-title":"Proceedings of the ACM Web Conference 2024","DOI":"10.1145/3589334.3645611","event-title":"WWW '24: The ACM Web Conference 2024","ISBN":"979-8-4007-0171-9","language":"en","page":"4304-4315","publisher":"ACM","publisher-place":"Singapore Singapore","source":"DOI.org (Crossref)","title":"Learning to Generate Explainable Stock Predictions using Self-Reflective Large Language Models","URL":"https://dl.acm.org/doi/10.1145/3589334.3645611","author":[{"family":"Koa","given":"Kelvin J.L."},{"family":"Ma","given":"Yunshan"},{"family":"Ng","given":"Ritchie"},{"family":"Chua","given":"Tat-Seng"}],"accessed":{"date-parts":[["2026",4,6]]},"issued":{"date-parts":[["2024",5,13]]}}}],"schema":"https://github.com/citation-style-language/schema/raw/master/csl-citation.json"} </w:instrText>
      </w:r>
      <w:r w:rsidR="00F12196">
        <w:fldChar w:fldCharType="separate"/>
      </w:r>
      <w:r w:rsidR="00F12196" w:rsidRPr="00501E03">
        <w:rPr>
          <w:rFonts w:ascii="Aptos" w:hAnsi="Aptos"/>
        </w:rPr>
        <w:t>[52]</w:t>
      </w:r>
      <w:r w:rsidR="00F12196">
        <w:fldChar w:fldCharType="end"/>
      </w:r>
      <w:r w:rsidRPr="00AF4DE1">
        <w:t>. These gaps directly motivate the proposed framework combining multiple specialised agents with dynamic prompt optimisation based on real portfolio performance.</w:t>
      </w:r>
    </w:p>
    <w:p w14:paraId="05CF541D" w14:textId="77777777" w:rsidR="00DB70D7" w:rsidRDefault="00DB70D7" w:rsidP="00A22B21"/>
    <w:p w14:paraId="4B43DEC5" w14:textId="77777777" w:rsidR="0098769A" w:rsidRDefault="0098769A" w:rsidP="00E151F3">
      <w:pPr>
        <w:pStyle w:val="Heading3"/>
        <w:sectPr w:rsidR="0098769A" w:rsidSect="0098769A">
          <w:headerReference w:type="default" r:id="rId24"/>
          <w:footerReference w:type="default" r:id="rId25"/>
          <w:pgSz w:w="11906" w:h="16838"/>
          <w:pgMar w:top="1440" w:right="1440" w:bottom="1440" w:left="1440" w:header="709" w:footer="709" w:gutter="0"/>
          <w:cols w:space="708"/>
          <w:docGrid w:linePitch="360"/>
        </w:sectPr>
      </w:pPr>
    </w:p>
    <w:p w14:paraId="5A334568" w14:textId="77777777" w:rsidR="005578CE" w:rsidRDefault="005578CE" w:rsidP="00D32185">
      <w:pPr>
        <w:pStyle w:val="Heading3"/>
        <w:jc w:val="both"/>
      </w:pPr>
      <w:bookmarkStart w:id="34" w:name="_Toc228577622"/>
      <w:r>
        <w:lastRenderedPageBreak/>
        <w:t>2.7 Research Gap Table</w:t>
      </w:r>
      <w:bookmarkEnd w:id="34"/>
      <w:r>
        <w:t xml:space="preserve"> </w:t>
      </w:r>
    </w:p>
    <w:p w14:paraId="55391904" w14:textId="77777777" w:rsidR="00E151F3" w:rsidRDefault="00E151F3" w:rsidP="00D32185">
      <w:pPr>
        <w:jc w:val="both"/>
      </w:pPr>
    </w:p>
    <w:p w14:paraId="7D71580A" w14:textId="1973C399" w:rsidR="0007750C" w:rsidRDefault="0007750C" w:rsidP="00D32185">
      <w:pPr>
        <w:jc w:val="both"/>
      </w:pPr>
      <w:r>
        <w:t xml:space="preserve">Below </w:t>
      </w:r>
      <w:r w:rsidR="00AF43DA">
        <w:t>is</w:t>
      </w:r>
      <w:r>
        <w:t xml:space="preserve"> the top-10 research </w:t>
      </w:r>
      <w:r w:rsidR="00AF43DA">
        <w:t>that I find most useful for my state-of-art.</w:t>
      </w:r>
    </w:p>
    <w:p w14:paraId="33307513" w14:textId="77777777" w:rsidR="0098769A" w:rsidRDefault="0098769A" w:rsidP="00D32185">
      <w:pPr>
        <w:jc w:val="both"/>
      </w:pPr>
    </w:p>
    <w:tbl>
      <w:tblPr>
        <w:tblW w:w="5004" w:type="pct"/>
        <w:tblInd w:w="-5" w:type="dxa"/>
        <w:tblLayout w:type="fixed"/>
        <w:tblLook w:val="04A0" w:firstRow="1" w:lastRow="0" w:firstColumn="1" w:lastColumn="0" w:noHBand="0" w:noVBand="1"/>
      </w:tblPr>
      <w:tblGrid>
        <w:gridCol w:w="706"/>
        <w:gridCol w:w="1711"/>
        <w:gridCol w:w="1731"/>
        <w:gridCol w:w="1773"/>
        <w:gridCol w:w="1284"/>
        <w:gridCol w:w="1346"/>
        <w:gridCol w:w="1614"/>
        <w:gridCol w:w="1974"/>
        <w:gridCol w:w="1820"/>
      </w:tblGrid>
      <w:tr w:rsidR="00BA3C64" w:rsidRPr="0006137E" w14:paraId="6EE94E50" w14:textId="77777777" w:rsidTr="00BA3C64">
        <w:trPr>
          <w:trHeight w:val="600"/>
        </w:trPr>
        <w:tc>
          <w:tcPr>
            <w:tcW w:w="5000" w:type="pct"/>
            <w:gridSpan w:val="9"/>
            <w:tcBorders>
              <w:top w:val="single" w:sz="4" w:space="0" w:color="auto"/>
              <w:left w:val="single" w:sz="4" w:space="0" w:color="auto"/>
              <w:bottom w:val="single" w:sz="4" w:space="0" w:color="auto"/>
              <w:right w:val="single" w:sz="4" w:space="0" w:color="auto"/>
            </w:tcBorders>
            <w:shd w:val="clear" w:color="C4D79B" w:fill="C4D79B"/>
            <w:vAlign w:val="center"/>
          </w:tcPr>
          <w:p w14:paraId="55A325AD" w14:textId="0601100C" w:rsidR="00BA3C64" w:rsidRPr="00BA3C64" w:rsidRDefault="00BA3C64" w:rsidP="00BA3C64">
            <w:pPr>
              <w:spacing w:after="0" w:line="240" w:lineRule="auto"/>
              <w:jc w:val="center"/>
              <w:rPr>
                <w:rFonts w:ascii="Calibri" w:eastAsia="Times New Roman" w:hAnsi="Calibri" w:cs="Calibri"/>
                <w:b/>
                <w:bCs/>
                <w:color w:val="3A7C22" w:themeColor="accent6" w:themeShade="BF"/>
                <w:sz w:val="20"/>
                <w:szCs w:val="20"/>
                <w:lang w:eastAsia="en-IN"/>
              </w:rPr>
            </w:pPr>
            <w:r w:rsidRPr="00BA3C64">
              <w:rPr>
                <w:rFonts w:ascii="Calibri" w:eastAsia="Times New Roman" w:hAnsi="Calibri" w:cs="Calibri"/>
                <w:b/>
                <w:bCs/>
                <w:color w:val="3A7C22" w:themeColor="accent6" w:themeShade="BF"/>
                <w:sz w:val="24"/>
                <w:szCs w:val="24"/>
                <w:lang w:eastAsia="en-IN"/>
              </w:rPr>
              <w:t>Summary of the Literature Review</w:t>
            </w:r>
          </w:p>
        </w:tc>
      </w:tr>
      <w:tr w:rsidR="0098769A" w:rsidRPr="0006137E" w14:paraId="11921ACF" w14:textId="77777777" w:rsidTr="00BA3C64">
        <w:trPr>
          <w:trHeight w:val="600"/>
        </w:trPr>
        <w:tc>
          <w:tcPr>
            <w:tcW w:w="253" w:type="pct"/>
            <w:tcBorders>
              <w:top w:val="single" w:sz="4" w:space="0" w:color="auto"/>
              <w:left w:val="single" w:sz="4" w:space="0" w:color="auto"/>
              <w:bottom w:val="single" w:sz="4" w:space="0" w:color="auto"/>
              <w:right w:val="single" w:sz="4" w:space="0" w:color="auto"/>
            </w:tcBorders>
            <w:shd w:val="clear" w:color="C4D79B" w:fill="C4D79B"/>
            <w:vAlign w:val="center"/>
            <w:hideMark/>
          </w:tcPr>
          <w:p w14:paraId="5CDAD310" w14:textId="77777777" w:rsidR="0098769A" w:rsidRPr="0006137E" w:rsidRDefault="0098769A" w:rsidP="00BA3C64">
            <w:pPr>
              <w:spacing w:after="0" w:line="240" w:lineRule="auto"/>
              <w:jc w:val="center"/>
              <w:rPr>
                <w:rFonts w:ascii="Calibri" w:eastAsia="Times New Roman" w:hAnsi="Calibri" w:cs="Calibri"/>
                <w:b/>
                <w:bCs/>
                <w:sz w:val="20"/>
                <w:szCs w:val="20"/>
                <w:lang w:eastAsia="en-IN"/>
              </w:rPr>
            </w:pPr>
            <w:r w:rsidRPr="0006137E">
              <w:rPr>
                <w:rFonts w:ascii="Calibri" w:eastAsia="Times New Roman" w:hAnsi="Calibri" w:cs="Calibri"/>
                <w:b/>
                <w:bCs/>
                <w:sz w:val="20"/>
                <w:szCs w:val="20"/>
                <w:lang w:eastAsia="en-IN"/>
              </w:rPr>
              <w:t>No.</w:t>
            </w:r>
          </w:p>
        </w:tc>
        <w:tc>
          <w:tcPr>
            <w:tcW w:w="613" w:type="pct"/>
            <w:tcBorders>
              <w:top w:val="single" w:sz="4" w:space="0" w:color="auto"/>
              <w:left w:val="nil"/>
              <w:bottom w:val="single" w:sz="4" w:space="0" w:color="auto"/>
              <w:right w:val="single" w:sz="4" w:space="0" w:color="auto"/>
            </w:tcBorders>
            <w:shd w:val="clear" w:color="C4D79B" w:fill="C4D79B"/>
            <w:vAlign w:val="center"/>
            <w:hideMark/>
          </w:tcPr>
          <w:p w14:paraId="51DFF44A" w14:textId="77777777" w:rsidR="0098769A" w:rsidRPr="0006137E" w:rsidRDefault="0098769A" w:rsidP="00BA3C64">
            <w:pPr>
              <w:spacing w:after="0" w:line="240" w:lineRule="auto"/>
              <w:jc w:val="center"/>
              <w:rPr>
                <w:rFonts w:ascii="Calibri" w:eastAsia="Times New Roman" w:hAnsi="Calibri" w:cs="Calibri"/>
                <w:b/>
                <w:bCs/>
                <w:sz w:val="20"/>
                <w:szCs w:val="20"/>
                <w:lang w:eastAsia="en-IN"/>
              </w:rPr>
            </w:pPr>
            <w:r w:rsidRPr="0006137E">
              <w:rPr>
                <w:rFonts w:ascii="Calibri" w:eastAsia="Times New Roman" w:hAnsi="Calibri" w:cs="Calibri"/>
                <w:b/>
                <w:bCs/>
                <w:sz w:val="20"/>
                <w:szCs w:val="20"/>
                <w:lang w:eastAsia="en-IN"/>
              </w:rPr>
              <w:t>Category</w:t>
            </w:r>
          </w:p>
        </w:tc>
        <w:tc>
          <w:tcPr>
            <w:tcW w:w="620" w:type="pct"/>
            <w:tcBorders>
              <w:top w:val="single" w:sz="4" w:space="0" w:color="auto"/>
              <w:left w:val="nil"/>
              <w:bottom w:val="single" w:sz="4" w:space="0" w:color="auto"/>
              <w:right w:val="single" w:sz="4" w:space="0" w:color="auto"/>
            </w:tcBorders>
            <w:shd w:val="clear" w:color="C4D79B" w:fill="C4D79B"/>
            <w:vAlign w:val="center"/>
            <w:hideMark/>
          </w:tcPr>
          <w:p w14:paraId="17AB8ECE" w14:textId="77777777" w:rsidR="0098769A" w:rsidRPr="0006137E" w:rsidRDefault="0098769A" w:rsidP="00BA3C64">
            <w:pPr>
              <w:spacing w:after="0" w:line="240" w:lineRule="auto"/>
              <w:jc w:val="center"/>
              <w:rPr>
                <w:rFonts w:ascii="Calibri" w:eastAsia="Times New Roman" w:hAnsi="Calibri" w:cs="Calibri"/>
                <w:b/>
                <w:bCs/>
                <w:sz w:val="20"/>
                <w:szCs w:val="20"/>
                <w:lang w:eastAsia="en-IN"/>
              </w:rPr>
            </w:pPr>
            <w:r w:rsidRPr="0006137E">
              <w:rPr>
                <w:rFonts w:ascii="Calibri" w:eastAsia="Times New Roman" w:hAnsi="Calibri" w:cs="Calibri"/>
                <w:b/>
                <w:bCs/>
                <w:sz w:val="20"/>
                <w:szCs w:val="20"/>
                <w:lang w:eastAsia="en-IN"/>
              </w:rPr>
              <w:t>Title</w:t>
            </w:r>
          </w:p>
        </w:tc>
        <w:tc>
          <w:tcPr>
            <w:tcW w:w="635" w:type="pct"/>
            <w:tcBorders>
              <w:top w:val="single" w:sz="4" w:space="0" w:color="auto"/>
              <w:left w:val="nil"/>
              <w:bottom w:val="single" w:sz="4" w:space="0" w:color="auto"/>
              <w:right w:val="single" w:sz="4" w:space="0" w:color="auto"/>
            </w:tcBorders>
            <w:shd w:val="clear" w:color="C4D79B" w:fill="C4D79B"/>
            <w:vAlign w:val="center"/>
            <w:hideMark/>
          </w:tcPr>
          <w:p w14:paraId="2B923919" w14:textId="77777777" w:rsidR="0098769A" w:rsidRPr="0006137E" w:rsidRDefault="0098769A" w:rsidP="00BA3C64">
            <w:pPr>
              <w:spacing w:after="0" w:line="240" w:lineRule="auto"/>
              <w:jc w:val="center"/>
              <w:rPr>
                <w:rFonts w:ascii="Calibri" w:eastAsia="Times New Roman" w:hAnsi="Calibri" w:cs="Calibri"/>
                <w:b/>
                <w:bCs/>
                <w:sz w:val="20"/>
                <w:szCs w:val="20"/>
                <w:lang w:eastAsia="en-IN"/>
              </w:rPr>
            </w:pPr>
            <w:r w:rsidRPr="0006137E">
              <w:rPr>
                <w:rFonts w:ascii="Calibri" w:eastAsia="Times New Roman" w:hAnsi="Calibri" w:cs="Calibri"/>
                <w:b/>
                <w:bCs/>
                <w:sz w:val="20"/>
                <w:szCs w:val="20"/>
                <w:lang w:eastAsia="en-IN"/>
              </w:rPr>
              <w:t>Author(s)</w:t>
            </w:r>
          </w:p>
        </w:tc>
        <w:tc>
          <w:tcPr>
            <w:tcW w:w="460" w:type="pct"/>
            <w:tcBorders>
              <w:top w:val="single" w:sz="4" w:space="0" w:color="auto"/>
              <w:left w:val="nil"/>
              <w:bottom w:val="single" w:sz="4" w:space="0" w:color="auto"/>
              <w:right w:val="single" w:sz="4" w:space="0" w:color="auto"/>
            </w:tcBorders>
            <w:shd w:val="clear" w:color="C4D79B" w:fill="C4D79B"/>
            <w:vAlign w:val="center"/>
            <w:hideMark/>
          </w:tcPr>
          <w:p w14:paraId="23A539C4" w14:textId="77777777" w:rsidR="0098769A" w:rsidRPr="0006137E" w:rsidRDefault="0098769A" w:rsidP="00BA3C64">
            <w:pPr>
              <w:spacing w:after="0" w:line="240" w:lineRule="auto"/>
              <w:jc w:val="center"/>
              <w:rPr>
                <w:rFonts w:ascii="Calibri" w:eastAsia="Times New Roman" w:hAnsi="Calibri" w:cs="Calibri"/>
                <w:b/>
                <w:bCs/>
                <w:sz w:val="20"/>
                <w:szCs w:val="20"/>
                <w:lang w:eastAsia="en-IN"/>
              </w:rPr>
            </w:pPr>
            <w:r w:rsidRPr="0006137E">
              <w:rPr>
                <w:rFonts w:ascii="Calibri" w:eastAsia="Times New Roman" w:hAnsi="Calibri" w:cs="Calibri"/>
                <w:b/>
                <w:bCs/>
                <w:sz w:val="20"/>
                <w:szCs w:val="20"/>
                <w:lang w:eastAsia="en-IN"/>
              </w:rPr>
              <w:t>Year of Publication</w:t>
            </w:r>
          </w:p>
        </w:tc>
        <w:tc>
          <w:tcPr>
            <w:tcW w:w="482" w:type="pct"/>
            <w:tcBorders>
              <w:top w:val="single" w:sz="4" w:space="0" w:color="auto"/>
              <w:left w:val="nil"/>
              <w:bottom w:val="single" w:sz="4" w:space="0" w:color="auto"/>
              <w:right w:val="single" w:sz="4" w:space="0" w:color="auto"/>
            </w:tcBorders>
            <w:shd w:val="clear" w:color="C4D79B" w:fill="C4D79B"/>
            <w:vAlign w:val="center"/>
            <w:hideMark/>
          </w:tcPr>
          <w:p w14:paraId="14A5EB33" w14:textId="77777777" w:rsidR="0098769A" w:rsidRPr="0006137E" w:rsidRDefault="0098769A" w:rsidP="00BA3C64">
            <w:pPr>
              <w:spacing w:after="0" w:line="240" w:lineRule="auto"/>
              <w:jc w:val="center"/>
              <w:rPr>
                <w:rFonts w:ascii="Calibri" w:eastAsia="Times New Roman" w:hAnsi="Calibri" w:cs="Calibri"/>
                <w:b/>
                <w:bCs/>
                <w:sz w:val="20"/>
                <w:szCs w:val="20"/>
                <w:lang w:eastAsia="en-IN"/>
              </w:rPr>
            </w:pPr>
            <w:r w:rsidRPr="0006137E">
              <w:rPr>
                <w:rFonts w:ascii="Calibri" w:eastAsia="Times New Roman" w:hAnsi="Calibri" w:cs="Calibri"/>
                <w:b/>
                <w:bCs/>
                <w:sz w:val="20"/>
                <w:szCs w:val="20"/>
                <w:lang w:eastAsia="en-IN"/>
              </w:rPr>
              <w:t>Journal Name</w:t>
            </w:r>
          </w:p>
        </w:tc>
        <w:tc>
          <w:tcPr>
            <w:tcW w:w="578" w:type="pct"/>
            <w:tcBorders>
              <w:top w:val="single" w:sz="4" w:space="0" w:color="auto"/>
              <w:left w:val="nil"/>
              <w:bottom w:val="single" w:sz="4" w:space="0" w:color="auto"/>
              <w:right w:val="single" w:sz="4" w:space="0" w:color="auto"/>
            </w:tcBorders>
            <w:shd w:val="clear" w:color="C4D79B" w:fill="C4D79B"/>
            <w:vAlign w:val="center"/>
            <w:hideMark/>
          </w:tcPr>
          <w:p w14:paraId="3C3CB295" w14:textId="77777777" w:rsidR="0098769A" w:rsidRPr="0006137E" w:rsidRDefault="0098769A" w:rsidP="00BA3C64">
            <w:pPr>
              <w:spacing w:after="0" w:line="240" w:lineRule="auto"/>
              <w:jc w:val="center"/>
              <w:rPr>
                <w:rFonts w:ascii="Calibri" w:eastAsia="Times New Roman" w:hAnsi="Calibri" w:cs="Calibri"/>
                <w:b/>
                <w:bCs/>
                <w:sz w:val="20"/>
                <w:szCs w:val="20"/>
                <w:lang w:eastAsia="en-IN"/>
              </w:rPr>
            </w:pPr>
            <w:r w:rsidRPr="0006137E">
              <w:rPr>
                <w:rFonts w:ascii="Calibri" w:eastAsia="Times New Roman" w:hAnsi="Calibri" w:cs="Calibri"/>
                <w:b/>
                <w:bCs/>
                <w:sz w:val="20"/>
                <w:szCs w:val="20"/>
                <w:lang w:eastAsia="en-IN"/>
              </w:rPr>
              <w:t>Findings</w:t>
            </w:r>
          </w:p>
        </w:tc>
        <w:tc>
          <w:tcPr>
            <w:tcW w:w="707" w:type="pct"/>
            <w:tcBorders>
              <w:top w:val="single" w:sz="4" w:space="0" w:color="auto"/>
              <w:left w:val="nil"/>
              <w:bottom w:val="single" w:sz="4" w:space="0" w:color="auto"/>
              <w:right w:val="single" w:sz="4" w:space="0" w:color="auto"/>
            </w:tcBorders>
            <w:shd w:val="clear" w:color="C4D79B" w:fill="C4D79B"/>
            <w:vAlign w:val="center"/>
            <w:hideMark/>
          </w:tcPr>
          <w:p w14:paraId="7F9BDAA9" w14:textId="77777777" w:rsidR="0098769A" w:rsidRPr="0006137E" w:rsidRDefault="0098769A" w:rsidP="00BA3C64">
            <w:pPr>
              <w:spacing w:after="0" w:line="240" w:lineRule="auto"/>
              <w:jc w:val="center"/>
              <w:rPr>
                <w:rFonts w:ascii="Calibri" w:eastAsia="Times New Roman" w:hAnsi="Calibri" w:cs="Calibri"/>
                <w:b/>
                <w:bCs/>
                <w:sz w:val="20"/>
                <w:szCs w:val="20"/>
                <w:lang w:eastAsia="en-IN"/>
              </w:rPr>
            </w:pPr>
            <w:r w:rsidRPr="0006137E">
              <w:rPr>
                <w:rFonts w:ascii="Calibri" w:eastAsia="Times New Roman" w:hAnsi="Calibri" w:cs="Calibri"/>
                <w:b/>
                <w:bCs/>
                <w:sz w:val="20"/>
                <w:szCs w:val="20"/>
                <w:lang w:eastAsia="en-IN"/>
              </w:rPr>
              <w:t>Relevance to my research</w:t>
            </w:r>
          </w:p>
        </w:tc>
        <w:tc>
          <w:tcPr>
            <w:tcW w:w="652" w:type="pct"/>
            <w:tcBorders>
              <w:top w:val="single" w:sz="4" w:space="0" w:color="auto"/>
              <w:left w:val="nil"/>
              <w:bottom w:val="single" w:sz="4" w:space="0" w:color="auto"/>
              <w:right w:val="single" w:sz="4" w:space="0" w:color="auto"/>
            </w:tcBorders>
            <w:shd w:val="clear" w:color="C4D79B" w:fill="C4D79B"/>
            <w:vAlign w:val="center"/>
            <w:hideMark/>
          </w:tcPr>
          <w:p w14:paraId="1920921D" w14:textId="77777777" w:rsidR="0098769A" w:rsidRPr="0006137E" w:rsidRDefault="0098769A" w:rsidP="00BA3C64">
            <w:pPr>
              <w:spacing w:after="0" w:line="240" w:lineRule="auto"/>
              <w:jc w:val="center"/>
              <w:rPr>
                <w:rFonts w:ascii="Calibri" w:eastAsia="Times New Roman" w:hAnsi="Calibri" w:cs="Calibri"/>
                <w:b/>
                <w:bCs/>
                <w:sz w:val="20"/>
                <w:szCs w:val="20"/>
                <w:lang w:eastAsia="en-IN"/>
              </w:rPr>
            </w:pPr>
            <w:r w:rsidRPr="0006137E">
              <w:rPr>
                <w:rFonts w:ascii="Calibri" w:eastAsia="Times New Roman" w:hAnsi="Calibri" w:cs="Calibri"/>
                <w:b/>
                <w:bCs/>
                <w:sz w:val="20"/>
                <w:szCs w:val="20"/>
                <w:lang w:eastAsia="en-IN"/>
              </w:rPr>
              <w:t>Gap analysis</w:t>
            </w:r>
          </w:p>
        </w:tc>
      </w:tr>
      <w:tr w:rsidR="0098769A" w:rsidRPr="0006137E" w14:paraId="0F1885BD" w14:textId="77777777" w:rsidTr="00BA3C64">
        <w:trPr>
          <w:trHeight w:val="2000"/>
        </w:trPr>
        <w:tc>
          <w:tcPr>
            <w:tcW w:w="253" w:type="pct"/>
            <w:tcBorders>
              <w:top w:val="nil"/>
              <w:left w:val="single" w:sz="4" w:space="0" w:color="auto"/>
              <w:bottom w:val="single" w:sz="4" w:space="0" w:color="auto"/>
              <w:right w:val="single" w:sz="4" w:space="0" w:color="auto"/>
            </w:tcBorders>
            <w:hideMark/>
          </w:tcPr>
          <w:p w14:paraId="2D1B3A7C"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1</w:t>
            </w:r>
          </w:p>
        </w:tc>
        <w:tc>
          <w:tcPr>
            <w:tcW w:w="613" w:type="pct"/>
            <w:tcBorders>
              <w:top w:val="nil"/>
              <w:left w:val="nil"/>
              <w:bottom w:val="single" w:sz="4" w:space="0" w:color="auto"/>
              <w:right w:val="single" w:sz="4" w:space="0" w:color="auto"/>
            </w:tcBorders>
            <w:hideMark/>
          </w:tcPr>
          <w:p w14:paraId="089F853C"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Multi-Agent Trading</w:t>
            </w:r>
          </w:p>
        </w:tc>
        <w:tc>
          <w:tcPr>
            <w:tcW w:w="620" w:type="pct"/>
            <w:tcBorders>
              <w:top w:val="nil"/>
              <w:left w:val="nil"/>
              <w:bottom w:val="single" w:sz="4" w:space="0" w:color="auto"/>
              <w:right w:val="single" w:sz="4" w:space="0" w:color="auto"/>
            </w:tcBorders>
            <w:hideMark/>
          </w:tcPr>
          <w:p w14:paraId="6AC70EA2"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TradingAgents</w:t>
            </w:r>
            <w:proofErr w:type="spellEnd"/>
            <w:r w:rsidRPr="0006137E">
              <w:rPr>
                <w:rFonts w:ascii="Calibri" w:eastAsia="Times New Roman" w:hAnsi="Calibri" w:cs="Calibri"/>
                <w:sz w:val="18"/>
                <w:szCs w:val="18"/>
                <w:lang w:eastAsia="en-IN"/>
              </w:rPr>
              <w:t>: Multi-Agents LLM Financial Trading Framework</w:t>
            </w:r>
          </w:p>
        </w:tc>
        <w:tc>
          <w:tcPr>
            <w:tcW w:w="635" w:type="pct"/>
            <w:tcBorders>
              <w:top w:val="nil"/>
              <w:left w:val="nil"/>
              <w:bottom w:val="single" w:sz="4" w:space="0" w:color="auto"/>
              <w:right w:val="single" w:sz="4" w:space="0" w:color="auto"/>
            </w:tcBorders>
            <w:hideMark/>
          </w:tcPr>
          <w:p w14:paraId="718953C3"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Xiao, Sun, Luo, Wang</w:t>
            </w:r>
          </w:p>
        </w:tc>
        <w:tc>
          <w:tcPr>
            <w:tcW w:w="460" w:type="pct"/>
            <w:tcBorders>
              <w:top w:val="nil"/>
              <w:left w:val="nil"/>
              <w:bottom w:val="single" w:sz="4" w:space="0" w:color="auto"/>
              <w:right w:val="single" w:sz="4" w:space="0" w:color="auto"/>
            </w:tcBorders>
            <w:hideMark/>
          </w:tcPr>
          <w:p w14:paraId="3C5F43D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202</w:t>
            </w:r>
            <w:r>
              <w:rPr>
                <w:rFonts w:ascii="Calibri" w:eastAsia="Times New Roman" w:hAnsi="Calibri" w:cs="Calibri"/>
                <w:sz w:val="18"/>
                <w:szCs w:val="18"/>
                <w:lang w:eastAsia="en-IN"/>
              </w:rPr>
              <w:t>5</w:t>
            </w:r>
          </w:p>
        </w:tc>
        <w:tc>
          <w:tcPr>
            <w:tcW w:w="482" w:type="pct"/>
            <w:tcBorders>
              <w:top w:val="nil"/>
              <w:left w:val="nil"/>
              <w:bottom w:val="single" w:sz="4" w:space="0" w:color="auto"/>
              <w:right w:val="single" w:sz="4" w:space="0" w:color="auto"/>
            </w:tcBorders>
            <w:hideMark/>
          </w:tcPr>
          <w:p w14:paraId="2DBB885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arXiv</w:t>
            </w:r>
            <w:proofErr w:type="spellEnd"/>
          </w:p>
        </w:tc>
        <w:tc>
          <w:tcPr>
            <w:tcW w:w="578" w:type="pct"/>
            <w:tcBorders>
              <w:top w:val="nil"/>
              <w:left w:val="nil"/>
              <w:bottom w:val="single" w:sz="4" w:space="0" w:color="auto"/>
              <w:right w:val="single" w:sz="4" w:space="0" w:color="auto"/>
            </w:tcBorders>
            <w:hideMark/>
          </w:tcPr>
          <w:p w14:paraId="0E6B6D7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Introduced a multi-agent framework with specialised roles (Analyst, Researcher, Trader, Risk Manager) that outperformed buy-and-hold strategies with Sharpe ratios above 8.0 during calm market periods.</w:t>
            </w:r>
          </w:p>
        </w:tc>
        <w:tc>
          <w:tcPr>
            <w:tcW w:w="707" w:type="pct"/>
            <w:tcBorders>
              <w:top w:val="nil"/>
              <w:left w:val="nil"/>
              <w:bottom w:val="single" w:sz="4" w:space="0" w:color="auto"/>
              <w:right w:val="single" w:sz="4" w:space="0" w:color="auto"/>
            </w:tcBorders>
            <w:hideMark/>
          </w:tcPr>
          <w:p w14:paraId="4A54517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This paper underpins my research by demonstrating that multi-agent architectures with role specialisation can improve trading performance compared to single-model approaches. The division of labour concept directly informs my 7-agent design.</w:t>
            </w:r>
          </w:p>
        </w:tc>
        <w:tc>
          <w:tcPr>
            <w:tcW w:w="652" w:type="pct"/>
            <w:tcBorders>
              <w:top w:val="nil"/>
              <w:left w:val="nil"/>
              <w:bottom w:val="single" w:sz="4" w:space="0" w:color="auto"/>
              <w:right w:val="single" w:sz="4" w:space="0" w:color="auto"/>
            </w:tcBorders>
            <w:hideMark/>
          </w:tcPr>
          <w:p w14:paraId="1FC62224"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The research gap is that </w:t>
            </w:r>
            <w:proofErr w:type="spellStart"/>
            <w:r w:rsidRPr="0006137E">
              <w:rPr>
                <w:rFonts w:ascii="Calibri" w:eastAsia="Times New Roman" w:hAnsi="Calibri" w:cs="Calibri"/>
                <w:sz w:val="18"/>
                <w:szCs w:val="18"/>
                <w:lang w:eastAsia="en-IN"/>
              </w:rPr>
              <w:t>TradingAgents</w:t>
            </w:r>
            <w:proofErr w:type="spellEnd"/>
            <w:r w:rsidRPr="0006137E">
              <w:rPr>
                <w:rFonts w:ascii="Calibri" w:eastAsia="Times New Roman" w:hAnsi="Calibri" w:cs="Calibri"/>
                <w:sz w:val="18"/>
                <w:szCs w:val="18"/>
                <w:lang w:eastAsia="en-IN"/>
              </w:rPr>
              <w:t xml:space="preserve"> uses static prompts that do not adapt based on trading outcomes, tested only for 3-6 months during calm markets, and lacks a Macro Analyst agent for macroeconomic factors.</w:t>
            </w:r>
          </w:p>
        </w:tc>
      </w:tr>
      <w:tr w:rsidR="0098769A" w:rsidRPr="0006137E" w14:paraId="7C1012CC" w14:textId="77777777" w:rsidTr="00BA3C64">
        <w:trPr>
          <w:trHeight w:val="2890"/>
        </w:trPr>
        <w:tc>
          <w:tcPr>
            <w:tcW w:w="253" w:type="pct"/>
            <w:tcBorders>
              <w:top w:val="nil"/>
              <w:left w:val="single" w:sz="4" w:space="0" w:color="auto"/>
              <w:bottom w:val="single" w:sz="4" w:space="0" w:color="auto"/>
              <w:right w:val="single" w:sz="4" w:space="0" w:color="auto"/>
            </w:tcBorders>
            <w:hideMark/>
          </w:tcPr>
          <w:p w14:paraId="3ACF622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lastRenderedPageBreak/>
              <w:t>2</w:t>
            </w:r>
          </w:p>
        </w:tc>
        <w:tc>
          <w:tcPr>
            <w:tcW w:w="613" w:type="pct"/>
            <w:tcBorders>
              <w:top w:val="nil"/>
              <w:left w:val="nil"/>
              <w:bottom w:val="single" w:sz="4" w:space="0" w:color="auto"/>
              <w:right w:val="single" w:sz="4" w:space="0" w:color="auto"/>
            </w:tcBorders>
            <w:hideMark/>
          </w:tcPr>
          <w:p w14:paraId="40F53860"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Multi-Agent Trading</w:t>
            </w:r>
          </w:p>
        </w:tc>
        <w:tc>
          <w:tcPr>
            <w:tcW w:w="620" w:type="pct"/>
            <w:tcBorders>
              <w:top w:val="nil"/>
              <w:left w:val="nil"/>
              <w:bottom w:val="single" w:sz="4" w:space="0" w:color="auto"/>
              <w:right w:val="single" w:sz="4" w:space="0" w:color="auto"/>
            </w:tcBorders>
            <w:hideMark/>
          </w:tcPr>
          <w:p w14:paraId="1A809C49"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FINCON: A Synthesized LLM Multi-Agent System with Conceptual Verbal Reinforcement</w:t>
            </w:r>
          </w:p>
        </w:tc>
        <w:tc>
          <w:tcPr>
            <w:tcW w:w="635" w:type="pct"/>
            <w:tcBorders>
              <w:top w:val="nil"/>
              <w:left w:val="nil"/>
              <w:bottom w:val="single" w:sz="4" w:space="0" w:color="auto"/>
              <w:right w:val="single" w:sz="4" w:space="0" w:color="auto"/>
            </w:tcBorders>
            <w:hideMark/>
          </w:tcPr>
          <w:p w14:paraId="52F8551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Yu, Yao, Li, et al.</w:t>
            </w:r>
          </w:p>
        </w:tc>
        <w:tc>
          <w:tcPr>
            <w:tcW w:w="460" w:type="pct"/>
            <w:tcBorders>
              <w:top w:val="nil"/>
              <w:left w:val="nil"/>
              <w:bottom w:val="single" w:sz="4" w:space="0" w:color="auto"/>
              <w:right w:val="single" w:sz="4" w:space="0" w:color="auto"/>
            </w:tcBorders>
            <w:hideMark/>
          </w:tcPr>
          <w:p w14:paraId="1BE53284"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2024</w:t>
            </w:r>
          </w:p>
        </w:tc>
        <w:tc>
          <w:tcPr>
            <w:tcW w:w="482" w:type="pct"/>
            <w:tcBorders>
              <w:top w:val="nil"/>
              <w:left w:val="nil"/>
              <w:bottom w:val="single" w:sz="4" w:space="0" w:color="auto"/>
              <w:right w:val="single" w:sz="4" w:space="0" w:color="auto"/>
            </w:tcBorders>
            <w:hideMark/>
          </w:tcPr>
          <w:p w14:paraId="42CFBFA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arXiv</w:t>
            </w:r>
            <w:proofErr w:type="spellEnd"/>
          </w:p>
        </w:tc>
        <w:tc>
          <w:tcPr>
            <w:tcW w:w="578" w:type="pct"/>
            <w:tcBorders>
              <w:top w:val="nil"/>
              <w:left w:val="nil"/>
              <w:bottom w:val="single" w:sz="4" w:space="0" w:color="auto"/>
              <w:right w:val="single" w:sz="4" w:space="0" w:color="auto"/>
            </w:tcBorders>
            <w:hideMark/>
          </w:tcPr>
          <w:p w14:paraId="36F8515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Proposed a Manager-Analyst hierarchy with Conceptual Verbal Reinforcement where managers provide natural language feedback to analysts, achieving 37% improvement in Profit and Loss metrics.</w:t>
            </w:r>
          </w:p>
        </w:tc>
        <w:tc>
          <w:tcPr>
            <w:tcW w:w="707" w:type="pct"/>
            <w:tcBorders>
              <w:top w:val="nil"/>
              <w:left w:val="nil"/>
              <w:bottom w:val="single" w:sz="4" w:space="0" w:color="auto"/>
              <w:right w:val="single" w:sz="4" w:space="0" w:color="auto"/>
            </w:tcBorders>
            <w:hideMark/>
          </w:tcPr>
          <w:p w14:paraId="6F566BF8"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This paper supports my research by showing that verbal feedback between agents can improve decision quality. The Manager-Analyst structure informs my Stock Picker and Analyst agent relationships.</w:t>
            </w:r>
          </w:p>
        </w:tc>
        <w:tc>
          <w:tcPr>
            <w:tcW w:w="652" w:type="pct"/>
            <w:tcBorders>
              <w:top w:val="nil"/>
              <w:left w:val="nil"/>
              <w:bottom w:val="single" w:sz="4" w:space="0" w:color="auto"/>
              <w:right w:val="single" w:sz="4" w:space="0" w:color="auto"/>
            </w:tcBorders>
            <w:hideMark/>
          </w:tcPr>
          <w:p w14:paraId="61790DB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The research gap is that FINCON's feedback operates at signal level rather than system-wide trading outcomes, uses CVaR alerts rather than automated trailing stop losses, and lacks continuous prompt optimisation.</w:t>
            </w:r>
          </w:p>
        </w:tc>
      </w:tr>
      <w:tr w:rsidR="0098769A" w:rsidRPr="0006137E" w14:paraId="261E0AAA" w14:textId="77777777" w:rsidTr="00BA3C64">
        <w:trPr>
          <w:trHeight w:val="2000"/>
        </w:trPr>
        <w:tc>
          <w:tcPr>
            <w:tcW w:w="253" w:type="pct"/>
            <w:tcBorders>
              <w:top w:val="nil"/>
              <w:left w:val="single" w:sz="4" w:space="0" w:color="auto"/>
              <w:bottom w:val="single" w:sz="4" w:space="0" w:color="auto"/>
              <w:right w:val="single" w:sz="4" w:space="0" w:color="auto"/>
            </w:tcBorders>
            <w:hideMark/>
          </w:tcPr>
          <w:p w14:paraId="0FAE1CD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3</w:t>
            </w:r>
          </w:p>
        </w:tc>
        <w:tc>
          <w:tcPr>
            <w:tcW w:w="613" w:type="pct"/>
            <w:tcBorders>
              <w:top w:val="nil"/>
              <w:left w:val="nil"/>
              <w:bottom w:val="single" w:sz="4" w:space="0" w:color="auto"/>
              <w:right w:val="single" w:sz="4" w:space="0" w:color="auto"/>
            </w:tcBorders>
            <w:hideMark/>
          </w:tcPr>
          <w:p w14:paraId="259519FB"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Prompt Optimisation</w:t>
            </w:r>
          </w:p>
        </w:tc>
        <w:tc>
          <w:tcPr>
            <w:tcW w:w="620" w:type="pct"/>
            <w:tcBorders>
              <w:top w:val="nil"/>
              <w:left w:val="nil"/>
              <w:bottom w:val="single" w:sz="4" w:space="0" w:color="auto"/>
              <w:right w:val="single" w:sz="4" w:space="0" w:color="auto"/>
            </w:tcBorders>
            <w:hideMark/>
          </w:tcPr>
          <w:p w14:paraId="64127CA9"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DSPy</w:t>
            </w:r>
            <w:proofErr w:type="spellEnd"/>
            <w:r w:rsidRPr="0006137E">
              <w:rPr>
                <w:rFonts w:ascii="Calibri" w:eastAsia="Times New Roman" w:hAnsi="Calibri" w:cs="Calibri"/>
                <w:sz w:val="18"/>
                <w:szCs w:val="18"/>
                <w:lang w:eastAsia="en-IN"/>
              </w:rPr>
              <w:t>: Compiling Declarative Language Model Calls into Self-Improving Pipelines</w:t>
            </w:r>
          </w:p>
        </w:tc>
        <w:tc>
          <w:tcPr>
            <w:tcW w:w="635" w:type="pct"/>
            <w:tcBorders>
              <w:top w:val="nil"/>
              <w:left w:val="nil"/>
              <w:bottom w:val="single" w:sz="4" w:space="0" w:color="auto"/>
              <w:right w:val="single" w:sz="4" w:space="0" w:color="auto"/>
            </w:tcBorders>
            <w:hideMark/>
          </w:tcPr>
          <w:p w14:paraId="34454E5D"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Khattab, Singhvi, Maheshwari, et al.</w:t>
            </w:r>
          </w:p>
        </w:tc>
        <w:tc>
          <w:tcPr>
            <w:tcW w:w="460" w:type="pct"/>
            <w:tcBorders>
              <w:top w:val="nil"/>
              <w:left w:val="nil"/>
              <w:bottom w:val="single" w:sz="4" w:space="0" w:color="auto"/>
              <w:right w:val="single" w:sz="4" w:space="0" w:color="auto"/>
            </w:tcBorders>
            <w:hideMark/>
          </w:tcPr>
          <w:p w14:paraId="61DC1FF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202</w:t>
            </w:r>
            <w:r>
              <w:rPr>
                <w:rFonts w:ascii="Calibri" w:eastAsia="Times New Roman" w:hAnsi="Calibri" w:cs="Calibri"/>
                <w:sz w:val="18"/>
                <w:szCs w:val="18"/>
                <w:lang w:eastAsia="en-IN"/>
              </w:rPr>
              <w:t>4</w:t>
            </w:r>
          </w:p>
        </w:tc>
        <w:tc>
          <w:tcPr>
            <w:tcW w:w="482" w:type="pct"/>
            <w:tcBorders>
              <w:top w:val="nil"/>
              <w:left w:val="nil"/>
              <w:bottom w:val="single" w:sz="4" w:space="0" w:color="auto"/>
              <w:right w:val="single" w:sz="4" w:space="0" w:color="auto"/>
            </w:tcBorders>
            <w:hideMark/>
          </w:tcPr>
          <w:p w14:paraId="54C46E26"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arXiv</w:t>
            </w:r>
            <w:proofErr w:type="spellEnd"/>
          </w:p>
        </w:tc>
        <w:tc>
          <w:tcPr>
            <w:tcW w:w="578" w:type="pct"/>
            <w:tcBorders>
              <w:top w:val="nil"/>
              <w:left w:val="nil"/>
              <w:bottom w:val="single" w:sz="4" w:space="0" w:color="auto"/>
              <w:right w:val="single" w:sz="4" w:space="0" w:color="auto"/>
            </w:tcBorders>
            <w:hideMark/>
          </w:tcPr>
          <w:p w14:paraId="0EC292F5"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Introduced a programming model that treats LLM pipelines as text transformation graphs, improving accuracy from 33% to 82% on GSM8K within minutes of compiling through automatic prompt optimisation.</w:t>
            </w:r>
          </w:p>
        </w:tc>
        <w:tc>
          <w:tcPr>
            <w:tcW w:w="707" w:type="pct"/>
            <w:tcBorders>
              <w:top w:val="nil"/>
              <w:left w:val="nil"/>
              <w:bottom w:val="single" w:sz="4" w:space="0" w:color="auto"/>
              <w:right w:val="single" w:sz="4" w:space="0" w:color="auto"/>
            </w:tcBorders>
            <w:hideMark/>
          </w:tcPr>
          <w:p w14:paraId="598C6ABD"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This paper is fundamental to my research as </w:t>
            </w:r>
            <w:proofErr w:type="spellStart"/>
            <w:r w:rsidRPr="0006137E">
              <w:rPr>
                <w:rFonts w:ascii="Calibri" w:eastAsia="Times New Roman" w:hAnsi="Calibri" w:cs="Calibri"/>
                <w:sz w:val="18"/>
                <w:szCs w:val="18"/>
                <w:lang w:eastAsia="en-IN"/>
              </w:rPr>
              <w:t>DSPy</w:t>
            </w:r>
            <w:proofErr w:type="spellEnd"/>
            <w:r w:rsidRPr="0006137E">
              <w:rPr>
                <w:rFonts w:ascii="Calibri" w:eastAsia="Times New Roman" w:hAnsi="Calibri" w:cs="Calibri"/>
                <w:sz w:val="18"/>
                <w:szCs w:val="18"/>
                <w:lang w:eastAsia="en-IN"/>
              </w:rPr>
              <w:t xml:space="preserve"> provides the technical foundation for implementing dynamic prompt optimisation across my multi-agent system. The Signatures, Modules, and Teleprompters architecture directly enables my feedback loop mechanism.</w:t>
            </w:r>
          </w:p>
        </w:tc>
        <w:tc>
          <w:tcPr>
            <w:tcW w:w="652" w:type="pct"/>
            <w:tcBorders>
              <w:top w:val="nil"/>
              <w:left w:val="nil"/>
              <w:bottom w:val="single" w:sz="4" w:space="0" w:color="auto"/>
              <w:right w:val="single" w:sz="4" w:space="0" w:color="auto"/>
            </w:tcBorders>
            <w:hideMark/>
          </w:tcPr>
          <w:p w14:paraId="7AE7B52A"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The research gap is that </w:t>
            </w:r>
            <w:proofErr w:type="spellStart"/>
            <w:r w:rsidRPr="0006137E">
              <w:rPr>
                <w:rFonts w:ascii="Calibri" w:eastAsia="Times New Roman" w:hAnsi="Calibri" w:cs="Calibri"/>
                <w:sz w:val="18"/>
                <w:szCs w:val="18"/>
                <w:lang w:eastAsia="en-IN"/>
              </w:rPr>
              <w:t>DSPy</w:t>
            </w:r>
            <w:proofErr w:type="spellEnd"/>
            <w:r w:rsidRPr="0006137E">
              <w:rPr>
                <w:rFonts w:ascii="Calibri" w:eastAsia="Times New Roman" w:hAnsi="Calibri" w:cs="Calibri"/>
                <w:sz w:val="18"/>
                <w:szCs w:val="18"/>
                <w:lang w:eastAsia="en-IN"/>
              </w:rPr>
              <w:t xml:space="preserve"> focuses on single tasks like question answering and mathematics, with no application to multi-agent trading systems where prompts must be optimised based on real financial outcomes.</w:t>
            </w:r>
          </w:p>
        </w:tc>
      </w:tr>
      <w:tr w:rsidR="0098769A" w:rsidRPr="0006137E" w14:paraId="3BE5DD90" w14:textId="77777777" w:rsidTr="00BA3C64">
        <w:trPr>
          <w:trHeight w:val="2000"/>
        </w:trPr>
        <w:tc>
          <w:tcPr>
            <w:tcW w:w="253" w:type="pct"/>
            <w:tcBorders>
              <w:top w:val="nil"/>
              <w:left w:val="single" w:sz="4" w:space="0" w:color="auto"/>
              <w:bottom w:val="single" w:sz="4" w:space="0" w:color="auto"/>
              <w:right w:val="single" w:sz="4" w:space="0" w:color="auto"/>
            </w:tcBorders>
            <w:hideMark/>
          </w:tcPr>
          <w:p w14:paraId="698BDFB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4</w:t>
            </w:r>
          </w:p>
        </w:tc>
        <w:tc>
          <w:tcPr>
            <w:tcW w:w="613" w:type="pct"/>
            <w:tcBorders>
              <w:top w:val="nil"/>
              <w:left w:val="nil"/>
              <w:bottom w:val="single" w:sz="4" w:space="0" w:color="auto"/>
              <w:right w:val="single" w:sz="4" w:space="0" w:color="auto"/>
            </w:tcBorders>
            <w:hideMark/>
          </w:tcPr>
          <w:p w14:paraId="36126605"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Prompt Optimisation</w:t>
            </w:r>
          </w:p>
        </w:tc>
        <w:tc>
          <w:tcPr>
            <w:tcW w:w="620" w:type="pct"/>
            <w:tcBorders>
              <w:top w:val="nil"/>
              <w:left w:val="nil"/>
              <w:bottom w:val="single" w:sz="4" w:space="0" w:color="auto"/>
              <w:right w:val="single" w:sz="4" w:space="0" w:color="auto"/>
            </w:tcBorders>
            <w:hideMark/>
          </w:tcPr>
          <w:p w14:paraId="7AE08EED"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GEPA: Reflective Prompt Evolution Can Outperform Reinforcement Learning</w:t>
            </w:r>
          </w:p>
        </w:tc>
        <w:tc>
          <w:tcPr>
            <w:tcW w:w="635" w:type="pct"/>
            <w:tcBorders>
              <w:top w:val="nil"/>
              <w:left w:val="nil"/>
              <w:bottom w:val="single" w:sz="4" w:space="0" w:color="auto"/>
              <w:right w:val="single" w:sz="4" w:space="0" w:color="auto"/>
            </w:tcBorders>
            <w:hideMark/>
          </w:tcPr>
          <w:p w14:paraId="13D81462"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Agrawal, Tan, Soylu, et al.</w:t>
            </w:r>
          </w:p>
        </w:tc>
        <w:tc>
          <w:tcPr>
            <w:tcW w:w="460" w:type="pct"/>
            <w:tcBorders>
              <w:top w:val="nil"/>
              <w:left w:val="nil"/>
              <w:bottom w:val="single" w:sz="4" w:space="0" w:color="auto"/>
              <w:right w:val="single" w:sz="4" w:space="0" w:color="auto"/>
            </w:tcBorders>
            <w:hideMark/>
          </w:tcPr>
          <w:p w14:paraId="6392B7DC"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202</w:t>
            </w:r>
            <w:r>
              <w:rPr>
                <w:rFonts w:ascii="Calibri" w:eastAsia="Times New Roman" w:hAnsi="Calibri" w:cs="Calibri"/>
                <w:sz w:val="18"/>
                <w:szCs w:val="18"/>
                <w:lang w:eastAsia="en-IN"/>
              </w:rPr>
              <w:t>4</w:t>
            </w:r>
          </w:p>
        </w:tc>
        <w:tc>
          <w:tcPr>
            <w:tcW w:w="482" w:type="pct"/>
            <w:tcBorders>
              <w:top w:val="nil"/>
              <w:left w:val="nil"/>
              <w:bottom w:val="single" w:sz="4" w:space="0" w:color="auto"/>
              <w:right w:val="single" w:sz="4" w:space="0" w:color="auto"/>
            </w:tcBorders>
            <w:hideMark/>
          </w:tcPr>
          <w:p w14:paraId="0EA45EF9"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arXiv</w:t>
            </w:r>
            <w:proofErr w:type="spellEnd"/>
          </w:p>
        </w:tc>
        <w:tc>
          <w:tcPr>
            <w:tcW w:w="578" w:type="pct"/>
            <w:tcBorders>
              <w:top w:val="nil"/>
              <w:left w:val="nil"/>
              <w:bottom w:val="single" w:sz="4" w:space="0" w:color="auto"/>
              <w:right w:val="single" w:sz="4" w:space="0" w:color="auto"/>
            </w:tcBorders>
            <w:hideMark/>
          </w:tcPr>
          <w:p w14:paraId="52DC2716"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Demonstrated that reflective prompt evolution outperforms RL methods like GRPO by 6% on average while using 35x fewer rollouts, and applied prompt optimisation to financial </w:t>
            </w:r>
            <w:r w:rsidRPr="0006137E">
              <w:rPr>
                <w:rFonts w:ascii="Calibri" w:eastAsia="Times New Roman" w:hAnsi="Calibri" w:cs="Calibri"/>
                <w:sz w:val="18"/>
                <w:szCs w:val="18"/>
                <w:lang w:eastAsia="en-IN"/>
              </w:rPr>
              <w:lastRenderedPageBreak/>
              <w:t>calculations using the CAPM formula.</w:t>
            </w:r>
          </w:p>
        </w:tc>
        <w:tc>
          <w:tcPr>
            <w:tcW w:w="707" w:type="pct"/>
            <w:tcBorders>
              <w:top w:val="nil"/>
              <w:left w:val="nil"/>
              <w:bottom w:val="single" w:sz="4" w:space="0" w:color="auto"/>
              <w:right w:val="single" w:sz="4" w:space="0" w:color="auto"/>
            </w:tcBorders>
            <w:hideMark/>
          </w:tcPr>
          <w:p w14:paraId="62D44C69"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lastRenderedPageBreak/>
              <w:t>This paper validates my approach by proving that prompt evolution can work in financial contexts. The Pareto-based selection for maintaining diverse top-performing prompts informs my feedback loop design.</w:t>
            </w:r>
          </w:p>
        </w:tc>
        <w:tc>
          <w:tcPr>
            <w:tcW w:w="652" w:type="pct"/>
            <w:tcBorders>
              <w:top w:val="nil"/>
              <w:left w:val="nil"/>
              <w:bottom w:val="single" w:sz="4" w:space="0" w:color="auto"/>
              <w:right w:val="single" w:sz="4" w:space="0" w:color="auto"/>
            </w:tcBorders>
            <w:hideMark/>
          </w:tcPr>
          <w:p w14:paraId="058434A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The research gap is that GEPA demonstrated only single financial calculations (CAPM) rather than continuous trading decisions, and does not implement feedback based on actual portfolio performance over time.</w:t>
            </w:r>
          </w:p>
        </w:tc>
      </w:tr>
      <w:tr w:rsidR="0098769A" w:rsidRPr="0006137E" w14:paraId="12443C69" w14:textId="77777777" w:rsidTr="00BA3C64">
        <w:trPr>
          <w:trHeight w:val="2000"/>
        </w:trPr>
        <w:tc>
          <w:tcPr>
            <w:tcW w:w="253" w:type="pct"/>
            <w:tcBorders>
              <w:top w:val="nil"/>
              <w:left w:val="single" w:sz="4" w:space="0" w:color="auto"/>
              <w:bottom w:val="single" w:sz="4" w:space="0" w:color="auto"/>
              <w:right w:val="single" w:sz="4" w:space="0" w:color="auto"/>
            </w:tcBorders>
            <w:hideMark/>
          </w:tcPr>
          <w:p w14:paraId="7C71BBCB"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5</w:t>
            </w:r>
          </w:p>
        </w:tc>
        <w:tc>
          <w:tcPr>
            <w:tcW w:w="613" w:type="pct"/>
            <w:tcBorders>
              <w:top w:val="nil"/>
              <w:left w:val="nil"/>
              <w:bottom w:val="single" w:sz="4" w:space="0" w:color="auto"/>
              <w:right w:val="single" w:sz="4" w:space="0" w:color="auto"/>
            </w:tcBorders>
            <w:hideMark/>
          </w:tcPr>
          <w:p w14:paraId="323E5CD3"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Reinforcement Learning</w:t>
            </w:r>
          </w:p>
        </w:tc>
        <w:tc>
          <w:tcPr>
            <w:tcW w:w="620" w:type="pct"/>
            <w:tcBorders>
              <w:top w:val="nil"/>
              <w:left w:val="nil"/>
              <w:bottom w:val="single" w:sz="4" w:space="0" w:color="auto"/>
              <w:right w:val="single" w:sz="4" w:space="0" w:color="auto"/>
            </w:tcBorders>
            <w:hideMark/>
          </w:tcPr>
          <w:p w14:paraId="1D7BCAB8"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FinRL</w:t>
            </w:r>
            <w:proofErr w:type="spellEnd"/>
            <w:r w:rsidRPr="0006137E">
              <w:rPr>
                <w:rFonts w:ascii="Calibri" w:eastAsia="Times New Roman" w:hAnsi="Calibri" w:cs="Calibri"/>
                <w:sz w:val="18"/>
                <w:szCs w:val="18"/>
                <w:lang w:eastAsia="en-IN"/>
              </w:rPr>
              <w:t>: Deep Reinforcement Learning Framework to Automate Trading in Quantitative Finance</w:t>
            </w:r>
          </w:p>
        </w:tc>
        <w:tc>
          <w:tcPr>
            <w:tcW w:w="635" w:type="pct"/>
            <w:tcBorders>
              <w:top w:val="nil"/>
              <w:left w:val="nil"/>
              <w:bottom w:val="single" w:sz="4" w:space="0" w:color="auto"/>
              <w:right w:val="single" w:sz="4" w:space="0" w:color="auto"/>
            </w:tcBorders>
            <w:hideMark/>
          </w:tcPr>
          <w:p w14:paraId="311CB3E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Liu, Yang, Gao, Wang</w:t>
            </w:r>
          </w:p>
        </w:tc>
        <w:tc>
          <w:tcPr>
            <w:tcW w:w="460" w:type="pct"/>
            <w:tcBorders>
              <w:top w:val="nil"/>
              <w:left w:val="nil"/>
              <w:bottom w:val="single" w:sz="4" w:space="0" w:color="auto"/>
              <w:right w:val="single" w:sz="4" w:space="0" w:color="auto"/>
            </w:tcBorders>
            <w:hideMark/>
          </w:tcPr>
          <w:p w14:paraId="352FAF6B"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2021</w:t>
            </w:r>
          </w:p>
        </w:tc>
        <w:tc>
          <w:tcPr>
            <w:tcW w:w="482" w:type="pct"/>
            <w:tcBorders>
              <w:top w:val="nil"/>
              <w:left w:val="nil"/>
              <w:bottom w:val="single" w:sz="4" w:space="0" w:color="auto"/>
              <w:right w:val="single" w:sz="4" w:space="0" w:color="auto"/>
            </w:tcBorders>
            <w:hideMark/>
          </w:tcPr>
          <w:p w14:paraId="01695C50"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ICAIF 2021</w:t>
            </w:r>
          </w:p>
        </w:tc>
        <w:tc>
          <w:tcPr>
            <w:tcW w:w="578" w:type="pct"/>
            <w:tcBorders>
              <w:top w:val="nil"/>
              <w:left w:val="nil"/>
              <w:bottom w:val="single" w:sz="4" w:space="0" w:color="auto"/>
              <w:right w:val="single" w:sz="4" w:space="0" w:color="auto"/>
            </w:tcBorders>
            <w:hideMark/>
          </w:tcPr>
          <w:p w14:paraId="420724A1"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Created a three-layer framework achieving 52.61% annualized return with Sharpe ratio of 2.81 using an ensemble strategy, incorporating technical indicators, fundamental data, and sentiment.</w:t>
            </w:r>
          </w:p>
        </w:tc>
        <w:tc>
          <w:tcPr>
            <w:tcW w:w="707" w:type="pct"/>
            <w:tcBorders>
              <w:top w:val="nil"/>
              <w:left w:val="nil"/>
              <w:bottom w:val="single" w:sz="4" w:space="0" w:color="auto"/>
              <w:right w:val="single" w:sz="4" w:space="0" w:color="auto"/>
            </w:tcBorders>
            <w:hideMark/>
          </w:tcPr>
          <w:p w14:paraId="27151DD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This paper informs my research by demonstrating the effectiveness of combining multiple data sources for trading decisions. The training-testing-trading pipeline concept supports my simulation methodology.</w:t>
            </w:r>
          </w:p>
        </w:tc>
        <w:tc>
          <w:tcPr>
            <w:tcW w:w="652" w:type="pct"/>
            <w:tcBorders>
              <w:top w:val="nil"/>
              <w:left w:val="nil"/>
              <w:bottom w:val="single" w:sz="4" w:space="0" w:color="auto"/>
              <w:right w:val="single" w:sz="4" w:space="0" w:color="auto"/>
            </w:tcBorders>
            <w:hideMark/>
          </w:tcPr>
          <w:p w14:paraId="70268EE1"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The research gap is that </w:t>
            </w:r>
            <w:proofErr w:type="spellStart"/>
            <w:r w:rsidRPr="0006137E">
              <w:rPr>
                <w:rFonts w:ascii="Calibri" w:eastAsia="Times New Roman" w:hAnsi="Calibri" w:cs="Calibri"/>
                <w:sz w:val="18"/>
                <w:szCs w:val="18"/>
                <w:lang w:eastAsia="en-IN"/>
              </w:rPr>
              <w:t>FinRL</w:t>
            </w:r>
            <w:proofErr w:type="spellEnd"/>
            <w:r w:rsidRPr="0006137E">
              <w:rPr>
                <w:rFonts w:ascii="Calibri" w:eastAsia="Times New Roman" w:hAnsi="Calibri" w:cs="Calibri"/>
                <w:sz w:val="18"/>
                <w:szCs w:val="18"/>
                <w:lang w:eastAsia="en-IN"/>
              </w:rPr>
              <w:t xml:space="preserve"> uses fixed RL algorithms without prompt optimisation, suffered large drawdowns during COVID-19, and has a significant simulation-to-reality gap.</w:t>
            </w:r>
          </w:p>
        </w:tc>
      </w:tr>
      <w:tr w:rsidR="0098769A" w:rsidRPr="0006137E" w14:paraId="03D60D36" w14:textId="77777777" w:rsidTr="00BA3C64">
        <w:trPr>
          <w:trHeight w:val="2000"/>
        </w:trPr>
        <w:tc>
          <w:tcPr>
            <w:tcW w:w="253" w:type="pct"/>
            <w:tcBorders>
              <w:top w:val="nil"/>
              <w:left w:val="single" w:sz="4" w:space="0" w:color="auto"/>
              <w:bottom w:val="single" w:sz="4" w:space="0" w:color="auto"/>
              <w:right w:val="single" w:sz="4" w:space="0" w:color="auto"/>
            </w:tcBorders>
            <w:hideMark/>
          </w:tcPr>
          <w:p w14:paraId="5ECE468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6</w:t>
            </w:r>
          </w:p>
        </w:tc>
        <w:tc>
          <w:tcPr>
            <w:tcW w:w="613" w:type="pct"/>
            <w:tcBorders>
              <w:top w:val="nil"/>
              <w:left w:val="nil"/>
              <w:bottom w:val="single" w:sz="4" w:space="0" w:color="auto"/>
              <w:right w:val="single" w:sz="4" w:space="0" w:color="auto"/>
            </w:tcBorders>
            <w:hideMark/>
          </w:tcPr>
          <w:p w14:paraId="2A75C18E"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Reinforcement Learning</w:t>
            </w:r>
          </w:p>
        </w:tc>
        <w:tc>
          <w:tcPr>
            <w:tcW w:w="620" w:type="pct"/>
            <w:tcBorders>
              <w:top w:val="nil"/>
              <w:left w:val="nil"/>
              <w:bottom w:val="single" w:sz="4" w:space="0" w:color="auto"/>
              <w:right w:val="single" w:sz="4" w:space="0" w:color="auto"/>
            </w:tcBorders>
            <w:hideMark/>
          </w:tcPr>
          <w:p w14:paraId="028F23C1"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FLAG-TRADER: Fusion LLM-Agent with Gradient-based Reinforcement Learning for Financial Trading</w:t>
            </w:r>
          </w:p>
        </w:tc>
        <w:tc>
          <w:tcPr>
            <w:tcW w:w="635" w:type="pct"/>
            <w:tcBorders>
              <w:top w:val="nil"/>
              <w:left w:val="nil"/>
              <w:bottom w:val="single" w:sz="4" w:space="0" w:color="auto"/>
              <w:right w:val="single" w:sz="4" w:space="0" w:color="auto"/>
            </w:tcBorders>
            <w:hideMark/>
          </w:tcPr>
          <w:p w14:paraId="485B5B4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Xiong, Deng, Wang, et al.</w:t>
            </w:r>
          </w:p>
        </w:tc>
        <w:tc>
          <w:tcPr>
            <w:tcW w:w="460" w:type="pct"/>
            <w:tcBorders>
              <w:top w:val="nil"/>
              <w:left w:val="nil"/>
              <w:bottom w:val="single" w:sz="4" w:space="0" w:color="auto"/>
              <w:right w:val="single" w:sz="4" w:space="0" w:color="auto"/>
            </w:tcBorders>
            <w:hideMark/>
          </w:tcPr>
          <w:p w14:paraId="73CAC861"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202</w:t>
            </w:r>
            <w:r>
              <w:rPr>
                <w:rFonts w:ascii="Calibri" w:eastAsia="Times New Roman" w:hAnsi="Calibri" w:cs="Calibri"/>
                <w:sz w:val="18"/>
                <w:szCs w:val="18"/>
                <w:lang w:eastAsia="en-IN"/>
              </w:rPr>
              <w:t>5</w:t>
            </w:r>
          </w:p>
        </w:tc>
        <w:tc>
          <w:tcPr>
            <w:tcW w:w="482" w:type="pct"/>
            <w:tcBorders>
              <w:top w:val="nil"/>
              <w:left w:val="nil"/>
              <w:bottom w:val="single" w:sz="4" w:space="0" w:color="auto"/>
              <w:right w:val="single" w:sz="4" w:space="0" w:color="auto"/>
            </w:tcBorders>
            <w:hideMark/>
          </w:tcPr>
          <w:p w14:paraId="45762A8C"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arXiv</w:t>
            </w:r>
            <w:proofErr w:type="spellEnd"/>
          </w:p>
        </w:tc>
        <w:tc>
          <w:tcPr>
            <w:tcW w:w="578" w:type="pct"/>
            <w:tcBorders>
              <w:top w:val="nil"/>
              <w:left w:val="nil"/>
              <w:bottom w:val="single" w:sz="4" w:space="0" w:color="auto"/>
              <w:right w:val="single" w:sz="4" w:space="0" w:color="auto"/>
            </w:tcBorders>
            <w:hideMark/>
          </w:tcPr>
          <w:p w14:paraId="614B19B2"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Combined a small LLM (SmolLM2-135M) with PPO to achieve 46.799% composite return, outperforming larger models like GPT-4o by using policy gradient optimisation to update LLM parameters based on trading rewards.</w:t>
            </w:r>
          </w:p>
        </w:tc>
        <w:tc>
          <w:tcPr>
            <w:tcW w:w="707" w:type="pct"/>
            <w:tcBorders>
              <w:top w:val="nil"/>
              <w:left w:val="nil"/>
              <w:bottom w:val="single" w:sz="4" w:space="0" w:color="auto"/>
              <w:right w:val="single" w:sz="4" w:space="0" w:color="auto"/>
            </w:tcBorders>
            <w:hideMark/>
          </w:tcPr>
          <w:p w14:paraId="19259D8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This paper supports my research by proving that small, task-specific LLMs can outperform large general models for trading. The concept of using trading rewards to improve the model directly relates to my feedback loop.</w:t>
            </w:r>
          </w:p>
        </w:tc>
        <w:tc>
          <w:tcPr>
            <w:tcW w:w="652" w:type="pct"/>
            <w:tcBorders>
              <w:top w:val="nil"/>
              <w:left w:val="nil"/>
              <w:bottom w:val="single" w:sz="4" w:space="0" w:color="auto"/>
              <w:right w:val="single" w:sz="4" w:space="0" w:color="auto"/>
            </w:tcBorders>
            <w:hideMark/>
          </w:tcPr>
          <w:p w14:paraId="5319120B"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The research gap is that FLAG-TRADER fine-tunes model weights which is expensive, rather than optimising prompts which is cheaper and more flexible. It also uses a single agent rather than multiple specialised agents.</w:t>
            </w:r>
          </w:p>
        </w:tc>
      </w:tr>
      <w:tr w:rsidR="0098769A" w:rsidRPr="0006137E" w14:paraId="4FDA1AE3" w14:textId="77777777" w:rsidTr="00BA3C64">
        <w:trPr>
          <w:trHeight w:val="2000"/>
        </w:trPr>
        <w:tc>
          <w:tcPr>
            <w:tcW w:w="253" w:type="pct"/>
            <w:tcBorders>
              <w:top w:val="nil"/>
              <w:left w:val="single" w:sz="4" w:space="0" w:color="auto"/>
              <w:bottom w:val="single" w:sz="4" w:space="0" w:color="auto"/>
              <w:right w:val="single" w:sz="4" w:space="0" w:color="auto"/>
            </w:tcBorders>
            <w:hideMark/>
          </w:tcPr>
          <w:p w14:paraId="45C58298"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lastRenderedPageBreak/>
              <w:t>7</w:t>
            </w:r>
          </w:p>
        </w:tc>
        <w:tc>
          <w:tcPr>
            <w:tcW w:w="613" w:type="pct"/>
            <w:tcBorders>
              <w:top w:val="nil"/>
              <w:left w:val="nil"/>
              <w:bottom w:val="single" w:sz="4" w:space="0" w:color="auto"/>
              <w:right w:val="single" w:sz="4" w:space="0" w:color="auto"/>
            </w:tcBorders>
            <w:hideMark/>
          </w:tcPr>
          <w:p w14:paraId="452FE0FA"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Sentiment Analysis</w:t>
            </w:r>
          </w:p>
        </w:tc>
        <w:tc>
          <w:tcPr>
            <w:tcW w:w="620" w:type="pct"/>
            <w:tcBorders>
              <w:top w:val="nil"/>
              <w:left w:val="nil"/>
              <w:bottom w:val="single" w:sz="4" w:space="0" w:color="auto"/>
              <w:right w:val="single" w:sz="4" w:space="0" w:color="auto"/>
            </w:tcBorders>
            <w:hideMark/>
          </w:tcPr>
          <w:p w14:paraId="58D6B5E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Sentiment Trading with Large Language Models</w:t>
            </w:r>
          </w:p>
        </w:tc>
        <w:tc>
          <w:tcPr>
            <w:tcW w:w="635" w:type="pct"/>
            <w:tcBorders>
              <w:top w:val="nil"/>
              <w:left w:val="nil"/>
              <w:bottom w:val="single" w:sz="4" w:space="0" w:color="auto"/>
              <w:right w:val="single" w:sz="4" w:space="0" w:color="auto"/>
            </w:tcBorders>
            <w:hideMark/>
          </w:tcPr>
          <w:p w14:paraId="400D4C04"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Kirtac</w:t>
            </w:r>
            <w:proofErr w:type="spellEnd"/>
            <w:r w:rsidRPr="0006137E">
              <w:rPr>
                <w:rFonts w:ascii="Calibri" w:eastAsia="Times New Roman" w:hAnsi="Calibri" w:cs="Calibri"/>
                <w:sz w:val="18"/>
                <w:szCs w:val="18"/>
                <w:lang w:eastAsia="en-IN"/>
              </w:rPr>
              <w:t xml:space="preserve">, </w:t>
            </w:r>
            <w:proofErr w:type="spellStart"/>
            <w:r w:rsidRPr="0006137E">
              <w:rPr>
                <w:rFonts w:ascii="Calibri" w:eastAsia="Times New Roman" w:hAnsi="Calibri" w:cs="Calibri"/>
                <w:sz w:val="18"/>
                <w:szCs w:val="18"/>
                <w:lang w:eastAsia="en-IN"/>
              </w:rPr>
              <w:t>Germano</w:t>
            </w:r>
            <w:proofErr w:type="spellEnd"/>
          </w:p>
        </w:tc>
        <w:tc>
          <w:tcPr>
            <w:tcW w:w="460" w:type="pct"/>
            <w:tcBorders>
              <w:top w:val="nil"/>
              <w:left w:val="nil"/>
              <w:bottom w:val="single" w:sz="4" w:space="0" w:color="auto"/>
              <w:right w:val="single" w:sz="4" w:space="0" w:color="auto"/>
            </w:tcBorders>
            <w:hideMark/>
          </w:tcPr>
          <w:p w14:paraId="5929FAE9"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2024</w:t>
            </w:r>
          </w:p>
        </w:tc>
        <w:tc>
          <w:tcPr>
            <w:tcW w:w="482" w:type="pct"/>
            <w:tcBorders>
              <w:top w:val="nil"/>
              <w:left w:val="nil"/>
              <w:bottom w:val="single" w:sz="4" w:space="0" w:color="auto"/>
              <w:right w:val="single" w:sz="4" w:space="0" w:color="auto"/>
            </w:tcBorders>
            <w:hideMark/>
          </w:tcPr>
          <w:p w14:paraId="3A8BA518"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Finance Research Letters</w:t>
            </w:r>
          </w:p>
        </w:tc>
        <w:tc>
          <w:tcPr>
            <w:tcW w:w="578" w:type="pct"/>
            <w:tcBorders>
              <w:top w:val="nil"/>
              <w:left w:val="nil"/>
              <w:bottom w:val="single" w:sz="4" w:space="0" w:color="auto"/>
              <w:right w:val="single" w:sz="4" w:space="0" w:color="auto"/>
            </w:tcBorders>
            <w:hideMark/>
          </w:tcPr>
          <w:p w14:paraId="1A496B81"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Fine-tuned OPT model achieved 74.4% accuracy in predicting return directions, with a long-short strategy yielding 355% cumulative returns and Sharpe ratio of 3.05 from 2021-2023.</w:t>
            </w:r>
          </w:p>
        </w:tc>
        <w:tc>
          <w:tcPr>
            <w:tcW w:w="707" w:type="pct"/>
            <w:tcBorders>
              <w:top w:val="nil"/>
              <w:left w:val="nil"/>
              <w:bottom w:val="single" w:sz="4" w:space="0" w:color="auto"/>
              <w:right w:val="single" w:sz="4" w:space="0" w:color="auto"/>
            </w:tcBorders>
            <w:hideMark/>
          </w:tcPr>
          <w:p w14:paraId="0DADE8EA"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This paper validates my Sentiment Analyst agent by demonstrating that LLM-based sentiment analysis significantly outperforms dictionary-based methods and can generate profitable trading signals.</w:t>
            </w:r>
          </w:p>
        </w:tc>
        <w:tc>
          <w:tcPr>
            <w:tcW w:w="652" w:type="pct"/>
            <w:tcBorders>
              <w:top w:val="nil"/>
              <w:left w:val="nil"/>
              <w:bottom w:val="single" w:sz="4" w:space="0" w:color="auto"/>
              <w:right w:val="single" w:sz="4" w:space="0" w:color="auto"/>
            </w:tcBorders>
            <w:hideMark/>
          </w:tcPr>
          <w:p w14:paraId="63CD238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The research gap is that this approach focuses solely on sentiment without integrating technical, fundamental, or macroeconomic analysis. My research combines sentiment with other analysis types in a multi-agent framework.</w:t>
            </w:r>
          </w:p>
        </w:tc>
      </w:tr>
      <w:tr w:rsidR="0098769A" w:rsidRPr="0006137E" w14:paraId="16F03147" w14:textId="77777777" w:rsidTr="00BA3C64">
        <w:trPr>
          <w:trHeight w:val="2000"/>
        </w:trPr>
        <w:tc>
          <w:tcPr>
            <w:tcW w:w="253" w:type="pct"/>
            <w:tcBorders>
              <w:top w:val="nil"/>
              <w:left w:val="single" w:sz="4" w:space="0" w:color="auto"/>
              <w:bottom w:val="single" w:sz="4" w:space="0" w:color="auto"/>
              <w:right w:val="single" w:sz="4" w:space="0" w:color="auto"/>
            </w:tcBorders>
            <w:hideMark/>
          </w:tcPr>
          <w:p w14:paraId="7D464C8E"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8</w:t>
            </w:r>
          </w:p>
        </w:tc>
        <w:tc>
          <w:tcPr>
            <w:tcW w:w="613" w:type="pct"/>
            <w:tcBorders>
              <w:top w:val="nil"/>
              <w:left w:val="nil"/>
              <w:bottom w:val="single" w:sz="4" w:space="0" w:color="auto"/>
              <w:right w:val="single" w:sz="4" w:space="0" w:color="auto"/>
            </w:tcBorders>
            <w:hideMark/>
          </w:tcPr>
          <w:p w14:paraId="0CF3D87A"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LLM Agents</w:t>
            </w:r>
          </w:p>
        </w:tc>
        <w:tc>
          <w:tcPr>
            <w:tcW w:w="620" w:type="pct"/>
            <w:tcBorders>
              <w:top w:val="nil"/>
              <w:left w:val="nil"/>
              <w:bottom w:val="single" w:sz="4" w:space="0" w:color="auto"/>
              <w:right w:val="single" w:sz="4" w:space="0" w:color="auto"/>
            </w:tcBorders>
            <w:hideMark/>
          </w:tcPr>
          <w:p w14:paraId="01C48196"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MetaGPT</w:t>
            </w:r>
            <w:proofErr w:type="spellEnd"/>
            <w:r w:rsidRPr="0006137E">
              <w:rPr>
                <w:rFonts w:ascii="Calibri" w:eastAsia="Times New Roman" w:hAnsi="Calibri" w:cs="Calibri"/>
                <w:sz w:val="18"/>
                <w:szCs w:val="18"/>
                <w:lang w:eastAsia="en-IN"/>
              </w:rPr>
              <w:t>: Meta Programming for a Multi-Agent Collaborative Framework</w:t>
            </w:r>
          </w:p>
        </w:tc>
        <w:tc>
          <w:tcPr>
            <w:tcW w:w="635" w:type="pct"/>
            <w:tcBorders>
              <w:top w:val="nil"/>
              <w:left w:val="nil"/>
              <w:bottom w:val="single" w:sz="4" w:space="0" w:color="auto"/>
              <w:right w:val="single" w:sz="4" w:space="0" w:color="auto"/>
            </w:tcBorders>
            <w:hideMark/>
          </w:tcPr>
          <w:p w14:paraId="6AAC12FC"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Hong, Zhuge, Chen, et al.</w:t>
            </w:r>
          </w:p>
        </w:tc>
        <w:tc>
          <w:tcPr>
            <w:tcW w:w="460" w:type="pct"/>
            <w:tcBorders>
              <w:top w:val="nil"/>
              <w:left w:val="nil"/>
              <w:bottom w:val="single" w:sz="4" w:space="0" w:color="auto"/>
              <w:right w:val="single" w:sz="4" w:space="0" w:color="auto"/>
            </w:tcBorders>
            <w:hideMark/>
          </w:tcPr>
          <w:p w14:paraId="66612FEE"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2024</w:t>
            </w:r>
          </w:p>
        </w:tc>
        <w:tc>
          <w:tcPr>
            <w:tcW w:w="482" w:type="pct"/>
            <w:tcBorders>
              <w:top w:val="nil"/>
              <w:left w:val="nil"/>
              <w:bottom w:val="single" w:sz="4" w:space="0" w:color="auto"/>
              <w:right w:val="single" w:sz="4" w:space="0" w:color="auto"/>
            </w:tcBorders>
            <w:hideMark/>
          </w:tcPr>
          <w:p w14:paraId="39789AE6"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arXiv</w:t>
            </w:r>
            <w:proofErr w:type="spellEnd"/>
          </w:p>
        </w:tc>
        <w:tc>
          <w:tcPr>
            <w:tcW w:w="578" w:type="pct"/>
            <w:tcBorders>
              <w:top w:val="nil"/>
              <w:left w:val="nil"/>
              <w:bottom w:val="single" w:sz="4" w:space="0" w:color="auto"/>
              <w:right w:val="single" w:sz="4" w:space="0" w:color="auto"/>
            </w:tcBorders>
            <w:hideMark/>
          </w:tcPr>
          <w:p w14:paraId="62DB306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Introduced Standardized Operating Procedures (SOPs) for multi-agent coordination, achieving 100% completion rate on software development with agents communicating through a shared message pool.</w:t>
            </w:r>
          </w:p>
        </w:tc>
        <w:tc>
          <w:tcPr>
            <w:tcW w:w="707" w:type="pct"/>
            <w:tcBorders>
              <w:top w:val="nil"/>
              <w:left w:val="nil"/>
              <w:bottom w:val="single" w:sz="4" w:space="0" w:color="auto"/>
              <w:right w:val="single" w:sz="4" w:space="0" w:color="auto"/>
            </w:tcBorders>
            <w:hideMark/>
          </w:tcPr>
          <w:p w14:paraId="0DDE0C16"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This paper informs my multi-agent architecture by demonstrating that structured communication protocols and role specialisation improve output quality. The shared message pool concept directly influences my </w:t>
            </w:r>
            <w:proofErr w:type="spellStart"/>
            <w:r w:rsidRPr="0006137E">
              <w:rPr>
                <w:rFonts w:ascii="Calibri" w:eastAsia="Times New Roman" w:hAnsi="Calibri" w:cs="Calibri"/>
                <w:sz w:val="18"/>
                <w:szCs w:val="18"/>
                <w:lang w:eastAsia="en-IN"/>
              </w:rPr>
              <w:t>market_summary</w:t>
            </w:r>
            <w:proofErr w:type="spellEnd"/>
            <w:r w:rsidRPr="0006137E">
              <w:rPr>
                <w:rFonts w:ascii="Calibri" w:eastAsia="Times New Roman" w:hAnsi="Calibri" w:cs="Calibri"/>
                <w:sz w:val="18"/>
                <w:szCs w:val="18"/>
                <w:lang w:eastAsia="en-IN"/>
              </w:rPr>
              <w:t xml:space="preserve"> aggregation approach.</w:t>
            </w:r>
          </w:p>
        </w:tc>
        <w:tc>
          <w:tcPr>
            <w:tcW w:w="652" w:type="pct"/>
            <w:tcBorders>
              <w:top w:val="nil"/>
              <w:left w:val="nil"/>
              <w:bottom w:val="single" w:sz="4" w:space="0" w:color="auto"/>
              <w:right w:val="single" w:sz="4" w:space="0" w:color="auto"/>
            </w:tcBorders>
            <w:hideMark/>
          </w:tcPr>
          <w:p w14:paraId="1A8261D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The research gap is that </w:t>
            </w:r>
            <w:proofErr w:type="spellStart"/>
            <w:r w:rsidRPr="0006137E">
              <w:rPr>
                <w:rFonts w:ascii="Calibri" w:eastAsia="Times New Roman" w:hAnsi="Calibri" w:cs="Calibri"/>
                <w:sz w:val="18"/>
                <w:szCs w:val="18"/>
                <w:lang w:eastAsia="en-IN"/>
              </w:rPr>
              <w:t>MetaGPT</w:t>
            </w:r>
            <w:proofErr w:type="spellEnd"/>
            <w:r w:rsidRPr="0006137E">
              <w:rPr>
                <w:rFonts w:ascii="Calibri" w:eastAsia="Times New Roman" w:hAnsi="Calibri" w:cs="Calibri"/>
                <w:sz w:val="18"/>
                <w:szCs w:val="18"/>
                <w:lang w:eastAsia="en-IN"/>
              </w:rPr>
              <w:t xml:space="preserve"> focuses on software development rather than trading, does not incorporate real-time market data, and lacks feedback mechanisms based on task outcomes.</w:t>
            </w:r>
          </w:p>
        </w:tc>
      </w:tr>
      <w:tr w:rsidR="0098769A" w:rsidRPr="0006137E" w14:paraId="1A65CAAB" w14:textId="77777777" w:rsidTr="00BA3C64">
        <w:trPr>
          <w:trHeight w:val="2000"/>
        </w:trPr>
        <w:tc>
          <w:tcPr>
            <w:tcW w:w="253" w:type="pct"/>
            <w:tcBorders>
              <w:top w:val="nil"/>
              <w:left w:val="single" w:sz="4" w:space="0" w:color="auto"/>
              <w:bottom w:val="single" w:sz="4" w:space="0" w:color="auto"/>
              <w:right w:val="single" w:sz="4" w:space="0" w:color="auto"/>
            </w:tcBorders>
            <w:hideMark/>
          </w:tcPr>
          <w:p w14:paraId="179F1ECD"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9</w:t>
            </w:r>
          </w:p>
        </w:tc>
        <w:tc>
          <w:tcPr>
            <w:tcW w:w="613" w:type="pct"/>
            <w:tcBorders>
              <w:top w:val="nil"/>
              <w:left w:val="nil"/>
              <w:bottom w:val="single" w:sz="4" w:space="0" w:color="auto"/>
              <w:right w:val="single" w:sz="4" w:space="0" w:color="auto"/>
            </w:tcBorders>
            <w:hideMark/>
          </w:tcPr>
          <w:p w14:paraId="4E6D662E"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LLM Agents</w:t>
            </w:r>
          </w:p>
        </w:tc>
        <w:tc>
          <w:tcPr>
            <w:tcW w:w="620" w:type="pct"/>
            <w:tcBorders>
              <w:top w:val="nil"/>
              <w:left w:val="nil"/>
              <w:bottom w:val="single" w:sz="4" w:space="0" w:color="auto"/>
              <w:right w:val="single" w:sz="4" w:space="0" w:color="auto"/>
            </w:tcBorders>
            <w:hideMark/>
          </w:tcPr>
          <w:p w14:paraId="55F5C608"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Reflexion: Language Agents with Verbal Reinforcement Learning</w:t>
            </w:r>
          </w:p>
        </w:tc>
        <w:tc>
          <w:tcPr>
            <w:tcW w:w="635" w:type="pct"/>
            <w:tcBorders>
              <w:top w:val="nil"/>
              <w:left w:val="nil"/>
              <w:bottom w:val="single" w:sz="4" w:space="0" w:color="auto"/>
              <w:right w:val="single" w:sz="4" w:space="0" w:color="auto"/>
            </w:tcBorders>
            <w:hideMark/>
          </w:tcPr>
          <w:p w14:paraId="50BAFA25"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Shinn, Cassano, Berman, et al.</w:t>
            </w:r>
          </w:p>
        </w:tc>
        <w:tc>
          <w:tcPr>
            <w:tcW w:w="460" w:type="pct"/>
            <w:tcBorders>
              <w:top w:val="nil"/>
              <w:left w:val="nil"/>
              <w:bottom w:val="single" w:sz="4" w:space="0" w:color="auto"/>
              <w:right w:val="single" w:sz="4" w:space="0" w:color="auto"/>
            </w:tcBorders>
            <w:hideMark/>
          </w:tcPr>
          <w:p w14:paraId="301B4418"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2023</w:t>
            </w:r>
          </w:p>
        </w:tc>
        <w:tc>
          <w:tcPr>
            <w:tcW w:w="482" w:type="pct"/>
            <w:tcBorders>
              <w:top w:val="nil"/>
              <w:left w:val="nil"/>
              <w:bottom w:val="single" w:sz="4" w:space="0" w:color="auto"/>
              <w:right w:val="single" w:sz="4" w:space="0" w:color="auto"/>
            </w:tcBorders>
            <w:hideMark/>
          </w:tcPr>
          <w:p w14:paraId="211020B7"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arXiv</w:t>
            </w:r>
            <w:proofErr w:type="spellEnd"/>
          </w:p>
        </w:tc>
        <w:tc>
          <w:tcPr>
            <w:tcW w:w="578" w:type="pct"/>
            <w:tcBorders>
              <w:top w:val="nil"/>
              <w:left w:val="nil"/>
              <w:bottom w:val="single" w:sz="4" w:space="0" w:color="auto"/>
              <w:right w:val="single" w:sz="4" w:space="0" w:color="auto"/>
            </w:tcBorders>
            <w:hideMark/>
          </w:tcPr>
          <w:p w14:paraId="02C3D7B6"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Achieved 91% accuracy on </w:t>
            </w:r>
            <w:proofErr w:type="spellStart"/>
            <w:r w:rsidRPr="0006137E">
              <w:rPr>
                <w:rFonts w:ascii="Calibri" w:eastAsia="Times New Roman" w:hAnsi="Calibri" w:cs="Calibri"/>
                <w:sz w:val="18"/>
                <w:szCs w:val="18"/>
                <w:lang w:eastAsia="en-IN"/>
              </w:rPr>
              <w:t>HumanEval</w:t>
            </w:r>
            <w:proofErr w:type="spellEnd"/>
            <w:r w:rsidRPr="0006137E">
              <w:rPr>
                <w:rFonts w:ascii="Calibri" w:eastAsia="Times New Roman" w:hAnsi="Calibri" w:cs="Calibri"/>
                <w:sz w:val="18"/>
                <w:szCs w:val="18"/>
                <w:lang w:eastAsia="en-IN"/>
              </w:rPr>
              <w:t xml:space="preserve"> by using verbal self-reflection to learn from mistakes, storing reflective text in episodic memory to avoid repeating errors.</w:t>
            </w:r>
          </w:p>
        </w:tc>
        <w:tc>
          <w:tcPr>
            <w:tcW w:w="707" w:type="pct"/>
            <w:tcBorders>
              <w:top w:val="nil"/>
              <w:left w:val="nil"/>
              <w:bottom w:val="single" w:sz="4" w:space="0" w:color="auto"/>
              <w:right w:val="single" w:sz="4" w:space="0" w:color="auto"/>
            </w:tcBorders>
            <w:hideMark/>
          </w:tcPr>
          <w:p w14:paraId="2E3722AE"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This paper directly supports my feedback loop mechanism by demonstrating that agents can improve through verbal reflection on failures. The episodic memory concept informs how my system stores and uses past trading outcomes.</w:t>
            </w:r>
          </w:p>
        </w:tc>
        <w:tc>
          <w:tcPr>
            <w:tcW w:w="652" w:type="pct"/>
            <w:tcBorders>
              <w:top w:val="nil"/>
              <w:left w:val="nil"/>
              <w:bottom w:val="single" w:sz="4" w:space="0" w:color="auto"/>
              <w:right w:val="single" w:sz="4" w:space="0" w:color="auto"/>
            </w:tcBorders>
            <w:hideMark/>
          </w:tcPr>
          <w:p w14:paraId="143A4495"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The research gap is that Reflexion focuses on coding tasks with clear right/wrong answers, while trading outcomes are probabilistic and context-dependent. My research adapts verbal reflection to financial performance metrics.</w:t>
            </w:r>
          </w:p>
        </w:tc>
      </w:tr>
      <w:tr w:rsidR="0098769A" w:rsidRPr="0006137E" w14:paraId="39CA40B9" w14:textId="77777777" w:rsidTr="00BA3C64">
        <w:trPr>
          <w:trHeight w:val="2000"/>
        </w:trPr>
        <w:tc>
          <w:tcPr>
            <w:tcW w:w="253" w:type="pct"/>
            <w:tcBorders>
              <w:top w:val="nil"/>
              <w:left w:val="single" w:sz="4" w:space="0" w:color="auto"/>
              <w:bottom w:val="single" w:sz="4" w:space="0" w:color="auto"/>
              <w:right w:val="single" w:sz="4" w:space="0" w:color="auto"/>
            </w:tcBorders>
            <w:hideMark/>
          </w:tcPr>
          <w:p w14:paraId="4E1CC0FC"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lastRenderedPageBreak/>
              <w:t>10</w:t>
            </w:r>
          </w:p>
        </w:tc>
        <w:tc>
          <w:tcPr>
            <w:tcW w:w="613" w:type="pct"/>
            <w:tcBorders>
              <w:top w:val="nil"/>
              <w:left w:val="nil"/>
              <w:bottom w:val="single" w:sz="4" w:space="0" w:color="auto"/>
              <w:right w:val="single" w:sz="4" w:space="0" w:color="auto"/>
            </w:tcBorders>
            <w:hideMark/>
          </w:tcPr>
          <w:p w14:paraId="40246C99"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Financial LLMs</w:t>
            </w:r>
          </w:p>
        </w:tc>
        <w:tc>
          <w:tcPr>
            <w:tcW w:w="620" w:type="pct"/>
            <w:tcBorders>
              <w:top w:val="nil"/>
              <w:left w:val="nil"/>
              <w:bottom w:val="single" w:sz="4" w:space="0" w:color="auto"/>
              <w:right w:val="single" w:sz="4" w:space="0" w:color="auto"/>
            </w:tcBorders>
            <w:hideMark/>
          </w:tcPr>
          <w:p w14:paraId="5066F662"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FinGPT</w:t>
            </w:r>
            <w:proofErr w:type="spellEnd"/>
            <w:r w:rsidRPr="0006137E">
              <w:rPr>
                <w:rFonts w:ascii="Calibri" w:eastAsia="Times New Roman" w:hAnsi="Calibri" w:cs="Calibri"/>
                <w:sz w:val="18"/>
                <w:szCs w:val="18"/>
                <w:lang w:eastAsia="en-IN"/>
              </w:rPr>
              <w:t>: Open-Source Financial Large Language Models</w:t>
            </w:r>
          </w:p>
        </w:tc>
        <w:tc>
          <w:tcPr>
            <w:tcW w:w="635" w:type="pct"/>
            <w:tcBorders>
              <w:top w:val="nil"/>
              <w:left w:val="nil"/>
              <w:bottom w:val="single" w:sz="4" w:space="0" w:color="auto"/>
              <w:right w:val="single" w:sz="4" w:space="0" w:color="auto"/>
            </w:tcBorders>
            <w:hideMark/>
          </w:tcPr>
          <w:p w14:paraId="1906EE69"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Yang, Liu, Wang</w:t>
            </w:r>
          </w:p>
        </w:tc>
        <w:tc>
          <w:tcPr>
            <w:tcW w:w="460" w:type="pct"/>
            <w:tcBorders>
              <w:top w:val="nil"/>
              <w:left w:val="nil"/>
              <w:bottom w:val="single" w:sz="4" w:space="0" w:color="auto"/>
              <w:right w:val="single" w:sz="4" w:space="0" w:color="auto"/>
            </w:tcBorders>
            <w:hideMark/>
          </w:tcPr>
          <w:p w14:paraId="39F4FFB2"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2023</w:t>
            </w:r>
          </w:p>
        </w:tc>
        <w:tc>
          <w:tcPr>
            <w:tcW w:w="482" w:type="pct"/>
            <w:tcBorders>
              <w:top w:val="nil"/>
              <w:left w:val="nil"/>
              <w:bottom w:val="single" w:sz="4" w:space="0" w:color="auto"/>
              <w:right w:val="single" w:sz="4" w:space="0" w:color="auto"/>
            </w:tcBorders>
            <w:hideMark/>
          </w:tcPr>
          <w:p w14:paraId="0702296F"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proofErr w:type="spellStart"/>
            <w:r w:rsidRPr="0006137E">
              <w:rPr>
                <w:rFonts w:ascii="Calibri" w:eastAsia="Times New Roman" w:hAnsi="Calibri" w:cs="Calibri"/>
                <w:sz w:val="18"/>
                <w:szCs w:val="18"/>
                <w:lang w:eastAsia="en-IN"/>
              </w:rPr>
              <w:t>FinLLM</w:t>
            </w:r>
            <w:proofErr w:type="spellEnd"/>
            <w:r w:rsidRPr="0006137E">
              <w:rPr>
                <w:rFonts w:ascii="Calibri" w:eastAsia="Times New Roman" w:hAnsi="Calibri" w:cs="Calibri"/>
                <w:sz w:val="18"/>
                <w:szCs w:val="18"/>
                <w:lang w:eastAsia="en-IN"/>
              </w:rPr>
              <w:t xml:space="preserve"> @ IJCAI 2023</w:t>
            </w:r>
          </w:p>
        </w:tc>
        <w:tc>
          <w:tcPr>
            <w:tcW w:w="578" w:type="pct"/>
            <w:tcBorders>
              <w:top w:val="nil"/>
              <w:left w:val="nil"/>
              <w:bottom w:val="single" w:sz="4" w:space="0" w:color="auto"/>
              <w:right w:val="single" w:sz="4" w:space="0" w:color="auto"/>
            </w:tcBorders>
            <w:hideMark/>
          </w:tcPr>
          <w:p w14:paraId="78FC2BA9"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Introduced RLSP (Reinforcement Learning on Stock Prices) using actual stock movements as feedback, achieving 82.1% accuracy at $300 fine-tuning cost versus $3 million for </w:t>
            </w:r>
            <w:proofErr w:type="spellStart"/>
            <w:r w:rsidRPr="0006137E">
              <w:rPr>
                <w:rFonts w:ascii="Calibri" w:eastAsia="Times New Roman" w:hAnsi="Calibri" w:cs="Calibri"/>
                <w:sz w:val="18"/>
                <w:szCs w:val="18"/>
                <w:lang w:eastAsia="en-IN"/>
              </w:rPr>
              <w:t>BloombergGPT</w:t>
            </w:r>
            <w:proofErr w:type="spellEnd"/>
            <w:r w:rsidRPr="0006137E">
              <w:rPr>
                <w:rFonts w:ascii="Calibri" w:eastAsia="Times New Roman" w:hAnsi="Calibri" w:cs="Calibri"/>
                <w:sz w:val="18"/>
                <w:szCs w:val="18"/>
                <w:lang w:eastAsia="en-IN"/>
              </w:rPr>
              <w:t>.</w:t>
            </w:r>
          </w:p>
        </w:tc>
        <w:tc>
          <w:tcPr>
            <w:tcW w:w="707" w:type="pct"/>
            <w:tcBorders>
              <w:top w:val="nil"/>
              <w:left w:val="nil"/>
              <w:bottom w:val="single" w:sz="4" w:space="0" w:color="auto"/>
              <w:right w:val="single" w:sz="4" w:space="0" w:color="auto"/>
            </w:tcBorders>
            <w:hideMark/>
          </w:tcPr>
          <w:p w14:paraId="7D23F644"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This paper supports my research by proving that market-aligned feedback improves financial LLM performance. The low-cost </w:t>
            </w:r>
            <w:proofErr w:type="spellStart"/>
            <w:r w:rsidRPr="0006137E">
              <w:rPr>
                <w:rFonts w:ascii="Calibri" w:eastAsia="Times New Roman" w:hAnsi="Calibri" w:cs="Calibri"/>
                <w:sz w:val="18"/>
                <w:szCs w:val="18"/>
                <w:lang w:eastAsia="en-IN"/>
              </w:rPr>
              <w:t>LoRA</w:t>
            </w:r>
            <w:proofErr w:type="spellEnd"/>
            <w:r w:rsidRPr="0006137E">
              <w:rPr>
                <w:rFonts w:ascii="Calibri" w:eastAsia="Times New Roman" w:hAnsi="Calibri" w:cs="Calibri"/>
                <w:sz w:val="18"/>
                <w:szCs w:val="18"/>
                <w:lang w:eastAsia="en-IN"/>
              </w:rPr>
              <w:t xml:space="preserve"> fine-tuning approach validates my choice of using </w:t>
            </w:r>
            <w:proofErr w:type="spellStart"/>
            <w:r w:rsidRPr="0006137E">
              <w:rPr>
                <w:rFonts w:ascii="Calibri" w:eastAsia="Times New Roman" w:hAnsi="Calibri" w:cs="Calibri"/>
                <w:sz w:val="18"/>
                <w:szCs w:val="18"/>
                <w:lang w:eastAsia="en-IN"/>
              </w:rPr>
              <w:t>Groq</w:t>
            </w:r>
            <w:proofErr w:type="spellEnd"/>
            <w:r w:rsidRPr="0006137E">
              <w:rPr>
                <w:rFonts w:ascii="Calibri" w:eastAsia="Times New Roman" w:hAnsi="Calibri" w:cs="Calibri"/>
                <w:sz w:val="18"/>
                <w:szCs w:val="18"/>
                <w:lang w:eastAsia="en-IN"/>
              </w:rPr>
              <w:t xml:space="preserve"> API with smaller models.</w:t>
            </w:r>
          </w:p>
        </w:tc>
        <w:tc>
          <w:tcPr>
            <w:tcW w:w="652" w:type="pct"/>
            <w:tcBorders>
              <w:top w:val="nil"/>
              <w:left w:val="nil"/>
              <w:bottom w:val="single" w:sz="4" w:space="0" w:color="auto"/>
              <w:right w:val="single" w:sz="4" w:space="0" w:color="auto"/>
            </w:tcBorders>
            <w:hideMark/>
          </w:tcPr>
          <w:p w14:paraId="67AB82EA" w14:textId="77777777" w:rsidR="0098769A" w:rsidRPr="0006137E" w:rsidRDefault="0098769A" w:rsidP="00BA3C64">
            <w:pPr>
              <w:spacing w:after="0" w:line="240" w:lineRule="auto"/>
              <w:jc w:val="center"/>
              <w:rPr>
                <w:rFonts w:ascii="Calibri" w:eastAsia="Times New Roman" w:hAnsi="Calibri" w:cs="Calibri"/>
                <w:sz w:val="18"/>
                <w:szCs w:val="18"/>
                <w:lang w:eastAsia="en-IN"/>
              </w:rPr>
            </w:pPr>
            <w:r w:rsidRPr="0006137E">
              <w:rPr>
                <w:rFonts w:ascii="Calibri" w:eastAsia="Times New Roman" w:hAnsi="Calibri" w:cs="Calibri"/>
                <w:sz w:val="18"/>
                <w:szCs w:val="18"/>
                <w:lang w:eastAsia="en-IN"/>
              </w:rPr>
              <w:t xml:space="preserve">The research gap is that </w:t>
            </w:r>
            <w:proofErr w:type="spellStart"/>
            <w:r w:rsidRPr="0006137E">
              <w:rPr>
                <w:rFonts w:ascii="Calibri" w:eastAsia="Times New Roman" w:hAnsi="Calibri" w:cs="Calibri"/>
                <w:sz w:val="18"/>
                <w:szCs w:val="18"/>
                <w:lang w:eastAsia="en-IN"/>
              </w:rPr>
              <w:t>FinGPT</w:t>
            </w:r>
            <w:proofErr w:type="spellEnd"/>
            <w:r w:rsidRPr="0006137E">
              <w:rPr>
                <w:rFonts w:ascii="Calibri" w:eastAsia="Times New Roman" w:hAnsi="Calibri" w:cs="Calibri"/>
                <w:sz w:val="18"/>
                <w:szCs w:val="18"/>
                <w:lang w:eastAsia="en-IN"/>
              </w:rPr>
              <w:t xml:space="preserve"> focuses on single-task sentiment analysis without multi-agent coordination, and retraining frequently remains expensive. My research uses prompt optimisation instead of model fine-tuning.</w:t>
            </w:r>
          </w:p>
        </w:tc>
      </w:tr>
    </w:tbl>
    <w:p w14:paraId="11651974" w14:textId="77777777" w:rsidR="0098769A" w:rsidRDefault="0098769A" w:rsidP="00D32185">
      <w:pPr>
        <w:jc w:val="both"/>
      </w:pPr>
    </w:p>
    <w:p w14:paraId="05C6161E" w14:textId="77777777" w:rsidR="00695CA5" w:rsidRDefault="00695CA5" w:rsidP="00D32185">
      <w:pPr>
        <w:jc w:val="both"/>
        <w:sectPr w:rsidR="00695CA5" w:rsidSect="0098769A">
          <w:pgSz w:w="16838" w:h="11906" w:orient="landscape"/>
          <w:pgMar w:top="1440" w:right="1440" w:bottom="1440" w:left="1440" w:header="709" w:footer="709" w:gutter="0"/>
          <w:cols w:space="708"/>
          <w:docGrid w:linePitch="360"/>
        </w:sectPr>
      </w:pPr>
    </w:p>
    <w:p w14:paraId="6130881C" w14:textId="4C218AB5" w:rsidR="00695CA5" w:rsidRDefault="00695CA5" w:rsidP="00695CA5">
      <w:pPr>
        <w:pStyle w:val="Heading2"/>
      </w:pPr>
      <w:bookmarkStart w:id="35" w:name="_Toc228577623"/>
      <w:r>
        <w:lastRenderedPageBreak/>
        <w:t>3. Methodology</w:t>
      </w:r>
      <w:bookmarkEnd w:id="35"/>
    </w:p>
    <w:p w14:paraId="0806635D" w14:textId="77777777" w:rsidR="00695CA5" w:rsidRPr="00695CA5" w:rsidRDefault="00695CA5" w:rsidP="00695CA5"/>
    <w:p w14:paraId="425327EC" w14:textId="6E8E3913" w:rsidR="00C55B92" w:rsidRPr="00C55B92" w:rsidRDefault="00C55B92" w:rsidP="009F658F">
      <w:pPr>
        <w:pStyle w:val="Heading3"/>
        <w:jc w:val="both"/>
      </w:pPr>
      <w:bookmarkStart w:id="36" w:name="_Toc228577624"/>
      <w:r w:rsidRPr="00C55B92">
        <w:t>3.1 Overview of the Proposed Framework</w:t>
      </w:r>
      <w:bookmarkEnd w:id="36"/>
    </w:p>
    <w:p w14:paraId="4C533F47" w14:textId="77777777" w:rsidR="00C55B92" w:rsidRDefault="00C55B92" w:rsidP="009F658F">
      <w:pPr>
        <w:jc w:val="both"/>
      </w:pPr>
    </w:p>
    <w:p w14:paraId="2A650B03" w14:textId="41A7DCC9" w:rsidR="006276E7" w:rsidRPr="006276E7" w:rsidRDefault="006276E7" w:rsidP="006276E7">
      <w:pPr>
        <w:jc w:val="both"/>
      </w:pPr>
      <w:r w:rsidRPr="006276E7">
        <w:t>Financial markets are becoming increasingly complex and fast-moving, creating a need for portfolio management systems that can process large amounts of information and adapt to changing conditions without human intervention. This research proposes a fully autonomous seven-agent framework that addresses the limitations of existing static systems by combining multi-agent collaboration with dynamic prompt optimisation and a self-correcting feedback loop.</w:t>
      </w:r>
    </w:p>
    <w:p w14:paraId="01644963" w14:textId="77777777" w:rsidR="006276E7" w:rsidRPr="006276E7" w:rsidRDefault="006276E7" w:rsidP="006276E7">
      <w:pPr>
        <w:jc w:val="both"/>
      </w:pPr>
      <w:r w:rsidRPr="006276E7">
        <w:t>Rather than relying on a single model, the framework distributes financial analysis across seven specialised agents each powered by a Large Language Model. The Technical Analyst examines price and volume data, the Fundamental Analyst reviews company financials, the Sentiment Analyst monitors news and social media platforms including Reddit and X, and the Macro Analyst tracks broader economic indicators such as interest rates and inflation. The Stock Picker then consolidates all incoming signals to determine whether to buy, hold, or short each security alongside a conviction level, whilst the Risk Manager independently sets stop-loss and take-profit thresholds based on ATR and VIX volatility measures. Both agents receive a daily plain-English performance context allowing them to adjust their behaviour in response to recent losses or declining signal accuracy.</w:t>
      </w:r>
    </w:p>
    <w:p w14:paraId="7F5FFF87" w14:textId="77777777" w:rsidR="006276E7" w:rsidRPr="006276E7" w:rsidRDefault="006276E7" w:rsidP="006276E7">
      <w:pPr>
        <w:jc w:val="both"/>
      </w:pPr>
      <w:r w:rsidRPr="006276E7">
        <w:t xml:space="preserve">A key innovation is the use of the </w:t>
      </w:r>
      <w:proofErr w:type="spellStart"/>
      <w:r w:rsidRPr="006276E7">
        <w:t>DSPy</w:t>
      </w:r>
      <w:proofErr w:type="spellEnd"/>
      <w:r w:rsidRPr="006276E7">
        <w:t xml:space="preserve"> framework to automatically update agent instructions based on portfolio performance, ensuring the system continuously adapts as market conditions evolve. After each 10-day trading chunk the system evaluates performance across accuracy, returns, Sharpe ratio, and drawdown, and uses these results to trigger prompt optimisation where needed. The framework also introduces dynamic trailing stop-losses and profit targets that are continuously recalculated as each trade progresses, locking in gains on winning positions and allowing strongly performing trades to run for as long as momentum continues.</w:t>
      </w:r>
    </w:p>
    <w:p w14:paraId="15287BCF" w14:textId="14994CBA" w:rsidR="00BB1836" w:rsidRDefault="00BB1836" w:rsidP="009F658F">
      <w:pPr>
        <w:jc w:val="both"/>
      </w:pPr>
    </w:p>
    <w:p w14:paraId="57373A3E" w14:textId="37F882A5" w:rsidR="00F333EA" w:rsidRDefault="00F333EA" w:rsidP="009F658F">
      <w:pPr>
        <w:jc w:val="both"/>
      </w:pPr>
    </w:p>
    <w:p w14:paraId="71470136" w14:textId="77777777" w:rsidR="00E36295" w:rsidRDefault="00E36295" w:rsidP="009F658F">
      <w:pPr>
        <w:keepNext/>
        <w:jc w:val="both"/>
      </w:pPr>
      <w:r w:rsidRPr="00E36295">
        <w:rPr>
          <w:noProof/>
        </w:rPr>
        <w:lastRenderedPageBreak/>
        <w:drawing>
          <wp:inline distT="0" distB="0" distL="0" distR="0" wp14:anchorId="33C2F817" wp14:editId="75EE9653">
            <wp:extent cx="5731510" cy="6575425"/>
            <wp:effectExtent l="0" t="0" r="2540" b="0"/>
            <wp:docPr id="125307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7226" name=""/>
                    <pic:cNvPicPr/>
                  </pic:nvPicPr>
                  <pic:blipFill>
                    <a:blip r:embed="rId26"/>
                    <a:stretch>
                      <a:fillRect/>
                    </a:stretch>
                  </pic:blipFill>
                  <pic:spPr>
                    <a:xfrm>
                      <a:off x="0" y="0"/>
                      <a:ext cx="5731510" cy="6575425"/>
                    </a:xfrm>
                    <a:prstGeom prst="rect">
                      <a:avLst/>
                    </a:prstGeom>
                  </pic:spPr>
                </pic:pic>
              </a:graphicData>
            </a:graphic>
          </wp:inline>
        </w:drawing>
      </w:r>
    </w:p>
    <w:p w14:paraId="61F691AF" w14:textId="7FB10D98" w:rsidR="00E36295" w:rsidRDefault="00E36295" w:rsidP="009F658F">
      <w:pPr>
        <w:pStyle w:val="Caption"/>
        <w:jc w:val="both"/>
      </w:pPr>
      <w:bookmarkStart w:id="37" w:name="_Toc228816061"/>
      <w:r>
        <w:t xml:space="preserve">Figure </w:t>
      </w:r>
      <w:fldSimple w:instr=" SEQ Figure \* ARABIC ">
        <w:r w:rsidR="006C3897">
          <w:rPr>
            <w:noProof/>
          </w:rPr>
          <w:t>16</w:t>
        </w:r>
      </w:fldSimple>
      <w:r>
        <w:t xml:space="preserve">: </w:t>
      </w:r>
      <w:r w:rsidRPr="00527191">
        <w:t>Daily decision pipeline showing how seven specialised agents process financial data and collectively produce final trading decisions.</w:t>
      </w:r>
      <w:bookmarkEnd w:id="37"/>
    </w:p>
    <w:p w14:paraId="621AFE98" w14:textId="77777777" w:rsidR="00E36295" w:rsidRDefault="00E36295" w:rsidP="009F658F">
      <w:pPr>
        <w:jc w:val="both"/>
      </w:pPr>
    </w:p>
    <w:p w14:paraId="60AD8664" w14:textId="77777777" w:rsidR="00E36295" w:rsidRDefault="00E36295" w:rsidP="009F658F">
      <w:pPr>
        <w:keepNext/>
        <w:jc w:val="both"/>
      </w:pPr>
      <w:r w:rsidRPr="00E36295">
        <w:rPr>
          <w:noProof/>
        </w:rPr>
        <w:lastRenderedPageBreak/>
        <w:drawing>
          <wp:inline distT="0" distB="0" distL="0" distR="0" wp14:anchorId="113E248F" wp14:editId="7E1772ED">
            <wp:extent cx="5731510" cy="6153150"/>
            <wp:effectExtent l="0" t="0" r="2540" b="0"/>
            <wp:docPr id="1232122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22991" name=""/>
                    <pic:cNvPicPr/>
                  </pic:nvPicPr>
                  <pic:blipFill>
                    <a:blip r:embed="rId27"/>
                    <a:stretch>
                      <a:fillRect/>
                    </a:stretch>
                  </pic:blipFill>
                  <pic:spPr>
                    <a:xfrm>
                      <a:off x="0" y="0"/>
                      <a:ext cx="5731510" cy="6153150"/>
                    </a:xfrm>
                    <a:prstGeom prst="rect">
                      <a:avLst/>
                    </a:prstGeom>
                  </pic:spPr>
                </pic:pic>
              </a:graphicData>
            </a:graphic>
          </wp:inline>
        </w:drawing>
      </w:r>
    </w:p>
    <w:p w14:paraId="18F2A5C8" w14:textId="45A5C6D4" w:rsidR="00F333EA" w:rsidRDefault="00E36295" w:rsidP="009F658F">
      <w:pPr>
        <w:pStyle w:val="Caption"/>
        <w:jc w:val="both"/>
      </w:pPr>
      <w:bookmarkStart w:id="38" w:name="_Toc228816062"/>
      <w:r>
        <w:t xml:space="preserve">Figure </w:t>
      </w:r>
      <w:fldSimple w:instr=" SEQ Figure \* ARABIC ">
        <w:r w:rsidR="006C3897">
          <w:rPr>
            <w:noProof/>
          </w:rPr>
          <w:t>17</w:t>
        </w:r>
      </w:fldSimple>
      <w:r>
        <w:t xml:space="preserve">: </w:t>
      </w:r>
      <w:r w:rsidRPr="004B20F9">
        <w:t>Epoch training loop illustrating how the framework simulates trading, evaluates reward, and self-corrects agent prompts based on drawdown level.</w:t>
      </w:r>
      <w:bookmarkEnd w:id="38"/>
    </w:p>
    <w:p w14:paraId="6CF4E190" w14:textId="77777777" w:rsidR="00EC28DB" w:rsidRDefault="00EC28DB" w:rsidP="009F658F">
      <w:pPr>
        <w:jc w:val="both"/>
      </w:pPr>
    </w:p>
    <w:p w14:paraId="6B36F297" w14:textId="77777777" w:rsidR="00884226" w:rsidRDefault="00884226" w:rsidP="009F658F">
      <w:pPr>
        <w:jc w:val="both"/>
      </w:pPr>
    </w:p>
    <w:p w14:paraId="1323B3F3" w14:textId="3FCF43D1" w:rsidR="002C257A" w:rsidRPr="008C4351" w:rsidRDefault="00000000" w:rsidP="009F658F">
      <w:pPr>
        <w:jc w:val="both"/>
        <w:rPr>
          <w:rFonts w:eastAsiaTheme="minorEastAsia"/>
        </w:rPr>
      </w:pPr>
      <m:oMathPara>
        <m:oMath>
          <m:sSup>
            <m:sSupPr>
              <m:ctrlPr>
                <w:rPr>
                  <w:rFonts w:ascii="Cambria Math" w:eastAsiaTheme="minorEastAsia" w:hAnsi="Cambria Math"/>
                  <w:i/>
                </w:rPr>
              </m:ctrlPr>
            </m:sSupPr>
            <m:e>
              <m:r>
                <m:rPr>
                  <m:sty m:val="p"/>
                </m:rPr>
                <w:rPr>
                  <w:rFonts w:ascii="Cambria Math" w:eastAsiaTheme="minorEastAsia" w:hAnsi="Cambria Math"/>
                </w:rPr>
                <m:t>Π</m:t>
              </m:r>
              <m:ctrlPr>
                <w:rPr>
                  <w:rFonts w:ascii="Cambria Math" w:eastAsiaTheme="minorEastAsia" w:hAnsi="Cambria Math"/>
                </w:rPr>
              </m:ctrlPr>
            </m:e>
            <m:sup>
              <m:r>
                <w:rPr>
                  <w:rFonts w:ascii="Cambria Math" w:eastAsiaTheme="minorEastAsia" w:hAnsi="Cambria Math"/>
                </w:rPr>
                <m:t>*</m:t>
              </m:r>
            </m:sup>
          </m:sSup>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arg</m:t>
              </m:r>
              <m:ctrlPr>
                <w:rPr>
                  <w:rFonts w:ascii="Cambria Math" w:eastAsiaTheme="minorEastAsia" w:hAnsi="Cambria Math"/>
                  <w:i/>
                </w:rPr>
              </m:ctrlPr>
            </m:fName>
            <m:e>
              <m:func>
                <m:funcPr>
                  <m:ctrlPr>
                    <w:rPr>
                      <w:rFonts w:ascii="Cambria Math" w:eastAsiaTheme="minorEastAsia" w:hAnsi="Cambria Math"/>
                    </w:rPr>
                  </m:ctrlPr>
                </m:funcPr>
                <m:fName>
                  <m:limLow>
                    <m:limLowPr>
                      <m:ctrlPr>
                        <w:rPr>
                          <w:rFonts w:ascii="Cambria Math" w:eastAsiaTheme="minorEastAsia" w:hAnsi="Cambria Math"/>
                          <w:i/>
                        </w:rPr>
                      </m:ctrlPr>
                    </m:limLowPr>
                    <m:e>
                      <m:r>
                        <m:rPr>
                          <m:sty m:val="p"/>
                        </m:rPr>
                        <w:rPr>
                          <w:rFonts w:ascii="Cambria Math" w:eastAsiaTheme="minorEastAsia" w:hAnsi="Cambria Math"/>
                        </w:rPr>
                        <m:t>max</m:t>
                      </m:r>
                      <m:ctrlPr>
                        <w:rPr>
                          <w:rFonts w:ascii="Cambria Math" w:eastAsiaTheme="minorEastAsia" w:hAnsi="Cambria Math"/>
                        </w:rPr>
                      </m:ctrlPr>
                    </m:e>
                    <m:lim>
                      <m:sSub>
                        <m:sSubPr>
                          <m:ctrlPr>
                            <w:rPr>
                              <w:rFonts w:ascii="Cambria Math" w:eastAsiaTheme="minorEastAsia" w:hAnsi="Cambria Math"/>
                              <w:i/>
                            </w:rPr>
                          </m:ctrlPr>
                        </m:sSubPr>
                        <m:e>
                          <m:r>
                            <m:rPr>
                              <m:sty m:val="p"/>
                            </m:rPr>
                            <w:rPr>
                              <w:rFonts w:ascii="Cambria Math" w:eastAsiaTheme="minorEastAsia" w:hAnsi="Cambria Math"/>
                            </w:rPr>
                            <m:t>θ</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m:rPr>
                              <m:sty m:val="p"/>
                            </m:rPr>
                            <w:rPr>
                              <w:rFonts w:ascii="Cambria Math" w:eastAsiaTheme="minorEastAsia" w:hAnsi="Cambria Math"/>
                            </w:rPr>
                            <m:t>θ</m:t>
                          </m:r>
                        </m:e>
                        <m:sub>
                          <m:r>
                            <w:rPr>
                              <w:rFonts w:ascii="Cambria Math" w:eastAsiaTheme="minorEastAsia" w:hAnsi="Cambria Math"/>
                            </w:rPr>
                            <m:t>6</m:t>
                          </m:r>
                        </m:sub>
                      </m:sSub>
                      <m:ctrlPr>
                        <w:rPr>
                          <w:rFonts w:ascii="Cambria Math" w:eastAsiaTheme="minorEastAsia" w:hAnsi="Cambria Math"/>
                        </w:rPr>
                      </m:ctrlPr>
                    </m:lim>
                  </m:limLow>
                </m:fName>
                <m:e>
                  <m:nary>
                    <m:naryPr>
                      <m:chr m:val="∑"/>
                      <m:ctrlPr>
                        <w:rPr>
                          <w:rFonts w:ascii="Cambria Math" w:eastAsiaTheme="minorEastAsia" w:hAnsi="Cambria Math"/>
                        </w:rPr>
                      </m:ctrlPr>
                    </m:naryPr>
                    <m:sub>
                      <m:r>
                        <w:rPr>
                          <w:rFonts w:ascii="Cambria Math" w:eastAsiaTheme="minorEastAsia" w:hAnsi="Cambria Math"/>
                        </w:rPr>
                        <m:t>t=1</m:t>
                      </m:r>
                      <m:ctrlPr>
                        <w:rPr>
                          <w:rFonts w:ascii="Cambria Math" w:eastAsiaTheme="minorEastAsia" w:hAnsi="Cambria Math"/>
                          <w:i/>
                        </w:rPr>
                      </m:ctrlPr>
                    </m:sub>
                    <m:sup>
                      <m:r>
                        <w:rPr>
                          <w:rFonts w:ascii="Cambria Math" w:eastAsiaTheme="minorEastAsia" w:hAnsi="Cambria Math"/>
                        </w:rPr>
                        <m:t>T</m:t>
                      </m:r>
                      <m:ctrlPr>
                        <w:rPr>
                          <w:rFonts w:ascii="Cambria Math" w:eastAsiaTheme="minorEastAsia" w:hAnsi="Cambria Math"/>
                          <w:i/>
                        </w:rPr>
                      </m:ctrlPr>
                    </m:sup>
                    <m:e>
                      <m:r>
                        <w:rPr>
                          <w:rFonts w:ascii="Cambria Math" w:eastAsiaTheme="minorEastAsia" w:hAnsi="Cambria Math"/>
                        </w:rPr>
                        <m:t>R</m:t>
                      </m:r>
                      <m:d>
                        <m:dPr>
                          <m:ctrlPr>
                            <w:rPr>
                              <w:rFonts w:ascii="Cambria Math" w:eastAsiaTheme="minorEastAsia" w:hAnsi="Cambria Math"/>
                            </w:rPr>
                          </m:ctrlPr>
                        </m:dPr>
                        <m:e>
                          <m:r>
                            <m:rPr>
                              <m:scr m:val="script"/>
                            </m:rPr>
                            <w:rPr>
                              <w:rFonts w:ascii="Cambria Math" w:eastAsiaTheme="minorEastAsia" w:hAnsi="Cambria Math"/>
                            </w:rPr>
                            <m:t>O</m:t>
                          </m:r>
                          <m:d>
                            <m:dPr>
                              <m:ctrlPr>
                                <w:rPr>
                                  <w:rFonts w:ascii="Cambria Math" w:eastAsiaTheme="minorEastAsia" w:hAnsi="Cambria Math"/>
                                </w:rPr>
                              </m:ctrlPr>
                            </m:dPr>
                            <m:e>
                              <m:nary>
                                <m:naryPr>
                                  <m:chr m:val="⋃"/>
                                  <m:ctrlPr>
                                    <w:rPr>
                                      <w:rFonts w:ascii="Cambria Math" w:eastAsiaTheme="minorEastAsia" w:hAnsi="Cambria Math"/>
                                    </w:rPr>
                                  </m:ctrlPr>
                                </m:naryPr>
                                <m:sub>
                                  <m:r>
                                    <w:rPr>
                                      <w:rFonts w:ascii="Cambria Math" w:eastAsiaTheme="minorEastAsia" w:hAnsi="Cambria Math"/>
                                    </w:rPr>
                                    <m:t>i=1</m:t>
                                  </m:r>
                                  <m:ctrlPr>
                                    <w:rPr>
                                      <w:rFonts w:ascii="Cambria Math" w:eastAsiaTheme="minorEastAsia" w:hAnsi="Cambria Math"/>
                                      <w:i/>
                                    </w:rPr>
                                  </m:ctrlPr>
                                </m:sub>
                                <m:sup>
                                  <m:r>
                                    <w:rPr>
                                      <w:rFonts w:ascii="Cambria Math" w:eastAsiaTheme="minorEastAsia" w:hAnsi="Cambria Math"/>
                                    </w:rPr>
                                    <m:t>4</m:t>
                                  </m:r>
                                  <m:ctrlPr>
                                    <w:rPr>
                                      <w:rFonts w:ascii="Cambria Math" w:eastAsiaTheme="minorEastAsia" w:hAnsi="Cambria Math"/>
                                      <w:i/>
                                    </w:rPr>
                                  </m:ctrlPr>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m:rPr>
                                              <m:sty m:val="p"/>
                                            </m:rPr>
                                            <w:rPr>
                                              <w:rFonts w:ascii="Cambria Math" w:eastAsiaTheme="minorEastAsia" w:hAnsi="Cambria Math"/>
                                            </w:rPr>
                                            <m:t>θ</m:t>
                                          </m:r>
                                        </m:e>
                                        <m:sub>
                                          <m:r>
                                            <w:rPr>
                                              <w:rFonts w:ascii="Cambria Math" w:eastAsiaTheme="minorEastAsia" w:hAnsi="Cambria Math"/>
                                            </w:rPr>
                                            <m:t>i</m:t>
                                          </m:r>
                                        </m:sub>
                                      </m:sSub>
                                    </m:e>
                                  </m:d>
                                  <m:ctrlPr>
                                    <w:rPr>
                                      <w:rFonts w:ascii="Cambria Math" w:eastAsiaTheme="minorEastAsia" w:hAnsi="Cambria Math"/>
                                      <w:i/>
                                    </w:rPr>
                                  </m:ctrlPr>
                                </m:e>
                              </m:nary>
                              <m:r>
                                <w:rPr>
                                  <w:rFonts w:ascii="Cambria Math" w:eastAsiaTheme="minorEastAsia" w:hAnsi="Cambria Math"/>
                                </w:rPr>
                                <m:t>,</m:t>
                              </m:r>
                              <m:sSub>
                                <m:sSubPr>
                                  <m:ctrlPr>
                                    <w:rPr>
                                      <w:rFonts w:ascii="Cambria Math" w:eastAsiaTheme="minorEastAsia" w:hAnsi="Cambria Math"/>
                                      <w:i/>
                                    </w:rPr>
                                  </m:ctrlPr>
                                </m:sSubPr>
                                <m:e>
                                  <m:r>
                                    <m:rPr>
                                      <m:scr m:val="script"/>
                                    </m:rPr>
                                    <w:rPr>
                                      <w:rFonts w:ascii="Cambria Math" w:eastAsiaTheme="minorEastAsia" w:hAnsi="Cambria Math"/>
                                    </w:rPr>
                                    <m:t>P</m:t>
                                  </m:r>
                                </m:e>
                                <m:sub>
                                  <m:r>
                                    <m:rPr>
                                      <m:scr m:val="script"/>
                                    </m:rP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m:rPr>
                                      <m:scr m:val="script"/>
                                    </m:rPr>
                                    <w:rPr>
                                      <w:rFonts w:ascii="Cambria Math" w:eastAsiaTheme="minorEastAsia" w:hAnsi="Cambria Math"/>
                                    </w:rPr>
                                    <m:t>H</m:t>
                                  </m:r>
                                </m:e>
                                <m:sub>
                                  <m:r>
                                    <m:rPr>
                                      <m:scr m:val="script"/>
                                    </m:rPr>
                                    <w:rPr>
                                      <w:rFonts w:ascii="Cambria Math" w:eastAsiaTheme="minorEastAsia" w:hAnsi="Cambria Math"/>
                                    </w:rPr>
                                    <m:t>t</m:t>
                                  </m:r>
                                </m:sub>
                              </m:sSub>
                              <m:ctrlPr>
                                <w:rPr>
                                  <w:rFonts w:ascii="Cambria Math" w:eastAsiaTheme="minorEastAsia" w:hAnsi="Cambria Math"/>
                                  <w:i/>
                                </w:rPr>
                              </m:ctrlPr>
                            </m:e>
                          </m:d>
                          <m:ctrlPr>
                            <w:rPr>
                              <w:rFonts w:ascii="Cambria Math" w:eastAsiaTheme="minorEastAsia" w:hAnsi="Cambria Math"/>
                              <w:i/>
                            </w:rPr>
                          </m:ctrlPr>
                        </m:e>
                      </m:d>
                      <m:ctrlPr>
                        <w:rPr>
                          <w:rFonts w:ascii="Cambria Math" w:eastAsiaTheme="minorEastAsia" w:hAnsi="Cambria Math"/>
                          <w:i/>
                        </w:rPr>
                      </m:ctrlPr>
                    </m:e>
                  </m:nary>
                  <m:ctrlPr>
                    <w:rPr>
                      <w:rFonts w:ascii="Cambria Math" w:eastAsiaTheme="minorEastAsia" w:hAnsi="Cambria Math"/>
                      <w:i/>
                    </w:rPr>
                  </m:ctrlPr>
                </m:e>
              </m:func>
            </m:e>
          </m:func>
        </m:oMath>
      </m:oMathPara>
    </w:p>
    <w:p w14:paraId="73565400" w14:textId="77777777" w:rsidR="008C4351" w:rsidRDefault="008C4351" w:rsidP="009F658F">
      <w:pPr>
        <w:jc w:val="both"/>
        <w:rPr>
          <w:rFonts w:eastAsiaTheme="minorEastAsia"/>
        </w:rPr>
      </w:pPr>
    </w:p>
    <w:p w14:paraId="23E3220D" w14:textId="4142D8AC" w:rsidR="00E86892" w:rsidRDefault="008C4351" w:rsidP="009F658F">
      <w:pPr>
        <w:jc w:val="both"/>
        <w:rPr>
          <w:rFonts w:eastAsiaTheme="minorEastAsia"/>
          <w:b/>
          <w:bCs/>
        </w:rPr>
      </w:pPr>
      <w:r w:rsidRPr="008C4351">
        <w:rPr>
          <w:rFonts w:eastAsiaTheme="minorEastAsia"/>
          <w:b/>
          <w:bCs/>
        </w:rPr>
        <w:t xml:space="preserve">              </w:t>
      </w:r>
      <w:r w:rsidRPr="008C4351">
        <w:rPr>
          <w:rFonts w:eastAsiaTheme="minorEastAsia"/>
          <w:b/>
          <w:bCs/>
        </w:rPr>
        <w:tab/>
      </w:r>
      <w:r w:rsidRPr="008C4351">
        <w:rPr>
          <w:rFonts w:eastAsiaTheme="minorEastAsia"/>
          <w:b/>
          <w:bCs/>
        </w:rPr>
        <w:tab/>
      </w:r>
      <w:r w:rsidRPr="008C4351">
        <w:rPr>
          <w:rFonts w:eastAsiaTheme="minorEastAsia"/>
          <w:b/>
          <w:bCs/>
        </w:rPr>
        <w:tab/>
      </w:r>
      <w:r w:rsidRPr="008C4351">
        <w:rPr>
          <w:rFonts w:eastAsiaTheme="minorEastAsia"/>
          <w:b/>
          <w:bCs/>
        </w:rPr>
        <w:tab/>
        <w:t>Master Portfolio Optimisation Formula</w:t>
      </w:r>
    </w:p>
    <w:p w14:paraId="41D044A9" w14:textId="77777777" w:rsidR="008C4351" w:rsidRPr="008C4351" w:rsidRDefault="008C4351" w:rsidP="009F658F">
      <w:pPr>
        <w:jc w:val="both"/>
        <w:rPr>
          <w:rFonts w:eastAsiaTheme="minorEastAsia"/>
          <w:b/>
          <w:bCs/>
        </w:rPr>
      </w:pPr>
    </w:p>
    <w:p w14:paraId="41A29205" w14:textId="77777777" w:rsidR="00E86892" w:rsidRDefault="00E86892" w:rsidP="009F658F">
      <w:pPr>
        <w:jc w:val="both"/>
        <w:rPr>
          <w:rFonts w:eastAsiaTheme="minorEastAsia"/>
        </w:rPr>
      </w:pPr>
    </w:p>
    <w:p w14:paraId="00650AEB" w14:textId="525DC3E1" w:rsidR="00915420" w:rsidRPr="008C4351" w:rsidRDefault="00915420" w:rsidP="009F658F">
      <w:pPr>
        <w:jc w:val="both"/>
        <w:rPr>
          <w:rFonts w:eastAsiaTheme="minorEastAsia"/>
        </w:rPr>
      </w:pPr>
      <m:oMathPara>
        <m:oMath>
          <m:r>
            <w:rPr>
              <w:rFonts w:ascii="Cambria Math" w:hAnsi="Cambria Math"/>
            </w:rPr>
            <m:t>R=0.30</m:t>
          </m:r>
          <m:r>
            <m:rPr>
              <m:sty m:val="p"/>
            </m:rPr>
            <w:rPr>
              <w:rFonts w:ascii="Cambria Math" w:hAnsi="Cambria Math"/>
            </w:rPr>
            <m:t>×</m:t>
          </m:r>
          <m:f>
            <m:fPr>
              <m:ctrlPr>
                <w:rPr>
                  <w:rFonts w:ascii="Cambria Math" w:hAnsi="Cambria Math"/>
                </w:rPr>
              </m:ctrlPr>
            </m:fPr>
            <m:num>
              <m:acc>
                <m:accPr>
                  <m:chr m:val="̅"/>
                  <m:ctrlPr>
                    <w:rPr>
                      <w:rFonts w:ascii="Cambria Math" w:hAnsi="Cambria Math"/>
                    </w:rPr>
                  </m:ctrlPr>
                </m:accPr>
                <m:e>
                  <m:r>
                    <w:rPr>
                      <w:rFonts w:ascii="Cambria Math" w:hAnsi="Cambria Math"/>
                    </w:rPr>
                    <m:t>r</m:t>
                  </m:r>
                </m:e>
              </m:acc>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f</m:t>
                  </m:r>
                </m:sub>
              </m:sSub>
              <m:ctrlPr>
                <w:rPr>
                  <w:rFonts w:ascii="Cambria Math" w:hAnsi="Cambria Math"/>
                  <w:i/>
                </w:rPr>
              </m:ctrlPr>
            </m:num>
            <m:den>
              <m:sSub>
                <m:sSubPr>
                  <m:ctrlPr>
                    <w:rPr>
                      <w:rFonts w:ascii="Cambria Math" w:hAnsi="Cambria Math"/>
                      <w:i/>
                    </w:rPr>
                  </m:ctrlPr>
                </m:sSubPr>
                <m:e>
                  <m:r>
                    <m:rPr>
                      <m:sty m:val="p"/>
                    </m:rPr>
                    <w:rPr>
                      <w:rFonts w:ascii="Cambria Math" w:hAnsi="Cambria Math"/>
                    </w:rPr>
                    <m:t>σ</m:t>
                  </m:r>
                </m:e>
                <m:sub>
                  <m:r>
                    <w:rPr>
                      <w:rFonts w:ascii="Cambria Math" w:hAnsi="Cambria Math"/>
                    </w:rPr>
                    <m:t>r</m:t>
                  </m:r>
                </m:sub>
              </m:sSub>
              <m:ctrlPr>
                <w:rPr>
                  <w:rFonts w:ascii="Cambria Math" w:hAnsi="Cambria Math"/>
                  <w:i/>
                </w:rPr>
              </m:ctrlPr>
            </m:den>
          </m:f>
          <m:rad>
            <m:radPr>
              <m:degHide m:val="1"/>
              <m:ctrlPr>
                <w:rPr>
                  <w:rFonts w:ascii="Cambria Math" w:hAnsi="Cambria Math"/>
                </w:rPr>
              </m:ctrlPr>
            </m:radPr>
            <m:deg>
              <m:ctrlPr>
                <w:rPr>
                  <w:rFonts w:ascii="Cambria Math" w:hAnsi="Cambria Math"/>
                  <w:i/>
                </w:rPr>
              </m:ctrlPr>
            </m:deg>
            <m:e>
              <m:r>
                <w:rPr>
                  <w:rFonts w:ascii="Cambria Math" w:hAnsi="Cambria Math"/>
                </w:rPr>
                <m:t>252</m:t>
              </m:r>
            </m:e>
          </m:rad>
          <m:r>
            <w:rPr>
              <w:rFonts w:ascii="Cambria Math" w:hAnsi="Cambria Math"/>
            </w:rPr>
            <m:t>+0.25</m:t>
          </m:r>
          <m:r>
            <m:rPr>
              <m:sty m:val="p"/>
            </m:rPr>
            <w:rPr>
              <w:rFonts w:ascii="Cambria Math" w:hAnsi="Cambria Math"/>
            </w:rPr>
            <m:t>×</m:t>
          </m:r>
          <m:f>
            <m:fPr>
              <m:ctrlPr>
                <w:rPr>
                  <w:rFonts w:ascii="Cambria Math" w:hAnsi="Cambria Math"/>
                </w:rPr>
              </m:ctrlPr>
            </m:fPr>
            <m:num>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m:t>
                  </m:r>
                </m:sub>
              </m:sSub>
              <m:ctrlPr>
                <w:rPr>
                  <w:rFonts w:ascii="Cambria Math" w:hAnsi="Cambria Math"/>
                  <w:i/>
                </w:rPr>
              </m:ctrlPr>
            </m:num>
            <m:den>
              <m:sSub>
                <m:sSubPr>
                  <m:ctrlPr>
                    <w:rPr>
                      <w:rFonts w:ascii="Cambria Math" w:hAnsi="Cambria Math"/>
                      <w:i/>
                    </w:rPr>
                  </m:ctrlPr>
                </m:sSubPr>
                <m:e>
                  <m:r>
                    <w:rPr>
                      <w:rFonts w:ascii="Cambria Math" w:hAnsi="Cambria Math"/>
                    </w:rPr>
                    <m:t>V</m:t>
                  </m:r>
                </m:e>
                <m:sub>
                  <m:r>
                    <w:rPr>
                      <w:rFonts w:ascii="Cambria Math" w:hAnsi="Cambria Math"/>
                    </w:rPr>
                    <m:t>0</m:t>
                  </m:r>
                </m:sub>
              </m:sSub>
              <m:ctrlPr>
                <w:rPr>
                  <w:rFonts w:ascii="Cambria Math" w:hAnsi="Cambria Math"/>
                  <w:i/>
                </w:rPr>
              </m:ctrlPr>
            </m:den>
          </m:f>
          <m:r>
            <w:rPr>
              <w:rFonts w:ascii="Cambria Math" w:hAnsi="Cambria Math"/>
            </w:rPr>
            <m:t>-0.20</m:t>
          </m:r>
          <m:r>
            <m:rPr>
              <m:sty m:val="p"/>
            </m:rPr>
            <w:rPr>
              <w:rFonts w:ascii="Cambria Math" w:hAnsi="Cambria Math"/>
            </w:rPr>
            <m:t>×τ</m:t>
          </m:r>
          <m:r>
            <w:rPr>
              <w:rFonts w:ascii="Cambria Math" w:hAnsi="Cambria Math"/>
            </w:rPr>
            <m:t xml:space="preserve"> - 0.15</m:t>
          </m:r>
          <m:r>
            <m:rPr>
              <m:sty m:val="p"/>
            </m:rPr>
            <w:rPr>
              <w:rFonts w:ascii="Cambria Math" w:hAnsi="Cambria Math"/>
            </w:rPr>
            <m:t>×</m:t>
          </m:r>
          <m:r>
            <w:rPr>
              <w:rFonts w:ascii="Cambria Math" w:hAnsi="Cambria Math"/>
            </w:rPr>
            <m:t>MDD+0.10</m:t>
          </m:r>
          <m:r>
            <m:rPr>
              <m:sty m:val="p"/>
            </m:rPr>
            <w:rPr>
              <w:rFonts w:ascii="Cambria Math" w:hAnsi="Cambria Math"/>
            </w:rPr>
            <m:t>×</m:t>
          </m:r>
          <m:r>
            <w:rPr>
              <w:rFonts w:ascii="Cambria Math" w:hAnsi="Cambria Math"/>
            </w:rPr>
            <m:t>A</m:t>
          </m:r>
        </m:oMath>
      </m:oMathPara>
    </w:p>
    <w:p w14:paraId="4B1CA655" w14:textId="77777777" w:rsidR="008C4351" w:rsidRPr="008C4351" w:rsidRDefault="008C4351" w:rsidP="009F658F">
      <w:pPr>
        <w:jc w:val="both"/>
        <w:rPr>
          <w:rFonts w:eastAsiaTheme="minorEastAsia"/>
        </w:rPr>
      </w:pPr>
    </w:p>
    <w:p w14:paraId="13B3557D" w14:textId="72A55986" w:rsidR="00E86892" w:rsidRPr="00884226" w:rsidRDefault="008C4351" w:rsidP="009F658F">
      <w:pPr>
        <w:ind w:left="3600"/>
        <w:jc w:val="both"/>
        <w:rPr>
          <w:rFonts w:eastAsiaTheme="minorEastAsia"/>
          <w:b/>
          <w:bCs/>
          <w:sz w:val="24"/>
          <w:szCs w:val="24"/>
        </w:rPr>
      </w:pPr>
      <w:r w:rsidRPr="007F675B">
        <w:rPr>
          <w:rFonts w:eastAsiaTheme="minorEastAsia"/>
          <w:b/>
          <w:bCs/>
          <w:sz w:val="24"/>
          <w:szCs w:val="24"/>
        </w:rPr>
        <w:t>Reward function formula</w:t>
      </w:r>
    </w:p>
    <w:p w14:paraId="4E906032" w14:textId="1F25F8F7" w:rsidR="007F675B" w:rsidRDefault="007F675B" w:rsidP="009F658F">
      <w:pPr>
        <w:jc w:val="both"/>
        <w:rPr>
          <w:rFonts w:eastAsiaTheme="minorEastAsia"/>
          <w:b/>
          <w:bCs/>
          <w:sz w:val="28"/>
          <w:szCs w:val="28"/>
        </w:rPr>
      </w:pPr>
      <w:r>
        <w:rPr>
          <w:rFonts w:eastAsiaTheme="minorEastAsia"/>
          <w:b/>
          <w:bCs/>
          <w:sz w:val="28"/>
          <w:szCs w:val="28"/>
        </w:rPr>
        <w:t xml:space="preserve">Where </w:t>
      </w:r>
      <w:r w:rsidR="008C4351" w:rsidRPr="007F675B">
        <w:rPr>
          <w:b/>
          <w:bCs/>
          <w:noProof/>
          <w:sz w:val="28"/>
          <w:szCs w:val="28"/>
        </w:rPr>
        <mc:AlternateContent>
          <mc:Choice Requires="wps">
            <w:drawing>
              <wp:inline distT="0" distB="0" distL="0" distR="0" wp14:anchorId="5BE29500" wp14:editId="2EF94F1F">
                <wp:extent cx="304800" cy="304800"/>
                <wp:effectExtent l="0" t="0" r="0" b="0"/>
                <wp:docPr id="1131081020" name="Rectangle 2" descr="equ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E7C0C7" id="Rectangle 2" o:spid="_x0000_s1026" alt="equ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A31B1C7" w14:textId="270F7549" w:rsidR="008C4351" w:rsidRDefault="007F675B" w:rsidP="009F658F">
      <w:pPr>
        <w:jc w:val="both"/>
        <w:rPr>
          <w:rFonts w:eastAsiaTheme="minorEastAsia"/>
        </w:rPr>
      </w:pPr>
      <w:r>
        <w:rPr>
          <w:rFonts w:eastAsiaTheme="minorEastAsia"/>
        </w:rPr>
        <w:t xml:space="preserve">     </w:t>
      </w:r>
      <w:r w:rsidR="008C4351" w:rsidRPr="008C4351">
        <w:rPr>
          <w:rFonts w:eastAsiaTheme="minorEastAsia"/>
          <w:noProof/>
        </w:rPr>
        <w:drawing>
          <wp:inline distT="0" distB="0" distL="0" distR="0" wp14:anchorId="0B2088ED" wp14:editId="7FEB71A8">
            <wp:extent cx="5096510" cy="650240"/>
            <wp:effectExtent l="0" t="0" r="8890" b="0"/>
            <wp:docPr id="13077994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96510" cy="650240"/>
                    </a:xfrm>
                    <a:prstGeom prst="rect">
                      <a:avLst/>
                    </a:prstGeom>
                    <a:noFill/>
                    <a:ln>
                      <a:noFill/>
                    </a:ln>
                  </pic:spPr>
                </pic:pic>
              </a:graphicData>
            </a:graphic>
          </wp:inline>
        </w:drawing>
      </w:r>
    </w:p>
    <w:p w14:paraId="3C8198F6" w14:textId="079377F4" w:rsidR="008C4351" w:rsidRDefault="007F675B" w:rsidP="009F658F">
      <w:pPr>
        <w:jc w:val="both"/>
        <w:rPr>
          <w:rFonts w:eastAsiaTheme="minorEastAsia"/>
        </w:rPr>
      </w:pPr>
      <w:r>
        <w:rPr>
          <w:rFonts w:eastAsiaTheme="minorEastAsia"/>
        </w:rPr>
        <w:t xml:space="preserve">          </w:t>
      </w:r>
    </w:p>
    <w:p w14:paraId="31890D06" w14:textId="34975CAF" w:rsidR="00F40F96" w:rsidRDefault="007F675B" w:rsidP="009F658F">
      <w:pPr>
        <w:jc w:val="both"/>
        <w:rPr>
          <w:rFonts w:eastAsiaTheme="minorEastAsia"/>
          <w:b/>
          <w:bCs/>
          <w:sz w:val="24"/>
          <w:szCs w:val="24"/>
        </w:rPr>
      </w:pPr>
      <w:r w:rsidRPr="007F675B">
        <w:rPr>
          <w:rFonts w:eastAsiaTheme="minorEastAsia"/>
          <w:b/>
          <w:bCs/>
          <w:sz w:val="24"/>
          <w:szCs w:val="24"/>
        </w:rPr>
        <w:t xml:space="preserve">                                                                                    Optimisation criteria</w:t>
      </w:r>
    </w:p>
    <w:p w14:paraId="3E896819" w14:textId="77777777" w:rsidR="007F675B" w:rsidRDefault="007F675B" w:rsidP="009F658F">
      <w:pPr>
        <w:jc w:val="both"/>
        <w:rPr>
          <w:rFonts w:eastAsiaTheme="minorEastAsia"/>
        </w:rPr>
      </w:pPr>
    </w:p>
    <w:p w14:paraId="3E5656C9" w14:textId="247EEEAE" w:rsidR="00F40F96" w:rsidRDefault="007F675B" w:rsidP="009F658F">
      <w:pPr>
        <w:ind w:left="2160" w:firstLine="720"/>
        <w:jc w:val="both"/>
        <w:rPr>
          <w:rFonts w:eastAsiaTheme="minorEastAsia"/>
        </w:rPr>
      </w:pPr>
      <w:r w:rsidRPr="007F675B">
        <w:rPr>
          <w:rFonts w:eastAsiaTheme="minorEastAsia"/>
          <w:b/>
          <w:bCs/>
        </w:rPr>
        <w:t>And</w:t>
      </w:r>
      <w:r>
        <w:rPr>
          <w:rFonts w:eastAsiaTheme="minorEastAsia"/>
        </w:rPr>
        <w:t xml:space="preserve">  </w:t>
      </w:r>
      <m:oMath>
        <m:sSub>
          <m:sSubPr>
            <m:ctrlPr>
              <w:rPr>
                <w:rFonts w:ascii="Cambria Math" w:eastAsiaTheme="minorEastAsia" w:hAnsi="Cambria Math"/>
                <w:i/>
              </w:rPr>
            </m:ctrlPr>
          </m:sSubPr>
          <m:e>
            <m:r>
              <m:rPr>
                <m:nor/>
              </m:rPr>
              <w:rPr>
                <w:rFonts w:ascii="Cambria Math" w:eastAsiaTheme="minorEastAsia" w:hAnsi="Cambria Math"/>
              </w:rPr>
              <m:t>Position</m:t>
            </m:r>
            <m:ctrlPr>
              <w:rPr>
                <w:rFonts w:ascii="Cambria Math" w:eastAsiaTheme="minorEastAsia" w:hAnsi="Cambria Math"/>
              </w:rPr>
            </m:ctrlPr>
          </m:e>
          <m:sub>
            <m:r>
              <w:rPr>
                <w:rFonts w:ascii="Cambria Math" w:eastAsiaTheme="minorEastAsia" w:hAnsi="Cambria Math"/>
              </w:rPr>
              <m:t>t</m:t>
            </m:r>
          </m:sub>
        </m:sSub>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min</m:t>
            </m:r>
            <m:ctrlPr>
              <w:rPr>
                <w:rFonts w:ascii="Cambria Math" w:eastAsiaTheme="minorEastAsia" w:hAnsi="Cambria Math"/>
                <w:i/>
              </w:rPr>
            </m:ctrlPr>
          </m:fName>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t</m:t>
                    </m:r>
                  </m:sub>
                </m:sSub>
              </m:e>
            </m:d>
          </m:e>
        </m:func>
        <m:r>
          <m:rPr>
            <m:sty m:val="p"/>
          </m:rPr>
          <w:rPr>
            <w:rFonts w:ascii="Cambria Math" w:eastAsiaTheme="minorEastAsia" w:hAnsi="Cambria Math"/>
          </w:rPr>
          <m:t>×</m:t>
        </m:r>
        <m:r>
          <w:rPr>
            <w:rFonts w:ascii="Cambria Math" w:eastAsiaTheme="minorEastAsia" w:hAnsi="Cambria Math"/>
          </w:rPr>
          <m:t>0.10</m:t>
        </m:r>
        <m:r>
          <m:rPr>
            <m:sty m:val="p"/>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ctrlPr>
              <w:rPr>
                <w:rFonts w:ascii="Cambria Math" w:eastAsiaTheme="minorEastAsia" w:hAnsi="Cambria Math"/>
              </w:rPr>
            </m:ctrlPr>
          </m:e>
          <m:sub>
            <m:r>
              <w:rPr>
                <w:rFonts w:ascii="Cambria Math" w:eastAsiaTheme="minorEastAsia" w:hAnsi="Cambria Math"/>
              </w:rPr>
              <m:t>t</m:t>
            </m:r>
          </m:sub>
        </m:sSub>
      </m:oMath>
    </w:p>
    <w:p w14:paraId="686E29C8" w14:textId="77777777" w:rsidR="00E86892" w:rsidRDefault="00E86892" w:rsidP="009F658F">
      <w:pPr>
        <w:jc w:val="both"/>
      </w:pPr>
    </w:p>
    <w:p w14:paraId="0C4FC23C" w14:textId="7DE8455F" w:rsidR="00884226" w:rsidRDefault="007F675B" w:rsidP="009F658F">
      <w:pPr>
        <w:ind w:left="2160" w:firstLine="720"/>
        <w:jc w:val="both"/>
        <w:rPr>
          <w:rFonts w:eastAsiaTheme="minorEastAsia"/>
        </w:rPr>
      </w:pPr>
      <w:r w:rsidRPr="007F675B">
        <w:rPr>
          <w:rFonts w:eastAsiaTheme="minorEastAsia"/>
          <w:b/>
          <w:bCs/>
        </w:rPr>
        <w:t>And</w:t>
      </w:r>
      <w:r>
        <w:rPr>
          <w:rFonts w:eastAsiaTheme="minorEastAsia"/>
          <w:b/>
          <w:bCs/>
        </w:rPr>
        <w:t xml:space="preserve"> </w:t>
      </w:r>
      <w:r>
        <w:rPr>
          <w:rFonts w:eastAsiaTheme="minorEastAsia"/>
        </w:rPr>
        <w:t xml:space="preserve"> </w:t>
      </w:r>
      <m:oMath>
        <m:sSub>
          <m:sSubPr>
            <m:ctrlPr>
              <w:rPr>
                <w:rFonts w:ascii="Cambria Math" w:hAnsi="Cambria Math"/>
                <w:i/>
              </w:rPr>
            </m:ctrlPr>
          </m:sSubPr>
          <m:e>
            <m:r>
              <m:rPr>
                <m:nor/>
              </m:rPr>
              <w:rPr>
                <w:rFonts w:ascii="Cambria Math" w:hAnsi="Cambria Math"/>
              </w:rPr>
              <m:t>Stop</m:t>
            </m:r>
            <m:ctrlPr>
              <w:rPr>
                <w:rFonts w:ascii="Cambria Math" w:hAnsi="Cambria Math"/>
              </w:rPr>
            </m:ctrlPr>
          </m:e>
          <m:sub>
            <m:r>
              <w:rPr>
                <w:rFonts w:ascii="Cambria Math" w:hAnsi="Cambria Math"/>
              </w:rPr>
              <m:t>t+1</m:t>
            </m:r>
          </m:sub>
        </m:sSub>
        <m:r>
          <w:rPr>
            <w:rFonts w:ascii="Cambria Math" w:hAnsi="Cambria Math"/>
          </w:rPr>
          <m:t>=</m:t>
        </m:r>
        <m:func>
          <m:funcPr>
            <m:ctrlPr>
              <w:rPr>
                <w:rFonts w:ascii="Cambria Math" w:hAnsi="Cambria Math"/>
              </w:rPr>
            </m:ctrlPr>
          </m:funcPr>
          <m:fName>
            <m:r>
              <m:rPr>
                <m:sty m:val="p"/>
              </m:rPr>
              <w:rPr>
                <w:rFonts w:ascii="Cambria Math" w:hAnsi="Cambria Math"/>
              </w:rPr>
              <m:t>max</m:t>
            </m:r>
            <m:ctrlPr>
              <w:rPr>
                <w:rFonts w:ascii="Cambria Math" w:hAnsi="Cambria Math"/>
                <w:i/>
              </w:rPr>
            </m:ctrlPr>
          </m:fName>
          <m:e>
            <m:d>
              <m:dPr>
                <m:ctrlPr>
                  <w:rPr>
                    <w:rFonts w:ascii="Cambria Math" w:hAnsi="Cambria Math"/>
                    <w:i/>
                  </w:rPr>
                </m:ctrlPr>
              </m:dPr>
              <m:e>
                <m:sSub>
                  <m:sSubPr>
                    <m:ctrlPr>
                      <w:rPr>
                        <w:rFonts w:ascii="Cambria Math" w:hAnsi="Cambria Math"/>
                        <w:i/>
                      </w:rPr>
                    </m:ctrlPr>
                  </m:sSubPr>
                  <m:e>
                    <m:r>
                      <m:rPr>
                        <m:nor/>
                      </m:rPr>
                      <w:rPr>
                        <w:rFonts w:ascii="Cambria Math" w:hAnsi="Cambria Math"/>
                      </w:rPr>
                      <m:t>Stop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t</m:t>
                    </m:r>
                  </m:sub>
                </m:sSub>
                <m:r>
                  <m:rPr>
                    <m:sty m:val="p"/>
                  </m:rP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m:rPr>
                            <m:sty m:val="p"/>
                          </m:rPr>
                          <w:rPr>
                            <w:rFonts w:ascii="Cambria Math" w:hAnsi="Cambria Math"/>
                          </w:rPr>
                          <m:t>δ</m:t>
                        </m:r>
                      </m:e>
                      <m:sub>
                        <m:r>
                          <w:rPr>
                            <w:rFonts w:ascii="Cambria Math" w:hAnsi="Cambria Math"/>
                          </w:rPr>
                          <m:t>t</m:t>
                        </m:r>
                      </m:sub>
                    </m:sSub>
                  </m:e>
                </m:d>
              </m:e>
            </m:d>
          </m:e>
        </m:func>
      </m:oMath>
      <w:r w:rsidR="00884226">
        <w:rPr>
          <w:rFonts w:eastAsiaTheme="minorEastAsia"/>
        </w:rPr>
        <w:t xml:space="preserve">    </w:t>
      </w:r>
    </w:p>
    <w:p w14:paraId="17A908F0" w14:textId="77777777" w:rsidR="0044346C" w:rsidRDefault="0044346C" w:rsidP="009F658F">
      <w:pPr>
        <w:jc w:val="both"/>
        <w:rPr>
          <w:rFonts w:eastAsiaTheme="minorEastAsia"/>
        </w:rPr>
      </w:pPr>
    </w:p>
    <w:p w14:paraId="46464E40" w14:textId="77777777" w:rsidR="0044346C" w:rsidRDefault="0044346C" w:rsidP="009F658F">
      <w:pPr>
        <w:jc w:val="both"/>
        <w:rPr>
          <w:rFonts w:eastAsiaTheme="minorEastAsia"/>
          <w:b/>
          <w:bCs/>
        </w:rPr>
      </w:pPr>
      <w:r w:rsidRPr="0044346C">
        <w:rPr>
          <w:rFonts w:eastAsiaTheme="minorEastAsia"/>
          <w:b/>
          <w:bCs/>
        </w:rPr>
        <w:t>Where:</w:t>
      </w:r>
    </w:p>
    <w:p w14:paraId="01DFB50F" w14:textId="77777777" w:rsidR="0044346C" w:rsidRPr="0044346C" w:rsidRDefault="0044346C" w:rsidP="009F658F">
      <w:pPr>
        <w:jc w:val="both"/>
        <w:rPr>
          <w:rFonts w:eastAsiaTheme="minorEastAsia"/>
        </w:rPr>
      </w:pPr>
    </w:p>
    <w:tbl>
      <w:tblPr>
        <w:tblStyle w:val="TableGrid"/>
        <w:tblW w:w="0" w:type="auto"/>
        <w:tblInd w:w="607" w:type="dxa"/>
        <w:tblLook w:val="04A0" w:firstRow="1" w:lastRow="0" w:firstColumn="1" w:lastColumn="0" w:noHBand="0" w:noVBand="1"/>
      </w:tblPr>
      <w:tblGrid>
        <w:gridCol w:w="1766"/>
        <w:gridCol w:w="5875"/>
      </w:tblGrid>
      <w:tr w:rsidR="0044346C" w:rsidRPr="0044346C" w14:paraId="37153E32" w14:textId="77777777" w:rsidTr="0044346C">
        <w:tc>
          <w:tcPr>
            <w:tcW w:w="0" w:type="auto"/>
            <w:hideMark/>
          </w:tcPr>
          <w:p w14:paraId="1234BF60" w14:textId="77777777" w:rsidR="0044346C" w:rsidRPr="0044346C" w:rsidRDefault="0044346C" w:rsidP="009F658F">
            <w:pPr>
              <w:spacing w:after="160" w:line="259" w:lineRule="auto"/>
              <w:jc w:val="both"/>
              <w:rPr>
                <w:rFonts w:eastAsiaTheme="minorEastAsia"/>
                <w:b/>
                <w:bCs/>
              </w:rPr>
            </w:pPr>
            <w:r w:rsidRPr="0044346C">
              <w:rPr>
                <w:rFonts w:eastAsiaTheme="minorEastAsia"/>
                <w:b/>
                <w:bCs/>
              </w:rPr>
              <w:t>Symbol</w:t>
            </w:r>
          </w:p>
        </w:tc>
        <w:tc>
          <w:tcPr>
            <w:tcW w:w="0" w:type="auto"/>
            <w:hideMark/>
          </w:tcPr>
          <w:p w14:paraId="0C9E7C5A" w14:textId="77777777" w:rsidR="0044346C" w:rsidRPr="0044346C" w:rsidRDefault="0044346C" w:rsidP="009F658F">
            <w:pPr>
              <w:spacing w:after="160" w:line="259" w:lineRule="auto"/>
              <w:jc w:val="both"/>
              <w:rPr>
                <w:rFonts w:eastAsiaTheme="minorEastAsia"/>
                <w:b/>
                <w:bCs/>
              </w:rPr>
            </w:pPr>
            <w:r w:rsidRPr="0044346C">
              <w:rPr>
                <w:rFonts w:eastAsiaTheme="minorEastAsia"/>
                <w:b/>
                <w:bCs/>
              </w:rPr>
              <w:t>Definition</w:t>
            </w:r>
          </w:p>
        </w:tc>
      </w:tr>
      <w:tr w:rsidR="0044346C" w:rsidRPr="0044346C" w14:paraId="01EA3DF0" w14:textId="77777777" w:rsidTr="0044346C">
        <w:tc>
          <w:tcPr>
            <w:tcW w:w="0" w:type="auto"/>
            <w:hideMark/>
          </w:tcPr>
          <w:p w14:paraId="44FFD22A" w14:textId="059F26C6" w:rsidR="0044346C" w:rsidRPr="0044346C" w:rsidRDefault="00000000" w:rsidP="009F658F">
            <w:pPr>
              <w:spacing w:after="160" w:line="259" w:lineRule="auto"/>
              <w:jc w:val="both"/>
              <w:rPr>
                <w:rFonts w:eastAsiaTheme="minorEastAsia"/>
              </w:rPr>
            </w:pPr>
            <m:oMathPara>
              <m:oMath>
                <m:sSup>
                  <m:sSupPr>
                    <m:ctrlPr>
                      <w:rPr>
                        <w:rFonts w:ascii="Cambria Math" w:eastAsiaTheme="minorEastAsia" w:hAnsi="Cambria Math"/>
                      </w:rPr>
                    </m:ctrlPr>
                  </m:sSupPr>
                  <m:e>
                    <m:r>
                      <m:rPr>
                        <m:sty m:val="p"/>
                      </m:rPr>
                      <w:rPr>
                        <w:rFonts w:ascii="Cambria Math" w:eastAsiaTheme="minorEastAsia" w:hAnsi="Cambria Math"/>
                      </w:rPr>
                      <m:t>Π</m:t>
                    </m:r>
                  </m:e>
                  <m:sup>
                    <m:r>
                      <w:rPr>
                        <w:rFonts w:ascii="Cambria Math" w:eastAsiaTheme="minorEastAsia" w:hAnsi="Cambria Math"/>
                      </w:rPr>
                      <m:t>*</m:t>
                    </m:r>
                  </m:sup>
                </m:sSup>
              </m:oMath>
            </m:oMathPara>
          </w:p>
        </w:tc>
        <w:tc>
          <w:tcPr>
            <w:tcW w:w="0" w:type="auto"/>
            <w:hideMark/>
          </w:tcPr>
          <w:p w14:paraId="252E7278" w14:textId="77777777" w:rsidR="0044346C" w:rsidRPr="0044346C" w:rsidRDefault="0044346C" w:rsidP="009F658F">
            <w:pPr>
              <w:spacing w:after="160" w:line="259" w:lineRule="auto"/>
              <w:jc w:val="both"/>
              <w:rPr>
                <w:rFonts w:eastAsiaTheme="minorEastAsia"/>
              </w:rPr>
            </w:pPr>
            <w:r w:rsidRPr="0044346C">
              <w:rPr>
                <w:rFonts w:eastAsiaTheme="minorEastAsia"/>
              </w:rPr>
              <w:t>Optimal portfolio policy maximising composite reward</w:t>
            </w:r>
          </w:p>
        </w:tc>
      </w:tr>
      <w:tr w:rsidR="0044346C" w:rsidRPr="0044346C" w14:paraId="1BD603B8" w14:textId="77777777" w:rsidTr="0044346C">
        <w:tc>
          <w:tcPr>
            <w:tcW w:w="0" w:type="auto"/>
            <w:hideMark/>
          </w:tcPr>
          <w:p w14:paraId="1256D996" w14:textId="30736D4C"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θ</m:t>
                    </m:r>
                  </m:e>
                  <m:sub>
                    <m:r>
                      <w:rPr>
                        <w:rFonts w:ascii="Cambria Math" w:eastAsiaTheme="minorEastAsia" w:hAnsi="Cambria Math"/>
                      </w:rPr>
                      <m:t>1</m:t>
                    </m:r>
                  </m:sub>
                </m:sSub>
                <m:r>
                  <w:rPr>
                    <w:rFonts w:ascii="Cambria Math" w:eastAsiaTheme="minorEastAsia" w:hAnsi="Cambria Math"/>
                  </w:rPr>
                  <m:t>,</m:t>
                </m:r>
                <m:r>
                  <m:rPr>
                    <m:sty m:val="p"/>
                  </m:rPr>
                  <w:rPr>
                    <w:rFonts w:ascii="Cambria Math" w:eastAsiaTheme="minorEastAsia" w:hAnsi="Cambria Math"/>
                  </w:rPr>
                  <m:t>…</m:t>
                </m:r>
                <m: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θ</m:t>
                    </m:r>
                  </m:e>
                  <m:sub>
                    <m:r>
                      <w:rPr>
                        <w:rFonts w:ascii="Cambria Math" w:eastAsiaTheme="minorEastAsia" w:hAnsi="Cambria Math"/>
                      </w:rPr>
                      <m:t>6</m:t>
                    </m:r>
                  </m:sub>
                </m:sSub>
              </m:oMath>
            </m:oMathPara>
          </w:p>
        </w:tc>
        <w:tc>
          <w:tcPr>
            <w:tcW w:w="0" w:type="auto"/>
            <w:hideMark/>
          </w:tcPr>
          <w:p w14:paraId="28E60838" w14:textId="77777777" w:rsidR="0044346C" w:rsidRPr="0044346C" w:rsidRDefault="0044346C" w:rsidP="009F658F">
            <w:pPr>
              <w:spacing w:after="160" w:line="259" w:lineRule="auto"/>
              <w:jc w:val="both"/>
              <w:rPr>
                <w:rFonts w:eastAsiaTheme="minorEastAsia"/>
              </w:rPr>
            </w:pPr>
            <w:r w:rsidRPr="0044346C">
              <w:rPr>
                <w:rFonts w:eastAsiaTheme="minorEastAsia"/>
              </w:rPr>
              <w:t>Prompt parameters of the six optimisable agents</w:t>
            </w:r>
          </w:p>
        </w:tc>
      </w:tr>
      <w:tr w:rsidR="0044346C" w:rsidRPr="0044346C" w14:paraId="6ECD9551" w14:textId="77777777" w:rsidTr="0044346C">
        <w:tc>
          <w:tcPr>
            <w:tcW w:w="0" w:type="auto"/>
            <w:hideMark/>
          </w:tcPr>
          <w:p w14:paraId="7C59663C" w14:textId="353237CC" w:rsidR="0044346C" w:rsidRPr="0044346C" w:rsidRDefault="0044346C" w:rsidP="009F658F">
            <w:pPr>
              <w:spacing w:after="160" w:line="259" w:lineRule="auto"/>
              <w:jc w:val="both"/>
              <w:rPr>
                <w:rFonts w:eastAsiaTheme="minorEastAsia"/>
              </w:rPr>
            </w:pPr>
            <m:oMathPara>
              <m:oMath>
                <m:r>
                  <w:rPr>
                    <w:rFonts w:ascii="Cambria Math" w:eastAsiaTheme="minorEastAsia" w:hAnsi="Cambria Math"/>
                  </w:rPr>
                  <m:t>T</m:t>
                </m:r>
              </m:oMath>
            </m:oMathPara>
          </w:p>
        </w:tc>
        <w:tc>
          <w:tcPr>
            <w:tcW w:w="0" w:type="auto"/>
            <w:hideMark/>
          </w:tcPr>
          <w:p w14:paraId="0CB3F513" w14:textId="77777777" w:rsidR="0044346C" w:rsidRPr="0044346C" w:rsidRDefault="0044346C" w:rsidP="009F658F">
            <w:pPr>
              <w:spacing w:after="160" w:line="259" w:lineRule="auto"/>
              <w:jc w:val="both"/>
              <w:rPr>
                <w:rFonts w:eastAsiaTheme="minorEastAsia"/>
              </w:rPr>
            </w:pPr>
            <w:r w:rsidRPr="0044346C">
              <w:rPr>
                <w:rFonts w:eastAsiaTheme="minorEastAsia"/>
              </w:rPr>
              <w:t>Total number of trading days in simulation</w:t>
            </w:r>
          </w:p>
        </w:tc>
      </w:tr>
      <w:tr w:rsidR="0044346C" w:rsidRPr="0044346C" w14:paraId="0730FBFE" w14:textId="77777777" w:rsidTr="0044346C">
        <w:tc>
          <w:tcPr>
            <w:tcW w:w="0" w:type="auto"/>
            <w:hideMark/>
          </w:tcPr>
          <w:p w14:paraId="5FE64633" w14:textId="79A6BC44"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f</m:t>
                    </m:r>
                  </m:e>
                  <m:sub>
                    <m:r>
                      <w:rPr>
                        <w:rFonts w:ascii="Cambria Math" w:eastAsiaTheme="minorEastAsia" w:hAnsi="Cambria Math"/>
                      </w:rPr>
                      <m:t>i</m:t>
                    </m:r>
                  </m:sub>
                </m:sSub>
                <m:d>
                  <m:dPr>
                    <m:ctrlPr>
                      <w:rPr>
                        <w:rFonts w:ascii="Cambria Math" w:eastAsiaTheme="minorEastAsia" w:hAnsi="Cambria Math"/>
                        <w:i/>
                      </w:rPr>
                    </m:ctrlPr>
                  </m:dPr>
                  <m:e>
                    <m:sSub>
                      <m:sSubPr>
                        <m:ctrlPr>
                          <w:rPr>
                            <w:rFonts w:ascii="Cambria Math" w:eastAsiaTheme="minorEastAsia" w:hAnsi="Cambria Math"/>
                          </w:rPr>
                        </m:ctrlPr>
                      </m:sSubPr>
                      <m:e>
                        <m:r>
                          <w:rPr>
                            <w:rFonts w:ascii="Cambria Math" w:eastAsiaTheme="minorEastAsia" w:hAnsi="Cambria Math"/>
                          </w:rPr>
                          <m:t>x</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θ</m:t>
                        </m:r>
                      </m:e>
                      <m:sub>
                        <m:r>
                          <w:rPr>
                            <w:rFonts w:ascii="Cambria Math" w:eastAsiaTheme="minorEastAsia" w:hAnsi="Cambria Math"/>
                          </w:rPr>
                          <m:t>i</m:t>
                        </m:r>
                      </m:sub>
                    </m:sSub>
                  </m:e>
                </m:d>
              </m:oMath>
            </m:oMathPara>
          </w:p>
        </w:tc>
        <w:tc>
          <w:tcPr>
            <w:tcW w:w="0" w:type="auto"/>
            <w:hideMark/>
          </w:tcPr>
          <w:p w14:paraId="20200372" w14:textId="5178EA36" w:rsidR="0044346C" w:rsidRPr="0044346C" w:rsidRDefault="0044346C" w:rsidP="009F658F">
            <w:pPr>
              <w:spacing w:after="160" w:line="259" w:lineRule="auto"/>
              <w:jc w:val="both"/>
              <w:rPr>
                <w:rFonts w:eastAsiaTheme="minorEastAsia"/>
              </w:rPr>
            </w:pPr>
            <w:r w:rsidRPr="0044346C">
              <w:rPr>
                <w:rFonts w:eastAsiaTheme="minorEastAsia"/>
              </w:rPr>
              <w:t xml:space="preserve">Output of analytical agent </w:t>
            </w:r>
            <m:oMath>
              <m:r>
                <w:rPr>
                  <w:rFonts w:ascii="Cambria Math" w:eastAsiaTheme="minorEastAsia" w:hAnsi="Cambria Math"/>
                </w:rPr>
                <m:t>i</m:t>
              </m:r>
            </m:oMath>
            <w:r w:rsidRPr="0044346C">
              <w:rPr>
                <w:rFonts w:eastAsiaTheme="minorEastAsia"/>
              </w:rPr>
              <w:t xml:space="preserve">given input data </w:t>
            </w:r>
            <m:oMath>
              <m:sSub>
                <m:sSubPr>
                  <m:ctrlPr>
                    <w:rPr>
                      <w:rFonts w:ascii="Cambria Math" w:eastAsiaTheme="minorEastAsia" w:hAnsi="Cambria Math"/>
                    </w:rPr>
                  </m:ctrlPr>
                </m:sSubPr>
                <m:e>
                  <m:r>
                    <w:rPr>
                      <w:rFonts w:ascii="Cambria Math" w:eastAsiaTheme="minorEastAsia" w:hAnsi="Cambria Math"/>
                    </w:rPr>
                    <m:t>x</m:t>
                  </m:r>
                </m:e>
                <m:sub>
                  <m:r>
                    <w:rPr>
                      <w:rFonts w:ascii="Cambria Math" w:eastAsiaTheme="minorEastAsia" w:hAnsi="Cambria Math"/>
                    </w:rPr>
                    <m:t>t</m:t>
                  </m:r>
                </m:sub>
              </m:sSub>
            </m:oMath>
            <w:r w:rsidRPr="0044346C">
              <w:rPr>
                <w:rFonts w:eastAsiaTheme="minorEastAsia"/>
              </w:rPr>
              <w:t xml:space="preserve">and prompt </w:t>
            </w:r>
            <m:oMath>
              <m:sSub>
                <m:sSubPr>
                  <m:ctrlPr>
                    <w:rPr>
                      <w:rFonts w:ascii="Cambria Math" w:eastAsiaTheme="minorEastAsia" w:hAnsi="Cambria Math"/>
                    </w:rPr>
                  </m:ctrlPr>
                </m:sSubPr>
                <m:e>
                  <m:r>
                    <w:rPr>
                      <w:rFonts w:ascii="Cambria Math" w:eastAsiaTheme="minorEastAsia" w:hAnsi="Cambria Math"/>
                    </w:rPr>
                    <m:t>θ</m:t>
                  </m:r>
                </m:e>
                <m:sub>
                  <m:r>
                    <w:rPr>
                      <w:rFonts w:ascii="Cambria Math" w:eastAsiaTheme="minorEastAsia" w:hAnsi="Cambria Math"/>
                    </w:rPr>
                    <m:t>i</m:t>
                  </m:r>
                </m:sub>
              </m:sSub>
            </m:oMath>
          </w:p>
        </w:tc>
      </w:tr>
      <w:tr w:rsidR="0044346C" w:rsidRPr="0044346C" w14:paraId="36C13717" w14:textId="77777777" w:rsidTr="0044346C">
        <w:tc>
          <w:tcPr>
            <w:tcW w:w="0" w:type="auto"/>
            <w:hideMark/>
          </w:tcPr>
          <w:p w14:paraId="7D3FEF00" w14:textId="5E6895BD" w:rsidR="0044346C" w:rsidRPr="0044346C" w:rsidRDefault="0044346C" w:rsidP="009F658F">
            <w:pPr>
              <w:spacing w:after="160" w:line="259" w:lineRule="auto"/>
              <w:jc w:val="both"/>
              <w:rPr>
                <w:rFonts w:eastAsiaTheme="minorEastAsia"/>
              </w:rPr>
            </w:pPr>
            <m:oMathPara>
              <m:oMath>
                <m:r>
                  <m:rPr>
                    <m:scr m:val="script"/>
                  </m:rPr>
                  <w:rPr>
                    <w:rFonts w:ascii="Cambria Math" w:eastAsiaTheme="minorEastAsia" w:hAnsi="Cambria Math"/>
                  </w:rPr>
                  <m:t>O</m:t>
                </m:r>
              </m:oMath>
            </m:oMathPara>
          </w:p>
        </w:tc>
        <w:tc>
          <w:tcPr>
            <w:tcW w:w="0" w:type="auto"/>
            <w:hideMark/>
          </w:tcPr>
          <w:p w14:paraId="18C0C7E4" w14:textId="77777777" w:rsidR="0044346C" w:rsidRPr="0044346C" w:rsidRDefault="0044346C" w:rsidP="009F658F">
            <w:pPr>
              <w:spacing w:after="160" w:line="259" w:lineRule="auto"/>
              <w:jc w:val="both"/>
              <w:rPr>
                <w:rFonts w:eastAsiaTheme="minorEastAsia"/>
              </w:rPr>
            </w:pPr>
            <w:r w:rsidRPr="0044346C">
              <w:rPr>
                <w:rFonts w:eastAsiaTheme="minorEastAsia"/>
              </w:rPr>
              <w:t>Orchestrator decision function</w:t>
            </w:r>
          </w:p>
        </w:tc>
      </w:tr>
      <w:tr w:rsidR="0044346C" w:rsidRPr="0044346C" w14:paraId="625B9F6E" w14:textId="77777777" w:rsidTr="0044346C">
        <w:tc>
          <w:tcPr>
            <w:tcW w:w="0" w:type="auto"/>
            <w:hideMark/>
          </w:tcPr>
          <w:p w14:paraId="2D6B4F37" w14:textId="71059611"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m:rPr>
                        <m:scr m:val="script"/>
                      </m:rPr>
                      <w:rPr>
                        <w:rFonts w:ascii="Cambria Math" w:eastAsiaTheme="minorEastAsia" w:hAnsi="Cambria Math"/>
                      </w:rPr>
                      <m:t>P</m:t>
                    </m:r>
                  </m:e>
                  <m:sub>
                    <m:r>
                      <w:rPr>
                        <w:rFonts w:ascii="Cambria Math" w:eastAsiaTheme="minorEastAsia" w:hAnsi="Cambria Math"/>
                      </w:rPr>
                      <m:t>t</m:t>
                    </m:r>
                  </m:sub>
                </m:sSub>
              </m:oMath>
            </m:oMathPara>
          </w:p>
        </w:tc>
        <w:tc>
          <w:tcPr>
            <w:tcW w:w="0" w:type="auto"/>
            <w:hideMark/>
          </w:tcPr>
          <w:p w14:paraId="08CAAD00" w14:textId="01B62A83" w:rsidR="0044346C" w:rsidRPr="0044346C" w:rsidRDefault="0044346C" w:rsidP="009F658F">
            <w:pPr>
              <w:spacing w:after="160" w:line="259" w:lineRule="auto"/>
              <w:jc w:val="both"/>
              <w:rPr>
                <w:rFonts w:eastAsiaTheme="minorEastAsia"/>
              </w:rPr>
            </w:pPr>
            <w:r w:rsidRPr="0044346C">
              <w:rPr>
                <w:rFonts w:eastAsiaTheme="minorEastAsia"/>
              </w:rPr>
              <w:t xml:space="preserve">Current portfolio state at time </w:t>
            </w:r>
            <m:oMath>
              <m:r>
                <w:rPr>
                  <w:rFonts w:ascii="Cambria Math" w:eastAsiaTheme="minorEastAsia" w:hAnsi="Cambria Math"/>
                </w:rPr>
                <m:t>t</m:t>
              </m:r>
            </m:oMath>
          </w:p>
        </w:tc>
      </w:tr>
      <w:tr w:rsidR="0044346C" w:rsidRPr="0044346C" w14:paraId="0AAF8D70" w14:textId="77777777" w:rsidTr="0044346C">
        <w:tc>
          <w:tcPr>
            <w:tcW w:w="0" w:type="auto"/>
            <w:hideMark/>
          </w:tcPr>
          <w:p w14:paraId="70003545" w14:textId="62F56D9B"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m:rPr>
                        <m:scr m:val="script"/>
                      </m:rPr>
                      <w:rPr>
                        <w:rFonts w:ascii="Cambria Math" w:eastAsiaTheme="minorEastAsia" w:hAnsi="Cambria Math"/>
                      </w:rPr>
                      <m:t>H</m:t>
                    </m:r>
                  </m:e>
                  <m:sub>
                    <m:r>
                      <w:rPr>
                        <w:rFonts w:ascii="Cambria Math" w:eastAsiaTheme="minorEastAsia" w:hAnsi="Cambria Math"/>
                      </w:rPr>
                      <m:t>t</m:t>
                    </m:r>
                  </m:sub>
                </m:sSub>
              </m:oMath>
            </m:oMathPara>
          </w:p>
        </w:tc>
        <w:tc>
          <w:tcPr>
            <w:tcW w:w="0" w:type="auto"/>
            <w:hideMark/>
          </w:tcPr>
          <w:p w14:paraId="53089100" w14:textId="0B8D62BF" w:rsidR="0044346C" w:rsidRPr="0044346C" w:rsidRDefault="0044346C" w:rsidP="009F658F">
            <w:pPr>
              <w:spacing w:after="160" w:line="259" w:lineRule="auto"/>
              <w:jc w:val="both"/>
              <w:rPr>
                <w:rFonts w:eastAsiaTheme="minorEastAsia"/>
              </w:rPr>
            </w:pPr>
            <w:r w:rsidRPr="0044346C">
              <w:rPr>
                <w:rFonts w:eastAsiaTheme="minorEastAsia"/>
              </w:rPr>
              <w:t xml:space="preserve">Five-day trading history at time </w:t>
            </w:r>
            <m:oMath>
              <m:r>
                <w:rPr>
                  <w:rFonts w:ascii="Cambria Math" w:eastAsiaTheme="minorEastAsia" w:hAnsi="Cambria Math"/>
                </w:rPr>
                <m:t>t</m:t>
              </m:r>
            </m:oMath>
          </w:p>
        </w:tc>
      </w:tr>
      <w:tr w:rsidR="0044346C" w:rsidRPr="0044346C" w14:paraId="066367A6" w14:textId="77777777" w:rsidTr="0044346C">
        <w:tc>
          <w:tcPr>
            <w:tcW w:w="0" w:type="auto"/>
            <w:hideMark/>
          </w:tcPr>
          <w:p w14:paraId="0BD1AC66" w14:textId="2A7F8591" w:rsidR="0044346C" w:rsidRPr="0044346C" w:rsidRDefault="0044346C" w:rsidP="009F658F">
            <w:pPr>
              <w:spacing w:after="160" w:line="259" w:lineRule="auto"/>
              <w:jc w:val="both"/>
              <w:rPr>
                <w:rFonts w:eastAsiaTheme="minorEastAsia"/>
              </w:rPr>
            </w:pPr>
            <m:oMathPara>
              <m:oMath>
                <m:r>
                  <w:rPr>
                    <w:rFonts w:ascii="Cambria Math" w:eastAsiaTheme="minorEastAsia" w:hAnsi="Cambria Math"/>
                  </w:rPr>
                  <m:t>R</m:t>
                </m:r>
              </m:oMath>
            </m:oMathPara>
          </w:p>
        </w:tc>
        <w:tc>
          <w:tcPr>
            <w:tcW w:w="0" w:type="auto"/>
            <w:hideMark/>
          </w:tcPr>
          <w:p w14:paraId="05CF8D11" w14:textId="77777777" w:rsidR="0044346C" w:rsidRPr="0044346C" w:rsidRDefault="0044346C" w:rsidP="009F658F">
            <w:pPr>
              <w:spacing w:after="160" w:line="259" w:lineRule="auto"/>
              <w:jc w:val="both"/>
              <w:rPr>
                <w:rFonts w:eastAsiaTheme="minorEastAsia"/>
              </w:rPr>
            </w:pPr>
            <w:r w:rsidRPr="0044346C">
              <w:rPr>
                <w:rFonts w:eastAsiaTheme="minorEastAsia"/>
              </w:rPr>
              <w:t>Composite reward function</w:t>
            </w:r>
          </w:p>
        </w:tc>
      </w:tr>
      <w:tr w:rsidR="0044346C" w:rsidRPr="0044346C" w14:paraId="055AF0D6" w14:textId="77777777" w:rsidTr="0044346C">
        <w:tc>
          <w:tcPr>
            <w:tcW w:w="0" w:type="auto"/>
            <w:hideMark/>
          </w:tcPr>
          <w:p w14:paraId="2E8BEDB3" w14:textId="52B47BC5" w:rsidR="0044346C" w:rsidRPr="0044346C" w:rsidRDefault="00000000" w:rsidP="009F658F">
            <w:pPr>
              <w:spacing w:after="160" w:line="259" w:lineRule="auto"/>
              <w:jc w:val="both"/>
              <w:rPr>
                <w:rFonts w:eastAsiaTheme="minorEastAsia"/>
              </w:rPr>
            </w:pPr>
            <m:oMathPara>
              <m:oMath>
                <m:acc>
                  <m:accPr>
                    <m:chr m:val="ˉ"/>
                    <m:ctrlPr>
                      <w:rPr>
                        <w:rFonts w:ascii="Cambria Math" w:eastAsiaTheme="minorEastAsia" w:hAnsi="Cambria Math"/>
                      </w:rPr>
                    </m:ctrlPr>
                  </m:accPr>
                  <m:e>
                    <m:r>
                      <w:rPr>
                        <w:rFonts w:ascii="Cambria Math" w:eastAsiaTheme="minorEastAsia" w:hAnsi="Cambria Math"/>
                      </w:rPr>
                      <m:t>r</m:t>
                    </m:r>
                  </m:e>
                </m:acc>
              </m:oMath>
            </m:oMathPara>
          </w:p>
        </w:tc>
        <w:tc>
          <w:tcPr>
            <w:tcW w:w="0" w:type="auto"/>
            <w:hideMark/>
          </w:tcPr>
          <w:p w14:paraId="492AADD0" w14:textId="77777777" w:rsidR="0044346C" w:rsidRPr="0044346C" w:rsidRDefault="0044346C" w:rsidP="009F658F">
            <w:pPr>
              <w:spacing w:after="160" w:line="259" w:lineRule="auto"/>
              <w:jc w:val="both"/>
              <w:rPr>
                <w:rFonts w:eastAsiaTheme="minorEastAsia"/>
              </w:rPr>
            </w:pPr>
            <w:r w:rsidRPr="0044346C">
              <w:rPr>
                <w:rFonts w:eastAsiaTheme="minorEastAsia"/>
              </w:rPr>
              <w:t>Mean daily portfolio return</w:t>
            </w:r>
          </w:p>
        </w:tc>
      </w:tr>
      <w:tr w:rsidR="0044346C" w:rsidRPr="0044346C" w14:paraId="3CEE1D7E" w14:textId="77777777" w:rsidTr="0044346C">
        <w:tc>
          <w:tcPr>
            <w:tcW w:w="0" w:type="auto"/>
            <w:hideMark/>
          </w:tcPr>
          <w:p w14:paraId="0CD60747" w14:textId="417F6FE8"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r</m:t>
                    </m:r>
                  </m:e>
                  <m:sub>
                    <m:r>
                      <w:rPr>
                        <w:rFonts w:ascii="Cambria Math" w:eastAsiaTheme="minorEastAsia" w:hAnsi="Cambria Math"/>
                      </w:rPr>
                      <m:t>f</m:t>
                    </m:r>
                  </m:sub>
                </m:sSub>
              </m:oMath>
            </m:oMathPara>
          </w:p>
        </w:tc>
        <w:tc>
          <w:tcPr>
            <w:tcW w:w="0" w:type="auto"/>
            <w:hideMark/>
          </w:tcPr>
          <w:p w14:paraId="09E1F7DA" w14:textId="77777777" w:rsidR="0044346C" w:rsidRPr="0044346C" w:rsidRDefault="0044346C" w:rsidP="009F658F">
            <w:pPr>
              <w:spacing w:after="160" w:line="259" w:lineRule="auto"/>
              <w:jc w:val="both"/>
              <w:rPr>
                <w:rFonts w:eastAsiaTheme="minorEastAsia"/>
              </w:rPr>
            </w:pPr>
            <w:r w:rsidRPr="0044346C">
              <w:rPr>
                <w:rFonts w:eastAsiaTheme="minorEastAsia"/>
              </w:rPr>
              <w:t>Risk-free rate</w:t>
            </w:r>
          </w:p>
        </w:tc>
      </w:tr>
      <w:tr w:rsidR="0044346C" w:rsidRPr="0044346C" w14:paraId="6BDA164C" w14:textId="77777777" w:rsidTr="0044346C">
        <w:tc>
          <w:tcPr>
            <w:tcW w:w="0" w:type="auto"/>
            <w:hideMark/>
          </w:tcPr>
          <w:p w14:paraId="15EE4690" w14:textId="7D102121"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σ</m:t>
                    </m:r>
                  </m:e>
                  <m:sub>
                    <m:r>
                      <w:rPr>
                        <w:rFonts w:ascii="Cambria Math" w:eastAsiaTheme="minorEastAsia" w:hAnsi="Cambria Math"/>
                      </w:rPr>
                      <m:t>r</m:t>
                    </m:r>
                  </m:sub>
                </m:sSub>
              </m:oMath>
            </m:oMathPara>
          </w:p>
        </w:tc>
        <w:tc>
          <w:tcPr>
            <w:tcW w:w="0" w:type="auto"/>
            <w:hideMark/>
          </w:tcPr>
          <w:p w14:paraId="7115C958" w14:textId="77777777" w:rsidR="0044346C" w:rsidRPr="0044346C" w:rsidRDefault="0044346C" w:rsidP="009F658F">
            <w:pPr>
              <w:spacing w:after="160" w:line="259" w:lineRule="auto"/>
              <w:jc w:val="both"/>
              <w:rPr>
                <w:rFonts w:eastAsiaTheme="minorEastAsia"/>
              </w:rPr>
            </w:pPr>
            <w:r w:rsidRPr="0044346C">
              <w:rPr>
                <w:rFonts w:eastAsiaTheme="minorEastAsia"/>
              </w:rPr>
              <w:t>Standard deviation of daily returns</w:t>
            </w:r>
          </w:p>
        </w:tc>
      </w:tr>
      <w:tr w:rsidR="0044346C" w:rsidRPr="0044346C" w14:paraId="6DB6DBAE" w14:textId="77777777" w:rsidTr="0044346C">
        <w:tc>
          <w:tcPr>
            <w:tcW w:w="0" w:type="auto"/>
            <w:hideMark/>
          </w:tcPr>
          <w:p w14:paraId="28966004" w14:textId="227384A3"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V</m:t>
                    </m:r>
                  </m:e>
                  <m:sub>
                    <m:r>
                      <w:rPr>
                        <w:rFonts w:ascii="Cambria Math" w:eastAsiaTheme="minorEastAsia" w:hAnsi="Cambria Math"/>
                      </w:rPr>
                      <m:t>T</m:t>
                    </m:r>
                  </m:sub>
                </m:sSub>
              </m:oMath>
            </m:oMathPara>
          </w:p>
        </w:tc>
        <w:tc>
          <w:tcPr>
            <w:tcW w:w="0" w:type="auto"/>
            <w:hideMark/>
          </w:tcPr>
          <w:p w14:paraId="2BEE3D6A" w14:textId="77777777" w:rsidR="0044346C" w:rsidRPr="0044346C" w:rsidRDefault="0044346C" w:rsidP="009F658F">
            <w:pPr>
              <w:spacing w:after="160" w:line="259" w:lineRule="auto"/>
              <w:jc w:val="both"/>
              <w:rPr>
                <w:rFonts w:eastAsiaTheme="minorEastAsia"/>
              </w:rPr>
            </w:pPr>
            <w:r w:rsidRPr="0044346C">
              <w:rPr>
                <w:rFonts w:eastAsiaTheme="minorEastAsia"/>
              </w:rPr>
              <w:t>Final portfolio value</w:t>
            </w:r>
          </w:p>
        </w:tc>
      </w:tr>
      <w:tr w:rsidR="0044346C" w:rsidRPr="0044346C" w14:paraId="68D6B40D" w14:textId="77777777" w:rsidTr="0044346C">
        <w:tc>
          <w:tcPr>
            <w:tcW w:w="0" w:type="auto"/>
            <w:hideMark/>
          </w:tcPr>
          <w:p w14:paraId="1B1689B1" w14:textId="24DF0855"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V</m:t>
                    </m:r>
                  </m:e>
                  <m:sub>
                    <m:r>
                      <w:rPr>
                        <w:rFonts w:ascii="Cambria Math" w:eastAsiaTheme="minorEastAsia" w:hAnsi="Cambria Math"/>
                      </w:rPr>
                      <m:t>0</m:t>
                    </m:r>
                  </m:sub>
                </m:sSub>
              </m:oMath>
            </m:oMathPara>
          </w:p>
        </w:tc>
        <w:tc>
          <w:tcPr>
            <w:tcW w:w="0" w:type="auto"/>
            <w:hideMark/>
          </w:tcPr>
          <w:p w14:paraId="4AACF8EF" w14:textId="77777777" w:rsidR="0044346C" w:rsidRPr="0044346C" w:rsidRDefault="0044346C" w:rsidP="009F658F">
            <w:pPr>
              <w:spacing w:after="160" w:line="259" w:lineRule="auto"/>
              <w:jc w:val="both"/>
              <w:rPr>
                <w:rFonts w:eastAsiaTheme="minorEastAsia"/>
              </w:rPr>
            </w:pPr>
            <w:r w:rsidRPr="0044346C">
              <w:rPr>
                <w:rFonts w:eastAsiaTheme="minorEastAsia"/>
              </w:rPr>
              <w:t>Initial portfolio value</w:t>
            </w:r>
          </w:p>
        </w:tc>
      </w:tr>
      <w:tr w:rsidR="0044346C" w:rsidRPr="0044346C" w14:paraId="1170C162" w14:textId="77777777" w:rsidTr="0044346C">
        <w:tc>
          <w:tcPr>
            <w:tcW w:w="0" w:type="auto"/>
            <w:hideMark/>
          </w:tcPr>
          <w:p w14:paraId="0FC63EA7" w14:textId="505351D4" w:rsidR="0044346C" w:rsidRPr="0044346C" w:rsidRDefault="0044346C" w:rsidP="009F658F">
            <w:pPr>
              <w:spacing w:after="160" w:line="259" w:lineRule="auto"/>
              <w:jc w:val="both"/>
              <w:rPr>
                <w:rFonts w:eastAsiaTheme="minorEastAsia"/>
              </w:rPr>
            </w:pPr>
            <m:oMathPara>
              <m:oMath>
                <m:r>
                  <w:rPr>
                    <w:rFonts w:ascii="Cambria Math" w:eastAsiaTheme="minorEastAsia" w:hAnsi="Cambria Math"/>
                  </w:rPr>
                  <m:t>τ</m:t>
                </m:r>
              </m:oMath>
            </m:oMathPara>
          </w:p>
        </w:tc>
        <w:tc>
          <w:tcPr>
            <w:tcW w:w="0" w:type="auto"/>
            <w:hideMark/>
          </w:tcPr>
          <w:p w14:paraId="435E3DAC" w14:textId="77777777" w:rsidR="0044346C" w:rsidRPr="0044346C" w:rsidRDefault="0044346C" w:rsidP="009F658F">
            <w:pPr>
              <w:spacing w:after="160" w:line="259" w:lineRule="auto"/>
              <w:jc w:val="both"/>
              <w:rPr>
                <w:rFonts w:eastAsiaTheme="minorEastAsia"/>
              </w:rPr>
            </w:pPr>
            <w:r w:rsidRPr="0044346C">
              <w:rPr>
                <w:rFonts w:eastAsiaTheme="minorEastAsia"/>
              </w:rPr>
              <w:t>Turnover penalty</w:t>
            </w:r>
          </w:p>
        </w:tc>
      </w:tr>
      <w:tr w:rsidR="0044346C" w:rsidRPr="0044346C" w14:paraId="4079CCBA" w14:textId="77777777" w:rsidTr="0044346C">
        <w:tc>
          <w:tcPr>
            <w:tcW w:w="0" w:type="auto"/>
            <w:hideMark/>
          </w:tcPr>
          <w:p w14:paraId="2DB79489" w14:textId="77777777" w:rsidR="0044346C" w:rsidRPr="0044346C" w:rsidRDefault="0044346C" w:rsidP="009F658F">
            <w:pPr>
              <w:spacing w:after="160" w:line="259" w:lineRule="auto"/>
              <w:jc w:val="both"/>
              <w:rPr>
                <w:rFonts w:eastAsiaTheme="minorEastAsia"/>
              </w:rPr>
            </w:pPr>
            <m:oMathPara>
              <m:oMath>
                <m:r>
                  <m:rPr>
                    <m:nor/>
                  </m:rPr>
                  <w:rPr>
                    <w:rFonts w:eastAsiaTheme="minorEastAsia"/>
                  </w:rPr>
                  <m:t>MDD</m:t>
                </m:r>
              </m:oMath>
            </m:oMathPara>
          </w:p>
        </w:tc>
        <w:tc>
          <w:tcPr>
            <w:tcW w:w="0" w:type="auto"/>
            <w:hideMark/>
          </w:tcPr>
          <w:p w14:paraId="76CA0DA1" w14:textId="77777777" w:rsidR="0044346C" w:rsidRPr="0044346C" w:rsidRDefault="0044346C" w:rsidP="009F658F">
            <w:pPr>
              <w:spacing w:after="160" w:line="259" w:lineRule="auto"/>
              <w:jc w:val="both"/>
              <w:rPr>
                <w:rFonts w:eastAsiaTheme="minorEastAsia"/>
              </w:rPr>
            </w:pPr>
            <w:r w:rsidRPr="0044346C">
              <w:rPr>
                <w:rFonts w:eastAsiaTheme="minorEastAsia"/>
              </w:rPr>
              <w:t>Maximum drawdown</w:t>
            </w:r>
          </w:p>
        </w:tc>
      </w:tr>
      <w:tr w:rsidR="0044346C" w:rsidRPr="0044346C" w14:paraId="257E64C3" w14:textId="77777777" w:rsidTr="0044346C">
        <w:tc>
          <w:tcPr>
            <w:tcW w:w="0" w:type="auto"/>
            <w:hideMark/>
          </w:tcPr>
          <w:p w14:paraId="1BAFE380" w14:textId="20C3378E" w:rsidR="0044346C" w:rsidRPr="0044346C" w:rsidRDefault="0044346C" w:rsidP="009F658F">
            <w:pPr>
              <w:spacing w:after="160" w:line="259" w:lineRule="auto"/>
              <w:jc w:val="both"/>
              <w:rPr>
                <w:rFonts w:eastAsiaTheme="minorEastAsia"/>
              </w:rPr>
            </w:pPr>
            <m:oMathPara>
              <m:oMath>
                <m:r>
                  <w:rPr>
                    <w:rFonts w:ascii="Cambria Math" w:eastAsiaTheme="minorEastAsia" w:hAnsi="Cambria Math"/>
                  </w:rPr>
                  <m:t>A</m:t>
                </m:r>
              </m:oMath>
            </m:oMathPara>
          </w:p>
        </w:tc>
        <w:tc>
          <w:tcPr>
            <w:tcW w:w="0" w:type="auto"/>
            <w:hideMark/>
          </w:tcPr>
          <w:p w14:paraId="45B75681" w14:textId="77777777" w:rsidR="0044346C" w:rsidRPr="0044346C" w:rsidRDefault="0044346C" w:rsidP="009F658F">
            <w:pPr>
              <w:spacing w:after="160" w:line="259" w:lineRule="auto"/>
              <w:jc w:val="both"/>
              <w:rPr>
                <w:rFonts w:eastAsiaTheme="minorEastAsia"/>
              </w:rPr>
            </w:pPr>
            <w:r w:rsidRPr="0044346C">
              <w:rPr>
                <w:rFonts w:eastAsiaTheme="minorEastAsia"/>
              </w:rPr>
              <w:t>Signal accuracy</w:t>
            </w:r>
          </w:p>
        </w:tc>
      </w:tr>
      <w:tr w:rsidR="0044346C" w:rsidRPr="0044346C" w14:paraId="0154C5B4" w14:textId="77777777" w:rsidTr="0044346C">
        <w:tc>
          <w:tcPr>
            <w:tcW w:w="0" w:type="auto"/>
            <w:hideMark/>
          </w:tcPr>
          <w:p w14:paraId="7CEC54C5" w14:textId="50F8C19E"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D</m:t>
                    </m:r>
                  </m:e>
                  <m:sub>
                    <m:r>
                      <w:rPr>
                        <w:rFonts w:ascii="Cambria Math" w:eastAsiaTheme="minorEastAsia" w:hAnsi="Cambria Math"/>
                      </w:rPr>
                      <m:t>t</m:t>
                    </m:r>
                  </m:sub>
                </m:sSub>
              </m:oMath>
            </m:oMathPara>
          </w:p>
        </w:tc>
        <w:tc>
          <w:tcPr>
            <w:tcW w:w="0" w:type="auto"/>
            <w:hideMark/>
          </w:tcPr>
          <w:p w14:paraId="117CF1CB" w14:textId="1CAA4467" w:rsidR="0044346C" w:rsidRPr="0044346C" w:rsidRDefault="0044346C" w:rsidP="009F658F">
            <w:pPr>
              <w:spacing w:after="160" w:line="259" w:lineRule="auto"/>
              <w:jc w:val="both"/>
              <w:rPr>
                <w:rFonts w:eastAsiaTheme="minorEastAsia"/>
              </w:rPr>
            </w:pPr>
            <w:r w:rsidRPr="0044346C">
              <w:rPr>
                <w:rFonts w:eastAsiaTheme="minorEastAsia"/>
              </w:rPr>
              <w:t xml:space="preserve">Portfolio drawdown at chunk </w:t>
            </w:r>
            <m:oMath>
              <m:r>
                <w:rPr>
                  <w:rFonts w:ascii="Cambria Math" w:eastAsiaTheme="minorEastAsia" w:hAnsi="Cambria Math"/>
                </w:rPr>
                <m:t>t</m:t>
              </m:r>
            </m:oMath>
          </w:p>
        </w:tc>
      </w:tr>
      <w:tr w:rsidR="0044346C" w:rsidRPr="0044346C" w14:paraId="03B6B129" w14:textId="77777777" w:rsidTr="0044346C">
        <w:tc>
          <w:tcPr>
            <w:tcW w:w="0" w:type="auto"/>
            <w:hideMark/>
          </w:tcPr>
          <w:p w14:paraId="2C312C69" w14:textId="64DBB5F8" w:rsidR="0044346C" w:rsidRPr="0044346C" w:rsidRDefault="00FF26F7" w:rsidP="009F658F">
            <w:pPr>
              <w:spacing w:after="160" w:line="259" w:lineRule="auto"/>
              <w:jc w:val="both"/>
              <w:rPr>
                <w:rFonts w:eastAsiaTheme="minorEastAsia"/>
              </w:rPr>
            </w:pPr>
            <m:oMathPara>
              <m:oMath>
                <m:r>
                  <m:rPr>
                    <m:nor/>
                  </m:rPr>
                  <w:rPr>
                    <w:rFonts w:eastAsiaTheme="minorEastAsia"/>
                  </w:rPr>
                  <m:t>BFS</m:t>
                </m:r>
                <m:d>
                  <m:dPr>
                    <m:ctrlPr>
                      <w:rPr>
                        <w:rFonts w:ascii="Cambria Math" w:eastAsiaTheme="minorEastAsia" w:hAnsi="Cambria Math"/>
                        <w:i/>
                      </w:rPr>
                    </m:ctrlPr>
                  </m:dPr>
                  <m:e>
                    <m:sSub>
                      <m:sSubPr>
                        <m:ctrlPr>
                          <w:rPr>
                            <w:rFonts w:ascii="Cambria Math" w:eastAsiaTheme="minorEastAsia" w:hAnsi="Cambria Math"/>
                          </w:rPr>
                        </m:ctrlPr>
                      </m:sSubPr>
                      <m:e>
                        <m:r>
                          <w:rPr>
                            <w:rFonts w:ascii="Cambria Math" w:eastAsiaTheme="minorEastAsia" w:hAnsi="Cambria Math"/>
                          </w:rPr>
                          <m:t>θ</m:t>
                        </m:r>
                      </m:e>
                      <m:sub>
                        <m:r>
                          <w:rPr>
                            <w:rFonts w:ascii="Cambria Math" w:eastAsiaTheme="minorEastAsia" w:hAnsi="Cambria Math"/>
                          </w:rPr>
                          <m:t>i</m:t>
                        </m:r>
                      </m:sub>
                    </m:sSub>
                    <m:r>
                      <w:rPr>
                        <w:rFonts w:ascii="Cambria Math" w:eastAsiaTheme="minorEastAsia" w:hAnsi="Cambria Math"/>
                      </w:rPr>
                      <m:t>,</m:t>
                    </m:r>
                    <m:sSubSup>
                      <m:sSubSupPr>
                        <m:ctrlPr>
                          <w:rPr>
                            <w:rFonts w:ascii="Cambria Math" w:eastAsiaTheme="minorEastAsia" w:hAnsi="Cambria Math"/>
                          </w:rPr>
                        </m:ctrlPr>
                      </m:sSubSupPr>
                      <m:e>
                        <m:r>
                          <m:rPr>
                            <m:scr m:val="script"/>
                          </m:rPr>
                          <w:rPr>
                            <w:rFonts w:ascii="Cambria Math" w:eastAsiaTheme="minorEastAsia" w:hAnsi="Cambria Math"/>
                          </w:rPr>
                          <m:t>B</m:t>
                        </m:r>
                      </m:e>
                      <m:sub>
                        <m:r>
                          <w:rPr>
                            <w:rFonts w:ascii="Cambria Math" w:eastAsiaTheme="minorEastAsia" w:hAnsi="Cambria Math"/>
                          </w:rPr>
                          <m:t>t</m:t>
                        </m:r>
                      </m:sub>
                      <m:sup>
                        <m:r>
                          <w:rPr>
                            <w:rFonts w:ascii="Cambria Math" w:eastAsiaTheme="minorEastAsia" w:hAnsi="Cambria Math"/>
                          </w:rPr>
                          <m:t>-</m:t>
                        </m:r>
                      </m:sup>
                    </m:sSubSup>
                  </m:e>
                </m:d>
              </m:oMath>
            </m:oMathPara>
          </w:p>
        </w:tc>
        <w:tc>
          <w:tcPr>
            <w:tcW w:w="0" w:type="auto"/>
            <w:hideMark/>
          </w:tcPr>
          <w:p w14:paraId="75817D74" w14:textId="06894ADE" w:rsidR="0044346C" w:rsidRPr="0044346C" w:rsidRDefault="0044346C" w:rsidP="009F658F">
            <w:pPr>
              <w:spacing w:after="160" w:line="259" w:lineRule="auto"/>
              <w:jc w:val="both"/>
              <w:rPr>
                <w:rFonts w:eastAsiaTheme="minorEastAsia"/>
              </w:rPr>
            </w:pPr>
            <w:r w:rsidRPr="0044346C">
              <w:rPr>
                <w:rFonts w:eastAsiaTheme="minorEastAsia"/>
              </w:rPr>
              <w:t xml:space="preserve">Negative </w:t>
            </w:r>
            <w:proofErr w:type="spellStart"/>
            <w:r w:rsidRPr="0044346C">
              <w:rPr>
                <w:rFonts w:eastAsiaTheme="minorEastAsia"/>
              </w:rPr>
              <w:t>BootstrapFewShot</w:t>
            </w:r>
            <w:proofErr w:type="spellEnd"/>
            <w:r w:rsidRPr="0044346C">
              <w:rPr>
                <w:rFonts w:eastAsiaTheme="minorEastAsia"/>
              </w:rPr>
              <w:t xml:space="preserve"> optimisation of prompt </w:t>
            </w:r>
            <m:oMath>
              <m:sSub>
                <m:sSubPr>
                  <m:ctrlPr>
                    <w:rPr>
                      <w:rFonts w:ascii="Cambria Math" w:eastAsiaTheme="minorEastAsia" w:hAnsi="Cambria Math"/>
                    </w:rPr>
                  </m:ctrlPr>
                </m:sSubPr>
                <m:e>
                  <m:r>
                    <w:rPr>
                      <w:rFonts w:ascii="Cambria Math" w:eastAsiaTheme="minorEastAsia" w:hAnsi="Cambria Math"/>
                    </w:rPr>
                    <m:t>θ</m:t>
                  </m:r>
                </m:e>
                <m:sub>
                  <m:r>
                    <w:rPr>
                      <w:rFonts w:ascii="Cambria Math" w:eastAsiaTheme="minorEastAsia" w:hAnsi="Cambria Math"/>
                    </w:rPr>
                    <m:t>i</m:t>
                  </m:r>
                </m:sub>
              </m:sSub>
            </m:oMath>
          </w:p>
        </w:tc>
      </w:tr>
      <w:tr w:rsidR="0044346C" w:rsidRPr="0044346C" w14:paraId="6797AA65" w14:textId="77777777" w:rsidTr="0044346C">
        <w:tc>
          <w:tcPr>
            <w:tcW w:w="0" w:type="auto"/>
            <w:hideMark/>
          </w:tcPr>
          <w:p w14:paraId="12B71DE1" w14:textId="0909544F" w:rsidR="0044346C" w:rsidRPr="0044346C" w:rsidRDefault="00FF26F7" w:rsidP="009F658F">
            <w:pPr>
              <w:spacing w:after="160" w:line="259" w:lineRule="auto"/>
              <w:jc w:val="both"/>
              <w:rPr>
                <w:rFonts w:eastAsiaTheme="minorEastAsia"/>
              </w:rPr>
            </w:pPr>
            <m:oMathPara>
              <m:oMath>
                <m:r>
                  <m:rPr>
                    <m:nor/>
                  </m:rPr>
                  <w:rPr>
                    <w:rFonts w:eastAsiaTheme="minorEastAsia"/>
                  </w:rPr>
                  <m:t>MIPROv2</m:t>
                </m:r>
                <m:d>
                  <m:dPr>
                    <m:ctrlPr>
                      <w:rPr>
                        <w:rFonts w:ascii="Cambria Math" w:eastAsiaTheme="minorEastAsia" w:hAnsi="Cambria Math"/>
                        <w:i/>
                      </w:rPr>
                    </m:ctrlPr>
                  </m:dPr>
                  <m:e>
                    <m:sSub>
                      <m:sSubPr>
                        <m:ctrlPr>
                          <w:rPr>
                            <w:rFonts w:ascii="Cambria Math" w:eastAsiaTheme="minorEastAsia" w:hAnsi="Cambria Math"/>
                          </w:rPr>
                        </m:ctrlPr>
                      </m:sSubPr>
                      <m:e>
                        <m:r>
                          <w:rPr>
                            <w:rFonts w:ascii="Cambria Math" w:eastAsiaTheme="minorEastAsia" w:hAnsi="Cambria Math"/>
                          </w:rPr>
                          <m:t>θ</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rPr>
                        </m:ctrlPr>
                      </m:sSubPr>
                      <m:e>
                        <m:r>
                          <m:rPr>
                            <m:scr m:val="script"/>
                          </m:rPr>
                          <w:rPr>
                            <w:rFonts w:ascii="Cambria Math" w:eastAsiaTheme="minorEastAsia" w:hAnsi="Cambria Math"/>
                          </w:rPr>
                          <m:t>B</m:t>
                        </m:r>
                      </m:e>
                      <m:sub>
                        <m:r>
                          <w:rPr>
                            <w:rFonts w:ascii="Cambria Math" w:eastAsiaTheme="minorEastAsia" w:hAnsi="Cambria Math"/>
                          </w:rPr>
                          <m:t>t</m:t>
                        </m:r>
                      </m:sub>
                    </m:sSub>
                  </m:e>
                </m:d>
              </m:oMath>
            </m:oMathPara>
          </w:p>
        </w:tc>
        <w:tc>
          <w:tcPr>
            <w:tcW w:w="0" w:type="auto"/>
            <w:hideMark/>
          </w:tcPr>
          <w:p w14:paraId="16020C1E" w14:textId="77777777" w:rsidR="0044346C" w:rsidRPr="0044346C" w:rsidRDefault="0044346C" w:rsidP="009F658F">
            <w:pPr>
              <w:spacing w:after="160" w:line="259" w:lineRule="auto"/>
              <w:jc w:val="both"/>
              <w:rPr>
                <w:rFonts w:eastAsiaTheme="minorEastAsia"/>
              </w:rPr>
            </w:pPr>
            <w:r w:rsidRPr="0044346C">
              <w:rPr>
                <w:rFonts w:eastAsiaTheme="minorEastAsia"/>
              </w:rPr>
              <w:t>Emergency MIPROv2 full prompt rewrite</w:t>
            </w:r>
          </w:p>
        </w:tc>
      </w:tr>
      <w:tr w:rsidR="0044346C" w:rsidRPr="0044346C" w14:paraId="6DFB2F4F" w14:textId="77777777" w:rsidTr="0044346C">
        <w:tc>
          <w:tcPr>
            <w:tcW w:w="0" w:type="auto"/>
            <w:hideMark/>
          </w:tcPr>
          <w:p w14:paraId="4070DA2E" w14:textId="5B1077E9"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V</m:t>
                    </m:r>
                  </m:e>
                  <m:sub>
                    <m:r>
                      <w:rPr>
                        <w:rFonts w:ascii="Cambria Math" w:eastAsiaTheme="minorEastAsia" w:hAnsi="Cambria Math"/>
                      </w:rPr>
                      <m:t>t</m:t>
                    </m:r>
                  </m:sub>
                </m:sSub>
              </m:oMath>
            </m:oMathPara>
          </w:p>
        </w:tc>
        <w:tc>
          <w:tcPr>
            <w:tcW w:w="0" w:type="auto"/>
            <w:hideMark/>
          </w:tcPr>
          <w:p w14:paraId="446EE95B" w14:textId="05E68C5E" w:rsidR="0044346C" w:rsidRPr="0044346C" w:rsidRDefault="0044346C" w:rsidP="009F658F">
            <w:pPr>
              <w:spacing w:after="160" w:line="259" w:lineRule="auto"/>
              <w:jc w:val="both"/>
              <w:rPr>
                <w:rFonts w:eastAsiaTheme="minorEastAsia"/>
              </w:rPr>
            </w:pPr>
            <w:r w:rsidRPr="0044346C">
              <w:rPr>
                <w:rFonts w:eastAsiaTheme="minorEastAsia"/>
              </w:rPr>
              <w:t xml:space="preserve">Total portfolio value at time </w:t>
            </w:r>
            <m:oMath>
              <m:r>
                <w:rPr>
                  <w:rFonts w:ascii="Cambria Math" w:eastAsiaTheme="minorEastAsia" w:hAnsi="Cambria Math"/>
                </w:rPr>
                <m:t>t</m:t>
              </m:r>
            </m:oMath>
          </w:p>
        </w:tc>
      </w:tr>
      <w:tr w:rsidR="0044346C" w:rsidRPr="0044346C" w14:paraId="35818942" w14:textId="77777777" w:rsidTr="0044346C">
        <w:tc>
          <w:tcPr>
            <w:tcW w:w="0" w:type="auto"/>
            <w:hideMark/>
          </w:tcPr>
          <w:p w14:paraId="5852CF13" w14:textId="7023BE6E"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C</m:t>
                    </m:r>
                  </m:e>
                  <m:sub>
                    <m:r>
                      <w:rPr>
                        <w:rFonts w:ascii="Cambria Math" w:eastAsiaTheme="minorEastAsia" w:hAnsi="Cambria Math"/>
                      </w:rPr>
                      <m:t>t</m:t>
                    </m:r>
                  </m:sub>
                </m:sSub>
              </m:oMath>
            </m:oMathPara>
          </w:p>
        </w:tc>
        <w:tc>
          <w:tcPr>
            <w:tcW w:w="0" w:type="auto"/>
            <w:hideMark/>
          </w:tcPr>
          <w:p w14:paraId="7BDF02F6" w14:textId="07730C67" w:rsidR="0044346C" w:rsidRPr="0044346C" w:rsidRDefault="0044346C" w:rsidP="009F658F">
            <w:pPr>
              <w:spacing w:after="160" w:line="259" w:lineRule="auto"/>
              <w:jc w:val="both"/>
              <w:rPr>
                <w:rFonts w:eastAsiaTheme="minorEastAsia"/>
              </w:rPr>
            </w:pPr>
            <w:r w:rsidRPr="0044346C">
              <w:rPr>
                <w:rFonts w:eastAsiaTheme="minorEastAsia"/>
              </w:rPr>
              <w:t xml:space="preserve">Available cash at time </w:t>
            </w:r>
            <m:oMath>
              <m:r>
                <w:rPr>
                  <w:rFonts w:ascii="Cambria Math" w:eastAsiaTheme="minorEastAsia" w:hAnsi="Cambria Math"/>
                </w:rPr>
                <m:t>t</m:t>
              </m:r>
            </m:oMath>
          </w:p>
        </w:tc>
      </w:tr>
      <w:tr w:rsidR="0044346C" w:rsidRPr="0044346C" w14:paraId="6F856AB9" w14:textId="77777777" w:rsidTr="0044346C">
        <w:tc>
          <w:tcPr>
            <w:tcW w:w="0" w:type="auto"/>
            <w:hideMark/>
          </w:tcPr>
          <w:p w14:paraId="457B866A" w14:textId="18A29396"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t</m:t>
                    </m:r>
                  </m:sub>
                </m:sSub>
              </m:oMath>
            </m:oMathPara>
          </w:p>
        </w:tc>
        <w:tc>
          <w:tcPr>
            <w:tcW w:w="0" w:type="auto"/>
            <w:hideMark/>
          </w:tcPr>
          <w:p w14:paraId="2EE05764" w14:textId="3E910BB4" w:rsidR="0044346C" w:rsidRPr="0044346C" w:rsidRDefault="0044346C" w:rsidP="009F658F">
            <w:pPr>
              <w:spacing w:after="160" w:line="259" w:lineRule="auto"/>
              <w:jc w:val="both"/>
              <w:rPr>
                <w:rFonts w:eastAsiaTheme="minorEastAsia"/>
              </w:rPr>
            </w:pPr>
            <w:r w:rsidRPr="0044346C">
              <w:rPr>
                <w:rFonts w:eastAsiaTheme="minorEastAsia"/>
              </w:rPr>
              <w:t xml:space="preserve">Conviction multiplier at time </w:t>
            </w:r>
            <m:oMath>
              <m:r>
                <w:rPr>
                  <w:rFonts w:ascii="Cambria Math" w:eastAsiaTheme="minorEastAsia" w:hAnsi="Cambria Math"/>
                </w:rPr>
                <m:t>t</m:t>
              </m:r>
            </m:oMath>
          </w:p>
        </w:tc>
      </w:tr>
      <w:tr w:rsidR="0044346C" w:rsidRPr="0044346C" w14:paraId="73001813" w14:textId="77777777" w:rsidTr="0044346C">
        <w:tc>
          <w:tcPr>
            <w:tcW w:w="0" w:type="auto"/>
            <w:hideMark/>
          </w:tcPr>
          <w:p w14:paraId="6C5C1B6A" w14:textId="07774CBB"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t</m:t>
                    </m:r>
                  </m:sub>
                </m:sSub>
              </m:oMath>
            </m:oMathPara>
          </w:p>
        </w:tc>
        <w:tc>
          <w:tcPr>
            <w:tcW w:w="0" w:type="auto"/>
            <w:hideMark/>
          </w:tcPr>
          <w:p w14:paraId="2494940A" w14:textId="258F4C90" w:rsidR="0044346C" w:rsidRPr="0044346C" w:rsidRDefault="0044346C" w:rsidP="009F658F">
            <w:pPr>
              <w:spacing w:after="160" w:line="259" w:lineRule="auto"/>
              <w:jc w:val="both"/>
              <w:rPr>
                <w:rFonts w:eastAsiaTheme="minorEastAsia"/>
              </w:rPr>
            </w:pPr>
            <w:r w:rsidRPr="0044346C">
              <w:rPr>
                <w:rFonts w:eastAsiaTheme="minorEastAsia"/>
              </w:rPr>
              <w:t xml:space="preserve">Stock price at time </w:t>
            </w:r>
            <m:oMath>
              <m:r>
                <w:rPr>
                  <w:rFonts w:ascii="Cambria Math" w:eastAsiaTheme="minorEastAsia" w:hAnsi="Cambria Math"/>
                </w:rPr>
                <m:t>t</m:t>
              </m:r>
            </m:oMath>
          </w:p>
        </w:tc>
      </w:tr>
      <w:tr w:rsidR="0044346C" w:rsidRPr="0044346C" w14:paraId="357E881B" w14:textId="77777777" w:rsidTr="0044346C">
        <w:tc>
          <w:tcPr>
            <w:tcW w:w="0" w:type="auto"/>
            <w:hideMark/>
          </w:tcPr>
          <w:p w14:paraId="65A885F0" w14:textId="311D06BB" w:rsidR="0044346C" w:rsidRPr="0044346C" w:rsidRDefault="00000000" w:rsidP="009F658F">
            <w:pPr>
              <w:spacing w:after="160" w:line="259" w:lineRule="auto"/>
              <w:jc w:val="both"/>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δ</m:t>
                    </m:r>
                  </m:e>
                  <m:sub>
                    <m:r>
                      <w:rPr>
                        <w:rFonts w:ascii="Cambria Math" w:eastAsiaTheme="minorEastAsia" w:hAnsi="Cambria Math"/>
                      </w:rPr>
                      <m:t>t</m:t>
                    </m:r>
                  </m:sub>
                </m:sSub>
              </m:oMath>
            </m:oMathPara>
          </w:p>
        </w:tc>
        <w:tc>
          <w:tcPr>
            <w:tcW w:w="0" w:type="auto"/>
            <w:hideMark/>
          </w:tcPr>
          <w:p w14:paraId="0D273DE7" w14:textId="77777777" w:rsidR="0044346C" w:rsidRPr="0044346C" w:rsidRDefault="0044346C" w:rsidP="009F658F">
            <w:pPr>
              <w:spacing w:after="160" w:line="259" w:lineRule="auto"/>
              <w:jc w:val="both"/>
              <w:rPr>
                <w:rFonts w:eastAsiaTheme="minorEastAsia"/>
              </w:rPr>
            </w:pPr>
            <w:r w:rsidRPr="0044346C">
              <w:rPr>
                <w:rFonts w:eastAsiaTheme="minorEastAsia"/>
              </w:rPr>
              <w:t>Stop-loss percentage determined by Risk Manager</w:t>
            </w:r>
          </w:p>
        </w:tc>
      </w:tr>
      <w:tr w:rsidR="0044346C" w:rsidRPr="0044346C" w14:paraId="2A10DCAE" w14:textId="77777777" w:rsidTr="0044346C">
        <w:tc>
          <w:tcPr>
            <w:tcW w:w="0" w:type="auto"/>
            <w:hideMark/>
          </w:tcPr>
          <w:p w14:paraId="52384EB2" w14:textId="68124F80" w:rsidR="0044346C" w:rsidRPr="0044346C" w:rsidRDefault="00000000" w:rsidP="009F658F">
            <w:pPr>
              <w:spacing w:after="160" w:line="259" w:lineRule="auto"/>
              <w:jc w:val="both"/>
              <w:rPr>
                <w:rFonts w:eastAsiaTheme="minorEastAsia"/>
              </w:rPr>
            </w:pPr>
            <m:oMathPara>
              <m:oMath>
                <m:nary>
                  <m:naryPr>
                    <m:chr m:val="⋃"/>
                    <m:limLoc m:val="subSup"/>
                    <m:grow m:val="1"/>
                    <m:ctrlPr>
                      <w:rPr>
                        <w:rFonts w:ascii="Cambria Math" w:eastAsiaTheme="minorEastAsia" w:hAnsi="Cambria Math"/>
                      </w:rPr>
                    </m:ctrlPr>
                  </m:naryPr>
                  <m:sub>
                    <m:r>
                      <w:rPr>
                        <w:rFonts w:ascii="Cambria Math" w:eastAsiaTheme="minorEastAsia" w:hAnsi="Cambria Math"/>
                      </w:rPr>
                      <m:t>i=1</m:t>
                    </m:r>
                  </m:sub>
                  <m:sup>
                    <m:r>
                      <w:rPr>
                        <w:rFonts w:ascii="Cambria Math" w:eastAsiaTheme="minorEastAsia" w:hAnsi="Cambria Math"/>
                      </w:rPr>
                      <m:t>4</m:t>
                    </m:r>
                  </m:sup>
                  <m:e>
                    <m:sSub>
                      <m:sSubPr>
                        <m:ctrlPr>
                          <w:rPr>
                            <w:rFonts w:ascii="Cambria Math" w:eastAsiaTheme="minorEastAsia" w:hAnsi="Cambria Math"/>
                          </w:rPr>
                        </m:ctrlPr>
                      </m:sSubPr>
                      <m:e>
                        <m:r>
                          <w:rPr>
                            <w:rFonts w:ascii="Cambria Math" w:eastAsiaTheme="minorEastAsia" w:hAnsi="Cambria Math"/>
                          </w:rPr>
                          <m:t>f</m:t>
                        </m:r>
                      </m:e>
                      <m:sub>
                        <m:r>
                          <w:rPr>
                            <w:rFonts w:ascii="Cambria Math" w:eastAsiaTheme="minorEastAsia" w:hAnsi="Cambria Math"/>
                          </w:rPr>
                          <m:t>i</m:t>
                        </m:r>
                      </m:sub>
                    </m:sSub>
                  </m:e>
                </m:nary>
              </m:oMath>
            </m:oMathPara>
          </w:p>
        </w:tc>
        <w:tc>
          <w:tcPr>
            <w:tcW w:w="0" w:type="auto"/>
            <w:hideMark/>
          </w:tcPr>
          <w:p w14:paraId="552FE92A" w14:textId="77777777" w:rsidR="0044346C" w:rsidRPr="0044346C" w:rsidRDefault="0044346C" w:rsidP="009F658F">
            <w:pPr>
              <w:spacing w:after="160" w:line="259" w:lineRule="auto"/>
              <w:jc w:val="both"/>
              <w:rPr>
                <w:rFonts w:eastAsiaTheme="minorEastAsia"/>
              </w:rPr>
            </w:pPr>
            <w:r w:rsidRPr="0044346C">
              <w:rPr>
                <w:rFonts w:eastAsiaTheme="minorEastAsia"/>
              </w:rPr>
              <w:t>Union of all four analytical agent outputs</w:t>
            </w:r>
          </w:p>
        </w:tc>
      </w:tr>
    </w:tbl>
    <w:p w14:paraId="4B2D079A" w14:textId="2F41DDF8" w:rsidR="00EC28DB" w:rsidRDefault="00EC28DB" w:rsidP="009F658F">
      <w:pPr>
        <w:jc w:val="both"/>
      </w:pPr>
    </w:p>
    <w:p w14:paraId="51243B8D" w14:textId="77777777" w:rsidR="0044346C" w:rsidRPr="00EC28DB" w:rsidRDefault="0044346C" w:rsidP="009F658F">
      <w:pPr>
        <w:jc w:val="both"/>
      </w:pPr>
    </w:p>
    <w:p w14:paraId="26EFF630" w14:textId="0195D488" w:rsidR="00F333EA" w:rsidRDefault="00136EE3" w:rsidP="009F658F">
      <w:pPr>
        <w:pStyle w:val="Heading3"/>
        <w:jc w:val="both"/>
      </w:pPr>
      <w:bookmarkStart w:id="39" w:name="_Toc228577625"/>
      <w:r>
        <w:t xml:space="preserve">3.2 </w:t>
      </w:r>
      <w:r w:rsidRPr="00136EE3">
        <w:t>System Architecture</w:t>
      </w:r>
      <w:bookmarkEnd w:id="39"/>
    </w:p>
    <w:p w14:paraId="37401342" w14:textId="77777777" w:rsidR="00136EE3" w:rsidRDefault="00136EE3" w:rsidP="009F658F">
      <w:pPr>
        <w:jc w:val="both"/>
      </w:pPr>
    </w:p>
    <w:p w14:paraId="3D29E1F3" w14:textId="77777777" w:rsidR="006276E7" w:rsidRPr="006276E7" w:rsidRDefault="006276E7" w:rsidP="006276E7">
      <w:pPr>
        <w:jc w:val="both"/>
      </w:pPr>
      <w:r w:rsidRPr="006276E7">
        <w:t>The proposed framework follows a hierarchical multi-agent architecture organised into three distinct layers, namely a data layer, an analysis layer, and a decision layer, each playing a clearly defined role in the daily decision-making pipeline.</w:t>
      </w:r>
    </w:p>
    <w:p w14:paraId="0ACE094A" w14:textId="77777777" w:rsidR="006276E7" w:rsidRPr="006276E7" w:rsidRDefault="006276E7" w:rsidP="006276E7">
      <w:pPr>
        <w:jc w:val="both"/>
      </w:pPr>
      <w:r w:rsidRPr="006276E7">
        <w:t>The foundation of the framework is the data layer, which collects and organises raw financial information each trading day covering market price and volume data, company financial statements, news articles, social media content from platforms such as Reddit and X, and broader macroeconomic indicators. Each data source is carefully assigned to the agent best suited to interpret it, ensuring every piece of information is processed with the appropriate analytical focus.</w:t>
      </w:r>
    </w:p>
    <w:p w14:paraId="1D46FF7A" w14:textId="77777777" w:rsidR="006276E7" w:rsidRPr="006276E7" w:rsidRDefault="006276E7" w:rsidP="006276E7">
      <w:pPr>
        <w:jc w:val="both"/>
      </w:pPr>
      <w:r w:rsidRPr="006276E7">
        <w:t xml:space="preserve">Building on this foundation, the analysis layer contains four specialised agents, namely the Technical Analyst, Fundamental Analyst, Sentiment Analyst, and Macro Analyst, each responsible for processing a specific category of financial data and producing a directional signal classified as bullish, bearish, or neutral alongside a confidence score reflecting the strength of its assessment. Once all four agents have completed their analysis, their outputs are passed to the decision layer through a structured message passing approach, aggregating all signals into a comprehensive market summary string combined with the current portfolio state, five-day </w:t>
      </w:r>
      <w:r w:rsidRPr="006276E7">
        <w:lastRenderedPageBreak/>
        <w:t>trading history, and a plain-English performance summary before being passed to the Orchestrator.</w:t>
      </w:r>
    </w:p>
    <w:p w14:paraId="47C3A983" w14:textId="77777777" w:rsidR="006276E7" w:rsidRPr="006276E7" w:rsidRDefault="006276E7" w:rsidP="006276E7">
      <w:pPr>
        <w:jc w:val="both"/>
      </w:pPr>
      <w:r w:rsidRPr="006276E7">
        <w:t xml:space="preserve">It is important to note that all agents execute sequentially rather than in parallel due to </w:t>
      </w:r>
      <w:proofErr w:type="spellStart"/>
      <w:r w:rsidRPr="006276E7">
        <w:t>Groq</w:t>
      </w:r>
      <w:proofErr w:type="spellEnd"/>
      <w:r w:rsidRPr="006276E7">
        <w:t xml:space="preserve"> API rate limits, ensuring each agent operates on complete information before the next stage begins. This sequential execution does not diminish the collaborative nature of the system since every decision made by the Orchestrator is informed by the fully consolidated outputs of all six preceding agents. The Orchestrator itself serves as the seventh and final agent, taking a holistic portfolio-wide view and issuing final trade instructions for every security under consideration. These instructions then pass through a confidence gate that automatically overrides any new position entry with a confidence score below 0.6 with a hold instruction, whilst always allowing exit instructions to execute regardless of confidence level, ensuring the system can always close an existing position during periods of market uncertainty.</w:t>
      </w:r>
    </w:p>
    <w:p w14:paraId="67D23F16" w14:textId="77777777" w:rsidR="00136EE3" w:rsidRDefault="00136EE3" w:rsidP="009F658F">
      <w:pPr>
        <w:jc w:val="both"/>
      </w:pPr>
    </w:p>
    <w:p w14:paraId="14E7CACD" w14:textId="77777777" w:rsidR="00136EE3" w:rsidRDefault="00136EE3" w:rsidP="009F658F">
      <w:pPr>
        <w:keepNext/>
        <w:ind w:left="1440"/>
        <w:jc w:val="both"/>
      </w:pPr>
      <w:r w:rsidRPr="00136EE3">
        <w:rPr>
          <w:noProof/>
        </w:rPr>
        <w:drawing>
          <wp:inline distT="0" distB="0" distL="0" distR="0" wp14:anchorId="5CD6AE0F" wp14:editId="70E3D086">
            <wp:extent cx="4044315" cy="3927163"/>
            <wp:effectExtent l="0" t="0" r="0" b="0"/>
            <wp:docPr id="1493592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92664" name=""/>
                    <pic:cNvPicPr/>
                  </pic:nvPicPr>
                  <pic:blipFill>
                    <a:blip r:embed="rId29"/>
                    <a:stretch>
                      <a:fillRect/>
                    </a:stretch>
                  </pic:blipFill>
                  <pic:spPr>
                    <a:xfrm>
                      <a:off x="0" y="0"/>
                      <a:ext cx="4065900" cy="3948123"/>
                    </a:xfrm>
                    <a:prstGeom prst="rect">
                      <a:avLst/>
                    </a:prstGeom>
                  </pic:spPr>
                </pic:pic>
              </a:graphicData>
            </a:graphic>
          </wp:inline>
        </w:drawing>
      </w:r>
    </w:p>
    <w:p w14:paraId="18B90485" w14:textId="793DD093" w:rsidR="00136EE3" w:rsidRDefault="00136EE3" w:rsidP="009F658F">
      <w:pPr>
        <w:pStyle w:val="Caption"/>
        <w:ind w:left="1440"/>
        <w:jc w:val="both"/>
      </w:pPr>
      <w:bookmarkStart w:id="40" w:name="_Toc228816063"/>
      <w:r>
        <w:t xml:space="preserve">Figure </w:t>
      </w:r>
      <w:fldSimple w:instr=" SEQ Figure \* ARABIC ">
        <w:r w:rsidR="006C3897">
          <w:rPr>
            <w:noProof/>
          </w:rPr>
          <w:t>18</w:t>
        </w:r>
      </w:fldSimple>
      <w:r>
        <w:t xml:space="preserve">: </w:t>
      </w:r>
      <w:r w:rsidRPr="00AD1343">
        <w:t>The agent communication flow showing the sequential passage of information from analytical signal generation through market summary aggregation, Orchestrator decision-making, confidence filtering, and final trade execution.</w:t>
      </w:r>
      <w:bookmarkEnd w:id="40"/>
    </w:p>
    <w:p w14:paraId="1F06AC93" w14:textId="77777777" w:rsidR="00F333EA" w:rsidRDefault="00F333EA" w:rsidP="009F658F">
      <w:pPr>
        <w:jc w:val="both"/>
      </w:pPr>
    </w:p>
    <w:p w14:paraId="265C94C9" w14:textId="77777777" w:rsidR="006276E7" w:rsidRDefault="006276E7" w:rsidP="009F658F">
      <w:pPr>
        <w:jc w:val="both"/>
      </w:pPr>
    </w:p>
    <w:p w14:paraId="39BA0D34" w14:textId="77777777" w:rsidR="006276E7" w:rsidRDefault="006276E7" w:rsidP="009F658F">
      <w:pPr>
        <w:jc w:val="both"/>
      </w:pPr>
    </w:p>
    <w:p w14:paraId="0993B7AD" w14:textId="77777777" w:rsidR="006276E7" w:rsidRDefault="006276E7" w:rsidP="009F658F">
      <w:pPr>
        <w:jc w:val="both"/>
      </w:pPr>
    </w:p>
    <w:p w14:paraId="1D849D44" w14:textId="44954862" w:rsidR="004C05A6" w:rsidRDefault="002A4586" w:rsidP="009F658F">
      <w:pPr>
        <w:pStyle w:val="Heading3"/>
        <w:jc w:val="both"/>
      </w:pPr>
      <w:bookmarkStart w:id="41" w:name="_Toc228577626"/>
      <w:r w:rsidRPr="002A4586">
        <w:lastRenderedPageBreak/>
        <w:t>3.3 Specialised Agents</w:t>
      </w:r>
      <w:bookmarkEnd w:id="41"/>
    </w:p>
    <w:p w14:paraId="4FDDE43A" w14:textId="77777777" w:rsidR="00420765" w:rsidRPr="00420765" w:rsidRDefault="00420765" w:rsidP="009F658F">
      <w:pPr>
        <w:jc w:val="both"/>
      </w:pPr>
    </w:p>
    <w:p w14:paraId="45DC89EB" w14:textId="77777777" w:rsidR="004C05A6" w:rsidRDefault="004C05A6" w:rsidP="009F658F">
      <w:pPr>
        <w:pStyle w:val="Heading4"/>
        <w:jc w:val="both"/>
      </w:pPr>
      <w:r>
        <w:t>3.3.1 Technical Analyst</w:t>
      </w:r>
    </w:p>
    <w:p w14:paraId="38A3D589" w14:textId="77777777" w:rsidR="004C05A6" w:rsidRDefault="004C05A6" w:rsidP="009F658F">
      <w:pPr>
        <w:jc w:val="both"/>
      </w:pPr>
    </w:p>
    <w:p w14:paraId="436DE242" w14:textId="43819DAD" w:rsidR="004C05A6" w:rsidRDefault="00667166" w:rsidP="009F658F">
      <w:pPr>
        <w:jc w:val="both"/>
      </w:pPr>
      <w:r w:rsidRPr="00667166">
        <w:t>The Technical Analyst agent is responsible for studying historical price and volume data to identify potential trading opportunities and identify in which direction the market is moving. The agent receives a range of widely used technical indicators as inputs, which include the 14-day Relative Strength Index, the Moving Average Convergence Divergence and its signal line, the 50-day and 200-day Simple Moving Averages, the 14-day Average True Range, and a textual summary of recent price history. These indicators are fed into the agent's Large Language Model-powered reasoning module, which interprets the combined picture of momentum, trend direction, and volatility to produce a structured directional signal classified as bullish, bearish, or neutral, alongside a confidence score between zero and one reflecting the strength of the technical case for that signal. This output serves as the first of four analytical inputs that feed into the Stock Picker and Risk Manager agents further down the pipeline.</w:t>
      </w:r>
    </w:p>
    <w:p w14:paraId="0F5F7854" w14:textId="77777777" w:rsidR="00667166" w:rsidRDefault="00667166" w:rsidP="009F658F">
      <w:pPr>
        <w:jc w:val="both"/>
      </w:pPr>
    </w:p>
    <w:p w14:paraId="698DC8D4" w14:textId="77777777" w:rsidR="004C05A6" w:rsidRDefault="004C05A6" w:rsidP="009F658F">
      <w:pPr>
        <w:pStyle w:val="Heading4"/>
        <w:jc w:val="both"/>
      </w:pPr>
      <w:r>
        <w:t>3.3.2 Fundamental Analyst</w:t>
      </w:r>
    </w:p>
    <w:p w14:paraId="7F5E66D8" w14:textId="77777777" w:rsidR="004C05A6" w:rsidRDefault="004C05A6" w:rsidP="009F658F">
      <w:pPr>
        <w:jc w:val="both"/>
      </w:pPr>
    </w:p>
    <w:p w14:paraId="639C7A02" w14:textId="77777777" w:rsidR="004C05A6" w:rsidRDefault="004C05A6" w:rsidP="009F658F">
      <w:pPr>
        <w:jc w:val="both"/>
      </w:pPr>
      <w:r>
        <w:t>The Fundamental Analyst looks under the surface of a stock’s price movement by examining different types of financial metrics sourced from company financial statements and earnings reports. The agent takes in a range of financial inputs, which include revenue figures, net income, earnings per share, return on equity, return on assets, debt-to-equity ratio, profit margin, and revenue growth rate, assessing each metric in the context of what it reveals about the underlying business quality and valuation. The agent's reasoning module uses these inputs to determine whether a stock appears fundamentally strong and attractively valued, producing a directional signal of bullish, bearish, or neutral alongside a confidence score. This fundamental perspective complements the technical signals produced by the Technical Analyst by grounding the analysis in the company's actual financial performance rather than relying solely on price behaviour.</w:t>
      </w:r>
    </w:p>
    <w:p w14:paraId="583BE8F1" w14:textId="77777777" w:rsidR="004C05A6" w:rsidRDefault="004C05A6" w:rsidP="009F658F">
      <w:pPr>
        <w:jc w:val="both"/>
      </w:pPr>
    </w:p>
    <w:p w14:paraId="0D644B02" w14:textId="77777777" w:rsidR="004C05A6" w:rsidRDefault="004C05A6" w:rsidP="009F658F">
      <w:pPr>
        <w:pStyle w:val="Heading4"/>
        <w:jc w:val="both"/>
      </w:pPr>
      <w:r>
        <w:t>3.3.3 Sentiment Analyst</w:t>
      </w:r>
    </w:p>
    <w:p w14:paraId="5B9E3CF4" w14:textId="77777777" w:rsidR="004C05A6" w:rsidRDefault="004C05A6" w:rsidP="009F658F">
      <w:pPr>
        <w:jc w:val="both"/>
      </w:pPr>
    </w:p>
    <w:p w14:paraId="60954371" w14:textId="77777777" w:rsidR="004C05A6" w:rsidRDefault="004C05A6" w:rsidP="009F658F">
      <w:pPr>
        <w:jc w:val="both"/>
      </w:pPr>
      <w:r>
        <w:t xml:space="preserve">The Sentiment Analyst agent capture the ongoing mood of the market by analysing textual data, collected from multiple sources parallel, including financial news articles, analyst sentiment reports, and social media platforms such as Reddit and X. Previous method which used to highly depend on keyword counting or dictionary-based approaches, this agent uses the natural language understanding capabilities of Large Language Model to capture the tone, context, and significance of relevant content, producing an overall sentiment signal of bullish, bearish, or neutral alongside a confidence score. This real-time window into investor behaviour and market psychology is particularly valuable because shifts in sentiment frequently precede movements in stock prices, allowing the framework to act on emerging market mood before those shifts are reflected in technical indicators or financial data. The sentiment signal produced by this agent </w:t>
      </w:r>
      <w:r>
        <w:lastRenderedPageBreak/>
        <w:t>provides the Stock Picker with an important dimension of analysis that purely quantitative agents are unable to capture.</w:t>
      </w:r>
    </w:p>
    <w:p w14:paraId="594927FB" w14:textId="77777777" w:rsidR="004C05A6" w:rsidRDefault="004C05A6" w:rsidP="009F658F">
      <w:pPr>
        <w:jc w:val="both"/>
      </w:pPr>
    </w:p>
    <w:p w14:paraId="668FB188" w14:textId="77777777" w:rsidR="004C05A6" w:rsidRDefault="004C05A6" w:rsidP="009F658F">
      <w:pPr>
        <w:pStyle w:val="Heading4"/>
        <w:jc w:val="both"/>
      </w:pPr>
      <w:r>
        <w:t>3.3.4 Macro Analyst</w:t>
      </w:r>
    </w:p>
    <w:p w14:paraId="319A9715" w14:textId="77777777" w:rsidR="004C05A6" w:rsidRDefault="004C05A6" w:rsidP="009F658F">
      <w:pPr>
        <w:jc w:val="both"/>
      </w:pPr>
    </w:p>
    <w:p w14:paraId="12A2D0F5" w14:textId="77777777" w:rsidR="004C05A6" w:rsidRDefault="004C05A6" w:rsidP="009F658F">
      <w:pPr>
        <w:jc w:val="both"/>
      </w:pPr>
      <w:r>
        <w:t>The Macro Analyst agent examines country-level macroeconomic variables that have a meaningful bearing on broader market conditions and individual stock valuations. The agent receives inputs, including the VIX volatility index, the Federal Reserve interest rate, the Consumer Price Index, and the year-on-year CPI inflation figure, using these to build a contextual understanding of the macroeconomic environment in which trading decisions are being made. By monitoring these broader economic forces, the agent is able to identify conditions that may create tailwinds or headwinds for equity markets as a whole, producing a macro signal of bullish, bearish, or neutral alongside a confidence score. This macroeconomic perspective is a distinguishing feature of the proposed framework, as the majority of existing multi-agent trading systems reviewed in the literature do not include a dedicated agent for macroeconomic analysis, despite the well-established influence of interest rates, inflation, and market volatility on stock price movements.</w:t>
      </w:r>
    </w:p>
    <w:p w14:paraId="0B36EFB2" w14:textId="77777777" w:rsidR="004C05A6" w:rsidRDefault="004C05A6" w:rsidP="009F658F">
      <w:pPr>
        <w:jc w:val="both"/>
      </w:pPr>
    </w:p>
    <w:p w14:paraId="559624FA" w14:textId="77777777" w:rsidR="004C05A6" w:rsidRDefault="004C05A6" w:rsidP="009F658F">
      <w:pPr>
        <w:pStyle w:val="Heading4"/>
        <w:jc w:val="both"/>
      </w:pPr>
      <w:r>
        <w:t>3.3.5 Stock Picker</w:t>
      </w:r>
    </w:p>
    <w:p w14:paraId="416524FB" w14:textId="77777777" w:rsidR="004C05A6" w:rsidRDefault="004C05A6" w:rsidP="009F658F">
      <w:pPr>
        <w:jc w:val="both"/>
      </w:pPr>
    </w:p>
    <w:p w14:paraId="60488A59" w14:textId="77777777" w:rsidR="004C05A6" w:rsidRDefault="004C05A6" w:rsidP="009F658F">
      <w:pPr>
        <w:jc w:val="both"/>
      </w:pPr>
      <w:r>
        <w:t>The Stock Picker agent is one of the most important agents in the decision-making process and is responsible for aggregating the signals from the four analytical agents into a single, clear recommendation for each stock. It receives the directional signals and confidence scores from the Technical, Fundamental, Sentiment, and Macro Analysts alongside the stock's current price and a summary of how the portfolio has been performing recently, using all of this information to decide whether the right course of action is to buy, short sell, or hold the stock. One of the most distinctive features of the Stock Picker is the way it calculates conviction. Rather than relying solely on what the language model thinks, the agent combines the LLM's own conviction assessment with a separately computed conviction score that counts how many of the four analysts are pointing in the same direction. If three or more analysts agree, or if two agree and the average confidence score across all analysts is above 0.70, the conviction is classified as strong. If two analysts agree or the average confidence is above 0.60, the conviction is classified as moderate, and anything below this is classified as weak. The final conviction level is then taken as whichever of the two scores is higher, meaning the system always uses the most confident assessment available, whether that comes from the language model's reasoning or from the measurable agreement among the analysts.</w:t>
      </w:r>
    </w:p>
    <w:p w14:paraId="2477D0E5" w14:textId="77777777" w:rsidR="004C05A6" w:rsidRDefault="004C05A6" w:rsidP="009F658F">
      <w:pPr>
        <w:jc w:val="both"/>
      </w:pPr>
    </w:p>
    <w:p w14:paraId="2395A65A" w14:textId="77777777" w:rsidR="004C05A6" w:rsidRDefault="004C05A6" w:rsidP="009F658F">
      <w:pPr>
        <w:pStyle w:val="Heading4"/>
        <w:jc w:val="both"/>
      </w:pPr>
      <w:r>
        <w:t>3.3.6 Risk Manager</w:t>
      </w:r>
    </w:p>
    <w:p w14:paraId="3F1B9746" w14:textId="77777777" w:rsidR="004C05A6" w:rsidRDefault="004C05A6" w:rsidP="009F658F">
      <w:pPr>
        <w:jc w:val="both"/>
      </w:pPr>
    </w:p>
    <w:p w14:paraId="32ECD391" w14:textId="77777777" w:rsidR="00FA0426" w:rsidRDefault="004C05A6" w:rsidP="009F658F">
      <w:pPr>
        <w:jc w:val="both"/>
      </w:pPr>
      <w:r>
        <w:t xml:space="preserve">The Risk Manager agent is responsible for assessing the risk profile of each proposed trade and determining the parameters that govern how that trade will be managed throughout its life. The agent receives the current stock price, the 14-day Average True Range, the VIX volatility index, </w:t>
      </w:r>
      <w:r>
        <w:lastRenderedPageBreak/>
        <w:t>the current portfolio value, the size of any existing long or short position in the stock, and the directional signals from all four analyst agents, alongside a summary of recent portfolio performance. Using these inputs, the agent determines an overall risk level for the proposed trade, classified as low, medium, or high, and calculates the appropriate position size as a percentage of the total portfolio value, the stop-loss percentage defining how far the price can move against the position before it is closed, and the take-profit percentage defining the target gain at which the position should be considered for exit.</w:t>
      </w:r>
    </w:p>
    <w:p w14:paraId="20872456" w14:textId="3D9908A1" w:rsidR="004C05A6" w:rsidRDefault="004C05A6" w:rsidP="009F658F">
      <w:pPr>
        <w:jc w:val="both"/>
      </w:pPr>
      <w:r>
        <w:t xml:space="preserve"> It is important to note that whilst the Risk Manager determines the stop-loss and take-profit percentages, the actual number of shares to trade is calculated separately by the trading simulator based on the conviction level produced by the Stock Picker, with strong conviction allowing up to 1.5 times the maximum position size, moderate conviction allowing the standard maximum, and weak conviction allowing only half of it.</w:t>
      </w:r>
    </w:p>
    <w:p w14:paraId="7B89AACA" w14:textId="77777777" w:rsidR="004C05A6" w:rsidRDefault="004C05A6" w:rsidP="009F658F">
      <w:pPr>
        <w:jc w:val="both"/>
      </w:pPr>
    </w:p>
    <w:p w14:paraId="6B6A0662" w14:textId="77777777" w:rsidR="004C05A6" w:rsidRDefault="004C05A6" w:rsidP="009F658F">
      <w:pPr>
        <w:pStyle w:val="Heading4"/>
        <w:jc w:val="both"/>
      </w:pPr>
      <w:r>
        <w:t>3.3.7 Orchestrator</w:t>
      </w:r>
    </w:p>
    <w:p w14:paraId="5D83D94F" w14:textId="77777777" w:rsidR="004C05A6" w:rsidRDefault="004C05A6" w:rsidP="009F658F">
      <w:pPr>
        <w:jc w:val="both"/>
      </w:pPr>
    </w:p>
    <w:p w14:paraId="26348158" w14:textId="77777777" w:rsidR="004C05A6" w:rsidRDefault="004C05A6" w:rsidP="009F658F">
      <w:pPr>
        <w:jc w:val="both"/>
      </w:pPr>
      <w:r>
        <w:t>The seventh agent in the pipeline is the orchestration agent, which has a unique way of operating, unlike other agents. It operates at the portfolio level rather than the individual stock level. While every other agent in the framework focuses on a specific job for one particular ticker at a time, the Orchestrator looks at the entire portfolio before making any decisions. Detail view that has been passed Orchestrator agent includes market summary aggregating the signals, confidence scores, consensus directions, and risk parameters for every stock that has been considered on that day as well as portfolio summary which describes the current cash position, all open long and short positions with their unrealised profit and loss figures, and flags indicating which positions have crossed their stop-loss or take-profit levels. On top of this, the Orchestrator is also getting the record of the trading decisions that have been made over the past 5 days, along with a plain-English summary of how the portfolio has been performing recently. This summary gives the Orchestrator an honest picture of what has been going wrong recently, for example, whether the portfolio has been losing money, whether too many trades have been placed in a short space of time, or whether the agents have been making poor calls that did not play out as expected. Orchestrator issues final trade instructions based on the information that it has received for every ticker in the format of a specific action and many shares, which are then passed through the confidence gate before execution. This type of decision-making approach ensures that every trade decision is always made with the full portfolio in mind, which prevents the system from making isolated decisions that might be individually reasonable but collectively harmful to overall portfolio performance.</w:t>
      </w:r>
    </w:p>
    <w:p w14:paraId="08BA28BF" w14:textId="77777777" w:rsidR="002A4586" w:rsidRPr="002A4586" w:rsidRDefault="002A4586" w:rsidP="009F658F">
      <w:pPr>
        <w:jc w:val="both"/>
      </w:pPr>
    </w:p>
    <w:p w14:paraId="5BA81BBC" w14:textId="77777777" w:rsidR="00EB546A" w:rsidRDefault="00EB546A" w:rsidP="009F658F">
      <w:pPr>
        <w:pStyle w:val="Heading3"/>
        <w:jc w:val="both"/>
      </w:pPr>
      <w:bookmarkStart w:id="42" w:name="_Toc228577627"/>
      <w:r w:rsidRPr="00EB546A">
        <w:t>3.4 Data Sources and Collection</w:t>
      </w:r>
      <w:bookmarkEnd w:id="42"/>
    </w:p>
    <w:p w14:paraId="4B28793F" w14:textId="77777777" w:rsidR="00EB546A" w:rsidRPr="00EB546A" w:rsidRDefault="00EB546A" w:rsidP="009F658F">
      <w:pPr>
        <w:jc w:val="both"/>
      </w:pPr>
    </w:p>
    <w:p w14:paraId="6D4CB895" w14:textId="77777777" w:rsidR="008459CE" w:rsidRPr="008459CE" w:rsidRDefault="008459CE" w:rsidP="008459CE">
      <w:pPr>
        <w:jc w:val="both"/>
      </w:pPr>
      <w:r w:rsidRPr="008459CE">
        <w:t xml:space="preserve">The dataset covers six years of financial market activity from January 2015 to December 2020 across 13 securities comprising 11 individual equities and two broad-market ETFs, the SPDR S&amp;P 500 ETF and the Invesco QQQ Trust. Two originally collected securities, Palantir and BlackBerry, were subsequently removed due to insufficient data coverage and very low trading activity </w:t>
      </w:r>
      <w:r w:rsidRPr="008459CE">
        <w:lastRenderedPageBreak/>
        <w:t>respectively. Six distinct data streams are merged at a daily frequency and joined on a shared date and ticker key before label assignment and chronological splitting.</w:t>
      </w:r>
    </w:p>
    <w:p w14:paraId="335212DB" w14:textId="77777777" w:rsidR="008459CE" w:rsidRPr="008459CE" w:rsidRDefault="008459CE" w:rsidP="008459CE">
      <w:pPr>
        <w:jc w:val="both"/>
      </w:pPr>
      <w:r w:rsidRPr="008459CE">
        <w:t xml:space="preserve">Daily price and volume data are downloaded from Yahoo Finance via </w:t>
      </w:r>
      <w:proofErr w:type="spellStart"/>
      <w:r w:rsidRPr="008459CE">
        <w:t>yfinance</w:t>
      </w:r>
      <w:proofErr w:type="spellEnd"/>
      <w:r w:rsidRPr="008459CE">
        <w:t xml:space="preserve"> with automatic adjustment for splits and dividends, and seven technical indicators are computed using pandas-ta covering RSI, MACD, SMA 50, SMA 200, and ATR. Three macroeconomic indicators, namely VIX, the Federal Funds Rate, and CPI alongside a year-on-year change series, are retrieved from the Federal Reserve Economic Data service and forward-filled then backward-filled to avoid look-ahead bias. Sell-side analyst ratings are also sourced from Yahoo Finance, converted from free-text strings into numerical scores between negative one and positive one through a three-pass mapping process, and forward-filled so every trading day carries the most recently issued rating.</w:t>
      </w:r>
    </w:p>
    <w:p w14:paraId="2594DE43" w14:textId="4FC7C02C" w:rsidR="00422814" w:rsidRDefault="008459CE" w:rsidP="009F658F">
      <w:pPr>
        <w:jc w:val="both"/>
      </w:pPr>
      <w:r w:rsidRPr="008459CE">
        <w:t xml:space="preserve">Financial news sentiment is streamed from a Hugging Face corpus of over 26 million records filtered to the study window and relevant securities. Social media sentiment combines approximately 3.72 million tweets and 250,000 Reddit </w:t>
      </w:r>
      <w:proofErr w:type="spellStart"/>
      <w:r w:rsidRPr="008459CE">
        <w:t>WallStreetBets</w:t>
      </w:r>
      <w:proofErr w:type="spellEnd"/>
      <w:r w:rsidRPr="008459CE">
        <w:t xml:space="preserve"> posts from Kaggle, though the Twitter dataset only covers up to December 2019, meaning no social media signal is available during the COVID-19 crash period. All text is cleaned, truncated to 300 characters, and scored using Mistral </w:t>
      </w:r>
      <w:proofErr w:type="spellStart"/>
      <w:r w:rsidRPr="008459CE">
        <w:t>Devstral</w:t>
      </w:r>
      <w:proofErr w:type="spellEnd"/>
      <w:r w:rsidRPr="008459CE">
        <w:t xml:space="preserve"> 2 with 123 billion parameters via the NVIDIA inference API, with daily scores aggregated to a mean per ticker and missing days filled with a neutral value of zero.</w:t>
      </w:r>
    </w:p>
    <w:p w14:paraId="317E32FB" w14:textId="77777777" w:rsidR="008459CE" w:rsidRDefault="008459CE" w:rsidP="009F658F">
      <w:pPr>
        <w:jc w:val="both"/>
      </w:pPr>
    </w:p>
    <w:p w14:paraId="4B2A7888" w14:textId="77777777" w:rsidR="00DB1E72" w:rsidRDefault="00DB1E72" w:rsidP="009F658F">
      <w:pPr>
        <w:keepNext/>
        <w:jc w:val="both"/>
      </w:pPr>
      <w:r w:rsidRPr="00DB1E72">
        <w:rPr>
          <w:noProof/>
        </w:rPr>
        <w:drawing>
          <wp:inline distT="0" distB="0" distL="0" distR="0" wp14:anchorId="3F33F82D" wp14:editId="0EB037F1">
            <wp:extent cx="5731510" cy="1732915"/>
            <wp:effectExtent l="0" t="0" r="2540" b="635"/>
            <wp:docPr id="19244240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1732915"/>
                    </a:xfrm>
                    <a:prstGeom prst="rect">
                      <a:avLst/>
                    </a:prstGeom>
                    <a:noFill/>
                    <a:ln>
                      <a:noFill/>
                    </a:ln>
                  </pic:spPr>
                </pic:pic>
              </a:graphicData>
            </a:graphic>
          </wp:inline>
        </w:drawing>
      </w:r>
    </w:p>
    <w:p w14:paraId="47C4A9D1" w14:textId="1F8524EC" w:rsidR="00DB1E72" w:rsidRPr="00DB1E72" w:rsidRDefault="00DB1E72" w:rsidP="009F658F">
      <w:pPr>
        <w:pStyle w:val="Caption"/>
        <w:ind w:left="1440" w:firstLine="720"/>
        <w:jc w:val="both"/>
      </w:pPr>
      <w:bookmarkStart w:id="43" w:name="_Toc228816064"/>
      <w:r>
        <w:t xml:space="preserve">Figure </w:t>
      </w:r>
      <w:fldSimple w:instr=" SEQ Figure \* ARABIC ">
        <w:r w:rsidR="006C3897">
          <w:rPr>
            <w:noProof/>
          </w:rPr>
          <w:t>19</w:t>
        </w:r>
      </w:fldSimple>
      <w:r>
        <w:t>: Timeseries-wise dataset split across 2015 to 2020</w:t>
      </w:r>
      <w:bookmarkEnd w:id="43"/>
    </w:p>
    <w:p w14:paraId="1F4D0743" w14:textId="77777777" w:rsidR="009A0B71" w:rsidRDefault="009A0B71" w:rsidP="009F658F">
      <w:pPr>
        <w:jc w:val="both"/>
      </w:pPr>
    </w:p>
    <w:p w14:paraId="521AA7F6" w14:textId="77777777" w:rsidR="00775D29" w:rsidRDefault="00775D29" w:rsidP="009F658F">
      <w:pPr>
        <w:keepNext/>
        <w:jc w:val="both"/>
      </w:pPr>
      <w:r w:rsidRPr="00775D29">
        <w:rPr>
          <w:noProof/>
        </w:rPr>
        <w:lastRenderedPageBreak/>
        <w:drawing>
          <wp:inline distT="0" distB="0" distL="0" distR="0" wp14:anchorId="299ABF0D" wp14:editId="286930EE">
            <wp:extent cx="5731510" cy="3126740"/>
            <wp:effectExtent l="0" t="0" r="2540" b="0"/>
            <wp:docPr id="47670739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126740"/>
                    </a:xfrm>
                    <a:prstGeom prst="rect">
                      <a:avLst/>
                    </a:prstGeom>
                    <a:noFill/>
                    <a:ln>
                      <a:noFill/>
                    </a:ln>
                  </pic:spPr>
                </pic:pic>
              </a:graphicData>
            </a:graphic>
          </wp:inline>
        </w:drawing>
      </w:r>
    </w:p>
    <w:p w14:paraId="00E54047" w14:textId="19B48FD0" w:rsidR="009A0B71" w:rsidRDefault="00775D29" w:rsidP="009F658F">
      <w:pPr>
        <w:pStyle w:val="Caption"/>
        <w:ind w:left="2160" w:firstLine="720"/>
        <w:jc w:val="both"/>
      </w:pPr>
      <w:bookmarkStart w:id="44" w:name="_Toc228816065"/>
      <w:r>
        <w:t xml:space="preserve">Figure </w:t>
      </w:r>
      <w:fldSimple w:instr=" SEQ Figure \* ARABIC ">
        <w:r w:rsidR="006C3897">
          <w:rPr>
            <w:noProof/>
          </w:rPr>
          <w:t>20</w:t>
        </w:r>
      </w:fldSimple>
      <w:r>
        <w:t>: Label across different splits</w:t>
      </w:r>
      <w:bookmarkEnd w:id="44"/>
    </w:p>
    <w:p w14:paraId="67528DD0" w14:textId="77777777" w:rsidR="00775D29" w:rsidRPr="00583040" w:rsidRDefault="00775D29" w:rsidP="009F658F">
      <w:pPr>
        <w:jc w:val="both"/>
      </w:pPr>
    </w:p>
    <w:p w14:paraId="1B3D5B18" w14:textId="77777777" w:rsidR="00FA0426" w:rsidRDefault="00422814" w:rsidP="009F658F">
      <w:pPr>
        <w:keepNext/>
        <w:jc w:val="both"/>
      </w:pPr>
      <w:r w:rsidRPr="00422814">
        <w:t xml:space="preserve">The ground truth labels used for training and evaluation have been created through the 30-day forward return of each security's adjusted closing price. Normally, we do a 1-day forward return because we don’t know about the 30 days in future, computed within each ticker group independently using a shift of negative 30 periods to ensure no look-ahead bias is present. A symmetric threshold of plus or minus two per cent is used to convert the continuous return into one of three classes, with returns above two per cent labelled as buy, returns below negative two percent labelled as short, and anything falling within this range labelled as hold, with these thresholds chosen to reflect economically meaningful price moves that exceed typical transaction costs. One-day and five-day forward returns are also computed and stored in the dataset as additional contextual information, but play no part in label assignment. </w:t>
      </w:r>
    </w:p>
    <w:p w14:paraId="69E185BD" w14:textId="64797161" w:rsidR="00F825EA" w:rsidRDefault="00422814" w:rsidP="009F658F">
      <w:pPr>
        <w:keepNext/>
        <w:jc w:val="both"/>
      </w:pPr>
      <w:r w:rsidRPr="00422814">
        <w:t xml:space="preserve">The dataset is divided into three strictly chronological splits with no random shuffling applied at any stage, with the first phase covering January 2015 to June 2018 and containing 11,440 rows, the second phase covering July 2018 to June 2019 and the third phase containing 3,250 rows, and the test set covering July 2019 to December 2020 and containing 4,940 rows in total. The split boundaries were deliberately chosen to align with distinct market regimes, with the training set capturing the bull market of 2015 to 2017 and the 2018 correction, the validation set covering the post-correction recovery, and the test set encompassing the pre-COVID expansion, the COVID-19 market crash, and the subsequent recovery, providing a genuinely challenging out-of-sample evaluation environment. </w:t>
      </w:r>
    </w:p>
    <w:p w14:paraId="50352A53" w14:textId="76AADDC7" w:rsidR="00422814" w:rsidRPr="00422814" w:rsidRDefault="00422814" w:rsidP="009F658F">
      <w:pPr>
        <w:keepNext/>
        <w:jc w:val="both"/>
      </w:pPr>
      <w:r w:rsidRPr="00422814">
        <w:t>Whil</w:t>
      </w:r>
      <w:r w:rsidR="00FA0426">
        <w:t>e</w:t>
      </w:r>
      <w:r w:rsidRPr="00422814">
        <w:t xml:space="preserve"> the fundamental accounting metrics are not present as columns within the training, validation, and test CSV files, they are incorporated into the system at inference time through a separate lookup mechanism in the data loader, which retrieves the relevant quarterly </w:t>
      </w:r>
      <w:r w:rsidRPr="00422814">
        <w:lastRenderedPageBreak/>
        <w:t>fundamental metrics for each ticker and date from a separately maintained fundamentals file and passes them directly to the Fundamental Analyst agent as part of each training example.</w:t>
      </w:r>
    </w:p>
    <w:p w14:paraId="06067D30" w14:textId="4389064A" w:rsidR="00CC7D8B" w:rsidRDefault="00583040" w:rsidP="00CC7D8B">
      <w:pPr>
        <w:keepNext/>
      </w:pPr>
      <w:r>
        <w:rPr>
          <w:noProof/>
        </w:rPr>
        <mc:AlternateContent>
          <mc:Choice Requires="wps">
            <w:drawing>
              <wp:inline distT="0" distB="0" distL="0" distR="0" wp14:anchorId="54ABF271" wp14:editId="5A8D81AF">
                <wp:extent cx="306705" cy="306705"/>
                <wp:effectExtent l="0" t="0" r="0" b="0"/>
                <wp:docPr id="5138976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D900EE" id="Rectangle 2"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r w:rsidR="00CC7D8B" w:rsidRPr="00CC7D8B">
        <w:rPr>
          <w:noProof/>
        </w:rPr>
        <w:drawing>
          <wp:inline distT="0" distB="0" distL="0" distR="0" wp14:anchorId="00B4B9DD" wp14:editId="22C5B877">
            <wp:extent cx="5731510" cy="3050540"/>
            <wp:effectExtent l="0" t="0" r="2540" b="0"/>
            <wp:docPr id="8786448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050540"/>
                    </a:xfrm>
                    <a:prstGeom prst="rect">
                      <a:avLst/>
                    </a:prstGeom>
                    <a:noFill/>
                    <a:ln>
                      <a:noFill/>
                    </a:ln>
                  </pic:spPr>
                </pic:pic>
              </a:graphicData>
            </a:graphic>
          </wp:inline>
        </w:drawing>
      </w:r>
    </w:p>
    <w:p w14:paraId="475E4C2C" w14:textId="2E7F581F" w:rsidR="00FF0FEF" w:rsidRDefault="00CC7D8B" w:rsidP="00FF0FEF">
      <w:pPr>
        <w:pStyle w:val="Caption"/>
      </w:pPr>
      <w:bookmarkStart w:id="45" w:name="_Toc228816066"/>
      <w:r>
        <w:t xml:space="preserve">Figure </w:t>
      </w:r>
      <w:fldSimple w:instr=" SEQ Figure \* ARABIC ">
        <w:r w:rsidR="006C3897">
          <w:rPr>
            <w:noProof/>
          </w:rPr>
          <w:t>21</w:t>
        </w:r>
      </w:fldSimple>
      <w:r>
        <w:t xml:space="preserve">: Overall Pipeline overview which represents how the different phase of dataset has been </w:t>
      </w:r>
      <w:r w:rsidR="005E36D0">
        <w:t>created</w:t>
      </w:r>
      <w:bookmarkEnd w:id="45"/>
      <w:r w:rsidR="005E36D0">
        <w:t xml:space="preserve">  </w:t>
      </w:r>
    </w:p>
    <w:p w14:paraId="6110CEB3" w14:textId="77777777" w:rsidR="00F825EA" w:rsidRDefault="00F825EA" w:rsidP="00F825EA"/>
    <w:p w14:paraId="2E4AA2DE" w14:textId="4DE9FC04" w:rsidR="00F825EA" w:rsidRDefault="00F825EA" w:rsidP="00F825EA">
      <w:pPr>
        <w:pStyle w:val="Heading5"/>
      </w:pPr>
      <w:r>
        <w:t>Pseudocode for data preparation:</w:t>
      </w:r>
    </w:p>
    <w:p w14:paraId="5C5A02BB" w14:textId="77777777" w:rsidR="00F825EA" w:rsidRDefault="00F825EA" w:rsidP="00F825EA"/>
    <w:p w14:paraId="3AEA1D7F"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 1. </w:t>
      </w:r>
      <w:r>
        <w:rPr>
          <w:rFonts w:ascii="Consolas" w:hAnsi="Consolas" w:cs="Courier New"/>
          <w:color w:val="880000"/>
          <w:sz w:val="17"/>
          <w:szCs w:val="17"/>
        </w:rPr>
        <w:t>// PHASE 1: DATA COLLECTION &amp; CLEANING</w:t>
      </w:r>
    </w:p>
    <w:p w14:paraId="427A650E"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 2. </w:t>
      </w:r>
      <w:r>
        <w:rPr>
          <w:rFonts w:ascii="Consolas" w:hAnsi="Consolas" w:cs="Courier New"/>
          <w:color w:val="000000"/>
          <w:sz w:val="17"/>
          <w:szCs w:val="17"/>
        </w:rPr>
        <w:t xml:space="preserve">FUNCTION </w:t>
      </w:r>
      <w:proofErr w:type="spellStart"/>
      <w:r>
        <w:rPr>
          <w:rFonts w:ascii="Consolas" w:hAnsi="Consolas" w:cs="Courier New"/>
          <w:color w:val="660066"/>
          <w:sz w:val="17"/>
          <w:szCs w:val="17"/>
        </w:rPr>
        <w:t>Initialize_Dataset</w:t>
      </w:r>
      <w:proofErr w:type="spellEnd"/>
      <w:r>
        <w:rPr>
          <w:rFonts w:ascii="Consolas" w:hAnsi="Consolas" w:cs="Courier New"/>
          <w:color w:val="666600"/>
          <w:sz w:val="17"/>
          <w:szCs w:val="17"/>
        </w:rPr>
        <w:t>():</w:t>
      </w:r>
    </w:p>
    <w:p w14:paraId="6C83B4B5"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 3. </w:t>
      </w:r>
      <w:r>
        <w:rPr>
          <w:rFonts w:ascii="Consolas" w:hAnsi="Consolas" w:cs="Courier New"/>
          <w:color w:val="000000"/>
          <w:sz w:val="17"/>
          <w:szCs w:val="17"/>
        </w:rPr>
        <w:t xml:space="preserve">    SET tickers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AAPL</w:t>
      </w:r>
      <w:r>
        <w:rPr>
          <w:rFonts w:ascii="Consolas" w:hAnsi="Consolas" w:cs="Courier New"/>
          <w:color w:val="666600"/>
          <w:sz w:val="17"/>
          <w:szCs w:val="17"/>
        </w:rPr>
        <w:t>,</w:t>
      </w:r>
      <w:r>
        <w:rPr>
          <w:rFonts w:ascii="Consolas" w:hAnsi="Consolas" w:cs="Courier New"/>
          <w:color w:val="000000"/>
          <w:sz w:val="17"/>
          <w:szCs w:val="17"/>
        </w:rPr>
        <w:t xml:space="preserve"> TSLA</w:t>
      </w:r>
      <w:r>
        <w:rPr>
          <w:rFonts w:ascii="Consolas" w:hAnsi="Consolas" w:cs="Courier New"/>
          <w:color w:val="666600"/>
          <w:sz w:val="17"/>
          <w:szCs w:val="17"/>
        </w:rPr>
        <w:t>,</w:t>
      </w:r>
      <w:r>
        <w:rPr>
          <w:rFonts w:ascii="Consolas" w:hAnsi="Consolas" w:cs="Courier New"/>
          <w:color w:val="000000"/>
          <w:sz w:val="17"/>
          <w:szCs w:val="17"/>
        </w:rPr>
        <w:t xml:space="preserve"> GME</w:t>
      </w:r>
      <w:r>
        <w:rPr>
          <w:rFonts w:ascii="Consolas" w:hAnsi="Consolas" w:cs="Courier New"/>
          <w:color w:val="666600"/>
          <w:sz w:val="17"/>
          <w:szCs w:val="17"/>
        </w:rPr>
        <w:t>,</w:t>
      </w:r>
      <w:r>
        <w:rPr>
          <w:rFonts w:ascii="Consolas" w:hAnsi="Consolas" w:cs="Courier New"/>
          <w:color w:val="000000"/>
          <w:sz w:val="17"/>
          <w:szCs w:val="17"/>
        </w:rPr>
        <w:t xml:space="preserve"> AMC</w:t>
      </w:r>
      <w:r>
        <w:rPr>
          <w:rFonts w:ascii="Consolas" w:hAnsi="Consolas" w:cs="Courier New"/>
          <w:color w:val="666600"/>
          <w:sz w:val="17"/>
          <w:szCs w:val="17"/>
        </w:rPr>
        <w:t>,</w:t>
      </w:r>
      <w:r>
        <w:rPr>
          <w:rFonts w:ascii="Consolas" w:hAnsi="Consolas" w:cs="Courier New"/>
          <w:color w:val="000000"/>
          <w:sz w:val="17"/>
          <w:szCs w:val="17"/>
        </w:rPr>
        <w:t xml:space="preserve"> AMZN</w:t>
      </w:r>
      <w:r>
        <w:rPr>
          <w:rFonts w:ascii="Consolas" w:hAnsi="Consolas" w:cs="Courier New"/>
          <w:color w:val="666600"/>
          <w:sz w:val="17"/>
          <w:szCs w:val="17"/>
        </w:rPr>
        <w:t>,</w:t>
      </w:r>
      <w:r>
        <w:rPr>
          <w:rFonts w:ascii="Consolas" w:hAnsi="Consolas" w:cs="Courier New"/>
          <w:color w:val="000000"/>
          <w:sz w:val="17"/>
          <w:szCs w:val="17"/>
        </w:rPr>
        <w:t xml:space="preserve"> MSFT</w:t>
      </w:r>
      <w:r>
        <w:rPr>
          <w:rFonts w:ascii="Consolas" w:hAnsi="Consolas" w:cs="Courier New"/>
          <w:color w:val="666600"/>
          <w:sz w:val="17"/>
          <w:szCs w:val="17"/>
        </w:rPr>
        <w:t>,</w:t>
      </w:r>
      <w:r>
        <w:rPr>
          <w:rFonts w:ascii="Consolas" w:hAnsi="Consolas" w:cs="Courier New"/>
          <w:color w:val="000000"/>
          <w:sz w:val="17"/>
          <w:szCs w:val="17"/>
        </w:rPr>
        <w:t xml:space="preserve"> NVDA</w:t>
      </w:r>
      <w:r>
        <w:rPr>
          <w:rFonts w:ascii="Consolas" w:hAnsi="Consolas" w:cs="Courier New"/>
          <w:color w:val="666600"/>
          <w:sz w:val="17"/>
          <w:szCs w:val="17"/>
        </w:rPr>
        <w:t>,</w:t>
      </w:r>
      <w:r>
        <w:rPr>
          <w:rFonts w:ascii="Consolas" w:hAnsi="Consolas" w:cs="Courier New"/>
          <w:color w:val="000000"/>
          <w:sz w:val="17"/>
          <w:szCs w:val="17"/>
        </w:rPr>
        <w:t xml:space="preserve"> AMD</w:t>
      </w:r>
      <w:r>
        <w:rPr>
          <w:rFonts w:ascii="Consolas" w:hAnsi="Consolas" w:cs="Courier New"/>
          <w:color w:val="666600"/>
          <w:sz w:val="17"/>
          <w:szCs w:val="17"/>
        </w:rPr>
        <w:t>,</w:t>
      </w:r>
      <w:r>
        <w:rPr>
          <w:rFonts w:ascii="Consolas" w:hAnsi="Consolas" w:cs="Courier New"/>
          <w:color w:val="000000"/>
          <w:sz w:val="17"/>
          <w:szCs w:val="17"/>
        </w:rPr>
        <w:t xml:space="preserve"> GOOGL</w:t>
      </w:r>
      <w:r>
        <w:rPr>
          <w:rFonts w:ascii="Consolas" w:hAnsi="Consolas" w:cs="Courier New"/>
          <w:color w:val="666600"/>
          <w:sz w:val="17"/>
          <w:szCs w:val="17"/>
        </w:rPr>
        <w:t>,</w:t>
      </w:r>
      <w:r>
        <w:rPr>
          <w:rFonts w:ascii="Consolas" w:hAnsi="Consolas" w:cs="Courier New"/>
          <w:color w:val="000000"/>
          <w:sz w:val="17"/>
          <w:szCs w:val="17"/>
        </w:rPr>
        <w:t xml:space="preserve"> META</w:t>
      </w:r>
      <w:r>
        <w:rPr>
          <w:rFonts w:ascii="Consolas" w:hAnsi="Consolas" w:cs="Courier New"/>
          <w:color w:val="666600"/>
          <w:sz w:val="17"/>
          <w:szCs w:val="17"/>
        </w:rPr>
        <w:t>,</w:t>
      </w:r>
      <w:r>
        <w:rPr>
          <w:rFonts w:ascii="Consolas" w:hAnsi="Consolas" w:cs="Courier New"/>
          <w:color w:val="000000"/>
          <w:sz w:val="17"/>
          <w:szCs w:val="17"/>
        </w:rPr>
        <w:t xml:space="preserve"> NFLX</w:t>
      </w:r>
      <w:r>
        <w:rPr>
          <w:rFonts w:ascii="Consolas" w:hAnsi="Consolas" w:cs="Courier New"/>
          <w:color w:val="666600"/>
          <w:sz w:val="17"/>
          <w:szCs w:val="17"/>
        </w:rPr>
        <w:t>,</w:t>
      </w:r>
      <w:r>
        <w:rPr>
          <w:rFonts w:ascii="Consolas" w:hAnsi="Consolas" w:cs="Courier New"/>
          <w:color w:val="000000"/>
          <w:sz w:val="17"/>
          <w:szCs w:val="17"/>
        </w:rPr>
        <w:t xml:space="preserve"> SPY</w:t>
      </w:r>
      <w:r>
        <w:rPr>
          <w:rFonts w:ascii="Consolas" w:hAnsi="Consolas" w:cs="Courier New"/>
          <w:color w:val="666600"/>
          <w:sz w:val="17"/>
          <w:szCs w:val="17"/>
        </w:rPr>
        <w:t>,</w:t>
      </w:r>
      <w:r>
        <w:rPr>
          <w:rFonts w:ascii="Consolas" w:hAnsi="Consolas" w:cs="Courier New"/>
          <w:color w:val="000000"/>
          <w:sz w:val="17"/>
          <w:szCs w:val="17"/>
        </w:rPr>
        <w:t xml:space="preserve"> QQQ</w:t>
      </w:r>
      <w:r>
        <w:rPr>
          <w:rFonts w:ascii="Consolas" w:hAnsi="Consolas" w:cs="Courier New"/>
          <w:color w:val="666600"/>
          <w:sz w:val="17"/>
          <w:szCs w:val="17"/>
        </w:rPr>
        <w:t>]</w:t>
      </w:r>
    </w:p>
    <w:p w14:paraId="13B86FCE"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000000"/>
          <w:sz w:val="17"/>
          <w:szCs w:val="17"/>
        </w:rPr>
        <w:t xml:space="preserve">    SET </w:t>
      </w:r>
      <w:proofErr w:type="spellStart"/>
      <w:r>
        <w:rPr>
          <w:rFonts w:ascii="Consolas" w:hAnsi="Consolas" w:cs="Courier New"/>
          <w:color w:val="000000"/>
          <w:sz w:val="17"/>
          <w:szCs w:val="17"/>
        </w:rPr>
        <w:t>study_period</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8800"/>
          <w:sz w:val="17"/>
          <w:szCs w:val="17"/>
        </w:rPr>
        <w:t>"2015-01-01"</w:t>
      </w:r>
      <w:r>
        <w:rPr>
          <w:rFonts w:ascii="Consolas" w:hAnsi="Consolas" w:cs="Courier New"/>
          <w:color w:val="000000"/>
          <w:sz w:val="17"/>
          <w:szCs w:val="17"/>
        </w:rPr>
        <w:t xml:space="preserve"> TO </w:t>
      </w:r>
      <w:r>
        <w:rPr>
          <w:rFonts w:ascii="Consolas" w:hAnsi="Consolas" w:cs="Courier New"/>
          <w:color w:val="008800"/>
          <w:sz w:val="17"/>
          <w:szCs w:val="17"/>
        </w:rPr>
        <w:t>"2020-12-31"</w:t>
      </w:r>
    </w:p>
    <w:p w14:paraId="25A5E29E"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 5. </w:t>
      </w:r>
      <w:r>
        <w:rPr>
          <w:rFonts w:ascii="Consolas" w:hAnsi="Consolas" w:cs="Courier New"/>
          <w:color w:val="000000"/>
          <w:sz w:val="17"/>
          <w:szCs w:val="17"/>
        </w:rPr>
        <w:t xml:space="preserve">    </w:t>
      </w:r>
    </w:p>
    <w:p w14:paraId="67F38463"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 6. </w:t>
      </w:r>
      <w:r>
        <w:rPr>
          <w:rFonts w:ascii="Consolas" w:hAnsi="Consolas" w:cs="Courier New"/>
          <w:color w:val="000000"/>
          <w:sz w:val="17"/>
          <w:szCs w:val="17"/>
        </w:rPr>
        <w:t xml:space="preserve">    FOR EACH ticker IN tickers</w:t>
      </w:r>
      <w:r>
        <w:rPr>
          <w:rFonts w:ascii="Consolas" w:hAnsi="Consolas" w:cs="Courier New"/>
          <w:color w:val="666600"/>
          <w:sz w:val="17"/>
          <w:szCs w:val="17"/>
        </w:rPr>
        <w:t>:</w:t>
      </w:r>
    </w:p>
    <w:p w14:paraId="042AC4A0"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 7. </w:t>
      </w:r>
      <w:r>
        <w:rPr>
          <w:rFonts w:ascii="Consolas" w:hAnsi="Consolas" w:cs="Courier New"/>
          <w:color w:val="000000"/>
          <w:sz w:val="17"/>
          <w:szCs w:val="17"/>
        </w:rPr>
        <w:t xml:space="preserve">        </w:t>
      </w:r>
      <w:r>
        <w:rPr>
          <w:rFonts w:ascii="Consolas" w:hAnsi="Consolas" w:cs="Courier New"/>
          <w:color w:val="880000"/>
          <w:sz w:val="17"/>
          <w:szCs w:val="17"/>
        </w:rPr>
        <w:t>// 1.1 Market Data</w:t>
      </w:r>
    </w:p>
    <w:p w14:paraId="77C5EEDC"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 8. </w:t>
      </w:r>
      <w:r>
        <w:rPr>
          <w:rFonts w:ascii="Consolas" w:hAnsi="Consolas" w:cs="Courier New"/>
          <w:color w:val="000000"/>
          <w:sz w:val="17"/>
          <w:szCs w:val="17"/>
        </w:rPr>
        <w:t xml:space="preserve">        DOWNLOAD </w:t>
      </w:r>
      <w:r>
        <w:rPr>
          <w:rFonts w:ascii="Consolas" w:hAnsi="Consolas" w:cs="Courier New"/>
          <w:color w:val="666600"/>
          <w:sz w:val="17"/>
          <w:szCs w:val="17"/>
        </w:rPr>
        <w:t>(</w:t>
      </w:r>
      <w:r>
        <w:rPr>
          <w:rFonts w:ascii="Consolas" w:hAnsi="Consolas" w:cs="Courier New"/>
          <w:color w:val="660066"/>
          <w:sz w:val="17"/>
          <w:szCs w:val="17"/>
        </w:rPr>
        <w:t>Open</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High</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Low</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Close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Vol</w:t>
      </w:r>
      <w:r>
        <w:rPr>
          <w:rFonts w:ascii="Consolas" w:hAnsi="Consolas" w:cs="Courier New"/>
          <w:color w:val="666600"/>
          <w:sz w:val="17"/>
          <w:szCs w:val="17"/>
        </w:rPr>
        <w:t>)</w:t>
      </w:r>
      <w:r>
        <w:rPr>
          <w:rFonts w:ascii="Consolas" w:hAnsi="Consolas" w:cs="Courier New"/>
          <w:color w:val="000000"/>
          <w:sz w:val="17"/>
          <w:szCs w:val="17"/>
        </w:rPr>
        <w:t xml:space="preserve"> FROM </w:t>
      </w:r>
      <w:proofErr w:type="spellStart"/>
      <w:r>
        <w:rPr>
          <w:rFonts w:ascii="Consolas" w:hAnsi="Consolas" w:cs="Courier New"/>
          <w:color w:val="660066"/>
          <w:sz w:val="17"/>
          <w:szCs w:val="17"/>
        </w:rPr>
        <w:t>YahooFinance</w:t>
      </w:r>
      <w:proofErr w:type="spellEnd"/>
    </w:p>
    <w:p w14:paraId="7F696BB9"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 9. </w:t>
      </w:r>
      <w:r>
        <w:rPr>
          <w:rFonts w:ascii="Consolas" w:hAnsi="Consolas" w:cs="Courier New"/>
          <w:color w:val="000000"/>
          <w:sz w:val="17"/>
          <w:szCs w:val="17"/>
        </w:rPr>
        <w:t xml:space="preserve">        APPLY </w:t>
      </w:r>
      <w:proofErr w:type="spellStart"/>
      <w:r>
        <w:rPr>
          <w:rFonts w:ascii="Consolas" w:hAnsi="Consolas" w:cs="Courier New"/>
          <w:color w:val="660066"/>
          <w:sz w:val="17"/>
          <w:szCs w:val="17"/>
        </w:rPr>
        <w:t>Auto_Price_Adjustment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Splits</w:t>
      </w:r>
      <w:r>
        <w:rPr>
          <w:rFonts w:ascii="Consolas" w:hAnsi="Consolas" w:cs="Courier New"/>
          <w:color w:val="666600"/>
          <w:sz w:val="17"/>
          <w:szCs w:val="17"/>
        </w:rPr>
        <w:t>/</w:t>
      </w:r>
      <w:r>
        <w:rPr>
          <w:rFonts w:ascii="Consolas" w:hAnsi="Consolas" w:cs="Courier New"/>
          <w:color w:val="660066"/>
          <w:sz w:val="17"/>
          <w:szCs w:val="17"/>
        </w:rPr>
        <w:t>Dividends</w:t>
      </w:r>
      <w:r>
        <w:rPr>
          <w:rFonts w:ascii="Consolas" w:hAnsi="Consolas" w:cs="Courier New"/>
          <w:color w:val="666600"/>
          <w:sz w:val="17"/>
          <w:szCs w:val="17"/>
        </w:rPr>
        <w:t>)</w:t>
      </w:r>
    </w:p>
    <w:p w14:paraId="0A569784"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10. </w:t>
      </w:r>
      <w:r>
        <w:rPr>
          <w:rFonts w:ascii="Consolas" w:hAnsi="Consolas" w:cs="Courier New"/>
          <w:color w:val="000000"/>
          <w:sz w:val="17"/>
          <w:szCs w:val="17"/>
        </w:rPr>
        <w:t xml:space="preserve">        </w:t>
      </w:r>
    </w:p>
    <w:p w14:paraId="36FF4772"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11. </w:t>
      </w:r>
      <w:r>
        <w:rPr>
          <w:rFonts w:ascii="Consolas" w:hAnsi="Consolas" w:cs="Courier New"/>
          <w:color w:val="000000"/>
          <w:sz w:val="17"/>
          <w:szCs w:val="17"/>
        </w:rPr>
        <w:t xml:space="preserve">        </w:t>
      </w:r>
      <w:r>
        <w:rPr>
          <w:rFonts w:ascii="Consolas" w:hAnsi="Consolas" w:cs="Courier New"/>
          <w:color w:val="880000"/>
          <w:sz w:val="17"/>
          <w:szCs w:val="17"/>
        </w:rPr>
        <w:t>// 1.2 Technical Indicators</w:t>
      </w:r>
    </w:p>
    <w:p w14:paraId="7A64A57F"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12. </w:t>
      </w:r>
      <w:r>
        <w:rPr>
          <w:rFonts w:ascii="Consolas" w:hAnsi="Consolas" w:cs="Courier New"/>
          <w:color w:val="000000"/>
          <w:sz w:val="17"/>
          <w:szCs w:val="17"/>
        </w:rPr>
        <w:t xml:space="preserve">        CALCULATE RSI</w:t>
      </w:r>
      <w:r>
        <w:rPr>
          <w:rFonts w:ascii="Consolas" w:hAnsi="Consolas" w:cs="Courier New"/>
          <w:color w:val="666600"/>
          <w:sz w:val="17"/>
          <w:szCs w:val="17"/>
        </w:rPr>
        <w:t>(</w:t>
      </w:r>
      <w:r>
        <w:rPr>
          <w:rFonts w:ascii="Consolas" w:hAnsi="Consolas" w:cs="Courier New"/>
          <w:color w:val="006666"/>
          <w:sz w:val="17"/>
          <w:szCs w:val="17"/>
        </w:rPr>
        <w:t>14</w:t>
      </w:r>
      <w:r>
        <w:rPr>
          <w:rFonts w:ascii="Consolas" w:hAnsi="Consolas" w:cs="Courier New"/>
          <w:color w:val="666600"/>
          <w:sz w:val="17"/>
          <w:szCs w:val="17"/>
        </w:rPr>
        <w:t>),</w:t>
      </w:r>
      <w:r>
        <w:rPr>
          <w:rFonts w:ascii="Consolas" w:hAnsi="Consolas" w:cs="Courier New"/>
          <w:color w:val="000000"/>
          <w:sz w:val="17"/>
          <w:szCs w:val="17"/>
        </w:rPr>
        <w:t xml:space="preserve"> MACD</w:t>
      </w:r>
      <w:r>
        <w:rPr>
          <w:rFonts w:ascii="Consolas" w:hAnsi="Consolas" w:cs="Courier New"/>
          <w:color w:val="666600"/>
          <w:sz w:val="17"/>
          <w:szCs w:val="17"/>
        </w:rPr>
        <w:t>(</w:t>
      </w:r>
      <w:r>
        <w:rPr>
          <w:rFonts w:ascii="Consolas" w:hAnsi="Consolas" w:cs="Courier New"/>
          <w:color w:val="660066"/>
          <w:sz w:val="17"/>
          <w:szCs w:val="17"/>
        </w:rPr>
        <w:t>Signal</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Hist</w:t>
      </w:r>
      <w:r>
        <w:rPr>
          <w:rFonts w:ascii="Consolas" w:hAnsi="Consolas" w:cs="Courier New"/>
          <w:color w:val="666600"/>
          <w:sz w:val="17"/>
          <w:szCs w:val="17"/>
        </w:rPr>
        <w:t>),</w:t>
      </w:r>
      <w:r>
        <w:rPr>
          <w:rFonts w:ascii="Consolas" w:hAnsi="Consolas" w:cs="Courier New"/>
          <w:color w:val="000000"/>
          <w:sz w:val="17"/>
          <w:szCs w:val="17"/>
        </w:rPr>
        <w:t xml:space="preserve"> SMA</w:t>
      </w:r>
      <w:r>
        <w:rPr>
          <w:rFonts w:ascii="Consolas" w:hAnsi="Consolas" w:cs="Courier New"/>
          <w:color w:val="666600"/>
          <w:sz w:val="17"/>
          <w:szCs w:val="17"/>
        </w:rPr>
        <w:t>(</w:t>
      </w:r>
      <w:r>
        <w:rPr>
          <w:rFonts w:ascii="Consolas" w:hAnsi="Consolas" w:cs="Courier New"/>
          <w:color w:val="006666"/>
          <w:sz w:val="17"/>
          <w:szCs w:val="17"/>
        </w:rPr>
        <w:t>50</w:t>
      </w:r>
      <w:r>
        <w:rPr>
          <w:rFonts w:ascii="Consolas" w:hAnsi="Consolas" w:cs="Courier New"/>
          <w:color w:val="666600"/>
          <w:sz w:val="17"/>
          <w:szCs w:val="17"/>
        </w:rPr>
        <w:t>),</w:t>
      </w:r>
      <w:r>
        <w:rPr>
          <w:rFonts w:ascii="Consolas" w:hAnsi="Consolas" w:cs="Courier New"/>
          <w:color w:val="000000"/>
          <w:sz w:val="17"/>
          <w:szCs w:val="17"/>
        </w:rPr>
        <w:t xml:space="preserve"> SMA</w:t>
      </w:r>
      <w:r>
        <w:rPr>
          <w:rFonts w:ascii="Consolas" w:hAnsi="Consolas" w:cs="Courier New"/>
          <w:color w:val="666600"/>
          <w:sz w:val="17"/>
          <w:szCs w:val="17"/>
        </w:rPr>
        <w:t>(</w:t>
      </w:r>
      <w:r>
        <w:rPr>
          <w:rFonts w:ascii="Consolas" w:hAnsi="Consolas" w:cs="Courier New"/>
          <w:color w:val="006666"/>
          <w:sz w:val="17"/>
          <w:szCs w:val="17"/>
        </w:rPr>
        <w:t>200</w:t>
      </w:r>
      <w:r>
        <w:rPr>
          <w:rFonts w:ascii="Consolas" w:hAnsi="Consolas" w:cs="Courier New"/>
          <w:color w:val="666600"/>
          <w:sz w:val="17"/>
          <w:szCs w:val="17"/>
        </w:rPr>
        <w:t>),</w:t>
      </w:r>
      <w:r>
        <w:rPr>
          <w:rFonts w:ascii="Consolas" w:hAnsi="Consolas" w:cs="Courier New"/>
          <w:color w:val="000000"/>
          <w:sz w:val="17"/>
          <w:szCs w:val="17"/>
        </w:rPr>
        <w:t xml:space="preserve"> ATR</w:t>
      </w:r>
      <w:r>
        <w:rPr>
          <w:rFonts w:ascii="Consolas" w:hAnsi="Consolas" w:cs="Courier New"/>
          <w:color w:val="666600"/>
          <w:sz w:val="17"/>
          <w:szCs w:val="17"/>
        </w:rPr>
        <w:t>(</w:t>
      </w:r>
      <w:r>
        <w:rPr>
          <w:rFonts w:ascii="Consolas" w:hAnsi="Consolas" w:cs="Courier New"/>
          <w:color w:val="006666"/>
          <w:sz w:val="17"/>
          <w:szCs w:val="17"/>
        </w:rPr>
        <w:t>14</w:t>
      </w:r>
      <w:r>
        <w:rPr>
          <w:rFonts w:ascii="Consolas" w:hAnsi="Consolas" w:cs="Courier New"/>
          <w:color w:val="666600"/>
          <w:sz w:val="17"/>
          <w:szCs w:val="17"/>
        </w:rPr>
        <w:t>)</w:t>
      </w:r>
    </w:p>
    <w:p w14:paraId="022DE51D"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13. </w:t>
      </w:r>
      <w:r>
        <w:rPr>
          <w:rFonts w:ascii="Consolas" w:hAnsi="Consolas" w:cs="Courier New"/>
          <w:color w:val="000000"/>
          <w:sz w:val="17"/>
          <w:szCs w:val="17"/>
        </w:rPr>
        <w:t xml:space="preserve">        </w:t>
      </w:r>
    </w:p>
    <w:p w14:paraId="35BB3345"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14. </w:t>
      </w:r>
      <w:r>
        <w:rPr>
          <w:rFonts w:ascii="Consolas" w:hAnsi="Consolas" w:cs="Courier New"/>
          <w:color w:val="000000"/>
          <w:sz w:val="17"/>
          <w:szCs w:val="17"/>
        </w:rPr>
        <w:t xml:space="preserve">        </w:t>
      </w:r>
      <w:r>
        <w:rPr>
          <w:rFonts w:ascii="Consolas" w:hAnsi="Consolas" w:cs="Courier New"/>
          <w:color w:val="880000"/>
          <w:sz w:val="17"/>
          <w:szCs w:val="17"/>
        </w:rPr>
        <w:t>// 1.3 Macroeconomic Indicators (FRED)</w:t>
      </w:r>
    </w:p>
    <w:p w14:paraId="69AABE93"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15. </w:t>
      </w:r>
      <w:r>
        <w:rPr>
          <w:rFonts w:ascii="Consolas" w:hAnsi="Consolas" w:cs="Courier New"/>
          <w:color w:val="000000"/>
          <w:sz w:val="17"/>
          <w:szCs w:val="17"/>
        </w:rPr>
        <w:t xml:space="preserve">        FETCH VIX</w:t>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660066"/>
          <w:sz w:val="17"/>
          <w:szCs w:val="17"/>
        </w:rPr>
        <w:t>Fed_Funds_Rate</w:t>
      </w:r>
      <w:proofErr w:type="spellEnd"/>
      <w:r>
        <w:rPr>
          <w:rFonts w:ascii="Consolas" w:hAnsi="Consolas" w:cs="Courier New"/>
          <w:color w:val="666600"/>
          <w:sz w:val="17"/>
          <w:szCs w:val="17"/>
        </w:rPr>
        <w:t>,</w:t>
      </w:r>
      <w:r>
        <w:rPr>
          <w:rFonts w:ascii="Consolas" w:hAnsi="Consolas" w:cs="Courier New"/>
          <w:color w:val="000000"/>
          <w:sz w:val="17"/>
          <w:szCs w:val="17"/>
        </w:rPr>
        <w:t xml:space="preserve"> CPI</w:t>
      </w:r>
    </w:p>
    <w:p w14:paraId="565DFC72"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16. </w:t>
      </w:r>
      <w:r>
        <w:rPr>
          <w:rFonts w:ascii="Consolas" w:hAnsi="Consolas" w:cs="Courier New"/>
          <w:color w:val="000000"/>
          <w:sz w:val="17"/>
          <w:szCs w:val="17"/>
        </w:rPr>
        <w:t xml:space="preserve">        CREATE </w:t>
      </w:r>
      <w:proofErr w:type="spellStart"/>
      <w:r>
        <w:rPr>
          <w:rFonts w:ascii="Consolas" w:hAnsi="Consolas" w:cs="Courier New"/>
          <w:color w:val="660066"/>
          <w:sz w:val="17"/>
          <w:szCs w:val="17"/>
        </w:rPr>
        <w:t>Daily_Date_Spine</w:t>
      </w:r>
      <w:proofErr w:type="spellEnd"/>
    </w:p>
    <w:p w14:paraId="6EAA8298"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17. </w:t>
      </w:r>
      <w:r>
        <w:rPr>
          <w:rFonts w:ascii="Consolas" w:hAnsi="Consolas" w:cs="Courier New"/>
          <w:color w:val="000000"/>
          <w:sz w:val="17"/>
          <w:szCs w:val="17"/>
        </w:rPr>
        <w:t xml:space="preserve">        FOR EACH series IN </w:t>
      </w:r>
      <w:r>
        <w:rPr>
          <w:rFonts w:ascii="Consolas" w:hAnsi="Consolas" w:cs="Courier New"/>
          <w:color w:val="666600"/>
          <w:sz w:val="17"/>
          <w:szCs w:val="17"/>
        </w:rPr>
        <w:t>[</w:t>
      </w:r>
      <w:proofErr w:type="spellStart"/>
      <w:r>
        <w:rPr>
          <w:rFonts w:ascii="Consolas" w:hAnsi="Consolas" w:cs="Courier New"/>
          <w:color w:val="660066"/>
          <w:sz w:val="17"/>
          <w:szCs w:val="17"/>
        </w:rPr>
        <w:t>Fed_Funds</w:t>
      </w:r>
      <w:proofErr w:type="spellEnd"/>
      <w:r>
        <w:rPr>
          <w:rFonts w:ascii="Consolas" w:hAnsi="Consolas" w:cs="Courier New"/>
          <w:color w:val="666600"/>
          <w:sz w:val="17"/>
          <w:szCs w:val="17"/>
        </w:rPr>
        <w:t>,</w:t>
      </w:r>
      <w:r>
        <w:rPr>
          <w:rFonts w:ascii="Consolas" w:hAnsi="Consolas" w:cs="Courier New"/>
          <w:color w:val="000000"/>
          <w:sz w:val="17"/>
          <w:szCs w:val="17"/>
        </w:rPr>
        <w:t xml:space="preserve"> CPI</w:t>
      </w:r>
      <w:r>
        <w:rPr>
          <w:rFonts w:ascii="Consolas" w:hAnsi="Consolas" w:cs="Courier New"/>
          <w:color w:val="666600"/>
          <w:sz w:val="17"/>
          <w:szCs w:val="17"/>
        </w:rPr>
        <w:t>]:</w:t>
      </w:r>
    </w:p>
    <w:p w14:paraId="1E60F19D"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18. </w:t>
      </w:r>
      <w:r>
        <w:rPr>
          <w:rFonts w:ascii="Consolas" w:hAnsi="Consolas" w:cs="Courier New"/>
          <w:color w:val="000000"/>
          <w:sz w:val="17"/>
          <w:szCs w:val="17"/>
        </w:rPr>
        <w:t xml:space="preserve">            FORWARD_FILL </w:t>
      </w:r>
      <w:r>
        <w:rPr>
          <w:rFonts w:ascii="Consolas" w:hAnsi="Consolas" w:cs="Courier New"/>
          <w:color w:val="000088"/>
          <w:sz w:val="17"/>
          <w:szCs w:val="17"/>
        </w:rPr>
        <w:t>then</w:t>
      </w:r>
      <w:r>
        <w:rPr>
          <w:rFonts w:ascii="Consolas" w:hAnsi="Consolas" w:cs="Courier New"/>
          <w:color w:val="000000"/>
          <w:sz w:val="17"/>
          <w:szCs w:val="17"/>
        </w:rPr>
        <w:t xml:space="preserve"> BACKWARD_FILL to </w:t>
      </w:r>
      <w:r>
        <w:rPr>
          <w:rFonts w:ascii="Consolas" w:hAnsi="Consolas" w:cs="Courier New"/>
          <w:color w:val="000088"/>
          <w:sz w:val="17"/>
          <w:szCs w:val="17"/>
        </w:rPr>
        <w:t>remove</w:t>
      </w:r>
      <w:r>
        <w:rPr>
          <w:rFonts w:ascii="Consolas" w:hAnsi="Consolas" w:cs="Courier New"/>
          <w:color w:val="000000"/>
          <w:sz w:val="17"/>
          <w:szCs w:val="17"/>
        </w:rPr>
        <w:t xml:space="preserve"> look</w:t>
      </w:r>
      <w:r>
        <w:rPr>
          <w:rFonts w:ascii="Consolas" w:hAnsi="Consolas" w:cs="Courier New"/>
          <w:color w:val="666600"/>
          <w:sz w:val="17"/>
          <w:szCs w:val="17"/>
        </w:rPr>
        <w:t>-</w:t>
      </w:r>
      <w:r>
        <w:rPr>
          <w:rFonts w:ascii="Consolas" w:hAnsi="Consolas" w:cs="Courier New"/>
          <w:color w:val="000000"/>
          <w:sz w:val="17"/>
          <w:szCs w:val="17"/>
        </w:rPr>
        <w:t>ahead bias</w:t>
      </w:r>
    </w:p>
    <w:p w14:paraId="0821D933"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19. </w:t>
      </w:r>
      <w:r>
        <w:rPr>
          <w:rFonts w:ascii="Consolas" w:hAnsi="Consolas" w:cs="Courier New"/>
          <w:color w:val="000000"/>
          <w:sz w:val="17"/>
          <w:szCs w:val="17"/>
        </w:rPr>
        <w:t xml:space="preserve">            CALCULATE </w:t>
      </w:r>
      <w:proofErr w:type="spellStart"/>
      <w:r>
        <w:rPr>
          <w:rFonts w:ascii="Consolas" w:hAnsi="Consolas" w:cs="Courier New"/>
          <w:color w:val="660066"/>
          <w:sz w:val="17"/>
          <w:szCs w:val="17"/>
        </w:rPr>
        <w:t>YoY_Change</w:t>
      </w:r>
      <w:proofErr w:type="spellEnd"/>
    </w:p>
    <w:p w14:paraId="15961FBE"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20. </w:t>
      </w:r>
      <w:r>
        <w:rPr>
          <w:rFonts w:ascii="Consolas" w:hAnsi="Consolas" w:cs="Courier New"/>
          <w:color w:val="000000"/>
          <w:sz w:val="17"/>
          <w:szCs w:val="17"/>
        </w:rPr>
        <w:t xml:space="preserve">            </w:t>
      </w:r>
    </w:p>
    <w:p w14:paraId="3B4C87ED"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21. </w:t>
      </w:r>
      <w:r>
        <w:rPr>
          <w:rFonts w:ascii="Consolas" w:hAnsi="Consolas" w:cs="Courier New"/>
          <w:color w:val="000000"/>
          <w:sz w:val="17"/>
          <w:szCs w:val="17"/>
        </w:rPr>
        <w:t xml:space="preserve">        </w:t>
      </w:r>
      <w:r>
        <w:rPr>
          <w:rFonts w:ascii="Consolas" w:hAnsi="Consolas" w:cs="Courier New"/>
          <w:color w:val="880000"/>
          <w:sz w:val="17"/>
          <w:szCs w:val="17"/>
        </w:rPr>
        <w:t>// 1.4 Analyst Sentiment</w:t>
      </w:r>
    </w:p>
    <w:p w14:paraId="02076904"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22. </w:t>
      </w:r>
      <w:r>
        <w:rPr>
          <w:rFonts w:ascii="Consolas" w:hAnsi="Consolas" w:cs="Courier New"/>
          <w:color w:val="000000"/>
          <w:sz w:val="17"/>
          <w:szCs w:val="17"/>
        </w:rPr>
        <w:t xml:space="preserve">        FETCH </w:t>
      </w:r>
      <w:proofErr w:type="spellStart"/>
      <w:r>
        <w:rPr>
          <w:rFonts w:ascii="Consolas" w:hAnsi="Consolas" w:cs="Courier New"/>
          <w:color w:val="660066"/>
          <w:sz w:val="17"/>
          <w:szCs w:val="17"/>
        </w:rPr>
        <w:t>Analyst_Ratings</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Upgrades</w:t>
      </w:r>
      <w:r>
        <w:rPr>
          <w:rFonts w:ascii="Consolas" w:hAnsi="Consolas" w:cs="Courier New"/>
          <w:color w:val="666600"/>
          <w:sz w:val="17"/>
          <w:szCs w:val="17"/>
        </w:rPr>
        <w:t>/</w:t>
      </w:r>
      <w:r>
        <w:rPr>
          <w:rFonts w:ascii="Consolas" w:hAnsi="Consolas" w:cs="Courier New"/>
          <w:color w:val="660066"/>
          <w:sz w:val="17"/>
          <w:szCs w:val="17"/>
        </w:rPr>
        <w:t>Downgrades</w:t>
      </w:r>
      <w:r>
        <w:rPr>
          <w:rFonts w:ascii="Consolas" w:hAnsi="Consolas" w:cs="Courier New"/>
          <w:color w:val="666600"/>
          <w:sz w:val="17"/>
          <w:szCs w:val="17"/>
        </w:rPr>
        <w:t>)</w:t>
      </w:r>
    </w:p>
    <w:p w14:paraId="715470BA"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23. </w:t>
      </w:r>
      <w:r>
        <w:rPr>
          <w:rFonts w:ascii="Consolas" w:hAnsi="Consolas" w:cs="Courier New"/>
          <w:color w:val="000000"/>
          <w:sz w:val="17"/>
          <w:szCs w:val="17"/>
        </w:rPr>
        <w:t xml:space="preserve">        MAP </w:t>
      </w:r>
      <w:proofErr w:type="spellStart"/>
      <w:r>
        <w:rPr>
          <w:rFonts w:ascii="Consolas" w:hAnsi="Consolas" w:cs="Courier New"/>
          <w:color w:val="660066"/>
          <w:sz w:val="17"/>
          <w:szCs w:val="17"/>
        </w:rPr>
        <w:t>Rating_String</w:t>
      </w:r>
      <w:proofErr w:type="spellEnd"/>
      <w:r>
        <w:rPr>
          <w:rFonts w:ascii="Consolas" w:hAnsi="Consolas" w:cs="Courier New"/>
          <w:color w:val="000000"/>
          <w:sz w:val="17"/>
          <w:szCs w:val="17"/>
        </w:rPr>
        <w:t xml:space="preserve"> TO </w:t>
      </w:r>
      <w:proofErr w:type="spellStart"/>
      <w:r>
        <w:rPr>
          <w:rFonts w:ascii="Consolas" w:hAnsi="Consolas" w:cs="Courier New"/>
          <w:color w:val="660066"/>
          <w:sz w:val="17"/>
          <w:szCs w:val="17"/>
        </w:rPr>
        <w:t>Numerical_Score</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000000"/>
          <w:sz w:val="17"/>
          <w:szCs w:val="17"/>
        </w:rPr>
        <w:t xml:space="preserve"> to </w:t>
      </w:r>
      <w:r>
        <w:rPr>
          <w:rFonts w:ascii="Consolas" w:hAnsi="Consolas" w:cs="Courier New"/>
          <w:color w:val="006666"/>
          <w:sz w:val="17"/>
          <w:szCs w:val="17"/>
        </w:rPr>
        <w:t>1</w:t>
      </w:r>
      <w:r>
        <w:rPr>
          <w:rFonts w:ascii="Consolas" w:hAnsi="Consolas" w:cs="Courier New"/>
          <w:color w:val="666600"/>
          <w:sz w:val="17"/>
          <w:szCs w:val="17"/>
        </w:rPr>
        <w:t>]</w:t>
      </w:r>
    </w:p>
    <w:p w14:paraId="4F758B34"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24. </w:t>
      </w:r>
      <w:r>
        <w:rPr>
          <w:rFonts w:ascii="Consolas" w:hAnsi="Consolas" w:cs="Courier New"/>
          <w:color w:val="000000"/>
          <w:sz w:val="17"/>
          <w:szCs w:val="17"/>
        </w:rPr>
        <w:t xml:space="preserve">        FORWARD_FILL scores per ticker</w:t>
      </w:r>
    </w:p>
    <w:p w14:paraId="6B6A2F91"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color w:val="000000"/>
          <w:sz w:val="17"/>
          <w:szCs w:val="17"/>
        </w:rPr>
      </w:pPr>
      <w:r>
        <w:rPr>
          <w:rFonts w:ascii="Consolas" w:hAnsi="Consolas" w:cs="Courier New"/>
          <w:sz w:val="17"/>
          <w:szCs w:val="17"/>
        </w:rPr>
        <w:t xml:space="preserve">25. </w:t>
      </w:r>
      <w:r>
        <w:rPr>
          <w:rFonts w:ascii="Consolas" w:hAnsi="Consolas" w:cs="Courier New"/>
          <w:color w:val="000000"/>
          <w:sz w:val="17"/>
          <w:szCs w:val="17"/>
        </w:rPr>
        <w:t xml:space="preserve">        </w:t>
      </w:r>
    </w:p>
    <w:p w14:paraId="2C94C598"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color w:val="000000"/>
          <w:sz w:val="17"/>
          <w:szCs w:val="17"/>
        </w:rPr>
      </w:pPr>
    </w:p>
    <w:p w14:paraId="10F2A8F6"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p>
    <w:p w14:paraId="63AFBA2C"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26. </w:t>
      </w:r>
      <w:r>
        <w:rPr>
          <w:rFonts w:ascii="Consolas" w:hAnsi="Consolas" w:cs="Courier New"/>
          <w:color w:val="880000"/>
          <w:sz w:val="17"/>
          <w:szCs w:val="17"/>
        </w:rPr>
        <w:t>// PHASE 2: ALTERNATIVE DATA &amp; SCORING</w:t>
      </w:r>
    </w:p>
    <w:p w14:paraId="6786046C"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lastRenderedPageBreak/>
        <w:t xml:space="preserve">27. </w:t>
      </w:r>
      <w:r>
        <w:rPr>
          <w:rFonts w:ascii="Consolas" w:hAnsi="Consolas" w:cs="Courier New"/>
          <w:color w:val="000000"/>
          <w:sz w:val="17"/>
          <w:szCs w:val="17"/>
        </w:rPr>
        <w:t xml:space="preserve">FUNCTION </w:t>
      </w:r>
      <w:proofErr w:type="spellStart"/>
      <w:r>
        <w:rPr>
          <w:rFonts w:ascii="Consolas" w:hAnsi="Consolas" w:cs="Courier New"/>
          <w:color w:val="660066"/>
          <w:sz w:val="17"/>
          <w:szCs w:val="17"/>
        </w:rPr>
        <w:t>Process_Sentiment_Streams</w:t>
      </w:r>
      <w:proofErr w:type="spellEnd"/>
      <w:r>
        <w:rPr>
          <w:rFonts w:ascii="Consolas" w:hAnsi="Consolas" w:cs="Courier New"/>
          <w:color w:val="666600"/>
          <w:sz w:val="17"/>
          <w:szCs w:val="17"/>
        </w:rPr>
        <w:t>():</w:t>
      </w:r>
    </w:p>
    <w:p w14:paraId="1B64864B"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28. </w:t>
      </w:r>
      <w:r>
        <w:rPr>
          <w:rFonts w:ascii="Consolas" w:hAnsi="Consolas" w:cs="Courier New"/>
          <w:color w:val="000000"/>
          <w:sz w:val="17"/>
          <w:szCs w:val="17"/>
        </w:rPr>
        <w:t xml:space="preserve">    STREAM </w:t>
      </w:r>
      <w:proofErr w:type="spellStart"/>
      <w:r>
        <w:rPr>
          <w:rFonts w:ascii="Consolas" w:hAnsi="Consolas" w:cs="Courier New"/>
          <w:color w:val="660066"/>
          <w:sz w:val="17"/>
          <w:szCs w:val="17"/>
        </w:rPr>
        <w:t>Financial_News</w:t>
      </w:r>
      <w:proofErr w:type="spellEnd"/>
      <w:r>
        <w:rPr>
          <w:rFonts w:ascii="Consolas" w:hAnsi="Consolas" w:cs="Courier New"/>
          <w:color w:val="000000"/>
          <w:sz w:val="17"/>
          <w:szCs w:val="17"/>
        </w:rPr>
        <w:t xml:space="preserve"> FROM </w:t>
      </w:r>
      <w:proofErr w:type="spellStart"/>
      <w:r>
        <w:rPr>
          <w:rFonts w:ascii="Consolas" w:hAnsi="Consolas" w:cs="Courier New"/>
          <w:color w:val="660066"/>
          <w:sz w:val="17"/>
          <w:szCs w:val="17"/>
        </w:rPr>
        <w:t>HuggingFace</w:t>
      </w:r>
      <w:proofErr w:type="spellEnd"/>
    </w:p>
    <w:p w14:paraId="7A80A3AA"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29. </w:t>
      </w:r>
      <w:r>
        <w:rPr>
          <w:rFonts w:ascii="Consolas" w:hAnsi="Consolas" w:cs="Courier New"/>
          <w:color w:val="000000"/>
          <w:sz w:val="17"/>
          <w:szCs w:val="17"/>
        </w:rPr>
        <w:t xml:space="preserve">    LOAD </w:t>
      </w:r>
      <w:r>
        <w:rPr>
          <w:rFonts w:ascii="Consolas" w:hAnsi="Consolas" w:cs="Courier New"/>
          <w:color w:val="660066"/>
          <w:sz w:val="17"/>
          <w:szCs w:val="17"/>
        </w:rPr>
        <w:t>Twitter</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Reddit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Kaggle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Dataset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4M</w:t>
      </w:r>
      <w:r>
        <w:rPr>
          <w:rFonts w:ascii="Consolas" w:hAnsi="Consolas" w:cs="Courier New"/>
          <w:color w:val="000000"/>
          <w:sz w:val="17"/>
          <w:szCs w:val="17"/>
        </w:rPr>
        <w:t xml:space="preserve"> records</w:t>
      </w:r>
      <w:r>
        <w:rPr>
          <w:rFonts w:ascii="Consolas" w:hAnsi="Consolas" w:cs="Courier New"/>
          <w:color w:val="666600"/>
          <w:sz w:val="17"/>
          <w:szCs w:val="17"/>
        </w:rPr>
        <w:t>)</w:t>
      </w:r>
    </w:p>
    <w:p w14:paraId="3413A858"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30. </w:t>
      </w:r>
      <w:r>
        <w:rPr>
          <w:rFonts w:ascii="Consolas" w:hAnsi="Consolas" w:cs="Courier New"/>
          <w:color w:val="000000"/>
          <w:sz w:val="17"/>
          <w:szCs w:val="17"/>
        </w:rPr>
        <w:t xml:space="preserve">    </w:t>
      </w:r>
    </w:p>
    <w:p w14:paraId="712E0DE9"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31. </w:t>
      </w:r>
      <w:r>
        <w:rPr>
          <w:rFonts w:ascii="Consolas" w:hAnsi="Consolas" w:cs="Courier New"/>
          <w:color w:val="000000"/>
          <w:sz w:val="17"/>
          <w:szCs w:val="17"/>
        </w:rPr>
        <w:t xml:space="preserve">    FOR EACH record IN </w:t>
      </w:r>
      <w:proofErr w:type="spellStart"/>
      <w:r>
        <w:rPr>
          <w:rFonts w:ascii="Consolas" w:hAnsi="Consolas" w:cs="Courier New"/>
          <w:color w:val="660066"/>
          <w:sz w:val="17"/>
          <w:szCs w:val="17"/>
        </w:rPr>
        <w:t>News_and_Social</w:t>
      </w:r>
      <w:proofErr w:type="spellEnd"/>
      <w:r>
        <w:rPr>
          <w:rFonts w:ascii="Consolas" w:hAnsi="Consolas" w:cs="Courier New"/>
          <w:color w:val="666600"/>
          <w:sz w:val="17"/>
          <w:szCs w:val="17"/>
        </w:rPr>
        <w:t>:</w:t>
      </w:r>
    </w:p>
    <w:p w14:paraId="0ED88A99"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32. </w:t>
      </w:r>
      <w:r>
        <w:rPr>
          <w:rFonts w:ascii="Consolas" w:hAnsi="Consolas" w:cs="Courier New"/>
          <w:color w:val="000000"/>
          <w:sz w:val="17"/>
          <w:szCs w:val="17"/>
        </w:rPr>
        <w:t xml:space="preserve">        CLEAN text </w:t>
      </w:r>
      <w:r>
        <w:rPr>
          <w:rFonts w:ascii="Consolas" w:hAnsi="Consolas" w:cs="Courier New"/>
          <w:color w:val="666600"/>
          <w:sz w:val="17"/>
          <w:szCs w:val="17"/>
        </w:rPr>
        <w:t>(</w:t>
      </w:r>
      <w:r>
        <w:rPr>
          <w:rFonts w:ascii="Consolas" w:hAnsi="Consolas" w:cs="Courier New"/>
          <w:color w:val="660066"/>
          <w:sz w:val="17"/>
          <w:szCs w:val="17"/>
        </w:rPr>
        <w:t>Remove</w:t>
      </w:r>
      <w:r>
        <w:rPr>
          <w:rFonts w:ascii="Consolas" w:hAnsi="Consolas" w:cs="Courier New"/>
          <w:color w:val="000000"/>
          <w:sz w:val="17"/>
          <w:szCs w:val="17"/>
        </w:rPr>
        <w:t xml:space="preserve"> </w:t>
      </w:r>
      <w:r>
        <w:rPr>
          <w:rFonts w:ascii="Consolas" w:hAnsi="Consolas" w:cs="Courier New"/>
          <w:color w:val="660066"/>
          <w:sz w:val="17"/>
          <w:szCs w:val="17"/>
        </w:rPr>
        <w:t>URLs</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Special</w:t>
      </w:r>
      <w:r>
        <w:rPr>
          <w:rFonts w:ascii="Consolas" w:hAnsi="Consolas" w:cs="Courier New"/>
          <w:color w:val="000000"/>
          <w:sz w:val="17"/>
          <w:szCs w:val="17"/>
        </w:rPr>
        <w:t xml:space="preserve"> </w:t>
      </w:r>
      <w:r>
        <w:rPr>
          <w:rFonts w:ascii="Consolas" w:hAnsi="Consolas" w:cs="Courier New"/>
          <w:color w:val="660066"/>
          <w:sz w:val="17"/>
          <w:szCs w:val="17"/>
        </w:rPr>
        <w:t>Characters</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User</w:t>
      </w:r>
      <w:r>
        <w:rPr>
          <w:rFonts w:ascii="Consolas" w:hAnsi="Consolas" w:cs="Courier New"/>
          <w:color w:val="000000"/>
          <w:sz w:val="17"/>
          <w:szCs w:val="17"/>
        </w:rPr>
        <w:t xml:space="preserve"> </w:t>
      </w:r>
      <w:r>
        <w:rPr>
          <w:rFonts w:ascii="Consolas" w:hAnsi="Consolas" w:cs="Courier New"/>
          <w:color w:val="660066"/>
          <w:sz w:val="17"/>
          <w:szCs w:val="17"/>
        </w:rPr>
        <w:t>Mentions</w:t>
      </w:r>
      <w:r>
        <w:rPr>
          <w:rFonts w:ascii="Consolas" w:hAnsi="Consolas" w:cs="Courier New"/>
          <w:color w:val="666600"/>
          <w:sz w:val="17"/>
          <w:szCs w:val="17"/>
        </w:rPr>
        <w:t>)</w:t>
      </w:r>
    </w:p>
    <w:p w14:paraId="2449D93D"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33. </w:t>
      </w:r>
      <w:r>
        <w:rPr>
          <w:rFonts w:ascii="Consolas" w:hAnsi="Consolas" w:cs="Courier New"/>
          <w:color w:val="000000"/>
          <w:sz w:val="17"/>
          <w:szCs w:val="17"/>
        </w:rPr>
        <w:t xml:space="preserve">        TRUNCATE to </w:t>
      </w:r>
      <w:r>
        <w:rPr>
          <w:rFonts w:ascii="Consolas" w:hAnsi="Consolas" w:cs="Courier New"/>
          <w:color w:val="006666"/>
          <w:sz w:val="17"/>
          <w:szCs w:val="17"/>
        </w:rPr>
        <w:t>300</w:t>
      </w:r>
      <w:r>
        <w:rPr>
          <w:rFonts w:ascii="Consolas" w:hAnsi="Consolas" w:cs="Courier New"/>
          <w:color w:val="000000"/>
          <w:sz w:val="17"/>
          <w:szCs w:val="17"/>
        </w:rPr>
        <w:t xml:space="preserve"> chars</w:t>
      </w:r>
    </w:p>
    <w:p w14:paraId="401FC1D7"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34. </w:t>
      </w:r>
      <w:r>
        <w:rPr>
          <w:rFonts w:ascii="Consolas" w:hAnsi="Consolas" w:cs="Courier New"/>
          <w:color w:val="000000"/>
          <w:sz w:val="17"/>
          <w:szCs w:val="17"/>
        </w:rPr>
        <w:t xml:space="preserve">        SCORE sentiment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Mistral_7B_Devstral</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Range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000000"/>
          <w:sz w:val="17"/>
          <w:szCs w:val="17"/>
        </w:rPr>
        <w:t xml:space="preserve"> to </w:t>
      </w:r>
      <w:r>
        <w:rPr>
          <w:rFonts w:ascii="Consolas" w:hAnsi="Consolas" w:cs="Courier New"/>
          <w:color w:val="006666"/>
          <w:sz w:val="17"/>
          <w:szCs w:val="17"/>
        </w:rPr>
        <w:t>1</w:t>
      </w:r>
      <w:r>
        <w:rPr>
          <w:rFonts w:ascii="Consolas" w:hAnsi="Consolas" w:cs="Courier New"/>
          <w:color w:val="666600"/>
          <w:sz w:val="17"/>
          <w:szCs w:val="17"/>
        </w:rPr>
        <w:t>)</w:t>
      </w:r>
    </w:p>
    <w:p w14:paraId="1D5C364A"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35. </w:t>
      </w:r>
      <w:r>
        <w:rPr>
          <w:rFonts w:ascii="Consolas" w:hAnsi="Consolas" w:cs="Courier New"/>
          <w:color w:val="000000"/>
          <w:sz w:val="17"/>
          <w:szCs w:val="17"/>
        </w:rPr>
        <w:t xml:space="preserve">        </w:t>
      </w:r>
    </w:p>
    <w:p w14:paraId="759B7EE9"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36. </w:t>
      </w:r>
      <w:r>
        <w:rPr>
          <w:rFonts w:ascii="Consolas" w:hAnsi="Consolas" w:cs="Courier New"/>
          <w:color w:val="000000"/>
          <w:sz w:val="17"/>
          <w:szCs w:val="17"/>
        </w:rPr>
        <w:t xml:space="preserve">    AGGREGATE to </w:t>
      </w:r>
      <w:proofErr w:type="spellStart"/>
      <w:r>
        <w:rPr>
          <w:rFonts w:ascii="Consolas" w:hAnsi="Consolas" w:cs="Courier New"/>
          <w:color w:val="660066"/>
          <w:sz w:val="17"/>
          <w:szCs w:val="17"/>
        </w:rPr>
        <w:t>Daily_Mean_Per_Ticker</w:t>
      </w:r>
      <w:proofErr w:type="spellEnd"/>
    </w:p>
    <w:p w14:paraId="69609C2A"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37. </w:t>
      </w:r>
      <w:r>
        <w:rPr>
          <w:rFonts w:ascii="Consolas" w:hAnsi="Consolas" w:cs="Courier New"/>
          <w:color w:val="000000"/>
          <w:sz w:val="17"/>
          <w:szCs w:val="17"/>
        </w:rPr>
        <w:t xml:space="preserve">    FILL missing days </w:t>
      </w:r>
      <w:r>
        <w:rPr>
          <w:rFonts w:ascii="Consolas" w:hAnsi="Consolas" w:cs="Courier New"/>
          <w:color w:val="000088"/>
          <w:sz w:val="17"/>
          <w:szCs w:val="17"/>
        </w:rPr>
        <w:t>with</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Neutral</w:t>
      </w:r>
      <w:r>
        <w:rPr>
          <w:rFonts w:ascii="Consolas" w:hAnsi="Consolas" w:cs="Courier New"/>
          <w:color w:val="666600"/>
          <w:sz w:val="17"/>
          <w:szCs w:val="17"/>
        </w:rPr>
        <w:t>)</w:t>
      </w:r>
    </w:p>
    <w:p w14:paraId="3A53EA46"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color w:val="000000"/>
          <w:sz w:val="17"/>
          <w:szCs w:val="17"/>
        </w:rPr>
      </w:pPr>
      <w:r>
        <w:rPr>
          <w:rFonts w:ascii="Consolas" w:hAnsi="Consolas" w:cs="Courier New"/>
          <w:sz w:val="17"/>
          <w:szCs w:val="17"/>
        </w:rPr>
        <w:t xml:space="preserve">38. </w:t>
      </w:r>
      <w:r>
        <w:rPr>
          <w:rFonts w:ascii="Consolas" w:hAnsi="Consolas" w:cs="Courier New"/>
          <w:color w:val="000000"/>
          <w:sz w:val="17"/>
          <w:szCs w:val="17"/>
        </w:rPr>
        <w:t> </w:t>
      </w:r>
    </w:p>
    <w:p w14:paraId="26E26833"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p>
    <w:p w14:paraId="404F524D"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39. </w:t>
      </w:r>
      <w:r>
        <w:rPr>
          <w:rFonts w:ascii="Consolas" w:hAnsi="Consolas" w:cs="Courier New"/>
          <w:color w:val="880000"/>
          <w:sz w:val="17"/>
          <w:szCs w:val="17"/>
        </w:rPr>
        <w:t>// PHASE 3: LABELING &amp; SPLITTING</w:t>
      </w:r>
    </w:p>
    <w:p w14:paraId="3E1529C4"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40. </w:t>
      </w:r>
      <w:r>
        <w:rPr>
          <w:rFonts w:ascii="Consolas" w:hAnsi="Consolas" w:cs="Courier New"/>
          <w:color w:val="000000"/>
          <w:sz w:val="17"/>
          <w:szCs w:val="17"/>
        </w:rPr>
        <w:t xml:space="preserve">FUNCTION </w:t>
      </w:r>
      <w:proofErr w:type="spellStart"/>
      <w:r>
        <w:rPr>
          <w:rFonts w:ascii="Consolas" w:hAnsi="Consolas" w:cs="Courier New"/>
          <w:color w:val="660066"/>
          <w:sz w:val="17"/>
          <w:szCs w:val="17"/>
        </w:rPr>
        <w:t>Create_Ground_Truth</w:t>
      </w:r>
      <w:proofErr w:type="spellEnd"/>
      <w:r>
        <w:rPr>
          <w:rFonts w:ascii="Consolas" w:hAnsi="Consolas" w:cs="Courier New"/>
          <w:color w:val="666600"/>
          <w:sz w:val="17"/>
          <w:szCs w:val="17"/>
        </w:rPr>
        <w:t>():</w:t>
      </w:r>
    </w:p>
    <w:p w14:paraId="4CF01D38"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41. </w:t>
      </w:r>
      <w:r>
        <w:rPr>
          <w:rFonts w:ascii="Consolas" w:hAnsi="Consolas" w:cs="Courier New"/>
          <w:color w:val="000000"/>
          <w:sz w:val="17"/>
          <w:szCs w:val="17"/>
        </w:rPr>
        <w:t xml:space="preserve">    FOR EACH ticker IN tickers</w:t>
      </w:r>
      <w:r>
        <w:rPr>
          <w:rFonts w:ascii="Consolas" w:hAnsi="Consolas" w:cs="Courier New"/>
          <w:color w:val="666600"/>
          <w:sz w:val="17"/>
          <w:szCs w:val="17"/>
        </w:rPr>
        <w:t>:</w:t>
      </w:r>
    </w:p>
    <w:p w14:paraId="329DBF17"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42. </w:t>
      </w:r>
      <w:r>
        <w:rPr>
          <w:rFonts w:ascii="Consolas" w:hAnsi="Consolas" w:cs="Courier New"/>
          <w:color w:val="000000"/>
          <w:sz w:val="17"/>
          <w:szCs w:val="17"/>
        </w:rPr>
        <w:t xml:space="preserve">        CALCULATE </w:t>
      </w:r>
      <w:r>
        <w:rPr>
          <w:rFonts w:ascii="Consolas" w:hAnsi="Consolas" w:cs="Courier New"/>
          <w:color w:val="660066"/>
          <w:sz w:val="17"/>
          <w:szCs w:val="17"/>
        </w:rPr>
        <w:t>Forward_Return_30D</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Price_T</w:t>
      </w:r>
      <w:r>
        <w:rPr>
          <w:rFonts w:ascii="Consolas" w:hAnsi="Consolas" w:cs="Courier New"/>
          <w:color w:val="666600"/>
          <w:sz w:val="17"/>
          <w:szCs w:val="17"/>
        </w:rPr>
        <w:t>+</w:t>
      </w:r>
      <w:r>
        <w:rPr>
          <w:rFonts w:ascii="Consolas" w:hAnsi="Consolas" w:cs="Courier New"/>
          <w:color w:val="006666"/>
          <w:sz w:val="17"/>
          <w:szCs w:val="17"/>
        </w:rPr>
        <w:t>30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660066"/>
          <w:sz w:val="17"/>
          <w:szCs w:val="17"/>
        </w:rPr>
        <w:t>Price_T</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660066"/>
          <w:sz w:val="17"/>
          <w:szCs w:val="17"/>
        </w:rPr>
        <w:t>Price_T</w:t>
      </w:r>
      <w:proofErr w:type="spellEnd"/>
    </w:p>
    <w:p w14:paraId="68B8B5B6"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43. </w:t>
      </w:r>
      <w:r>
        <w:rPr>
          <w:rFonts w:ascii="Consolas" w:hAnsi="Consolas" w:cs="Courier New"/>
          <w:color w:val="000000"/>
          <w:sz w:val="17"/>
          <w:szCs w:val="17"/>
        </w:rPr>
        <w:t xml:space="preserve">        </w:t>
      </w:r>
    </w:p>
    <w:p w14:paraId="111FF796"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44. </w:t>
      </w:r>
      <w:r>
        <w:rPr>
          <w:rFonts w:ascii="Consolas" w:hAnsi="Consolas" w:cs="Courier New"/>
          <w:color w:val="000000"/>
          <w:sz w:val="17"/>
          <w:szCs w:val="17"/>
        </w:rPr>
        <w:t xml:space="preserve">        IF </w:t>
      </w:r>
      <w:r>
        <w:rPr>
          <w:rFonts w:ascii="Consolas" w:hAnsi="Consolas" w:cs="Courier New"/>
          <w:color w:val="660066"/>
          <w:sz w:val="17"/>
          <w:szCs w:val="17"/>
        </w:rPr>
        <w:t>Forward_Return_30D</w:t>
      </w:r>
      <w:r>
        <w:rPr>
          <w:rFonts w:ascii="Consolas" w:hAnsi="Consolas" w:cs="Courier New"/>
          <w:color w:val="000000"/>
          <w:sz w:val="17"/>
          <w:szCs w:val="17"/>
        </w:rPr>
        <w:t xml:space="preserve"> </w:t>
      </w:r>
      <w:r>
        <w:rPr>
          <w:rFonts w:ascii="Consolas" w:hAnsi="Consolas" w:cs="Courier New"/>
          <w:color w:val="666600"/>
          <w:sz w:val="17"/>
          <w:szCs w:val="17"/>
        </w:rPr>
        <w:t>&gt;</w:t>
      </w:r>
      <w:r>
        <w:rPr>
          <w:rFonts w:ascii="Consolas" w:hAnsi="Consolas" w:cs="Courier New"/>
          <w:color w:val="000000"/>
          <w:sz w:val="17"/>
          <w:szCs w:val="17"/>
        </w:rPr>
        <w:t xml:space="preserve"> </w:t>
      </w:r>
      <w:r>
        <w:rPr>
          <w:rFonts w:ascii="Consolas" w:hAnsi="Consolas" w:cs="Courier New"/>
          <w:color w:val="006666"/>
          <w:sz w:val="17"/>
          <w:szCs w:val="17"/>
        </w:rPr>
        <w:t>0.02</w:t>
      </w:r>
      <w:r>
        <w:rPr>
          <w:rFonts w:ascii="Consolas" w:hAnsi="Consolas" w:cs="Courier New"/>
          <w:color w:val="000000"/>
          <w:sz w:val="17"/>
          <w:szCs w:val="17"/>
        </w:rPr>
        <w:t xml:space="preserve"> THEN </w:t>
      </w:r>
      <w:r>
        <w:rPr>
          <w:rFonts w:ascii="Consolas" w:hAnsi="Consolas" w:cs="Courier New"/>
          <w:color w:val="660066"/>
          <w:sz w:val="17"/>
          <w:szCs w:val="17"/>
        </w:rPr>
        <w:t>Label</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8800"/>
          <w:sz w:val="17"/>
          <w:szCs w:val="17"/>
        </w:rPr>
        <w:t>"BUY"</w:t>
      </w:r>
    </w:p>
    <w:p w14:paraId="126A019F"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45. </w:t>
      </w:r>
      <w:r>
        <w:rPr>
          <w:rFonts w:ascii="Consolas" w:hAnsi="Consolas" w:cs="Courier New"/>
          <w:color w:val="000000"/>
          <w:sz w:val="17"/>
          <w:szCs w:val="17"/>
        </w:rPr>
        <w:t xml:space="preserve">        ELSE IF </w:t>
      </w:r>
      <w:r>
        <w:rPr>
          <w:rFonts w:ascii="Consolas" w:hAnsi="Consolas" w:cs="Courier New"/>
          <w:color w:val="660066"/>
          <w:sz w:val="17"/>
          <w:szCs w:val="17"/>
        </w:rPr>
        <w:t>Forward_Return_30D</w:t>
      </w:r>
      <w:r>
        <w:rPr>
          <w:rFonts w:ascii="Consolas" w:hAnsi="Consolas" w:cs="Courier New"/>
          <w:color w:val="000000"/>
          <w:sz w:val="17"/>
          <w:szCs w:val="17"/>
        </w:rPr>
        <w:t xml:space="preserve"> </w:t>
      </w:r>
      <w:r>
        <w:rPr>
          <w:rFonts w:ascii="Consolas" w:hAnsi="Consolas" w:cs="Courier New"/>
          <w:color w:val="666600"/>
          <w:sz w:val="17"/>
          <w:szCs w:val="17"/>
        </w:rPr>
        <w:t>&lt;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0.02</w:t>
      </w:r>
      <w:r>
        <w:rPr>
          <w:rFonts w:ascii="Consolas" w:hAnsi="Consolas" w:cs="Courier New"/>
          <w:color w:val="000000"/>
          <w:sz w:val="17"/>
          <w:szCs w:val="17"/>
        </w:rPr>
        <w:t xml:space="preserve"> THEN </w:t>
      </w:r>
      <w:r>
        <w:rPr>
          <w:rFonts w:ascii="Consolas" w:hAnsi="Consolas" w:cs="Courier New"/>
          <w:color w:val="660066"/>
          <w:sz w:val="17"/>
          <w:szCs w:val="17"/>
        </w:rPr>
        <w:t>Label</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8800"/>
          <w:sz w:val="17"/>
          <w:szCs w:val="17"/>
        </w:rPr>
        <w:t>"SHORT"</w:t>
      </w:r>
    </w:p>
    <w:p w14:paraId="07CCF939"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46. </w:t>
      </w:r>
      <w:r>
        <w:rPr>
          <w:rFonts w:ascii="Consolas" w:hAnsi="Consolas" w:cs="Courier New"/>
          <w:color w:val="000000"/>
          <w:sz w:val="17"/>
          <w:szCs w:val="17"/>
        </w:rPr>
        <w:t xml:space="preserve">        ELSE </w:t>
      </w:r>
      <w:r>
        <w:rPr>
          <w:rFonts w:ascii="Consolas" w:hAnsi="Consolas" w:cs="Courier New"/>
          <w:color w:val="660066"/>
          <w:sz w:val="17"/>
          <w:szCs w:val="17"/>
        </w:rPr>
        <w:t>Label</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8800"/>
          <w:sz w:val="17"/>
          <w:szCs w:val="17"/>
        </w:rPr>
        <w:t>"HOLD"</w:t>
      </w:r>
    </w:p>
    <w:p w14:paraId="5D81A59F"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47. </w:t>
      </w:r>
      <w:r>
        <w:rPr>
          <w:rFonts w:ascii="Consolas" w:hAnsi="Consolas" w:cs="Courier New"/>
          <w:color w:val="000000"/>
          <w:sz w:val="17"/>
          <w:szCs w:val="17"/>
        </w:rPr>
        <w:t> </w:t>
      </w:r>
    </w:p>
    <w:p w14:paraId="51BB9B27"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48. </w:t>
      </w:r>
      <w:r>
        <w:rPr>
          <w:rFonts w:ascii="Consolas" w:hAnsi="Consolas" w:cs="Courier New"/>
          <w:color w:val="000000"/>
          <w:sz w:val="17"/>
          <w:szCs w:val="17"/>
        </w:rPr>
        <w:t xml:space="preserve">FUNCTION </w:t>
      </w:r>
      <w:proofErr w:type="spellStart"/>
      <w:r>
        <w:rPr>
          <w:rFonts w:ascii="Consolas" w:hAnsi="Consolas" w:cs="Courier New"/>
          <w:color w:val="660066"/>
          <w:sz w:val="17"/>
          <w:szCs w:val="17"/>
        </w:rPr>
        <w:t>Split_Dataset</w:t>
      </w:r>
      <w:proofErr w:type="spellEnd"/>
      <w:r>
        <w:rPr>
          <w:rFonts w:ascii="Consolas" w:hAnsi="Consolas" w:cs="Courier New"/>
          <w:color w:val="666600"/>
          <w:sz w:val="17"/>
          <w:szCs w:val="17"/>
        </w:rPr>
        <w:t>():</w:t>
      </w:r>
    </w:p>
    <w:p w14:paraId="253C1191"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49. </w:t>
      </w:r>
      <w:r>
        <w:rPr>
          <w:rFonts w:ascii="Consolas" w:hAnsi="Consolas" w:cs="Courier New"/>
          <w:color w:val="000000"/>
          <w:sz w:val="17"/>
          <w:szCs w:val="17"/>
        </w:rPr>
        <w:t xml:space="preserve">    TRAIN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2015</w:t>
      </w:r>
      <w:r>
        <w:rPr>
          <w:rFonts w:ascii="Consolas" w:hAnsi="Consolas" w:cs="Courier New"/>
          <w:color w:val="666600"/>
          <w:sz w:val="17"/>
          <w:szCs w:val="17"/>
        </w:rPr>
        <w:t>-</w:t>
      </w:r>
      <w:r>
        <w:rPr>
          <w:rFonts w:ascii="Consolas" w:hAnsi="Consolas" w:cs="Courier New"/>
          <w:color w:val="006666"/>
          <w:sz w:val="17"/>
          <w:szCs w:val="17"/>
        </w:rPr>
        <w:t>01</w:t>
      </w:r>
      <w:r>
        <w:rPr>
          <w:rFonts w:ascii="Consolas" w:hAnsi="Consolas" w:cs="Courier New"/>
          <w:color w:val="000000"/>
          <w:sz w:val="17"/>
          <w:szCs w:val="17"/>
        </w:rPr>
        <w:t xml:space="preserve"> TO </w:t>
      </w:r>
      <w:r>
        <w:rPr>
          <w:rFonts w:ascii="Consolas" w:hAnsi="Consolas" w:cs="Courier New"/>
          <w:color w:val="006666"/>
          <w:sz w:val="17"/>
          <w:szCs w:val="17"/>
        </w:rPr>
        <w:t>2018</w:t>
      </w:r>
      <w:r>
        <w:rPr>
          <w:rFonts w:ascii="Consolas" w:hAnsi="Consolas" w:cs="Courier New"/>
          <w:color w:val="666600"/>
          <w:sz w:val="17"/>
          <w:szCs w:val="17"/>
        </w:rPr>
        <w:t>-</w:t>
      </w:r>
      <w:r>
        <w:rPr>
          <w:rFonts w:ascii="Consolas" w:hAnsi="Consolas" w:cs="Courier New"/>
          <w:color w:val="006666"/>
          <w:sz w:val="17"/>
          <w:szCs w:val="17"/>
        </w:rPr>
        <w:t>06</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11,440 rows</w:t>
      </w:r>
    </w:p>
    <w:p w14:paraId="0C7ABED2"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50. </w:t>
      </w:r>
      <w:r>
        <w:rPr>
          <w:rFonts w:ascii="Consolas" w:hAnsi="Consolas" w:cs="Courier New"/>
          <w:color w:val="000000"/>
          <w:sz w:val="17"/>
          <w:szCs w:val="17"/>
        </w:rPr>
        <w:t xml:space="preserve">    VAL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2018</w:t>
      </w:r>
      <w:r>
        <w:rPr>
          <w:rFonts w:ascii="Consolas" w:hAnsi="Consolas" w:cs="Courier New"/>
          <w:color w:val="666600"/>
          <w:sz w:val="17"/>
          <w:szCs w:val="17"/>
        </w:rPr>
        <w:t>-</w:t>
      </w:r>
      <w:r>
        <w:rPr>
          <w:rFonts w:ascii="Consolas" w:hAnsi="Consolas" w:cs="Courier New"/>
          <w:color w:val="006666"/>
          <w:sz w:val="17"/>
          <w:szCs w:val="17"/>
        </w:rPr>
        <w:t>07</w:t>
      </w:r>
      <w:r>
        <w:rPr>
          <w:rFonts w:ascii="Consolas" w:hAnsi="Consolas" w:cs="Courier New"/>
          <w:color w:val="000000"/>
          <w:sz w:val="17"/>
          <w:szCs w:val="17"/>
        </w:rPr>
        <w:t xml:space="preserve"> TO </w:t>
      </w:r>
      <w:r>
        <w:rPr>
          <w:rFonts w:ascii="Consolas" w:hAnsi="Consolas" w:cs="Courier New"/>
          <w:color w:val="006666"/>
          <w:sz w:val="17"/>
          <w:szCs w:val="17"/>
        </w:rPr>
        <w:t>2019</w:t>
      </w:r>
      <w:r>
        <w:rPr>
          <w:rFonts w:ascii="Consolas" w:hAnsi="Consolas" w:cs="Courier New"/>
          <w:color w:val="666600"/>
          <w:sz w:val="17"/>
          <w:szCs w:val="17"/>
        </w:rPr>
        <w:t>-</w:t>
      </w:r>
      <w:r>
        <w:rPr>
          <w:rFonts w:ascii="Consolas" w:hAnsi="Consolas" w:cs="Courier New"/>
          <w:color w:val="006666"/>
          <w:sz w:val="17"/>
          <w:szCs w:val="17"/>
        </w:rPr>
        <w:t>06</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3,250 rows</w:t>
      </w:r>
    </w:p>
    <w:p w14:paraId="5BF73B48" w14:textId="77777777" w:rsid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51. </w:t>
      </w:r>
      <w:r>
        <w:rPr>
          <w:rFonts w:ascii="Consolas" w:hAnsi="Consolas" w:cs="Courier New"/>
          <w:color w:val="000000"/>
          <w:sz w:val="17"/>
          <w:szCs w:val="17"/>
        </w:rPr>
        <w:t xml:space="preserve">    TEST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2019</w:t>
      </w:r>
      <w:r>
        <w:rPr>
          <w:rFonts w:ascii="Consolas" w:hAnsi="Consolas" w:cs="Courier New"/>
          <w:color w:val="666600"/>
          <w:sz w:val="17"/>
          <w:szCs w:val="17"/>
        </w:rPr>
        <w:t>-</w:t>
      </w:r>
      <w:r>
        <w:rPr>
          <w:rFonts w:ascii="Consolas" w:hAnsi="Consolas" w:cs="Courier New"/>
          <w:color w:val="006666"/>
          <w:sz w:val="17"/>
          <w:szCs w:val="17"/>
        </w:rPr>
        <w:t>07</w:t>
      </w:r>
      <w:r>
        <w:rPr>
          <w:rFonts w:ascii="Consolas" w:hAnsi="Consolas" w:cs="Courier New"/>
          <w:color w:val="000000"/>
          <w:sz w:val="17"/>
          <w:szCs w:val="17"/>
        </w:rPr>
        <w:t xml:space="preserve"> TO </w:t>
      </w:r>
      <w:r>
        <w:rPr>
          <w:rFonts w:ascii="Consolas" w:hAnsi="Consolas" w:cs="Courier New"/>
          <w:color w:val="006666"/>
          <w:sz w:val="17"/>
          <w:szCs w:val="17"/>
        </w:rPr>
        <w:t>2020</w:t>
      </w:r>
      <w:r>
        <w:rPr>
          <w:rFonts w:ascii="Consolas" w:hAnsi="Consolas" w:cs="Courier New"/>
          <w:color w:val="666600"/>
          <w:sz w:val="17"/>
          <w:szCs w:val="17"/>
        </w:rPr>
        <w:t>-</w:t>
      </w:r>
      <w:r>
        <w:rPr>
          <w:rFonts w:ascii="Consolas" w:hAnsi="Consolas" w:cs="Courier New"/>
          <w:color w:val="006666"/>
          <w:sz w:val="17"/>
          <w:szCs w:val="17"/>
        </w:rPr>
        <w:t>12</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4,940 rows</w:t>
      </w:r>
    </w:p>
    <w:p w14:paraId="58E9AE14" w14:textId="6054B02D" w:rsidR="00F825EA" w:rsidRPr="00F825EA" w:rsidRDefault="00F825E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6022206"/>
        <w:rPr>
          <w:rFonts w:ascii="Consolas" w:hAnsi="Consolas" w:cs="Courier New"/>
          <w:sz w:val="17"/>
          <w:szCs w:val="17"/>
        </w:rPr>
      </w:pPr>
      <w:r>
        <w:rPr>
          <w:rFonts w:ascii="Consolas" w:hAnsi="Consolas" w:cs="Courier New"/>
          <w:sz w:val="17"/>
          <w:szCs w:val="17"/>
        </w:rPr>
        <w:t xml:space="preserve">52. </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No</w:t>
      </w:r>
      <w:r>
        <w:rPr>
          <w:rFonts w:ascii="Consolas" w:hAnsi="Consolas" w:cs="Courier New"/>
          <w:color w:val="000000"/>
          <w:sz w:val="17"/>
          <w:szCs w:val="17"/>
        </w:rPr>
        <w:t xml:space="preserve"> random shuffling applied</w:t>
      </w:r>
      <w:r>
        <w:rPr>
          <w:rFonts w:ascii="Consolas" w:hAnsi="Consolas" w:cs="Courier New"/>
          <w:color w:val="666600"/>
          <w:sz w:val="17"/>
          <w:szCs w:val="17"/>
        </w:rPr>
        <w:t>)</w:t>
      </w:r>
      <w:r>
        <w:rPr>
          <w:rFonts w:ascii="Consolas" w:hAnsi="Consolas" w:cs="Courier New"/>
          <w:sz w:val="17"/>
          <w:szCs w:val="17"/>
        </w:rPr>
        <w:t xml:space="preserve"> </w:t>
      </w:r>
      <w:r>
        <w:rPr>
          <w:rFonts w:ascii="Consolas" w:hAnsi="Consolas" w:cs="Courier New"/>
          <w:color w:val="000000"/>
          <w:sz w:val="17"/>
          <w:szCs w:val="17"/>
        </w:rPr>
        <w:t> </w:t>
      </w:r>
    </w:p>
    <w:p w14:paraId="167343AC" w14:textId="77777777" w:rsidR="00FF0FEF" w:rsidRPr="00FF0FEF" w:rsidRDefault="00FF0FEF" w:rsidP="00FF0FEF"/>
    <w:p w14:paraId="79C20CA0" w14:textId="65BC65A9" w:rsidR="00FF0FEF" w:rsidRDefault="00FF0FEF" w:rsidP="009F658F">
      <w:pPr>
        <w:pStyle w:val="Heading3"/>
        <w:jc w:val="both"/>
      </w:pPr>
      <w:bookmarkStart w:id="46" w:name="_Toc228577628"/>
      <w:r w:rsidRPr="00FF0FEF">
        <w:t>3.5 Dynamic Prompt Optimisation</w:t>
      </w:r>
      <w:bookmarkEnd w:id="46"/>
    </w:p>
    <w:p w14:paraId="79B060D4" w14:textId="77777777" w:rsidR="00FF0FEF" w:rsidRPr="00FF0FEF" w:rsidRDefault="00FF0FEF" w:rsidP="009F658F">
      <w:pPr>
        <w:jc w:val="both"/>
      </w:pPr>
    </w:p>
    <w:p w14:paraId="27C3E02A" w14:textId="77777777" w:rsidR="00FA0426" w:rsidRDefault="00FF0FEF" w:rsidP="009F658F">
      <w:pPr>
        <w:jc w:val="both"/>
      </w:pPr>
      <w:r w:rsidRPr="00FF0FEF">
        <w:t xml:space="preserve">Rather than relying on fixed, manually crafted prompts, the proposed framework uses the </w:t>
      </w:r>
      <w:proofErr w:type="spellStart"/>
      <w:r w:rsidRPr="00FF0FEF">
        <w:t>DSPy</w:t>
      </w:r>
      <w:proofErr w:type="spellEnd"/>
      <w:r w:rsidRPr="00FF0FEF">
        <w:t xml:space="preserve"> framework to automatically refine the instructions guiding each agent based on real portfolio performance. After every 10-day simulation chunk, all six optimisable agents receive a plain-English reward context string summarising recent performance across metrics such as drawdown, turnover, and signal accuracy, allowing them to adjust their behaviour immediately without any formal optimisation step.</w:t>
      </w:r>
      <w:r w:rsidR="00422814">
        <w:t xml:space="preserve"> </w:t>
      </w:r>
    </w:p>
    <w:p w14:paraId="289FAC9D" w14:textId="019C6D5A" w:rsidR="00FA0426" w:rsidRDefault="00422814" w:rsidP="009F658F">
      <w:pPr>
        <w:jc w:val="both"/>
      </w:pPr>
      <w:r>
        <w:t xml:space="preserve">10-days window was deliberately chosen because the window that is too short such as one or two days, would cause the agent to </w:t>
      </w:r>
      <w:r w:rsidRPr="00422814">
        <w:t>overreact to normal day-to-day market fluctuations</w:t>
      </w:r>
      <w:r>
        <w:t xml:space="preserve"> whereas window that is too long </w:t>
      </w:r>
      <w:r w:rsidRPr="00422814">
        <w:t>such as 30 or 60 days, would delay the system's ability to detect and respond to genuine deterioration in performance before significant losses have already accumulated.</w:t>
      </w:r>
      <w:r>
        <w:t xml:space="preserve"> </w:t>
      </w:r>
      <w:r w:rsidR="00FF0FEF" w:rsidRPr="00FF0FEF">
        <w:t xml:space="preserve"> </w:t>
      </w:r>
    </w:p>
    <w:p w14:paraId="50DC468E" w14:textId="2746D8DB" w:rsidR="00FF0FEF" w:rsidRDefault="00FF0FEF" w:rsidP="009F658F">
      <w:pPr>
        <w:jc w:val="both"/>
      </w:pPr>
      <w:r w:rsidRPr="00FF0FEF">
        <w:t xml:space="preserve">When performance deteriorates further and drawdown crosses two percent, the framework </w:t>
      </w:r>
      <w:r w:rsidR="00422814">
        <w:t>initiates</w:t>
      </w:r>
      <w:r w:rsidRPr="00FF0FEF">
        <w:t xml:space="preserve"> formal prompt optimisation step. If drawdown falls between two and eight percent, a Negative </w:t>
      </w:r>
      <w:proofErr w:type="spellStart"/>
      <w:r w:rsidRPr="00FF0FEF">
        <w:t>BootstrapFewShot</w:t>
      </w:r>
      <w:proofErr w:type="spellEnd"/>
      <w:r w:rsidRPr="00FF0FEF">
        <w:t xml:space="preserve"> procedure relabels the current chunk's examples as hold, teaching the agents to be more cautious in similar market conditions. If drawdown exceeds eight percent, Emergency MIPROv2 is triggered, which fully rewrites the prompts of all six optimisable agents using a light configuration that balances optimisation quality against computational cost. The six agents whose prompts are optimised are the Technical Analyst, Fundamental Analyst, Sentiment Analyst, Macro Analyst, Stock Picker, and Risk Manager, whil</w:t>
      </w:r>
      <w:r w:rsidR="00FA0426">
        <w:t>e</w:t>
      </w:r>
      <w:r w:rsidRPr="00FF0FEF">
        <w:t xml:space="preserve"> the Orchestrator operates on its original prompt throughout, relying solely on its daily performance context to adapt its portfolio-wide decisions.</w:t>
      </w:r>
    </w:p>
    <w:p w14:paraId="64F48C34" w14:textId="77777777" w:rsidR="00FF0FEF" w:rsidRDefault="00FF0FEF" w:rsidP="009F658F">
      <w:pPr>
        <w:keepNext/>
        <w:jc w:val="both"/>
      </w:pPr>
      <w:r w:rsidRPr="00FF0FEF">
        <w:rPr>
          <w:noProof/>
        </w:rPr>
        <w:lastRenderedPageBreak/>
        <w:drawing>
          <wp:inline distT="0" distB="0" distL="0" distR="0" wp14:anchorId="54DFA4A0" wp14:editId="7326D9A2">
            <wp:extent cx="5731510" cy="4382135"/>
            <wp:effectExtent l="0" t="0" r="0" b="0"/>
            <wp:docPr id="40940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406451" name=""/>
                    <pic:cNvPicPr/>
                  </pic:nvPicPr>
                  <pic:blipFill>
                    <a:blip r:embed="rId33"/>
                    <a:stretch>
                      <a:fillRect/>
                    </a:stretch>
                  </pic:blipFill>
                  <pic:spPr>
                    <a:xfrm>
                      <a:off x="0" y="0"/>
                      <a:ext cx="5731510" cy="4382135"/>
                    </a:xfrm>
                    <a:prstGeom prst="rect">
                      <a:avLst/>
                    </a:prstGeom>
                  </pic:spPr>
                </pic:pic>
              </a:graphicData>
            </a:graphic>
          </wp:inline>
        </w:drawing>
      </w:r>
    </w:p>
    <w:p w14:paraId="037BF54D" w14:textId="09085D6A" w:rsidR="00FF0FEF" w:rsidRDefault="00FF0FEF" w:rsidP="009F658F">
      <w:pPr>
        <w:pStyle w:val="Caption"/>
        <w:jc w:val="both"/>
      </w:pPr>
      <w:bookmarkStart w:id="47" w:name="_Toc228816067"/>
      <w:r>
        <w:t xml:space="preserve">Figure </w:t>
      </w:r>
      <w:fldSimple w:instr=" SEQ Figure \* ARABIC ">
        <w:r w:rsidR="006C3897">
          <w:rPr>
            <w:noProof/>
          </w:rPr>
          <w:t>22</w:t>
        </w:r>
      </w:fldSimple>
      <w:r>
        <w:t xml:space="preserve">: </w:t>
      </w:r>
      <w:r w:rsidRPr="0081746B">
        <w:t>The drawdown-based prompt optimisation decision tree showing the three paths taken after each 10-day simulation chunk</w:t>
      </w:r>
      <w:bookmarkEnd w:id="47"/>
    </w:p>
    <w:p w14:paraId="4DF36846" w14:textId="77777777" w:rsidR="008E3AB2" w:rsidRDefault="008E3AB2" w:rsidP="009F658F">
      <w:pPr>
        <w:jc w:val="both"/>
      </w:pPr>
    </w:p>
    <w:p w14:paraId="6A29B9B0" w14:textId="38D8F810" w:rsidR="008E3AB2" w:rsidRDefault="008E3AB2" w:rsidP="009F658F">
      <w:pPr>
        <w:pStyle w:val="Heading3"/>
        <w:jc w:val="both"/>
      </w:pPr>
      <w:bookmarkStart w:id="48" w:name="_Toc228577629"/>
      <w:r w:rsidRPr="008E3AB2">
        <w:t>3.6 Feedback Loop and Self-Correction Mechanis</w:t>
      </w:r>
      <w:r>
        <w:t>m</w:t>
      </w:r>
      <w:bookmarkEnd w:id="48"/>
      <w:r>
        <w:t xml:space="preserve"> </w:t>
      </w:r>
    </w:p>
    <w:p w14:paraId="7B8DAA92" w14:textId="77777777" w:rsidR="008E3AB2" w:rsidRDefault="008E3AB2" w:rsidP="009F658F">
      <w:pPr>
        <w:jc w:val="both"/>
      </w:pPr>
    </w:p>
    <w:p w14:paraId="6D744C93" w14:textId="77777777" w:rsidR="00E07903" w:rsidRDefault="008E3AB2" w:rsidP="009F658F">
      <w:pPr>
        <w:jc w:val="both"/>
      </w:pPr>
      <w:r w:rsidRPr="008E3AB2">
        <w:t xml:space="preserve">The self-correction mechanism of the proposed framework operates at two distinct levels, working together to ensure the system continuously improves its decision-making without any manual intervention. At the daily level, after every trading day the simulator evaluates the portfolio's performance and constructs a plain-English context string summarising key metrics including daily return, cumulative return, drawdown, number of trades executed, and signal accuracy. This string is passed directly to the Stock Picker, Risk Manager, and Orchestrator agents as part of their input for the following day, allowing them to immediately adjust their behaviour in response to recent outcomes, for example by becoming more conservative when drawdown is elevated or reducing trading frequency when the number of daily trades is excessive. </w:t>
      </w:r>
    </w:p>
    <w:p w14:paraId="263085E4" w14:textId="77777777" w:rsidR="00B92591" w:rsidRDefault="00B92591" w:rsidP="009F658F">
      <w:pPr>
        <w:jc w:val="both"/>
      </w:pPr>
    </w:p>
    <w:p w14:paraId="15F7CD72" w14:textId="77777777" w:rsidR="00B92591" w:rsidRDefault="00B92591" w:rsidP="009F658F">
      <w:pPr>
        <w:keepNext/>
        <w:jc w:val="both"/>
      </w:pPr>
      <w:r w:rsidRPr="00B92591">
        <w:rPr>
          <w:noProof/>
        </w:rPr>
        <w:lastRenderedPageBreak/>
        <w:drawing>
          <wp:inline distT="0" distB="0" distL="0" distR="0" wp14:anchorId="63CE0BF4" wp14:editId="23812FB4">
            <wp:extent cx="5731510" cy="3559175"/>
            <wp:effectExtent l="0" t="0" r="2540" b="3175"/>
            <wp:docPr id="1012708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08930" name=""/>
                    <pic:cNvPicPr/>
                  </pic:nvPicPr>
                  <pic:blipFill>
                    <a:blip r:embed="rId34"/>
                    <a:stretch>
                      <a:fillRect/>
                    </a:stretch>
                  </pic:blipFill>
                  <pic:spPr>
                    <a:xfrm>
                      <a:off x="0" y="0"/>
                      <a:ext cx="5731510" cy="3559175"/>
                    </a:xfrm>
                    <a:prstGeom prst="rect">
                      <a:avLst/>
                    </a:prstGeom>
                  </pic:spPr>
                </pic:pic>
              </a:graphicData>
            </a:graphic>
          </wp:inline>
        </w:drawing>
      </w:r>
    </w:p>
    <w:p w14:paraId="7B9B86A4" w14:textId="78181D73" w:rsidR="00B92591" w:rsidRDefault="0042724C" w:rsidP="0042724C">
      <w:pPr>
        <w:pStyle w:val="Caption"/>
        <w:jc w:val="both"/>
      </w:pPr>
      <w:r>
        <w:t xml:space="preserve">                                               </w:t>
      </w:r>
      <w:bookmarkStart w:id="49" w:name="_Toc228816068"/>
      <w:r w:rsidR="00B92591">
        <w:t xml:space="preserve">Figure </w:t>
      </w:r>
      <w:fldSimple w:instr=" SEQ Figure \* ARABIC ">
        <w:r w:rsidR="006C3897">
          <w:rPr>
            <w:noProof/>
          </w:rPr>
          <w:t>23</w:t>
        </w:r>
      </w:fldSimple>
      <w:r w:rsidR="00B92591">
        <w:t>: Feedback loop vs self-correct mechanism</w:t>
      </w:r>
      <w:bookmarkEnd w:id="49"/>
    </w:p>
    <w:p w14:paraId="3153EA60" w14:textId="77777777" w:rsidR="00B92591" w:rsidRDefault="00B92591" w:rsidP="009F658F">
      <w:pPr>
        <w:jc w:val="both"/>
      </w:pPr>
    </w:p>
    <w:p w14:paraId="0C1629C9" w14:textId="77777777" w:rsidR="00FA0426" w:rsidRDefault="008E3AB2" w:rsidP="009F658F">
      <w:pPr>
        <w:jc w:val="both"/>
      </w:pPr>
      <w:r w:rsidRPr="008E3AB2">
        <w:t xml:space="preserve">At the chunk level, after every 10-day simulation window the system evaluates a broader reward function covering accuracy, returns, Sharpe ratio, drawdown, and turnover, and uses the results to build a richer performance feedback string that is passed to all six optimisable agents before the next chunk begins. </w:t>
      </w:r>
    </w:p>
    <w:p w14:paraId="642F0674" w14:textId="7D5696DB" w:rsidR="00FA0426" w:rsidRDefault="008E3AB2" w:rsidP="009F658F">
      <w:pPr>
        <w:jc w:val="both"/>
      </w:pPr>
      <w:r w:rsidRPr="008E3AB2">
        <w:t xml:space="preserve">When this chunk-level evaluation reveals that drawdown has crossed one of the two predefined thresholds, the feedback loop escalates from a simple context update to a formal prompt optimisation step as described in Section 3.5, either applying Negative </w:t>
      </w:r>
      <w:proofErr w:type="spellStart"/>
      <w:r w:rsidRPr="008E3AB2">
        <w:t>BootstrapFewShot</w:t>
      </w:r>
      <w:proofErr w:type="spellEnd"/>
      <w:r w:rsidRPr="008E3AB2">
        <w:t xml:space="preserve"> to teach the agents caution or triggering Emergency MIPROv2 to fully rewrite their instructions. Together these two feedback levels create a continuously self-correcting system that responds to poor performance at both the individual day level and the broader simulation window level, ensuring the agents are always operating with the most relevant and up to date guidance available.</w:t>
      </w:r>
    </w:p>
    <w:p w14:paraId="4D748668" w14:textId="77777777" w:rsidR="00FA0426" w:rsidRPr="008E3AB2" w:rsidRDefault="00FA0426" w:rsidP="009F658F">
      <w:pPr>
        <w:jc w:val="both"/>
      </w:pPr>
    </w:p>
    <w:p w14:paraId="37C3C32E" w14:textId="77777777" w:rsidR="001419AE" w:rsidRDefault="001419AE" w:rsidP="009F658F">
      <w:pPr>
        <w:pStyle w:val="Heading3"/>
        <w:jc w:val="both"/>
      </w:pPr>
      <w:bookmarkStart w:id="50" w:name="_Toc228577630"/>
      <w:r w:rsidRPr="001419AE">
        <w:t>3.7 Portfolio Management, Trade Execution and Risk Controls</w:t>
      </w:r>
      <w:bookmarkEnd w:id="50"/>
    </w:p>
    <w:p w14:paraId="5716129E" w14:textId="7BC9D0ED" w:rsidR="001419AE" w:rsidRPr="001419AE" w:rsidRDefault="001419AE" w:rsidP="009F658F">
      <w:pPr>
        <w:jc w:val="both"/>
      </w:pPr>
    </w:p>
    <w:p w14:paraId="26CCC3B1" w14:textId="77777777" w:rsidR="00FA0426" w:rsidRDefault="009C7AD0" w:rsidP="009F658F">
      <w:pPr>
        <w:jc w:val="both"/>
      </w:pPr>
      <w:r w:rsidRPr="009C7AD0">
        <w:t xml:space="preserve">The portfolio management layer of the proposed framework is responsible for translating the Orchestrator's high-level trade instructions into actual executed positions whilst enforcing a set of risk controls that govern how those positions are sized, monitored, and closed. The framework supports both long and short positions, distinguishing it from the majority of existing automated portfolio management systems that are limited to buy-and-hold strategies. The portfolio is initialised with a starting cash balance of </w:t>
      </w:r>
      <w:r w:rsidR="003E7638">
        <w:t>$</w:t>
      </w:r>
      <w:r w:rsidRPr="009C7AD0">
        <w:t xml:space="preserve">100,000 and all trades are subject to a transaction cost of 0.1% per trade to reflect realistic execution conditions. </w:t>
      </w:r>
    </w:p>
    <w:p w14:paraId="104F9066" w14:textId="77777777" w:rsidR="00FA0426" w:rsidRDefault="009C7AD0" w:rsidP="009F658F">
      <w:pPr>
        <w:jc w:val="both"/>
      </w:pPr>
      <w:r w:rsidRPr="009C7AD0">
        <w:lastRenderedPageBreak/>
        <w:t xml:space="preserve">When a buy instruction is received, the number of shares to purchase is calculated by the trading simulator based on the conviction level produced by the Stock Picker agent, with strong conviction allowing up to 1.5 times the maximum position size, moderate conviction allowing the standard maximum of 10% of total portfolio value, and weak conviction allowing only half of that. Short positions follow the same sizing logic in reverse, with the proceeds of the short sale frozen as collateral rather than added to the spendable cash balance, ensuring that short-sale proceeds cannot be reinvested and that the portfolio's true buying power is always accurately reflected. </w:t>
      </w:r>
    </w:p>
    <w:p w14:paraId="375C11A1" w14:textId="4364E26F" w:rsidR="009C7AD0" w:rsidRDefault="009C7AD0" w:rsidP="009F658F">
      <w:pPr>
        <w:jc w:val="both"/>
      </w:pPr>
      <w:r w:rsidRPr="009C7AD0">
        <w:t>A minimum holding period of 20 days is enforced for all positions, preventing the system from flipping between long and short on the same ticker within a short window and avoiding the excessive turnover that would otherwise be encouraged by daily signal changes.</w:t>
      </w:r>
    </w:p>
    <w:p w14:paraId="16569C46" w14:textId="77777777" w:rsidR="00FA0426" w:rsidRDefault="009C7AD0" w:rsidP="009F658F">
      <w:pPr>
        <w:keepNext/>
        <w:jc w:val="both"/>
      </w:pPr>
      <w:r w:rsidRPr="009C7AD0">
        <w:t xml:space="preserve">Every trade in the system is protected by a dynamic trailing stop-loss and take-profit mechanism that keeps running in the background for as long as the position is open by the Risk Manager. When a trade is first entered, the Risk Manager works out how much risk is acceptable based on how volatile the stock is at that moment, using the Average True Range and the VIX index to get a sense of current market conditions. </w:t>
      </w:r>
    </w:p>
    <w:p w14:paraId="42980593" w14:textId="77777777" w:rsidR="00FA0426" w:rsidRDefault="009C7AD0" w:rsidP="009F658F">
      <w:pPr>
        <w:keepNext/>
        <w:jc w:val="both"/>
      </w:pPr>
      <w:r w:rsidRPr="009C7AD0">
        <w:t xml:space="preserve">At the end of every trading day, these levels are updated by the </w:t>
      </w:r>
      <w:proofErr w:type="spellStart"/>
      <w:r w:rsidRPr="009C7AD0">
        <w:t>update_trailing_stops</w:t>
      </w:r>
      <w:proofErr w:type="spellEnd"/>
      <w:r w:rsidRPr="009C7AD0">
        <w:t xml:space="preserve">() function, which raises the stop-loss floor for long positions as the stock price rises and lowers the stop-loss ceiling for short positions as the stock price falls, continuously locking in accumulated gains without ever moving the stop in an unfavourable direction. Similarly, take-profit targets are updated dynamically in the favourable direction, allowing winning trades to run for as long as the momentum continues rather than being closed at a fixed target. </w:t>
      </w:r>
    </w:p>
    <w:p w14:paraId="73B7A03E" w14:textId="13B5DACF" w:rsidR="009C7AD0" w:rsidRDefault="009C7AD0" w:rsidP="009F658F">
      <w:pPr>
        <w:keepNext/>
        <w:jc w:val="both"/>
      </w:pPr>
      <w:r w:rsidRPr="009C7AD0">
        <w:t xml:space="preserve">Before any new trade is opened, the system checks whether the stock's price has already breached its stop-loss or take-profit level through the </w:t>
      </w:r>
      <w:proofErr w:type="spellStart"/>
      <w:r w:rsidRPr="009C7AD0">
        <w:t>check_exit_levels</w:t>
      </w:r>
      <w:proofErr w:type="spellEnd"/>
      <w:r w:rsidRPr="009C7AD0">
        <w:t>() function, which force-closes any position that has crossed its threshold before the Orchestrator has a chance to act on the alert. This two-layer exit mechanism, combining the Orchestrator's informed decision-making with the automatic force-close safety net, ensures that no position can remain open beyond its risk boundaries, regardless of what the Orchestrator decides on any given day.</w:t>
      </w:r>
    </w:p>
    <w:p w14:paraId="7B3FA3D5" w14:textId="1BE322B8" w:rsidR="007C2185" w:rsidRDefault="007C2185" w:rsidP="009F658F">
      <w:pPr>
        <w:keepNext/>
        <w:jc w:val="both"/>
      </w:pPr>
      <w:r w:rsidRPr="007C2185">
        <w:rPr>
          <w:noProof/>
        </w:rPr>
        <w:drawing>
          <wp:inline distT="0" distB="0" distL="0" distR="0" wp14:anchorId="23006B0C" wp14:editId="2F6EBEF5">
            <wp:extent cx="5731510" cy="2698115"/>
            <wp:effectExtent l="0" t="0" r="0" b="0"/>
            <wp:docPr id="134027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79925" name=""/>
                    <pic:cNvPicPr/>
                  </pic:nvPicPr>
                  <pic:blipFill>
                    <a:blip r:embed="rId35"/>
                    <a:stretch>
                      <a:fillRect/>
                    </a:stretch>
                  </pic:blipFill>
                  <pic:spPr>
                    <a:xfrm>
                      <a:off x="0" y="0"/>
                      <a:ext cx="5731510" cy="2698115"/>
                    </a:xfrm>
                    <a:prstGeom prst="rect">
                      <a:avLst/>
                    </a:prstGeom>
                  </pic:spPr>
                </pic:pic>
              </a:graphicData>
            </a:graphic>
          </wp:inline>
        </w:drawing>
      </w:r>
    </w:p>
    <w:p w14:paraId="3E81EE87" w14:textId="0B53D735" w:rsidR="005E36D0" w:rsidRDefault="007C2185" w:rsidP="009F658F">
      <w:pPr>
        <w:pStyle w:val="Caption"/>
        <w:jc w:val="both"/>
      </w:pPr>
      <w:bookmarkStart w:id="51" w:name="_Toc228816069"/>
      <w:r>
        <w:t xml:space="preserve">Figure </w:t>
      </w:r>
      <w:fldSimple w:instr=" SEQ Figure \* ARABIC ">
        <w:r w:rsidR="006C3897">
          <w:rPr>
            <w:noProof/>
          </w:rPr>
          <w:t>24</w:t>
        </w:r>
      </w:fldSimple>
      <w:r>
        <w:t xml:space="preserve">: </w:t>
      </w:r>
      <w:r w:rsidRPr="000833AF">
        <w:t>Conviction level mapping showing position size multiplier, base calculation, maximum portfolio allocation, and analyst agreement conditions.</w:t>
      </w:r>
      <w:bookmarkEnd w:id="51"/>
    </w:p>
    <w:p w14:paraId="03379298" w14:textId="77777777" w:rsidR="00CD6B3B" w:rsidRDefault="00CD6B3B" w:rsidP="009F658F">
      <w:pPr>
        <w:pStyle w:val="Heading3"/>
        <w:jc w:val="both"/>
      </w:pPr>
      <w:bookmarkStart w:id="52" w:name="_Toc228577631"/>
      <w:r w:rsidRPr="00CD6B3B">
        <w:lastRenderedPageBreak/>
        <w:t>3.8 Experimental Setup</w:t>
      </w:r>
      <w:bookmarkEnd w:id="52"/>
    </w:p>
    <w:p w14:paraId="57D84524" w14:textId="77777777" w:rsidR="009E0146" w:rsidRPr="009E0146" w:rsidRDefault="009E0146" w:rsidP="009E0146"/>
    <w:p w14:paraId="03A1D607" w14:textId="77777777" w:rsidR="009E0146" w:rsidRPr="009E0146" w:rsidRDefault="009E0146" w:rsidP="009E0146">
      <w:pPr>
        <w:jc w:val="both"/>
      </w:pPr>
      <w:r w:rsidRPr="009E0146">
        <w:t xml:space="preserve">The framework is evaluated through </w:t>
      </w:r>
      <w:proofErr w:type="spellStart"/>
      <w:r w:rsidRPr="009E0146">
        <w:t>backtesting</w:t>
      </w:r>
      <w:proofErr w:type="spellEnd"/>
      <w:r w:rsidRPr="009E0146">
        <w:t xml:space="preserve"> across two chronological phases, namely Phase 1 covering January 2015 to June 2018 and Phase 3 covering July 2019 to December 2020, encompassing approximately 1,640 trading days across all 13 securities. Phase 2 covering July 2018 to June 2019 is deliberately excluded to reduce the computational cost of running Large Language Model inference across every trading day, given that each trading day requires a minimum of six sequential LLM calls per ticker plus one Orchestrator call for the full portfolio. The decision to retain Phase 1 and Phase 3 specifically was motivated by the desire to evaluate the framework across two qualitatively distinct market regimes, with Phase 1 capturing the extended bull market and 2018 correction, and Phase 3 capturing the pre-COVID expansion, the COVID-19 crash, and the subsequent V-shaped recovery.</w:t>
      </w:r>
    </w:p>
    <w:p w14:paraId="729C8522" w14:textId="77777777" w:rsidR="009E0146" w:rsidRPr="009E0146" w:rsidRDefault="009E0146" w:rsidP="009E0146">
      <w:pPr>
        <w:jc w:val="both"/>
      </w:pPr>
      <w:r w:rsidRPr="009E0146">
        <w:t xml:space="preserve">The simulation covers 13 securities spanning high-volatility meme stocks such as GME and AMC, large-capitalisation technology equities, and broad-market ETFs. The portfolio is initialised with a starting cash balance of £100,000 and all trades are subject to a transaction cost of 0.1% per trade applied at both entry and exit. All agents are powered by Llama 3.1 8B served via the </w:t>
      </w:r>
      <w:proofErr w:type="spellStart"/>
      <w:r w:rsidRPr="009E0146">
        <w:t>Groq</w:t>
      </w:r>
      <w:proofErr w:type="spellEnd"/>
      <w:r w:rsidRPr="009E0146">
        <w:t xml:space="preserve"> API, chosen for its speed and cost efficiency given the volume of inference calls required across a multi-year simulation. A fixed random seed of 42 is used throughout to ensure full reproducibility of results.</w:t>
      </w:r>
    </w:p>
    <w:p w14:paraId="79AC6B33" w14:textId="77777777" w:rsidR="009E0146" w:rsidRPr="009E0146" w:rsidRDefault="009E0146" w:rsidP="009E0146">
      <w:pPr>
        <w:jc w:val="both"/>
      </w:pPr>
      <w:r w:rsidRPr="009E0146">
        <w:t>The framework is benchmarked against a SPY buy-and-hold passive strategy representing the minimum performance bar any active trading system should aim to exceed.</w:t>
      </w:r>
    </w:p>
    <w:p w14:paraId="15E38BD7" w14:textId="77777777" w:rsidR="00F825EA" w:rsidRDefault="00F825EA" w:rsidP="009F658F">
      <w:pPr>
        <w:jc w:val="both"/>
      </w:pPr>
    </w:p>
    <w:p w14:paraId="64B69C6F" w14:textId="1A07FD8A" w:rsidR="00FF7D7E" w:rsidRDefault="00FF7D7E" w:rsidP="009F658F">
      <w:pPr>
        <w:pStyle w:val="Caption"/>
        <w:keepNext/>
        <w:jc w:val="both"/>
      </w:pPr>
      <w:bookmarkStart w:id="53" w:name="_Ref228643948"/>
      <w:bookmarkStart w:id="54" w:name="_Toc228815975"/>
      <w:r>
        <w:t xml:space="preserve">Table </w:t>
      </w:r>
      <w:fldSimple w:instr=" SEQ Table \* ARABIC ">
        <w:r w:rsidR="00BB2641">
          <w:rPr>
            <w:noProof/>
          </w:rPr>
          <w:t>1</w:t>
        </w:r>
      </w:fldSimple>
      <w:bookmarkEnd w:id="53"/>
      <w:r>
        <w:t xml:space="preserve">: </w:t>
      </w:r>
      <w:r w:rsidRPr="00D41654">
        <w:t>Key hyperparameters used in the back-testing experiment across portfolio, simulation, and optimisation settings</w:t>
      </w:r>
      <w:bookmarkEnd w:id="54"/>
    </w:p>
    <w:tbl>
      <w:tblPr>
        <w:tblW w:w="9062" w:type="dxa"/>
        <w:tblLook w:val="04A0" w:firstRow="1" w:lastRow="0" w:firstColumn="1" w:lastColumn="0" w:noHBand="0" w:noVBand="1"/>
      </w:tblPr>
      <w:tblGrid>
        <w:gridCol w:w="3300"/>
        <w:gridCol w:w="2420"/>
        <w:gridCol w:w="3342"/>
      </w:tblGrid>
      <w:tr w:rsidR="00F2491D" w:rsidRPr="00F2491D" w14:paraId="410C6826" w14:textId="77777777" w:rsidTr="00F825EA">
        <w:trPr>
          <w:trHeight w:val="600"/>
        </w:trPr>
        <w:tc>
          <w:tcPr>
            <w:tcW w:w="9062" w:type="dxa"/>
            <w:gridSpan w:val="3"/>
            <w:tcBorders>
              <w:top w:val="single" w:sz="8" w:space="0" w:color="555555"/>
              <w:left w:val="single" w:sz="8" w:space="0" w:color="555555"/>
              <w:bottom w:val="single" w:sz="8" w:space="0" w:color="555555"/>
              <w:right w:val="single" w:sz="8" w:space="0" w:color="555555"/>
            </w:tcBorders>
            <w:shd w:val="clear" w:color="1A3A5C" w:fill="1A3A5C"/>
            <w:vAlign w:val="center"/>
            <w:hideMark/>
          </w:tcPr>
          <w:p w14:paraId="1C4FEB8E" w14:textId="77777777" w:rsidR="00F2491D" w:rsidRPr="00F2491D" w:rsidRDefault="00F2491D" w:rsidP="009F658F">
            <w:pPr>
              <w:spacing w:after="0" w:line="240" w:lineRule="auto"/>
              <w:jc w:val="both"/>
              <w:rPr>
                <w:rFonts w:ascii="Arial" w:eastAsia="Times New Roman" w:hAnsi="Arial" w:cs="Arial"/>
                <w:b/>
                <w:bCs/>
                <w:color w:val="FFFFFF"/>
                <w:sz w:val="26"/>
                <w:szCs w:val="26"/>
                <w:lang w:eastAsia="en-IN"/>
              </w:rPr>
            </w:pPr>
            <w:r w:rsidRPr="00F2491D">
              <w:rPr>
                <w:rFonts w:ascii="Arial" w:eastAsia="Times New Roman" w:hAnsi="Arial" w:cs="Arial"/>
                <w:b/>
                <w:bCs/>
                <w:color w:val="FFFFFF"/>
                <w:sz w:val="26"/>
                <w:szCs w:val="26"/>
                <w:lang w:eastAsia="en-IN"/>
              </w:rPr>
              <w:t>Experimental Hyperparameters</w:t>
            </w:r>
          </w:p>
        </w:tc>
      </w:tr>
      <w:tr w:rsidR="00F2491D" w:rsidRPr="00F2491D" w14:paraId="5BC46F21" w14:textId="77777777" w:rsidTr="00F825EA">
        <w:trPr>
          <w:trHeight w:val="440"/>
        </w:trPr>
        <w:tc>
          <w:tcPr>
            <w:tcW w:w="3300" w:type="dxa"/>
            <w:tcBorders>
              <w:top w:val="single" w:sz="8" w:space="0" w:color="555555"/>
              <w:left w:val="single" w:sz="8" w:space="0" w:color="555555"/>
              <w:bottom w:val="single" w:sz="8" w:space="0" w:color="555555"/>
              <w:right w:val="nil"/>
            </w:tcBorders>
            <w:shd w:val="clear" w:color="2C3E50" w:fill="2C3E50"/>
            <w:vAlign w:val="center"/>
            <w:hideMark/>
          </w:tcPr>
          <w:p w14:paraId="1404512D" w14:textId="77777777" w:rsidR="00F2491D" w:rsidRPr="00F2491D" w:rsidRDefault="00F2491D" w:rsidP="009F658F">
            <w:pPr>
              <w:spacing w:after="0" w:line="240" w:lineRule="auto"/>
              <w:jc w:val="both"/>
              <w:rPr>
                <w:rFonts w:ascii="Arial" w:eastAsia="Times New Roman" w:hAnsi="Arial" w:cs="Arial"/>
                <w:b/>
                <w:bCs/>
                <w:color w:val="FFFFFF"/>
                <w:lang w:eastAsia="en-IN"/>
              </w:rPr>
            </w:pPr>
            <w:r w:rsidRPr="00F2491D">
              <w:rPr>
                <w:rFonts w:ascii="Arial" w:eastAsia="Times New Roman" w:hAnsi="Arial" w:cs="Arial"/>
                <w:b/>
                <w:bCs/>
                <w:color w:val="FFFFFF"/>
                <w:lang w:eastAsia="en-IN"/>
              </w:rPr>
              <w:t>Hyperparameter</w:t>
            </w:r>
          </w:p>
        </w:tc>
        <w:tc>
          <w:tcPr>
            <w:tcW w:w="2420" w:type="dxa"/>
            <w:tcBorders>
              <w:top w:val="single" w:sz="8" w:space="0" w:color="555555"/>
              <w:left w:val="nil"/>
              <w:bottom w:val="single" w:sz="8" w:space="0" w:color="555555"/>
              <w:right w:val="nil"/>
            </w:tcBorders>
            <w:shd w:val="clear" w:color="2C3E50" w:fill="2C3E50"/>
            <w:vAlign w:val="center"/>
            <w:hideMark/>
          </w:tcPr>
          <w:p w14:paraId="04AAD6E3" w14:textId="77777777" w:rsidR="00F2491D" w:rsidRPr="00F2491D" w:rsidRDefault="00F2491D" w:rsidP="009F658F">
            <w:pPr>
              <w:spacing w:after="0" w:line="240" w:lineRule="auto"/>
              <w:jc w:val="both"/>
              <w:rPr>
                <w:rFonts w:ascii="Arial" w:eastAsia="Times New Roman" w:hAnsi="Arial" w:cs="Arial"/>
                <w:b/>
                <w:bCs/>
                <w:color w:val="FFFFFF"/>
                <w:lang w:eastAsia="en-IN"/>
              </w:rPr>
            </w:pPr>
            <w:r w:rsidRPr="00F2491D">
              <w:rPr>
                <w:rFonts w:ascii="Arial" w:eastAsia="Times New Roman" w:hAnsi="Arial" w:cs="Arial"/>
                <w:b/>
                <w:bCs/>
                <w:color w:val="FFFFFF"/>
                <w:lang w:eastAsia="en-IN"/>
              </w:rPr>
              <w:t>Value</w:t>
            </w:r>
          </w:p>
        </w:tc>
        <w:tc>
          <w:tcPr>
            <w:tcW w:w="3342" w:type="dxa"/>
            <w:tcBorders>
              <w:top w:val="single" w:sz="8" w:space="0" w:color="555555"/>
              <w:left w:val="nil"/>
              <w:bottom w:val="single" w:sz="8" w:space="0" w:color="555555"/>
              <w:right w:val="single" w:sz="8" w:space="0" w:color="555555"/>
            </w:tcBorders>
            <w:shd w:val="clear" w:color="2C3E50" w:fill="2C3E50"/>
            <w:vAlign w:val="center"/>
            <w:hideMark/>
          </w:tcPr>
          <w:p w14:paraId="29026409" w14:textId="77777777" w:rsidR="00F2491D" w:rsidRPr="00F2491D" w:rsidRDefault="00F2491D" w:rsidP="009F658F">
            <w:pPr>
              <w:spacing w:after="0" w:line="240" w:lineRule="auto"/>
              <w:jc w:val="both"/>
              <w:rPr>
                <w:rFonts w:ascii="Arial" w:eastAsia="Times New Roman" w:hAnsi="Arial" w:cs="Arial"/>
                <w:b/>
                <w:bCs/>
                <w:color w:val="FFFFFF"/>
                <w:lang w:eastAsia="en-IN"/>
              </w:rPr>
            </w:pPr>
            <w:r w:rsidRPr="00F2491D">
              <w:rPr>
                <w:rFonts w:ascii="Arial" w:eastAsia="Times New Roman" w:hAnsi="Arial" w:cs="Arial"/>
                <w:b/>
                <w:bCs/>
                <w:color w:val="FFFFFF"/>
                <w:lang w:eastAsia="en-IN"/>
              </w:rPr>
              <w:t>Description</w:t>
            </w:r>
          </w:p>
        </w:tc>
      </w:tr>
      <w:tr w:rsidR="00F2491D" w:rsidRPr="00F2491D" w14:paraId="7CC1F0D8" w14:textId="77777777" w:rsidTr="00F825EA">
        <w:trPr>
          <w:trHeight w:val="360"/>
        </w:trPr>
        <w:tc>
          <w:tcPr>
            <w:tcW w:w="9062" w:type="dxa"/>
            <w:gridSpan w:val="3"/>
            <w:tcBorders>
              <w:top w:val="single" w:sz="4" w:space="0" w:color="CCCCCC"/>
              <w:left w:val="single" w:sz="4" w:space="0" w:color="CCCCCC"/>
              <w:bottom w:val="single" w:sz="4" w:space="0" w:color="CCCCCC"/>
              <w:right w:val="single" w:sz="4" w:space="0" w:color="CCCCCC"/>
            </w:tcBorders>
            <w:shd w:val="clear" w:color="BDD7EE" w:fill="BDD7EE"/>
            <w:vAlign w:val="center"/>
            <w:hideMark/>
          </w:tcPr>
          <w:p w14:paraId="19E8383B" w14:textId="77777777" w:rsidR="00F2491D" w:rsidRPr="00F2491D" w:rsidRDefault="00F2491D" w:rsidP="009F658F">
            <w:pPr>
              <w:spacing w:after="0" w:line="240" w:lineRule="auto"/>
              <w:jc w:val="both"/>
              <w:rPr>
                <w:rFonts w:ascii="Arial" w:eastAsia="Times New Roman" w:hAnsi="Arial" w:cs="Arial"/>
                <w:b/>
                <w:bCs/>
                <w:color w:val="1A5276"/>
                <w:sz w:val="20"/>
                <w:szCs w:val="20"/>
                <w:lang w:eastAsia="en-IN"/>
              </w:rPr>
            </w:pPr>
            <w:r w:rsidRPr="00F2491D">
              <w:rPr>
                <w:rFonts w:ascii="Arial" w:eastAsia="Times New Roman" w:hAnsi="Arial" w:cs="Arial"/>
                <w:b/>
                <w:bCs/>
                <w:color w:val="1A5276"/>
                <w:sz w:val="20"/>
                <w:szCs w:val="20"/>
                <w:lang w:eastAsia="en-IN"/>
              </w:rPr>
              <w:t xml:space="preserve">  Portfolio settings</w:t>
            </w:r>
          </w:p>
        </w:tc>
      </w:tr>
      <w:tr w:rsidR="00F2491D" w:rsidRPr="00F2491D" w14:paraId="7766C88D" w14:textId="77777777" w:rsidTr="00F825EA">
        <w:trPr>
          <w:trHeight w:val="400"/>
        </w:trPr>
        <w:tc>
          <w:tcPr>
            <w:tcW w:w="3300" w:type="dxa"/>
            <w:tcBorders>
              <w:top w:val="nil"/>
              <w:left w:val="single" w:sz="4" w:space="0" w:color="CCCCCC"/>
              <w:bottom w:val="single" w:sz="4" w:space="0" w:color="CCCCCC"/>
              <w:right w:val="nil"/>
            </w:tcBorders>
            <w:shd w:val="clear" w:color="EAF6FF" w:fill="EAF6FF"/>
            <w:vAlign w:val="center"/>
            <w:hideMark/>
          </w:tcPr>
          <w:p w14:paraId="37417E43"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t>Starting cash</w:t>
            </w:r>
          </w:p>
        </w:tc>
        <w:tc>
          <w:tcPr>
            <w:tcW w:w="2420" w:type="dxa"/>
            <w:tcBorders>
              <w:top w:val="nil"/>
              <w:left w:val="nil"/>
              <w:bottom w:val="single" w:sz="4" w:space="0" w:color="CCCCCC"/>
              <w:right w:val="nil"/>
            </w:tcBorders>
            <w:shd w:val="clear" w:color="EAF6FF" w:fill="EAF6FF"/>
            <w:vAlign w:val="center"/>
            <w:hideMark/>
          </w:tcPr>
          <w:p w14:paraId="6695AA7A" w14:textId="637DC2EC" w:rsidR="00F2491D" w:rsidRPr="00F2491D" w:rsidRDefault="003E7638" w:rsidP="009F658F">
            <w:pPr>
              <w:spacing w:after="0" w:line="240" w:lineRule="auto"/>
              <w:jc w:val="both"/>
              <w:rPr>
                <w:rFonts w:ascii="Arial" w:eastAsia="Times New Roman" w:hAnsi="Arial" w:cs="Arial"/>
                <w:b/>
                <w:bCs/>
                <w:color w:val="154360"/>
                <w:sz w:val="20"/>
                <w:szCs w:val="20"/>
                <w:lang w:eastAsia="en-IN"/>
              </w:rPr>
            </w:pPr>
            <w:r>
              <w:rPr>
                <w:rFonts w:ascii="Arial" w:eastAsia="Times New Roman" w:hAnsi="Arial" w:cs="Arial"/>
                <w:b/>
                <w:bCs/>
                <w:color w:val="154360"/>
                <w:sz w:val="20"/>
                <w:szCs w:val="20"/>
                <w:lang w:eastAsia="en-IN"/>
              </w:rPr>
              <w:t>$</w:t>
            </w:r>
            <w:r w:rsidR="00F2491D" w:rsidRPr="00F2491D">
              <w:rPr>
                <w:rFonts w:ascii="Arial" w:eastAsia="Times New Roman" w:hAnsi="Arial" w:cs="Arial"/>
                <w:b/>
                <w:bCs/>
                <w:color w:val="154360"/>
                <w:sz w:val="20"/>
                <w:szCs w:val="20"/>
                <w:lang w:eastAsia="en-IN"/>
              </w:rPr>
              <w:t>100,000</w:t>
            </w:r>
          </w:p>
        </w:tc>
        <w:tc>
          <w:tcPr>
            <w:tcW w:w="3342" w:type="dxa"/>
            <w:tcBorders>
              <w:top w:val="nil"/>
              <w:left w:val="nil"/>
              <w:bottom w:val="single" w:sz="4" w:space="0" w:color="CCCCCC"/>
              <w:right w:val="single" w:sz="4" w:space="0" w:color="CCCCCC"/>
            </w:tcBorders>
            <w:shd w:val="clear" w:color="EAF6FF" w:fill="EAF6FF"/>
            <w:vAlign w:val="center"/>
            <w:hideMark/>
          </w:tcPr>
          <w:p w14:paraId="16B9F7DE" w14:textId="77777777" w:rsidR="00F2491D" w:rsidRPr="00F2491D" w:rsidRDefault="00F2491D" w:rsidP="009F658F">
            <w:pPr>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Initial portfolio value</w:t>
            </w:r>
          </w:p>
        </w:tc>
      </w:tr>
      <w:tr w:rsidR="00F2491D" w:rsidRPr="00F2491D" w14:paraId="48EF075B" w14:textId="77777777" w:rsidTr="00F825EA">
        <w:trPr>
          <w:trHeight w:val="400"/>
        </w:trPr>
        <w:tc>
          <w:tcPr>
            <w:tcW w:w="3300" w:type="dxa"/>
            <w:tcBorders>
              <w:top w:val="nil"/>
              <w:left w:val="single" w:sz="4" w:space="0" w:color="CCCCCC"/>
              <w:bottom w:val="single" w:sz="4" w:space="0" w:color="CCCCCC"/>
              <w:right w:val="nil"/>
            </w:tcBorders>
            <w:shd w:val="clear" w:color="FFFFFF" w:fill="FFFFFF"/>
            <w:vAlign w:val="center"/>
            <w:hideMark/>
          </w:tcPr>
          <w:p w14:paraId="3D28BF4F"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t>Transaction cost</w:t>
            </w:r>
          </w:p>
        </w:tc>
        <w:tc>
          <w:tcPr>
            <w:tcW w:w="2420" w:type="dxa"/>
            <w:tcBorders>
              <w:top w:val="nil"/>
              <w:left w:val="nil"/>
              <w:bottom w:val="single" w:sz="4" w:space="0" w:color="CCCCCC"/>
              <w:right w:val="nil"/>
            </w:tcBorders>
            <w:shd w:val="clear" w:color="FFFFFF" w:fill="FFFFFF"/>
            <w:vAlign w:val="center"/>
            <w:hideMark/>
          </w:tcPr>
          <w:p w14:paraId="5F401DBA" w14:textId="77777777" w:rsidR="00F2491D" w:rsidRPr="00F2491D" w:rsidRDefault="00F2491D" w:rsidP="009F658F">
            <w:pPr>
              <w:spacing w:after="0" w:line="240" w:lineRule="auto"/>
              <w:jc w:val="both"/>
              <w:rPr>
                <w:rFonts w:ascii="Arial" w:eastAsia="Times New Roman" w:hAnsi="Arial" w:cs="Arial"/>
                <w:b/>
                <w:bCs/>
                <w:color w:val="154360"/>
                <w:sz w:val="20"/>
                <w:szCs w:val="20"/>
                <w:lang w:eastAsia="en-IN"/>
              </w:rPr>
            </w:pPr>
            <w:r w:rsidRPr="00F2491D">
              <w:rPr>
                <w:rFonts w:ascii="Arial" w:eastAsia="Times New Roman" w:hAnsi="Arial" w:cs="Arial"/>
                <w:b/>
                <w:bCs/>
                <w:color w:val="154360"/>
                <w:sz w:val="20"/>
                <w:szCs w:val="20"/>
                <w:lang w:eastAsia="en-IN"/>
              </w:rPr>
              <w:t>0.1% per trade</w:t>
            </w:r>
          </w:p>
        </w:tc>
        <w:tc>
          <w:tcPr>
            <w:tcW w:w="3342" w:type="dxa"/>
            <w:tcBorders>
              <w:top w:val="nil"/>
              <w:left w:val="nil"/>
              <w:bottom w:val="single" w:sz="4" w:space="0" w:color="CCCCCC"/>
              <w:right w:val="single" w:sz="4" w:space="0" w:color="CCCCCC"/>
            </w:tcBorders>
            <w:shd w:val="clear" w:color="FFFFFF" w:fill="FFFFFF"/>
            <w:vAlign w:val="center"/>
            <w:hideMark/>
          </w:tcPr>
          <w:p w14:paraId="39C15538" w14:textId="77777777" w:rsidR="00F2491D" w:rsidRPr="00F2491D" w:rsidRDefault="00F2491D" w:rsidP="009F658F">
            <w:pPr>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Applied at entry and exit</w:t>
            </w:r>
          </w:p>
        </w:tc>
      </w:tr>
      <w:tr w:rsidR="00F2491D" w:rsidRPr="00F2491D" w14:paraId="0AAD25BB" w14:textId="77777777" w:rsidTr="00F825EA">
        <w:trPr>
          <w:trHeight w:val="400"/>
        </w:trPr>
        <w:tc>
          <w:tcPr>
            <w:tcW w:w="3300" w:type="dxa"/>
            <w:tcBorders>
              <w:top w:val="nil"/>
              <w:left w:val="single" w:sz="4" w:space="0" w:color="CCCCCC"/>
              <w:bottom w:val="single" w:sz="4" w:space="0" w:color="CCCCCC"/>
              <w:right w:val="nil"/>
            </w:tcBorders>
            <w:shd w:val="clear" w:color="EAF6FF" w:fill="EAF6FF"/>
            <w:vAlign w:val="center"/>
            <w:hideMark/>
          </w:tcPr>
          <w:p w14:paraId="14FA08E0"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t>Max position size</w:t>
            </w:r>
          </w:p>
        </w:tc>
        <w:tc>
          <w:tcPr>
            <w:tcW w:w="2420" w:type="dxa"/>
            <w:tcBorders>
              <w:top w:val="nil"/>
              <w:left w:val="nil"/>
              <w:bottom w:val="single" w:sz="4" w:space="0" w:color="CCCCCC"/>
              <w:right w:val="nil"/>
            </w:tcBorders>
            <w:shd w:val="clear" w:color="EAF6FF" w:fill="EAF6FF"/>
            <w:vAlign w:val="center"/>
            <w:hideMark/>
          </w:tcPr>
          <w:p w14:paraId="5733328B" w14:textId="77777777" w:rsidR="00F2491D" w:rsidRPr="00F2491D" w:rsidRDefault="00F2491D" w:rsidP="009F658F">
            <w:pPr>
              <w:spacing w:after="0" w:line="240" w:lineRule="auto"/>
              <w:jc w:val="both"/>
              <w:rPr>
                <w:rFonts w:ascii="Arial" w:eastAsia="Times New Roman" w:hAnsi="Arial" w:cs="Arial"/>
                <w:b/>
                <w:bCs/>
                <w:color w:val="154360"/>
                <w:sz w:val="20"/>
                <w:szCs w:val="20"/>
                <w:lang w:eastAsia="en-IN"/>
              </w:rPr>
            </w:pPr>
            <w:r w:rsidRPr="00F2491D">
              <w:rPr>
                <w:rFonts w:ascii="Arial" w:eastAsia="Times New Roman" w:hAnsi="Arial" w:cs="Arial"/>
                <w:b/>
                <w:bCs/>
                <w:color w:val="154360"/>
                <w:sz w:val="20"/>
                <w:szCs w:val="20"/>
                <w:lang w:eastAsia="en-IN"/>
              </w:rPr>
              <w:t>10% of portfolio</w:t>
            </w:r>
          </w:p>
        </w:tc>
        <w:tc>
          <w:tcPr>
            <w:tcW w:w="3342" w:type="dxa"/>
            <w:tcBorders>
              <w:top w:val="nil"/>
              <w:left w:val="nil"/>
              <w:bottom w:val="single" w:sz="4" w:space="0" w:color="CCCCCC"/>
              <w:right w:val="single" w:sz="4" w:space="0" w:color="CCCCCC"/>
            </w:tcBorders>
            <w:shd w:val="clear" w:color="EAF6FF" w:fill="EAF6FF"/>
            <w:vAlign w:val="center"/>
            <w:hideMark/>
          </w:tcPr>
          <w:p w14:paraId="6226EF09" w14:textId="77777777" w:rsidR="00F2491D" w:rsidRPr="00F2491D" w:rsidRDefault="00F2491D" w:rsidP="009F658F">
            <w:pPr>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Base allocation cap</w:t>
            </w:r>
          </w:p>
        </w:tc>
      </w:tr>
      <w:tr w:rsidR="00F2491D" w:rsidRPr="00F2491D" w14:paraId="53AE9546" w14:textId="77777777" w:rsidTr="00F825EA">
        <w:trPr>
          <w:trHeight w:val="400"/>
        </w:trPr>
        <w:tc>
          <w:tcPr>
            <w:tcW w:w="3300" w:type="dxa"/>
            <w:tcBorders>
              <w:top w:val="nil"/>
              <w:left w:val="single" w:sz="4" w:space="0" w:color="CCCCCC"/>
              <w:bottom w:val="single" w:sz="4" w:space="0" w:color="CCCCCC"/>
              <w:right w:val="nil"/>
            </w:tcBorders>
            <w:shd w:val="clear" w:color="FFFFFF" w:fill="FFFFFF"/>
            <w:vAlign w:val="center"/>
            <w:hideMark/>
          </w:tcPr>
          <w:p w14:paraId="2F8D3B45"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t>Min holding period</w:t>
            </w:r>
          </w:p>
        </w:tc>
        <w:tc>
          <w:tcPr>
            <w:tcW w:w="2420" w:type="dxa"/>
            <w:tcBorders>
              <w:top w:val="nil"/>
              <w:left w:val="nil"/>
              <w:bottom w:val="single" w:sz="4" w:space="0" w:color="CCCCCC"/>
              <w:right w:val="nil"/>
            </w:tcBorders>
            <w:shd w:val="clear" w:color="FFFFFF" w:fill="FFFFFF"/>
            <w:vAlign w:val="center"/>
            <w:hideMark/>
          </w:tcPr>
          <w:p w14:paraId="582792B8" w14:textId="77777777" w:rsidR="00F2491D" w:rsidRPr="00F2491D" w:rsidRDefault="00F2491D" w:rsidP="009F658F">
            <w:pPr>
              <w:spacing w:after="0" w:line="240" w:lineRule="auto"/>
              <w:jc w:val="both"/>
              <w:rPr>
                <w:rFonts w:ascii="Arial" w:eastAsia="Times New Roman" w:hAnsi="Arial" w:cs="Arial"/>
                <w:b/>
                <w:bCs/>
                <w:color w:val="154360"/>
                <w:sz w:val="20"/>
                <w:szCs w:val="20"/>
                <w:lang w:eastAsia="en-IN"/>
              </w:rPr>
            </w:pPr>
            <w:r w:rsidRPr="00F2491D">
              <w:rPr>
                <w:rFonts w:ascii="Arial" w:eastAsia="Times New Roman" w:hAnsi="Arial" w:cs="Arial"/>
                <w:b/>
                <w:bCs/>
                <w:color w:val="154360"/>
                <w:sz w:val="20"/>
                <w:szCs w:val="20"/>
                <w:lang w:eastAsia="en-IN"/>
              </w:rPr>
              <w:t>20 days</w:t>
            </w:r>
          </w:p>
        </w:tc>
        <w:tc>
          <w:tcPr>
            <w:tcW w:w="3342" w:type="dxa"/>
            <w:tcBorders>
              <w:top w:val="nil"/>
              <w:left w:val="nil"/>
              <w:bottom w:val="single" w:sz="4" w:space="0" w:color="CCCCCC"/>
              <w:right w:val="single" w:sz="4" w:space="0" w:color="CCCCCC"/>
            </w:tcBorders>
            <w:shd w:val="clear" w:color="FFFFFF" w:fill="FFFFFF"/>
            <w:vAlign w:val="center"/>
            <w:hideMark/>
          </w:tcPr>
          <w:p w14:paraId="01346FB8" w14:textId="77777777" w:rsidR="00F2491D" w:rsidRPr="00F2491D" w:rsidRDefault="00F2491D" w:rsidP="009F658F">
            <w:pPr>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Before sell or position reverse</w:t>
            </w:r>
          </w:p>
        </w:tc>
      </w:tr>
      <w:tr w:rsidR="00F2491D" w:rsidRPr="00F2491D" w14:paraId="2C702DA0" w14:textId="77777777" w:rsidTr="00F825EA">
        <w:trPr>
          <w:trHeight w:val="360"/>
        </w:trPr>
        <w:tc>
          <w:tcPr>
            <w:tcW w:w="9062" w:type="dxa"/>
            <w:gridSpan w:val="3"/>
            <w:tcBorders>
              <w:top w:val="single" w:sz="4" w:space="0" w:color="CCCCCC"/>
              <w:left w:val="single" w:sz="4" w:space="0" w:color="CCCCCC"/>
              <w:bottom w:val="single" w:sz="4" w:space="0" w:color="CCCCCC"/>
              <w:right w:val="single" w:sz="4" w:space="0" w:color="CCCCCC"/>
            </w:tcBorders>
            <w:shd w:val="clear" w:color="A9DFBF" w:fill="A9DFBF"/>
            <w:vAlign w:val="center"/>
            <w:hideMark/>
          </w:tcPr>
          <w:p w14:paraId="6BA17771" w14:textId="77777777" w:rsidR="00F2491D" w:rsidRPr="00F2491D" w:rsidRDefault="00F2491D" w:rsidP="009F658F">
            <w:pPr>
              <w:spacing w:after="0" w:line="240" w:lineRule="auto"/>
              <w:jc w:val="both"/>
              <w:rPr>
                <w:rFonts w:ascii="Arial" w:eastAsia="Times New Roman" w:hAnsi="Arial" w:cs="Arial"/>
                <w:b/>
                <w:bCs/>
                <w:color w:val="1A5276"/>
                <w:sz w:val="20"/>
                <w:szCs w:val="20"/>
                <w:lang w:eastAsia="en-IN"/>
              </w:rPr>
            </w:pPr>
            <w:r w:rsidRPr="00F2491D">
              <w:rPr>
                <w:rFonts w:ascii="Arial" w:eastAsia="Times New Roman" w:hAnsi="Arial" w:cs="Arial"/>
                <w:b/>
                <w:bCs/>
                <w:color w:val="1A5276"/>
                <w:sz w:val="20"/>
                <w:szCs w:val="20"/>
                <w:lang w:eastAsia="en-IN"/>
              </w:rPr>
              <w:t xml:space="preserve">  Simulation settings</w:t>
            </w:r>
          </w:p>
        </w:tc>
      </w:tr>
      <w:tr w:rsidR="00F2491D" w:rsidRPr="00F2491D" w14:paraId="33CCD05F" w14:textId="77777777" w:rsidTr="00F825EA">
        <w:trPr>
          <w:trHeight w:val="400"/>
        </w:trPr>
        <w:tc>
          <w:tcPr>
            <w:tcW w:w="3300" w:type="dxa"/>
            <w:tcBorders>
              <w:top w:val="nil"/>
              <w:left w:val="single" w:sz="4" w:space="0" w:color="CCCCCC"/>
              <w:bottom w:val="single" w:sz="4" w:space="0" w:color="CCCCCC"/>
              <w:right w:val="nil"/>
            </w:tcBorders>
            <w:shd w:val="clear" w:color="F0FFF4" w:fill="F0FFF4"/>
            <w:vAlign w:val="center"/>
            <w:hideMark/>
          </w:tcPr>
          <w:p w14:paraId="66932B77"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t>History window</w:t>
            </w:r>
          </w:p>
        </w:tc>
        <w:tc>
          <w:tcPr>
            <w:tcW w:w="2420" w:type="dxa"/>
            <w:tcBorders>
              <w:top w:val="nil"/>
              <w:left w:val="nil"/>
              <w:bottom w:val="single" w:sz="4" w:space="0" w:color="CCCCCC"/>
              <w:right w:val="nil"/>
            </w:tcBorders>
            <w:shd w:val="clear" w:color="F0FFF4" w:fill="F0FFF4"/>
            <w:vAlign w:val="center"/>
            <w:hideMark/>
          </w:tcPr>
          <w:p w14:paraId="36F753FD" w14:textId="77777777" w:rsidR="00F2491D" w:rsidRPr="00F2491D" w:rsidRDefault="00F2491D" w:rsidP="009F658F">
            <w:pPr>
              <w:spacing w:after="0" w:line="240" w:lineRule="auto"/>
              <w:jc w:val="both"/>
              <w:rPr>
                <w:rFonts w:ascii="Arial" w:eastAsia="Times New Roman" w:hAnsi="Arial" w:cs="Arial"/>
                <w:b/>
                <w:bCs/>
                <w:color w:val="154360"/>
                <w:sz w:val="20"/>
                <w:szCs w:val="20"/>
                <w:lang w:eastAsia="en-IN"/>
              </w:rPr>
            </w:pPr>
            <w:r w:rsidRPr="00F2491D">
              <w:rPr>
                <w:rFonts w:ascii="Arial" w:eastAsia="Times New Roman" w:hAnsi="Arial" w:cs="Arial"/>
                <w:b/>
                <w:bCs/>
                <w:color w:val="154360"/>
                <w:sz w:val="20"/>
                <w:szCs w:val="20"/>
                <w:lang w:eastAsia="en-IN"/>
              </w:rPr>
              <w:t>10 days</w:t>
            </w:r>
          </w:p>
        </w:tc>
        <w:tc>
          <w:tcPr>
            <w:tcW w:w="3342" w:type="dxa"/>
            <w:tcBorders>
              <w:top w:val="nil"/>
              <w:left w:val="nil"/>
              <w:bottom w:val="single" w:sz="4" w:space="0" w:color="CCCCCC"/>
              <w:right w:val="single" w:sz="4" w:space="0" w:color="CCCCCC"/>
            </w:tcBorders>
            <w:shd w:val="clear" w:color="F0FFF4" w:fill="F0FFF4"/>
            <w:vAlign w:val="center"/>
            <w:hideMark/>
          </w:tcPr>
          <w:p w14:paraId="495DEFFE" w14:textId="77777777" w:rsidR="00F2491D" w:rsidRPr="00F2491D" w:rsidRDefault="00F2491D" w:rsidP="009F658F">
            <w:pPr>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Historical context per agent input</w:t>
            </w:r>
          </w:p>
        </w:tc>
      </w:tr>
      <w:tr w:rsidR="00F2491D" w:rsidRPr="00F2491D" w14:paraId="5C299434" w14:textId="77777777" w:rsidTr="00F825EA">
        <w:trPr>
          <w:trHeight w:val="400"/>
        </w:trPr>
        <w:tc>
          <w:tcPr>
            <w:tcW w:w="3300" w:type="dxa"/>
            <w:tcBorders>
              <w:top w:val="nil"/>
              <w:left w:val="single" w:sz="4" w:space="0" w:color="CCCCCC"/>
              <w:bottom w:val="single" w:sz="4" w:space="0" w:color="CCCCCC"/>
              <w:right w:val="nil"/>
            </w:tcBorders>
            <w:shd w:val="clear" w:color="FFFFFF" w:fill="FFFFFF"/>
            <w:vAlign w:val="center"/>
            <w:hideMark/>
          </w:tcPr>
          <w:p w14:paraId="536291F8"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t>Chunk size</w:t>
            </w:r>
          </w:p>
        </w:tc>
        <w:tc>
          <w:tcPr>
            <w:tcW w:w="2420" w:type="dxa"/>
            <w:tcBorders>
              <w:top w:val="nil"/>
              <w:left w:val="nil"/>
              <w:bottom w:val="single" w:sz="4" w:space="0" w:color="CCCCCC"/>
              <w:right w:val="nil"/>
            </w:tcBorders>
            <w:shd w:val="clear" w:color="FFFFFF" w:fill="FFFFFF"/>
            <w:vAlign w:val="center"/>
            <w:hideMark/>
          </w:tcPr>
          <w:p w14:paraId="0786BF8C" w14:textId="77777777" w:rsidR="00F2491D" w:rsidRPr="00F2491D" w:rsidRDefault="00F2491D" w:rsidP="009F658F">
            <w:pPr>
              <w:spacing w:after="0" w:line="240" w:lineRule="auto"/>
              <w:jc w:val="both"/>
              <w:rPr>
                <w:rFonts w:ascii="Arial" w:eastAsia="Times New Roman" w:hAnsi="Arial" w:cs="Arial"/>
                <w:b/>
                <w:bCs/>
                <w:color w:val="154360"/>
                <w:sz w:val="20"/>
                <w:szCs w:val="20"/>
                <w:lang w:eastAsia="en-IN"/>
              </w:rPr>
            </w:pPr>
            <w:r w:rsidRPr="00F2491D">
              <w:rPr>
                <w:rFonts w:ascii="Arial" w:eastAsia="Times New Roman" w:hAnsi="Arial" w:cs="Arial"/>
                <w:b/>
                <w:bCs/>
                <w:color w:val="154360"/>
                <w:sz w:val="20"/>
                <w:szCs w:val="20"/>
                <w:lang w:eastAsia="en-IN"/>
              </w:rPr>
              <w:t>10 days</w:t>
            </w:r>
          </w:p>
        </w:tc>
        <w:tc>
          <w:tcPr>
            <w:tcW w:w="3342" w:type="dxa"/>
            <w:tcBorders>
              <w:top w:val="nil"/>
              <w:left w:val="nil"/>
              <w:bottom w:val="single" w:sz="4" w:space="0" w:color="CCCCCC"/>
              <w:right w:val="single" w:sz="4" w:space="0" w:color="CCCCCC"/>
            </w:tcBorders>
            <w:shd w:val="clear" w:color="FFFFFF" w:fill="FFFFFF"/>
            <w:vAlign w:val="center"/>
            <w:hideMark/>
          </w:tcPr>
          <w:p w14:paraId="576F1947" w14:textId="77777777" w:rsidR="00F2491D" w:rsidRPr="00F2491D" w:rsidRDefault="00F2491D" w:rsidP="009F658F">
            <w:pPr>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Per optimisation evaluation cycle</w:t>
            </w:r>
          </w:p>
        </w:tc>
      </w:tr>
      <w:tr w:rsidR="00F2491D" w:rsidRPr="00F2491D" w14:paraId="78B5DDB4" w14:textId="77777777" w:rsidTr="00F825EA">
        <w:trPr>
          <w:trHeight w:val="400"/>
        </w:trPr>
        <w:tc>
          <w:tcPr>
            <w:tcW w:w="3300" w:type="dxa"/>
            <w:tcBorders>
              <w:top w:val="nil"/>
              <w:left w:val="single" w:sz="4" w:space="0" w:color="CCCCCC"/>
              <w:bottom w:val="single" w:sz="4" w:space="0" w:color="CCCCCC"/>
              <w:right w:val="nil"/>
            </w:tcBorders>
            <w:shd w:val="clear" w:color="F0FFF4" w:fill="F0FFF4"/>
            <w:vAlign w:val="center"/>
            <w:hideMark/>
          </w:tcPr>
          <w:p w14:paraId="42277FCF"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t>Confidence gate</w:t>
            </w:r>
          </w:p>
        </w:tc>
        <w:tc>
          <w:tcPr>
            <w:tcW w:w="2420" w:type="dxa"/>
            <w:tcBorders>
              <w:top w:val="nil"/>
              <w:left w:val="nil"/>
              <w:bottom w:val="single" w:sz="4" w:space="0" w:color="CCCCCC"/>
              <w:right w:val="nil"/>
            </w:tcBorders>
            <w:shd w:val="clear" w:color="F0FFF4" w:fill="F0FFF4"/>
            <w:vAlign w:val="center"/>
            <w:hideMark/>
          </w:tcPr>
          <w:p w14:paraId="005EF7C7" w14:textId="77777777" w:rsidR="00F2491D" w:rsidRPr="00F2491D" w:rsidRDefault="00F2491D" w:rsidP="009F658F">
            <w:pPr>
              <w:spacing w:after="0" w:line="240" w:lineRule="auto"/>
              <w:jc w:val="both"/>
              <w:rPr>
                <w:rFonts w:ascii="Arial" w:eastAsia="Times New Roman" w:hAnsi="Arial" w:cs="Arial"/>
                <w:b/>
                <w:bCs/>
                <w:color w:val="154360"/>
                <w:sz w:val="20"/>
                <w:szCs w:val="20"/>
                <w:lang w:eastAsia="en-IN"/>
              </w:rPr>
            </w:pPr>
            <w:r w:rsidRPr="00F2491D">
              <w:rPr>
                <w:rFonts w:ascii="Arial" w:eastAsia="Times New Roman" w:hAnsi="Arial" w:cs="Arial"/>
                <w:b/>
                <w:bCs/>
                <w:color w:val="154360"/>
                <w:sz w:val="20"/>
                <w:szCs w:val="20"/>
                <w:lang w:eastAsia="en-IN"/>
              </w:rPr>
              <w:t>0.6</w:t>
            </w:r>
          </w:p>
        </w:tc>
        <w:tc>
          <w:tcPr>
            <w:tcW w:w="3342" w:type="dxa"/>
            <w:tcBorders>
              <w:top w:val="nil"/>
              <w:left w:val="nil"/>
              <w:bottom w:val="single" w:sz="4" w:space="0" w:color="CCCCCC"/>
              <w:right w:val="single" w:sz="4" w:space="0" w:color="CCCCCC"/>
            </w:tcBorders>
            <w:shd w:val="clear" w:color="F0FFF4" w:fill="F0FFF4"/>
            <w:vAlign w:val="center"/>
            <w:hideMark/>
          </w:tcPr>
          <w:p w14:paraId="56543D05" w14:textId="77777777" w:rsidR="00F2491D" w:rsidRPr="00F2491D" w:rsidRDefault="00F2491D" w:rsidP="009F658F">
            <w:pPr>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Minimum score to open new position</w:t>
            </w:r>
          </w:p>
        </w:tc>
      </w:tr>
      <w:tr w:rsidR="00F2491D" w:rsidRPr="00F2491D" w14:paraId="775EF6C0" w14:textId="77777777" w:rsidTr="00F825EA">
        <w:trPr>
          <w:trHeight w:val="400"/>
        </w:trPr>
        <w:tc>
          <w:tcPr>
            <w:tcW w:w="3300" w:type="dxa"/>
            <w:tcBorders>
              <w:top w:val="nil"/>
              <w:left w:val="single" w:sz="4" w:space="0" w:color="CCCCCC"/>
              <w:bottom w:val="single" w:sz="4" w:space="0" w:color="CCCCCC"/>
              <w:right w:val="nil"/>
            </w:tcBorders>
            <w:shd w:val="clear" w:color="FFFFFF" w:fill="FFFFFF"/>
            <w:vAlign w:val="center"/>
            <w:hideMark/>
          </w:tcPr>
          <w:p w14:paraId="74073866"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t>Random seed</w:t>
            </w:r>
          </w:p>
        </w:tc>
        <w:tc>
          <w:tcPr>
            <w:tcW w:w="2420" w:type="dxa"/>
            <w:tcBorders>
              <w:top w:val="nil"/>
              <w:left w:val="nil"/>
              <w:bottom w:val="single" w:sz="4" w:space="0" w:color="CCCCCC"/>
              <w:right w:val="nil"/>
            </w:tcBorders>
            <w:shd w:val="clear" w:color="FFFFFF" w:fill="FFFFFF"/>
            <w:vAlign w:val="center"/>
            <w:hideMark/>
          </w:tcPr>
          <w:p w14:paraId="540BA48E" w14:textId="77777777" w:rsidR="00F2491D" w:rsidRPr="00F2491D" w:rsidRDefault="00F2491D" w:rsidP="009F658F">
            <w:pPr>
              <w:spacing w:after="0" w:line="240" w:lineRule="auto"/>
              <w:jc w:val="both"/>
              <w:rPr>
                <w:rFonts w:ascii="Arial" w:eastAsia="Times New Roman" w:hAnsi="Arial" w:cs="Arial"/>
                <w:b/>
                <w:bCs/>
                <w:color w:val="154360"/>
                <w:sz w:val="20"/>
                <w:szCs w:val="20"/>
                <w:lang w:eastAsia="en-IN"/>
              </w:rPr>
            </w:pPr>
            <w:r w:rsidRPr="00F2491D">
              <w:rPr>
                <w:rFonts w:ascii="Arial" w:eastAsia="Times New Roman" w:hAnsi="Arial" w:cs="Arial"/>
                <w:b/>
                <w:bCs/>
                <w:color w:val="154360"/>
                <w:sz w:val="20"/>
                <w:szCs w:val="20"/>
                <w:lang w:eastAsia="en-IN"/>
              </w:rPr>
              <w:t>42</w:t>
            </w:r>
          </w:p>
        </w:tc>
        <w:tc>
          <w:tcPr>
            <w:tcW w:w="3342" w:type="dxa"/>
            <w:tcBorders>
              <w:top w:val="nil"/>
              <w:left w:val="nil"/>
              <w:bottom w:val="single" w:sz="4" w:space="0" w:color="CCCCCC"/>
              <w:right w:val="single" w:sz="4" w:space="0" w:color="CCCCCC"/>
            </w:tcBorders>
            <w:shd w:val="clear" w:color="FFFFFF" w:fill="FFFFFF"/>
            <w:vAlign w:val="center"/>
            <w:hideMark/>
          </w:tcPr>
          <w:p w14:paraId="5DB4AD08" w14:textId="77777777" w:rsidR="00F2491D" w:rsidRPr="00F2491D" w:rsidRDefault="00F2491D" w:rsidP="009F658F">
            <w:pPr>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Ensures full reproducibility</w:t>
            </w:r>
          </w:p>
        </w:tc>
      </w:tr>
      <w:tr w:rsidR="00F2491D" w:rsidRPr="00F2491D" w14:paraId="0BE5D819" w14:textId="77777777" w:rsidTr="00F825EA">
        <w:trPr>
          <w:trHeight w:val="360"/>
        </w:trPr>
        <w:tc>
          <w:tcPr>
            <w:tcW w:w="9062" w:type="dxa"/>
            <w:gridSpan w:val="3"/>
            <w:tcBorders>
              <w:top w:val="single" w:sz="4" w:space="0" w:color="CCCCCC"/>
              <w:left w:val="single" w:sz="4" w:space="0" w:color="CCCCCC"/>
              <w:bottom w:val="single" w:sz="4" w:space="0" w:color="CCCCCC"/>
              <w:right w:val="single" w:sz="4" w:space="0" w:color="CCCCCC"/>
            </w:tcBorders>
            <w:shd w:val="clear" w:color="FAD7A0" w:fill="FAD7A0"/>
            <w:vAlign w:val="center"/>
            <w:hideMark/>
          </w:tcPr>
          <w:p w14:paraId="112D24B4" w14:textId="77777777" w:rsidR="00F2491D" w:rsidRPr="00F2491D" w:rsidRDefault="00F2491D" w:rsidP="009F658F">
            <w:pPr>
              <w:spacing w:after="0" w:line="240" w:lineRule="auto"/>
              <w:jc w:val="both"/>
              <w:rPr>
                <w:rFonts w:ascii="Arial" w:eastAsia="Times New Roman" w:hAnsi="Arial" w:cs="Arial"/>
                <w:b/>
                <w:bCs/>
                <w:color w:val="1A5276"/>
                <w:sz w:val="20"/>
                <w:szCs w:val="20"/>
                <w:lang w:eastAsia="en-IN"/>
              </w:rPr>
            </w:pPr>
            <w:r w:rsidRPr="00F2491D">
              <w:rPr>
                <w:rFonts w:ascii="Arial" w:eastAsia="Times New Roman" w:hAnsi="Arial" w:cs="Arial"/>
                <w:b/>
                <w:bCs/>
                <w:color w:val="1A5276"/>
                <w:sz w:val="20"/>
                <w:szCs w:val="20"/>
                <w:lang w:eastAsia="en-IN"/>
              </w:rPr>
              <w:t xml:space="preserve">  Optimisation thresholds</w:t>
            </w:r>
          </w:p>
        </w:tc>
      </w:tr>
      <w:tr w:rsidR="00F2491D" w:rsidRPr="00F2491D" w14:paraId="2904E255" w14:textId="77777777" w:rsidTr="00F825EA">
        <w:trPr>
          <w:trHeight w:val="400"/>
        </w:trPr>
        <w:tc>
          <w:tcPr>
            <w:tcW w:w="3300" w:type="dxa"/>
            <w:tcBorders>
              <w:top w:val="nil"/>
              <w:left w:val="single" w:sz="4" w:space="0" w:color="CCCCCC"/>
              <w:bottom w:val="single" w:sz="4" w:space="0" w:color="CCCCCC"/>
              <w:right w:val="nil"/>
            </w:tcBorders>
            <w:shd w:val="clear" w:color="FFF8E7" w:fill="FFF8E7"/>
            <w:vAlign w:val="center"/>
            <w:hideMark/>
          </w:tcPr>
          <w:p w14:paraId="0B9FEE3C"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lastRenderedPageBreak/>
              <w:t>Bootstrap drawdown</w:t>
            </w:r>
          </w:p>
        </w:tc>
        <w:tc>
          <w:tcPr>
            <w:tcW w:w="2420" w:type="dxa"/>
            <w:tcBorders>
              <w:top w:val="nil"/>
              <w:left w:val="nil"/>
              <w:bottom w:val="single" w:sz="4" w:space="0" w:color="CCCCCC"/>
              <w:right w:val="nil"/>
            </w:tcBorders>
            <w:shd w:val="clear" w:color="FFF8E7" w:fill="FFF8E7"/>
            <w:vAlign w:val="center"/>
            <w:hideMark/>
          </w:tcPr>
          <w:p w14:paraId="11831B4A" w14:textId="57F7CBEA" w:rsidR="00F2491D" w:rsidRPr="00F2491D" w:rsidRDefault="00F2491D" w:rsidP="009F658F">
            <w:pPr>
              <w:spacing w:after="0" w:line="240" w:lineRule="auto"/>
              <w:jc w:val="both"/>
              <w:rPr>
                <w:rFonts w:ascii="Arial" w:eastAsia="Times New Roman" w:hAnsi="Arial" w:cs="Arial"/>
                <w:b/>
                <w:bCs/>
                <w:color w:val="154360"/>
                <w:sz w:val="20"/>
                <w:szCs w:val="20"/>
                <w:lang w:eastAsia="en-IN"/>
              </w:rPr>
            </w:pPr>
            <w:r w:rsidRPr="00F2491D">
              <w:rPr>
                <w:rFonts w:ascii="Arial" w:eastAsia="Times New Roman" w:hAnsi="Arial" w:cs="Arial"/>
                <w:b/>
                <w:bCs/>
                <w:color w:val="154360"/>
                <w:sz w:val="20"/>
                <w:szCs w:val="20"/>
                <w:lang w:eastAsia="en-IN"/>
              </w:rPr>
              <w:t xml:space="preserve">2% </w:t>
            </w:r>
            <w:r>
              <w:rPr>
                <w:rFonts w:ascii="Arial" w:eastAsia="Times New Roman" w:hAnsi="Arial" w:cs="Arial"/>
                <w:b/>
                <w:bCs/>
                <w:color w:val="154360"/>
                <w:sz w:val="20"/>
                <w:szCs w:val="20"/>
                <w:lang w:eastAsia="en-IN"/>
              </w:rPr>
              <w:t xml:space="preserve">to </w:t>
            </w:r>
            <w:r w:rsidRPr="00F2491D">
              <w:rPr>
                <w:rFonts w:ascii="Arial" w:eastAsia="Times New Roman" w:hAnsi="Arial" w:cs="Arial"/>
                <w:b/>
                <w:bCs/>
                <w:color w:val="154360"/>
                <w:sz w:val="20"/>
                <w:szCs w:val="20"/>
                <w:lang w:eastAsia="en-IN"/>
              </w:rPr>
              <w:t>8%</w:t>
            </w:r>
          </w:p>
        </w:tc>
        <w:tc>
          <w:tcPr>
            <w:tcW w:w="3342" w:type="dxa"/>
            <w:tcBorders>
              <w:top w:val="nil"/>
              <w:left w:val="nil"/>
              <w:bottom w:val="single" w:sz="4" w:space="0" w:color="CCCCCC"/>
              <w:right w:val="single" w:sz="4" w:space="0" w:color="CCCCCC"/>
            </w:tcBorders>
            <w:shd w:val="clear" w:color="FFF8E7" w:fill="FFF8E7"/>
            <w:vAlign w:val="center"/>
            <w:hideMark/>
          </w:tcPr>
          <w:p w14:paraId="6DBA8ECB" w14:textId="77777777" w:rsidR="00F2491D" w:rsidRPr="00F2491D" w:rsidRDefault="00F2491D" w:rsidP="009F658F">
            <w:pPr>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 xml:space="preserve">Triggers Negative </w:t>
            </w:r>
            <w:proofErr w:type="spellStart"/>
            <w:r w:rsidRPr="00F2491D">
              <w:rPr>
                <w:rFonts w:ascii="Arial" w:eastAsia="Times New Roman" w:hAnsi="Arial" w:cs="Arial"/>
                <w:color w:val="555555"/>
                <w:sz w:val="20"/>
                <w:szCs w:val="20"/>
                <w:lang w:eastAsia="en-IN"/>
              </w:rPr>
              <w:t>BootstrapFewShot</w:t>
            </w:r>
            <w:proofErr w:type="spellEnd"/>
          </w:p>
        </w:tc>
      </w:tr>
      <w:tr w:rsidR="00F2491D" w:rsidRPr="00F2491D" w14:paraId="373CF592" w14:textId="77777777" w:rsidTr="00F825EA">
        <w:trPr>
          <w:trHeight w:val="400"/>
        </w:trPr>
        <w:tc>
          <w:tcPr>
            <w:tcW w:w="3300" w:type="dxa"/>
            <w:tcBorders>
              <w:top w:val="nil"/>
              <w:left w:val="single" w:sz="4" w:space="0" w:color="CCCCCC"/>
              <w:bottom w:val="single" w:sz="4" w:space="0" w:color="CCCCCC"/>
              <w:right w:val="nil"/>
            </w:tcBorders>
            <w:shd w:val="clear" w:color="FFFFFF" w:fill="FFFFFF"/>
            <w:vAlign w:val="center"/>
            <w:hideMark/>
          </w:tcPr>
          <w:p w14:paraId="3B6B8F9A"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t>Emergency MIPROv2</w:t>
            </w:r>
          </w:p>
        </w:tc>
        <w:tc>
          <w:tcPr>
            <w:tcW w:w="2420" w:type="dxa"/>
            <w:tcBorders>
              <w:top w:val="nil"/>
              <w:left w:val="nil"/>
              <w:bottom w:val="single" w:sz="4" w:space="0" w:color="CCCCCC"/>
              <w:right w:val="nil"/>
            </w:tcBorders>
            <w:shd w:val="clear" w:color="FFFFFF" w:fill="FFFFFF"/>
            <w:vAlign w:val="center"/>
            <w:hideMark/>
          </w:tcPr>
          <w:p w14:paraId="2870CDAE" w14:textId="77777777" w:rsidR="00F2491D" w:rsidRPr="00F2491D" w:rsidRDefault="00F2491D" w:rsidP="009F658F">
            <w:pPr>
              <w:spacing w:after="0" w:line="240" w:lineRule="auto"/>
              <w:jc w:val="both"/>
              <w:rPr>
                <w:rFonts w:ascii="Arial" w:eastAsia="Times New Roman" w:hAnsi="Arial" w:cs="Arial"/>
                <w:b/>
                <w:bCs/>
                <w:color w:val="154360"/>
                <w:sz w:val="20"/>
                <w:szCs w:val="20"/>
                <w:lang w:eastAsia="en-IN"/>
              </w:rPr>
            </w:pPr>
            <w:r w:rsidRPr="00F2491D">
              <w:rPr>
                <w:rFonts w:ascii="Arial" w:eastAsia="Times New Roman" w:hAnsi="Arial" w:cs="Arial"/>
                <w:b/>
                <w:bCs/>
                <w:color w:val="154360"/>
                <w:sz w:val="20"/>
                <w:szCs w:val="20"/>
                <w:lang w:eastAsia="en-IN"/>
              </w:rPr>
              <w:t>Above 8%</w:t>
            </w:r>
          </w:p>
        </w:tc>
        <w:tc>
          <w:tcPr>
            <w:tcW w:w="3342" w:type="dxa"/>
            <w:tcBorders>
              <w:top w:val="nil"/>
              <w:left w:val="nil"/>
              <w:bottom w:val="single" w:sz="4" w:space="0" w:color="CCCCCC"/>
              <w:right w:val="single" w:sz="4" w:space="0" w:color="CCCCCC"/>
            </w:tcBorders>
            <w:shd w:val="clear" w:color="FFFFFF" w:fill="FFFFFF"/>
            <w:vAlign w:val="center"/>
            <w:hideMark/>
          </w:tcPr>
          <w:p w14:paraId="0A8F51AC" w14:textId="77777777" w:rsidR="00F2491D" w:rsidRPr="00F2491D" w:rsidRDefault="00F2491D" w:rsidP="009F658F">
            <w:pPr>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Triggers full prompt rewrite</w:t>
            </w:r>
          </w:p>
        </w:tc>
      </w:tr>
      <w:tr w:rsidR="00F2491D" w:rsidRPr="00F2491D" w14:paraId="303DE47D" w14:textId="77777777" w:rsidTr="00F825EA">
        <w:trPr>
          <w:trHeight w:val="400"/>
        </w:trPr>
        <w:tc>
          <w:tcPr>
            <w:tcW w:w="3300" w:type="dxa"/>
            <w:tcBorders>
              <w:top w:val="nil"/>
              <w:left w:val="single" w:sz="8" w:space="0" w:color="555555"/>
              <w:bottom w:val="nil"/>
              <w:right w:val="nil"/>
            </w:tcBorders>
            <w:shd w:val="clear" w:color="FFF8E7" w:fill="FFF8E7"/>
            <w:vAlign w:val="center"/>
            <w:hideMark/>
          </w:tcPr>
          <w:p w14:paraId="38A5C3D2" w14:textId="77777777" w:rsidR="00F2491D" w:rsidRPr="00F2491D" w:rsidRDefault="00F2491D" w:rsidP="009F658F">
            <w:pPr>
              <w:spacing w:after="0" w:line="240" w:lineRule="auto"/>
              <w:jc w:val="both"/>
              <w:rPr>
                <w:rFonts w:ascii="Arial" w:eastAsia="Times New Roman" w:hAnsi="Arial" w:cs="Arial"/>
                <w:b/>
                <w:bCs/>
                <w:color w:val="2C3E50"/>
                <w:sz w:val="20"/>
                <w:szCs w:val="20"/>
                <w:lang w:eastAsia="en-IN"/>
              </w:rPr>
            </w:pPr>
            <w:r w:rsidRPr="00F2491D">
              <w:rPr>
                <w:rFonts w:ascii="Arial" w:eastAsia="Times New Roman" w:hAnsi="Arial" w:cs="Arial"/>
                <w:b/>
                <w:bCs/>
                <w:color w:val="2C3E50"/>
                <w:sz w:val="20"/>
                <w:szCs w:val="20"/>
                <w:lang w:eastAsia="en-IN"/>
              </w:rPr>
              <w:t>MIPROv2 config</w:t>
            </w:r>
          </w:p>
        </w:tc>
        <w:tc>
          <w:tcPr>
            <w:tcW w:w="2420" w:type="dxa"/>
            <w:tcBorders>
              <w:top w:val="nil"/>
              <w:left w:val="nil"/>
              <w:bottom w:val="nil"/>
              <w:right w:val="nil"/>
            </w:tcBorders>
            <w:shd w:val="clear" w:color="FFF8E7" w:fill="FFF8E7"/>
            <w:vAlign w:val="center"/>
            <w:hideMark/>
          </w:tcPr>
          <w:p w14:paraId="4A562AB4" w14:textId="77777777" w:rsidR="00F2491D" w:rsidRPr="00F2491D" w:rsidRDefault="00F2491D" w:rsidP="009F658F">
            <w:pPr>
              <w:spacing w:after="0" w:line="240" w:lineRule="auto"/>
              <w:jc w:val="both"/>
              <w:rPr>
                <w:rFonts w:ascii="Arial" w:eastAsia="Times New Roman" w:hAnsi="Arial" w:cs="Arial"/>
                <w:b/>
                <w:bCs/>
                <w:color w:val="154360"/>
                <w:sz w:val="20"/>
                <w:szCs w:val="20"/>
                <w:lang w:eastAsia="en-IN"/>
              </w:rPr>
            </w:pPr>
            <w:r w:rsidRPr="00F2491D">
              <w:rPr>
                <w:rFonts w:ascii="Arial" w:eastAsia="Times New Roman" w:hAnsi="Arial" w:cs="Arial"/>
                <w:b/>
                <w:bCs/>
                <w:color w:val="154360"/>
                <w:sz w:val="20"/>
                <w:szCs w:val="20"/>
                <w:lang w:eastAsia="en-IN"/>
              </w:rPr>
              <w:t>auto = light</w:t>
            </w:r>
          </w:p>
        </w:tc>
        <w:tc>
          <w:tcPr>
            <w:tcW w:w="3342" w:type="dxa"/>
            <w:tcBorders>
              <w:top w:val="nil"/>
              <w:left w:val="nil"/>
              <w:bottom w:val="nil"/>
              <w:right w:val="single" w:sz="8" w:space="0" w:color="555555"/>
            </w:tcBorders>
            <w:shd w:val="clear" w:color="FFF8E7" w:fill="FFF8E7"/>
            <w:vAlign w:val="center"/>
            <w:hideMark/>
          </w:tcPr>
          <w:p w14:paraId="66B105F1" w14:textId="77777777" w:rsidR="00F2491D" w:rsidRPr="00F2491D" w:rsidRDefault="00F2491D" w:rsidP="009F658F">
            <w:pPr>
              <w:keepNext/>
              <w:spacing w:after="0" w:line="240" w:lineRule="auto"/>
              <w:jc w:val="both"/>
              <w:rPr>
                <w:rFonts w:ascii="Arial" w:eastAsia="Times New Roman" w:hAnsi="Arial" w:cs="Arial"/>
                <w:color w:val="555555"/>
                <w:sz w:val="20"/>
                <w:szCs w:val="20"/>
                <w:lang w:eastAsia="en-IN"/>
              </w:rPr>
            </w:pPr>
            <w:r w:rsidRPr="00F2491D">
              <w:rPr>
                <w:rFonts w:ascii="Arial" w:eastAsia="Times New Roman" w:hAnsi="Arial" w:cs="Arial"/>
                <w:color w:val="555555"/>
                <w:sz w:val="20"/>
                <w:szCs w:val="20"/>
                <w:lang w:eastAsia="en-IN"/>
              </w:rPr>
              <w:t>Balances quality vs compute cost</w:t>
            </w:r>
          </w:p>
        </w:tc>
      </w:tr>
      <w:tr w:rsidR="00FF7D7E" w:rsidRPr="00F2491D" w14:paraId="0A6CC716" w14:textId="77777777" w:rsidTr="00F825EA">
        <w:trPr>
          <w:trHeight w:val="400"/>
        </w:trPr>
        <w:tc>
          <w:tcPr>
            <w:tcW w:w="3300" w:type="dxa"/>
            <w:tcBorders>
              <w:top w:val="nil"/>
              <w:left w:val="single" w:sz="8" w:space="0" w:color="555555"/>
              <w:bottom w:val="single" w:sz="8" w:space="0" w:color="555555"/>
              <w:right w:val="nil"/>
            </w:tcBorders>
            <w:shd w:val="clear" w:color="FFF8E7" w:fill="FFF8E7"/>
            <w:vAlign w:val="center"/>
          </w:tcPr>
          <w:p w14:paraId="4724C9DC" w14:textId="77777777" w:rsidR="00FF7D7E" w:rsidRPr="00F2491D" w:rsidRDefault="00FF7D7E" w:rsidP="009F658F">
            <w:pPr>
              <w:spacing w:after="0" w:line="240" w:lineRule="auto"/>
              <w:jc w:val="both"/>
              <w:rPr>
                <w:rFonts w:ascii="Arial" w:eastAsia="Times New Roman" w:hAnsi="Arial" w:cs="Arial"/>
                <w:b/>
                <w:bCs/>
                <w:color w:val="2C3E50"/>
                <w:sz w:val="20"/>
                <w:szCs w:val="20"/>
                <w:lang w:eastAsia="en-IN"/>
              </w:rPr>
            </w:pPr>
          </w:p>
        </w:tc>
        <w:tc>
          <w:tcPr>
            <w:tcW w:w="2420" w:type="dxa"/>
            <w:tcBorders>
              <w:top w:val="nil"/>
              <w:left w:val="nil"/>
              <w:bottom w:val="single" w:sz="8" w:space="0" w:color="555555"/>
              <w:right w:val="nil"/>
            </w:tcBorders>
            <w:shd w:val="clear" w:color="FFF8E7" w:fill="FFF8E7"/>
            <w:vAlign w:val="center"/>
          </w:tcPr>
          <w:p w14:paraId="6960CD18" w14:textId="77777777" w:rsidR="00FF7D7E" w:rsidRPr="00F2491D" w:rsidRDefault="00FF7D7E" w:rsidP="009F658F">
            <w:pPr>
              <w:spacing w:after="0" w:line="240" w:lineRule="auto"/>
              <w:jc w:val="both"/>
              <w:rPr>
                <w:rFonts w:ascii="Arial" w:eastAsia="Times New Roman" w:hAnsi="Arial" w:cs="Arial"/>
                <w:b/>
                <w:bCs/>
                <w:color w:val="154360"/>
                <w:sz w:val="20"/>
                <w:szCs w:val="20"/>
                <w:lang w:eastAsia="en-IN"/>
              </w:rPr>
            </w:pPr>
          </w:p>
        </w:tc>
        <w:tc>
          <w:tcPr>
            <w:tcW w:w="3342" w:type="dxa"/>
            <w:tcBorders>
              <w:top w:val="nil"/>
              <w:left w:val="nil"/>
              <w:bottom w:val="single" w:sz="8" w:space="0" w:color="555555"/>
              <w:right w:val="single" w:sz="8" w:space="0" w:color="555555"/>
            </w:tcBorders>
            <w:shd w:val="clear" w:color="FFF8E7" w:fill="FFF8E7"/>
            <w:vAlign w:val="center"/>
          </w:tcPr>
          <w:p w14:paraId="41A8F932" w14:textId="77777777" w:rsidR="00FF7D7E" w:rsidRPr="00F2491D" w:rsidRDefault="00FF7D7E" w:rsidP="009F658F">
            <w:pPr>
              <w:keepNext/>
              <w:spacing w:after="0" w:line="240" w:lineRule="auto"/>
              <w:jc w:val="both"/>
              <w:rPr>
                <w:rFonts w:ascii="Arial" w:eastAsia="Times New Roman" w:hAnsi="Arial" w:cs="Arial"/>
                <w:color w:val="555555"/>
                <w:sz w:val="20"/>
                <w:szCs w:val="20"/>
                <w:lang w:eastAsia="en-IN"/>
              </w:rPr>
            </w:pPr>
          </w:p>
        </w:tc>
      </w:tr>
    </w:tbl>
    <w:p w14:paraId="20E55EB3" w14:textId="6515CA9C" w:rsidR="00F2491D" w:rsidRDefault="00F2491D" w:rsidP="009F658F">
      <w:pPr>
        <w:pStyle w:val="Caption"/>
        <w:jc w:val="both"/>
      </w:pPr>
    </w:p>
    <w:p w14:paraId="2B237D42" w14:textId="1045EF9C" w:rsidR="00FF7D7E" w:rsidRPr="00FF7D7E" w:rsidRDefault="00FF7D7E" w:rsidP="009F658F">
      <w:pPr>
        <w:pStyle w:val="Heading3"/>
        <w:jc w:val="both"/>
      </w:pPr>
      <w:bookmarkStart w:id="55" w:name="_Toc228577632"/>
      <w:r w:rsidRPr="00FF7D7E">
        <w:t>3.9 Evaluation Metrics</w:t>
      </w:r>
      <w:bookmarkEnd w:id="55"/>
    </w:p>
    <w:p w14:paraId="16A09D5E" w14:textId="77777777" w:rsidR="00FF7D7E" w:rsidRDefault="00FF7D7E" w:rsidP="009F658F">
      <w:pPr>
        <w:jc w:val="both"/>
      </w:pPr>
    </w:p>
    <w:p w14:paraId="2FAC190E" w14:textId="7B06D1C3" w:rsidR="007B0F44" w:rsidRPr="007B0F44" w:rsidRDefault="007B0F44" w:rsidP="007B0F44">
      <w:pPr>
        <w:jc w:val="both"/>
      </w:pPr>
      <w:r w:rsidRPr="007B0F44">
        <w:t xml:space="preserve">The performance of the proposed framework is benchmarked using a composite reward function. It combines five evaluation metrics. Each of them is weighted to </w:t>
      </w:r>
      <w:r>
        <w:t xml:space="preserve">show </w:t>
      </w:r>
      <w:r w:rsidRPr="007B0F44">
        <w:t>its relative importance in real-world portfolio management, as summarised in Table 2. The Sharpe ratio carries the highest weight of 30% as the most widely recognised measure of risk-adjusted return. It captures how much return the system generates per unit of volatility. Total returns carry 25%. It shows the overall percentage growth in portfolio value across the evaluation period. The turnover penalty at 20% discourages excessive trading activity that would increase transaction costs and suggests the system is reacting to noise rather than genuine signals. The drawdown penalty at 15% captures the largest peak-to-trough decline in portfolio value, which shows the worst-case loss an investor would have experienced. Finally, signal accuracy carries 10%, measuring the proportion of trading decisions that correctly predicted the direction of the subsequent 30-day return. Please note that we can change it to a 1-day return also, logically it should not hold any value because we are trying to manage the portfolio, not classification, so the main evaluations are given to the respective evaluation metrics. This weighted composite approach is deliberately chosen over single-metric evaluation because no individual measure captures the full picture of trading performance, and a system that scores well on one metric whilst performing poorly on others would be unsuitable for real-world deployment.</w:t>
      </w:r>
    </w:p>
    <w:p w14:paraId="4FE35A7E" w14:textId="77777777" w:rsidR="009C7AD0" w:rsidRDefault="009C7AD0" w:rsidP="009F658F">
      <w:pPr>
        <w:jc w:val="both"/>
      </w:pPr>
    </w:p>
    <w:p w14:paraId="4C0CFF34" w14:textId="10060BDC" w:rsidR="00FF7D7E" w:rsidRDefault="00FF7D7E" w:rsidP="009F658F">
      <w:pPr>
        <w:pStyle w:val="Caption"/>
        <w:keepNext/>
        <w:ind w:firstLine="720"/>
        <w:jc w:val="both"/>
      </w:pPr>
      <w:bookmarkStart w:id="56" w:name="_Toc228815976"/>
      <w:r>
        <w:t xml:space="preserve">Table </w:t>
      </w:r>
      <w:fldSimple w:instr=" SEQ Table \* ARABIC ">
        <w:r w:rsidR="00BB2641">
          <w:rPr>
            <w:noProof/>
          </w:rPr>
          <w:t>2</w:t>
        </w:r>
      </w:fldSimple>
      <w:r>
        <w:t xml:space="preserve">: </w:t>
      </w:r>
      <w:r w:rsidRPr="002D0B92">
        <w:t>Evaluation metrics and their respective weights in the composite reward function.</w:t>
      </w:r>
      <w:bookmarkEnd w:id="56"/>
    </w:p>
    <w:tbl>
      <w:tblPr>
        <w:tblW w:w="10196" w:type="dxa"/>
        <w:jc w:val="center"/>
        <w:tblLook w:val="04A0" w:firstRow="1" w:lastRow="0" w:firstColumn="1" w:lastColumn="0" w:noHBand="0" w:noVBand="1"/>
      </w:tblPr>
      <w:tblGrid>
        <w:gridCol w:w="1975"/>
        <w:gridCol w:w="665"/>
        <w:gridCol w:w="1036"/>
        <w:gridCol w:w="504"/>
        <w:gridCol w:w="3040"/>
        <w:gridCol w:w="2976"/>
      </w:tblGrid>
      <w:tr w:rsidR="00FF7D7E" w:rsidRPr="00FF7D7E" w14:paraId="14D31BF1" w14:textId="77777777" w:rsidTr="00FF7D7E">
        <w:trPr>
          <w:trHeight w:val="640"/>
          <w:jc w:val="center"/>
        </w:trPr>
        <w:tc>
          <w:tcPr>
            <w:tcW w:w="10196" w:type="dxa"/>
            <w:gridSpan w:val="6"/>
            <w:tcBorders>
              <w:top w:val="single" w:sz="8" w:space="0" w:color="444444"/>
              <w:left w:val="single" w:sz="8" w:space="0" w:color="444444"/>
              <w:bottom w:val="single" w:sz="8" w:space="0" w:color="444444"/>
              <w:right w:val="single" w:sz="8" w:space="0" w:color="444444"/>
            </w:tcBorders>
            <w:shd w:val="clear" w:color="1A3A5C" w:fill="1A3A5C"/>
            <w:vAlign w:val="center"/>
            <w:hideMark/>
          </w:tcPr>
          <w:p w14:paraId="29A75E23" w14:textId="1DC0A3DB" w:rsidR="00FF7D7E" w:rsidRPr="00FF7D7E" w:rsidRDefault="002A4A2F" w:rsidP="009F658F">
            <w:pPr>
              <w:spacing w:after="0" w:line="240" w:lineRule="auto"/>
              <w:jc w:val="both"/>
              <w:rPr>
                <w:rFonts w:ascii="Arial" w:eastAsia="Times New Roman" w:hAnsi="Arial" w:cs="Arial"/>
                <w:b/>
                <w:bCs/>
                <w:color w:val="FFFFFF"/>
                <w:sz w:val="26"/>
                <w:szCs w:val="26"/>
                <w:lang w:eastAsia="en-IN"/>
              </w:rPr>
            </w:pPr>
            <w:r>
              <w:rPr>
                <w:rFonts w:ascii="Arial" w:eastAsia="Times New Roman" w:hAnsi="Arial" w:cs="Arial"/>
                <w:b/>
                <w:bCs/>
                <w:color w:val="FFFFFF"/>
                <w:sz w:val="26"/>
                <w:szCs w:val="26"/>
                <w:lang w:eastAsia="en-IN"/>
              </w:rPr>
              <w:tab/>
            </w:r>
          </w:p>
        </w:tc>
      </w:tr>
      <w:tr w:rsidR="00FF7D7E" w:rsidRPr="00FF7D7E" w14:paraId="3446DFFD" w14:textId="77777777" w:rsidTr="00FF7D7E">
        <w:trPr>
          <w:trHeight w:val="480"/>
          <w:jc w:val="center"/>
        </w:trPr>
        <w:tc>
          <w:tcPr>
            <w:tcW w:w="1975" w:type="dxa"/>
            <w:tcBorders>
              <w:top w:val="single" w:sz="8" w:space="0" w:color="444444"/>
              <w:left w:val="single" w:sz="8" w:space="0" w:color="444444"/>
              <w:bottom w:val="single" w:sz="8" w:space="0" w:color="444444"/>
              <w:right w:val="nil"/>
            </w:tcBorders>
            <w:shd w:val="clear" w:color="2C3E50" w:fill="2C3E50"/>
            <w:vAlign w:val="center"/>
            <w:hideMark/>
          </w:tcPr>
          <w:p w14:paraId="01E39B03" w14:textId="77777777" w:rsidR="00FF7D7E" w:rsidRPr="00FF7D7E" w:rsidRDefault="00FF7D7E" w:rsidP="009F658F">
            <w:pPr>
              <w:spacing w:after="0" w:line="240" w:lineRule="auto"/>
              <w:jc w:val="both"/>
              <w:rPr>
                <w:rFonts w:ascii="Arial" w:eastAsia="Times New Roman" w:hAnsi="Arial" w:cs="Arial"/>
                <w:b/>
                <w:bCs/>
                <w:color w:val="FFFFFF"/>
                <w:lang w:eastAsia="en-IN"/>
              </w:rPr>
            </w:pPr>
            <w:r w:rsidRPr="00FF7D7E">
              <w:rPr>
                <w:rFonts w:ascii="Arial" w:eastAsia="Times New Roman" w:hAnsi="Arial" w:cs="Arial"/>
                <w:b/>
                <w:bCs/>
                <w:color w:val="FFFFFF"/>
                <w:lang w:eastAsia="en-IN"/>
              </w:rPr>
              <w:t>Metric</w:t>
            </w:r>
          </w:p>
        </w:tc>
        <w:tc>
          <w:tcPr>
            <w:tcW w:w="1701" w:type="dxa"/>
            <w:gridSpan w:val="2"/>
            <w:tcBorders>
              <w:top w:val="single" w:sz="8" w:space="0" w:color="444444"/>
              <w:left w:val="nil"/>
              <w:bottom w:val="single" w:sz="8" w:space="0" w:color="444444"/>
              <w:right w:val="nil"/>
            </w:tcBorders>
            <w:shd w:val="clear" w:color="2C3E50" w:fill="2C3E50"/>
            <w:vAlign w:val="center"/>
            <w:hideMark/>
          </w:tcPr>
          <w:p w14:paraId="13BE66E2" w14:textId="77777777" w:rsidR="00FF7D7E" w:rsidRPr="00FF7D7E" w:rsidRDefault="00FF7D7E" w:rsidP="009F658F">
            <w:pPr>
              <w:spacing w:after="0" w:line="240" w:lineRule="auto"/>
              <w:jc w:val="both"/>
              <w:rPr>
                <w:rFonts w:ascii="Arial" w:eastAsia="Times New Roman" w:hAnsi="Arial" w:cs="Arial"/>
                <w:b/>
                <w:bCs/>
                <w:color w:val="FFFFFF"/>
                <w:lang w:eastAsia="en-IN"/>
              </w:rPr>
            </w:pPr>
            <w:r w:rsidRPr="00FF7D7E">
              <w:rPr>
                <w:rFonts w:ascii="Arial" w:eastAsia="Times New Roman" w:hAnsi="Arial" w:cs="Arial"/>
                <w:b/>
                <w:bCs/>
                <w:color w:val="FFFFFF"/>
                <w:lang w:eastAsia="en-IN"/>
              </w:rPr>
              <w:t>Weight</w:t>
            </w:r>
          </w:p>
        </w:tc>
        <w:tc>
          <w:tcPr>
            <w:tcW w:w="3544" w:type="dxa"/>
            <w:gridSpan w:val="2"/>
            <w:tcBorders>
              <w:top w:val="single" w:sz="8" w:space="0" w:color="444444"/>
              <w:left w:val="nil"/>
              <w:bottom w:val="single" w:sz="8" w:space="0" w:color="444444"/>
              <w:right w:val="nil"/>
            </w:tcBorders>
            <w:shd w:val="clear" w:color="2C3E50" w:fill="2C3E50"/>
            <w:vAlign w:val="center"/>
            <w:hideMark/>
          </w:tcPr>
          <w:p w14:paraId="0A7DA6B4" w14:textId="77777777" w:rsidR="00FF7D7E" w:rsidRPr="00FF7D7E" w:rsidRDefault="00FF7D7E" w:rsidP="009F658F">
            <w:pPr>
              <w:spacing w:after="0" w:line="240" w:lineRule="auto"/>
              <w:jc w:val="both"/>
              <w:rPr>
                <w:rFonts w:ascii="Arial" w:eastAsia="Times New Roman" w:hAnsi="Arial" w:cs="Arial"/>
                <w:b/>
                <w:bCs/>
                <w:color w:val="FFFFFF"/>
                <w:lang w:eastAsia="en-IN"/>
              </w:rPr>
            </w:pPr>
            <w:r w:rsidRPr="00FF7D7E">
              <w:rPr>
                <w:rFonts w:ascii="Arial" w:eastAsia="Times New Roman" w:hAnsi="Arial" w:cs="Arial"/>
                <w:b/>
                <w:bCs/>
                <w:color w:val="FFFFFF"/>
                <w:lang w:eastAsia="en-IN"/>
              </w:rPr>
              <w:t>What it measures</w:t>
            </w:r>
          </w:p>
        </w:tc>
        <w:tc>
          <w:tcPr>
            <w:tcW w:w="2976" w:type="dxa"/>
            <w:tcBorders>
              <w:top w:val="single" w:sz="8" w:space="0" w:color="444444"/>
              <w:left w:val="nil"/>
              <w:bottom w:val="single" w:sz="8" w:space="0" w:color="444444"/>
              <w:right w:val="single" w:sz="8" w:space="0" w:color="444444"/>
            </w:tcBorders>
            <w:shd w:val="clear" w:color="2C3E50" w:fill="2C3E50"/>
            <w:vAlign w:val="center"/>
            <w:hideMark/>
          </w:tcPr>
          <w:p w14:paraId="1170ED28" w14:textId="77777777" w:rsidR="00FF7D7E" w:rsidRPr="00FF7D7E" w:rsidRDefault="00FF7D7E" w:rsidP="009F658F">
            <w:pPr>
              <w:spacing w:after="0" w:line="240" w:lineRule="auto"/>
              <w:jc w:val="both"/>
              <w:rPr>
                <w:rFonts w:ascii="Arial" w:eastAsia="Times New Roman" w:hAnsi="Arial" w:cs="Arial"/>
                <w:b/>
                <w:bCs/>
                <w:color w:val="FFFFFF"/>
                <w:lang w:eastAsia="en-IN"/>
              </w:rPr>
            </w:pPr>
            <w:r w:rsidRPr="00FF7D7E">
              <w:rPr>
                <w:rFonts w:ascii="Arial" w:eastAsia="Times New Roman" w:hAnsi="Arial" w:cs="Arial"/>
                <w:b/>
                <w:bCs/>
                <w:color w:val="FFFFFF"/>
                <w:lang w:eastAsia="en-IN"/>
              </w:rPr>
              <w:t>Why it matters</w:t>
            </w:r>
          </w:p>
        </w:tc>
      </w:tr>
      <w:tr w:rsidR="00FF7D7E" w:rsidRPr="00FF7D7E" w14:paraId="6D308BA8" w14:textId="77777777" w:rsidTr="002A4A2F">
        <w:trPr>
          <w:trHeight w:val="560"/>
          <w:jc w:val="center"/>
        </w:trPr>
        <w:tc>
          <w:tcPr>
            <w:tcW w:w="2640" w:type="dxa"/>
            <w:gridSpan w:val="2"/>
            <w:tcBorders>
              <w:top w:val="nil"/>
              <w:left w:val="single" w:sz="4" w:space="0" w:color="CCCCCC"/>
              <w:bottom w:val="single" w:sz="4" w:space="0" w:color="CCCCCC"/>
              <w:right w:val="nil"/>
            </w:tcBorders>
            <w:shd w:val="clear" w:color="EEEDFE" w:fill="EEEDFE"/>
            <w:vAlign w:val="center"/>
            <w:hideMark/>
          </w:tcPr>
          <w:p w14:paraId="1E0BB931" w14:textId="77777777" w:rsidR="00FF7D7E" w:rsidRPr="00FF7D7E" w:rsidRDefault="00FF7D7E" w:rsidP="009F658F">
            <w:pPr>
              <w:spacing w:after="0" w:line="240" w:lineRule="auto"/>
              <w:jc w:val="both"/>
              <w:rPr>
                <w:rFonts w:ascii="Arial" w:eastAsia="Times New Roman" w:hAnsi="Arial" w:cs="Arial"/>
                <w:b/>
                <w:bCs/>
                <w:color w:val="534AB7"/>
                <w:sz w:val="20"/>
                <w:szCs w:val="20"/>
                <w:lang w:eastAsia="en-IN"/>
              </w:rPr>
            </w:pPr>
            <w:r w:rsidRPr="00FF7D7E">
              <w:rPr>
                <w:rFonts w:ascii="Arial" w:eastAsia="Times New Roman" w:hAnsi="Arial" w:cs="Arial"/>
                <w:b/>
                <w:bCs/>
                <w:color w:val="534AB7"/>
                <w:sz w:val="20"/>
                <w:szCs w:val="20"/>
                <w:lang w:eastAsia="en-IN"/>
              </w:rPr>
              <w:t>Sharpe ratio</w:t>
            </w:r>
          </w:p>
        </w:tc>
        <w:tc>
          <w:tcPr>
            <w:tcW w:w="1540" w:type="dxa"/>
            <w:gridSpan w:val="2"/>
            <w:tcBorders>
              <w:top w:val="nil"/>
              <w:left w:val="nil"/>
              <w:bottom w:val="single" w:sz="4" w:space="0" w:color="CCCCCC"/>
              <w:right w:val="nil"/>
            </w:tcBorders>
            <w:shd w:val="clear" w:color="EEEDFE" w:fill="EEEDFE"/>
            <w:vAlign w:val="center"/>
            <w:hideMark/>
          </w:tcPr>
          <w:p w14:paraId="42CC3CD4" w14:textId="77777777" w:rsidR="00FF7D7E" w:rsidRPr="00FF7D7E" w:rsidRDefault="00FF7D7E" w:rsidP="009F658F">
            <w:pPr>
              <w:spacing w:after="0" w:line="240" w:lineRule="auto"/>
              <w:jc w:val="both"/>
              <w:rPr>
                <w:rFonts w:ascii="Arial" w:eastAsia="Times New Roman" w:hAnsi="Arial" w:cs="Arial"/>
                <w:b/>
                <w:bCs/>
                <w:color w:val="534AB7"/>
                <w:lang w:eastAsia="en-IN"/>
              </w:rPr>
            </w:pPr>
            <w:r w:rsidRPr="00FF7D7E">
              <w:rPr>
                <w:rFonts w:ascii="Arial" w:eastAsia="Times New Roman" w:hAnsi="Arial" w:cs="Arial"/>
                <w:b/>
                <w:bCs/>
                <w:color w:val="534AB7"/>
                <w:lang w:eastAsia="en-IN"/>
              </w:rPr>
              <w:t>30%</w:t>
            </w:r>
          </w:p>
        </w:tc>
        <w:tc>
          <w:tcPr>
            <w:tcW w:w="3040" w:type="dxa"/>
            <w:tcBorders>
              <w:top w:val="nil"/>
              <w:left w:val="nil"/>
              <w:bottom w:val="single" w:sz="4" w:space="0" w:color="CCCCCC"/>
              <w:right w:val="nil"/>
            </w:tcBorders>
            <w:shd w:val="clear" w:color="EEEDFE" w:fill="EEEDFE"/>
            <w:vAlign w:val="center"/>
            <w:hideMark/>
          </w:tcPr>
          <w:p w14:paraId="30467B6A" w14:textId="77777777" w:rsidR="00FF7D7E" w:rsidRPr="00FF7D7E" w:rsidRDefault="00FF7D7E" w:rsidP="009F658F">
            <w:pPr>
              <w:spacing w:after="0" w:line="240" w:lineRule="auto"/>
              <w:jc w:val="both"/>
              <w:rPr>
                <w:rFonts w:ascii="Arial" w:eastAsia="Times New Roman" w:hAnsi="Arial" w:cs="Arial"/>
                <w:color w:val="2C3E50"/>
                <w:sz w:val="20"/>
                <w:szCs w:val="20"/>
                <w:lang w:eastAsia="en-IN"/>
              </w:rPr>
            </w:pPr>
            <w:r w:rsidRPr="00FF7D7E">
              <w:rPr>
                <w:rFonts w:ascii="Arial" w:eastAsia="Times New Roman" w:hAnsi="Arial" w:cs="Arial"/>
                <w:color w:val="2C3E50"/>
                <w:sz w:val="20"/>
                <w:szCs w:val="20"/>
                <w:lang w:eastAsia="en-IN"/>
              </w:rPr>
              <w:t>Return generated per unit of portfolio volatility</w:t>
            </w:r>
          </w:p>
        </w:tc>
        <w:tc>
          <w:tcPr>
            <w:tcW w:w="2976" w:type="dxa"/>
            <w:tcBorders>
              <w:top w:val="nil"/>
              <w:left w:val="nil"/>
              <w:bottom w:val="single" w:sz="4" w:space="0" w:color="CCCCCC"/>
              <w:right w:val="single" w:sz="4" w:space="0" w:color="CCCCCC"/>
            </w:tcBorders>
            <w:shd w:val="clear" w:color="EEEDFE" w:fill="EEEDFE"/>
            <w:vAlign w:val="center"/>
            <w:hideMark/>
          </w:tcPr>
          <w:p w14:paraId="1AF968A7" w14:textId="77777777" w:rsidR="00FF7D7E" w:rsidRPr="00FF7D7E" w:rsidRDefault="00FF7D7E" w:rsidP="009F658F">
            <w:pPr>
              <w:spacing w:after="0" w:line="240" w:lineRule="auto"/>
              <w:jc w:val="both"/>
              <w:rPr>
                <w:rFonts w:ascii="Arial" w:eastAsia="Times New Roman" w:hAnsi="Arial" w:cs="Arial"/>
                <w:i/>
                <w:iCs/>
                <w:color w:val="555555"/>
                <w:sz w:val="20"/>
                <w:szCs w:val="20"/>
                <w:lang w:eastAsia="en-IN"/>
              </w:rPr>
            </w:pPr>
            <w:r w:rsidRPr="00FF7D7E">
              <w:rPr>
                <w:rFonts w:ascii="Arial" w:eastAsia="Times New Roman" w:hAnsi="Arial" w:cs="Arial"/>
                <w:i/>
                <w:iCs/>
                <w:color w:val="555555"/>
                <w:sz w:val="20"/>
                <w:szCs w:val="20"/>
                <w:lang w:eastAsia="en-IN"/>
              </w:rPr>
              <w:t>Most important risk-adjusted performance measure</w:t>
            </w:r>
          </w:p>
        </w:tc>
      </w:tr>
      <w:tr w:rsidR="00FF7D7E" w:rsidRPr="00FF7D7E" w14:paraId="494B8879" w14:textId="77777777" w:rsidTr="002A4A2F">
        <w:trPr>
          <w:trHeight w:val="560"/>
          <w:jc w:val="center"/>
        </w:trPr>
        <w:tc>
          <w:tcPr>
            <w:tcW w:w="2640" w:type="dxa"/>
            <w:gridSpan w:val="2"/>
            <w:tcBorders>
              <w:top w:val="nil"/>
              <w:left w:val="single" w:sz="4" w:space="0" w:color="CCCCCC"/>
              <w:bottom w:val="single" w:sz="4" w:space="0" w:color="CCCCCC"/>
              <w:right w:val="nil"/>
            </w:tcBorders>
            <w:shd w:val="clear" w:color="FFFFFF" w:fill="FFFFFF"/>
            <w:vAlign w:val="center"/>
            <w:hideMark/>
          </w:tcPr>
          <w:p w14:paraId="7A6AA6B0" w14:textId="77777777" w:rsidR="00FF7D7E" w:rsidRPr="00FF7D7E" w:rsidRDefault="00FF7D7E" w:rsidP="009F658F">
            <w:pPr>
              <w:spacing w:after="0" w:line="240" w:lineRule="auto"/>
              <w:jc w:val="both"/>
              <w:rPr>
                <w:rFonts w:ascii="Arial" w:eastAsia="Times New Roman" w:hAnsi="Arial" w:cs="Arial"/>
                <w:b/>
                <w:bCs/>
                <w:color w:val="3B6D11"/>
                <w:sz w:val="20"/>
                <w:szCs w:val="20"/>
                <w:lang w:eastAsia="en-IN"/>
              </w:rPr>
            </w:pPr>
            <w:r w:rsidRPr="00FF7D7E">
              <w:rPr>
                <w:rFonts w:ascii="Arial" w:eastAsia="Times New Roman" w:hAnsi="Arial" w:cs="Arial"/>
                <w:b/>
                <w:bCs/>
                <w:color w:val="3B6D11"/>
                <w:sz w:val="20"/>
                <w:szCs w:val="20"/>
                <w:lang w:eastAsia="en-IN"/>
              </w:rPr>
              <w:t>Total returns</w:t>
            </w:r>
          </w:p>
        </w:tc>
        <w:tc>
          <w:tcPr>
            <w:tcW w:w="1540" w:type="dxa"/>
            <w:gridSpan w:val="2"/>
            <w:tcBorders>
              <w:top w:val="nil"/>
              <w:left w:val="nil"/>
              <w:bottom w:val="single" w:sz="4" w:space="0" w:color="CCCCCC"/>
              <w:right w:val="nil"/>
            </w:tcBorders>
            <w:shd w:val="clear" w:color="FFFFFF" w:fill="FFFFFF"/>
            <w:vAlign w:val="center"/>
            <w:hideMark/>
          </w:tcPr>
          <w:p w14:paraId="6889951D" w14:textId="77777777" w:rsidR="00FF7D7E" w:rsidRPr="00FF7D7E" w:rsidRDefault="00FF7D7E" w:rsidP="009F658F">
            <w:pPr>
              <w:spacing w:after="0" w:line="240" w:lineRule="auto"/>
              <w:jc w:val="both"/>
              <w:rPr>
                <w:rFonts w:ascii="Arial" w:eastAsia="Times New Roman" w:hAnsi="Arial" w:cs="Arial"/>
                <w:b/>
                <w:bCs/>
                <w:color w:val="3B6D11"/>
                <w:lang w:eastAsia="en-IN"/>
              </w:rPr>
            </w:pPr>
            <w:r w:rsidRPr="00FF7D7E">
              <w:rPr>
                <w:rFonts w:ascii="Arial" w:eastAsia="Times New Roman" w:hAnsi="Arial" w:cs="Arial"/>
                <w:b/>
                <w:bCs/>
                <w:color w:val="3B6D11"/>
                <w:lang w:eastAsia="en-IN"/>
              </w:rPr>
              <w:t>25%</w:t>
            </w:r>
          </w:p>
        </w:tc>
        <w:tc>
          <w:tcPr>
            <w:tcW w:w="3040" w:type="dxa"/>
            <w:tcBorders>
              <w:top w:val="nil"/>
              <w:left w:val="nil"/>
              <w:bottom w:val="single" w:sz="4" w:space="0" w:color="CCCCCC"/>
              <w:right w:val="nil"/>
            </w:tcBorders>
            <w:shd w:val="clear" w:color="FFFFFF" w:fill="FFFFFF"/>
            <w:vAlign w:val="center"/>
            <w:hideMark/>
          </w:tcPr>
          <w:p w14:paraId="012A5806" w14:textId="77777777" w:rsidR="00FF7D7E" w:rsidRPr="00FF7D7E" w:rsidRDefault="00FF7D7E" w:rsidP="009F658F">
            <w:pPr>
              <w:spacing w:after="0" w:line="240" w:lineRule="auto"/>
              <w:jc w:val="both"/>
              <w:rPr>
                <w:rFonts w:ascii="Arial" w:eastAsia="Times New Roman" w:hAnsi="Arial" w:cs="Arial"/>
                <w:color w:val="2C3E50"/>
                <w:sz w:val="20"/>
                <w:szCs w:val="20"/>
                <w:lang w:eastAsia="en-IN"/>
              </w:rPr>
            </w:pPr>
            <w:r w:rsidRPr="00FF7D7E">
              <w:rPr>
                <w:rFonts w:ascii="Arial" w:eastAsia="Times New Roman" w:hAnsi="Arial" w:cs="Arial"/>
                <w:color w:val="2C3E50"/>
                <w:sz w:val="20"/>
                <w:szCs w:val="20"/>
                <w:lang w:eastAsia="en-IN"/>
              </w:rPr>
              <w:t>Percentage growth in total portfolio value</w:t>
            </w:r>
          </w:p>
        </w:tc>
        <w:tc>
          <w:tcPr>
            <w:tcW w:w="2976" w:type="dxa"/>
            <w:tcBorders>
              <w:top w:val="nil"/>
              <w:left w:val="nil"/>
              <w:bottom w:val="single" w:sz="4" w:space="0" w:color="CCCCCC"/>
              <w:right w:val="single" w:sz="4" w:space="0" w:color="CCCCCC"/>
            </w:tcBorders>
            <w:shd w:val="clear" w:color="FFFFFF" w:fill="FFFFFF"/>
            <w:vAlign w:val="center"/>
            <w:hideMark/>
          </w:tcPr>
          <w:p w14:paraId="507F9387" w14:textId="77777777" w:rsidR="00FF7D7E" w:rsidRPr="00FF7D7E" w:rsidRDefault="00FF7D7E" w:rsidP="009F658F">
            <w:pPr>
              <w:spacing w:after="0" w:line="240" w:lineRule="auto"/>
              <w:jc w:val="both"/>
              <w:rPr>
                <w:rFonts w:ascii="Arial" w:eastAsia="Times New Roman" w:hAnsi="Arial" w:cs="Arial"/>
                <w:i/>
                <w:iCs/>
                <w:color w:val="555555"/>
                <w:sz w:val="20"/>
                <w:szCs w:val="20"/>
                <w:lang w:eastAsia="en-IN"/>
              </w:rPr>
            </w:pPr>
            <w:r w:rsidRPr="00FF7D7E">
              <w:rPr>
                <w:rFonts w:ascii="Arial" w:eastAsia="Times New Roman" w:hAnsi="Arial" w:cs="Arial"/>
                <w:i/>
                <w:iCs/>
                <w:color w:val="555555"/>
                <w:sz w:val="20"/>
                <w:szCs w:val="20"/>
                <w:lang w:eastAsia="en-IN"/>
              </w:rPr>
              <w:t>Core objective of any portfolio system</w:t>
            </w:r>
          </w:p>
        </w:tc>
      </w:tr>
      <w:tr w:rsidR="00FF7D7E" w:rsidRPr="00FF7D7E" w14:paraId="129D10C2" w14:textId="77777777" w:rsidTr="002A4A2F">
        <w:trPr>
          <w:trHeight w:val="560"/>
          <w:jc w:val="center"/>
        </w:trPr>
        <w:tc>
          <w:tcPr>
            <w:tcW w:w="2640" w:type="dxa"/>
            <w:gridSpan w:val="2"/>
            <w:tcBorders>
              <w:top w:val="nil"/>
              <w:left w:val="single" w:sz="4" w:space="0" w:color="CCCCCC"/>
              <w:bottom w:val="single" w:sz="4" w:space="0" w:color="CCCCCC"/>
              <w:right w:val="nil"/>
            </w:tcBorders>
            <w:shd w:val="clear" w:color="FAEEDA" w:fill="FAEEDA"/>
            <w:vAlign w:val="center"/>
            <w:hideMark/>
          </w:tcPr>
          <w:p w14:paraId="71BF5482" w14:textId="77777777" w:rsidR="00FF7D7E" w:rsidRPr="00FF7D7E" w:rsidRDefault="00FF7D7E" w:rsidP="009F658F">
            <w:pPr>
              <w:spacing w:after="0" w:line="240" w:lineRule="auto"/>
              <w:jc w:val="both"/>
              <w:rPr>
                <w:rFonts w:ascii="Arial" w:eastAsia="Times New Roman" w:hAnsi="Arial" w:cs="Arial"/>
                <w:b/>
                <w:bCs/>
                <w:color w:val="854F0B"/>
                <w:sz w:val="20"/>
                <w:szCs w:val="20"/>
                <w:lang w:eastAsia="en-IN"/>
              </w:rPr>
            </w:pPr>
            <w:r w:rsidRPr="00FF7D7E">
              <w:rPr>
                <w:rFonts w:ascii="Arial" w:eastAsia="Times New Roman" w:hAnsi="Arial" w:cs="Arial"/>
                <w:b/>
                <w:bCs/>
                <w:color w:val="854F0B"/>
                <w:sz w:val="20"/>
                <w:szCs w:val="20"/>
                <w:lang w:eastAsia="en-IN"/>
              </w:rPr>
              <w:t>Turnover penalty</w:t>
            </w:r>
          </w:p>
        </w:tc>
        <w:tc>
          <w:tcPr>
            <w:tcW w:w="1540" w:type="dxa"/>
            <w:gridSpan w:val="2"/>
            <w:tcBorders>
              <w:top w:val="nil"/>
              <w:left w:val="nil"/>
              <w:bottom w:val="single" w:sz="4" w:space="0" w:color="CCCCCC"/>
              <w:right w:val="nil"/>
            </w:tcBorders>
            <w:shd w:val="clear" w:color="FAEEDA" w:fill="FAEEDA"/>
            <w:vAlign w:val="center"/>
            <w:hideMark/>
          </w:tcPr>
          <w:p w14:paraId="5419F52A" w14:textId="77777777" w:rsidR="00FF7D7E" w:rsidRPr="00FF7D7E" w:rsidRDefault="00FF7D7E" w:rsidP="009F658F">
            <w:pPr>
              <w:spacing w:after="0" w:line="240" w:lineRule="auto"/>
              <w:jc w:val="both"/>
              <w:rPr>
                <w:rFonts w:ascii="Arial" w:eastAsia="Times New Roman" w:hAnsi="Arial" w:cs="Arial"/>
                <w:b/>
                <w:bCs/>
                <w:color w:val="854F0B"/>
                <w:lang w:eastAsia="en-IN"/>
              </w:rPr>
            </w:pPr>
            <w:r w:rsidRPr="00FF7D7E">
              <w:rPr>
                <w:rFonts w:ascii="Arial" w:eastAsia="Times New Roman" w:hAnsi="Arial" w:cs="Arial"/>
                <w:b/>
                <w:bCs/>
                <w:color w:val="854F0B"/>
                <w:lang w:eastAsia="en-IN"/>
              </w:rPr>
              <w:t>20%</w:t>
            </w:r>
          </w:p>
        </w:tc>
        <w:tc>
          <w:tcPr>
            <w:tcW w:w="3040" w:type="dxa"/>
            <w:tcBorders>
              <w:top w:val="nil"/>
              <w:left w:val="nil"/>
              <w:bottom w:val="single" w:sz="4" w:space="0" w:color="CCCCCC"/>
              <w:right w:val="nil"/>
            </w:tcBorders>
            <w:shd w:val="clear" w:color="FAEEDA" w:fill="FAEEDA"/>
            <w:vAlign w:val="center"/>
            <w:hideMark/>
          </w:tcPr>
          <w:p w14:paraId="02DF2281" w14:textId="77777777" w:rsidR="00FF7D7E" w:rsidRPr="00FF7D7E" w:rsidRDefault="00FF7D7E" w:rsidP="009F658F">
            <w:pPr>
              <w:spacing w:after="0" w:line="240" w:lineRule="auto"/>
              <w:jc w:val="both"/>
              <w:rPr>
                <w:rFonts w:ascii="Arial" w:eastAsia="Times New Roman" w:hAnsi="Arial" w:cs="Arial"/>
                <w:color w:val="2C3E50"/>
                <w:sz w:val="20"/>
                <w:szCs w:val="20"/>
                <w:lang w:eastAsia="en-IN"/>
              </w:rPr>
            </w:pPr>
            <w:r w:rsidRPr="00FF7D7E">
              <w:rPr>
                <w:rFonts w:ascii="Arial" w:eastAsia="Times New Roman" w:hAnsi="Arial" w:cs="Arial"/>
                <w:color w:val="2C3E50"/>
                <w:sz w:val="20"/>
                <w:szCs w:val="20"/>
                <w:lang w:eastAsia="en-IN"/>
              </w:rPr>
              <w:t>Penalises excessive frequency of trading</w:t>
            </w:r>
          </w:p>
        </w:tc>
        <w:tc>
          <w:tcPr>
            <w:tcW w:w="2976" w:type="dxa"/>
            <w:tcBorders>
              <w:top w:val="nil"/>
              <w:left w:val="nil"/>
              <w:bottom w:val="single" w:sz="4" w:space="0" w:color="CCCCCC"/>
              <w:right w:val="single" w:sz="4" w:space="0" w:color="CCCCCC"/>
            </w:tcBorders>
            <w:shd w:val="clear" w:color="FAEEDA" w:fill="FAEEDA"/>
            <w:vAlign w:val="center"/>
            <w:hideMark/>
          </w:tcPr>
          <w:p w14:paraId="453B64F6" w14:textId="77777777" w:rsidR="00FF7D7E" w:rsidRPr="00FF7D7E" w:rsidRDefault="00FF7D7E" w:rsidP="009F658F">
            <w:pPr>
              <w:spacing w:after="0" w:line="240" w:lineRule="auto"/>
              <w:jc w:val="both"/>
              <w:rPr>
                <w:rFonts w:ascii="Arial" w:eastAsia="Times New Roman" w:hAnsi="Arial" w:cs="Arial"/>
                <w:i/>
                <w:iCs/>
                <w:color w:val="555555"/>
                <w:sz w:val="20"/>
                <w:szCs w:val="20"/>
                <w:lang w:eastAsia="en-IN"/>
              </w:rPr>
            </w:pPr>
            <w:r w:rsidRPr="00FF7D7E">
              <w:rPr>
                <w:rFonts w:ascii="Arial" w:eastAsia="Times New Roman" w:hAnsi="Arial" w:cs="Arial"/>
                <w:i/>
                <w:iCs/>
                <w:color w:val="555555"/>
                <w:sz w:val="20"/>
                <w:szCs w:val="20"/>
                <w:lang w:eastAsia="en-IN"/>
              </w:rPr>
              <w:t>Discourages noise-driven over-trading</w:t>
            </w:r>
          </w:p>
        </w:tc>
      </w:tr>
      <w:tr w:rsidR="00FF7D7E" w:rsidRPr="00FF7D7E" w14:paraId="6071DE6D" w14:textId="77777777" w:rsidTr="002A4A2F">
        <w:trPr>
          <w:trHeight w:val="560"/>
          <w:jc w:val="center"/>
        </w:trPr>
        <w:tc>
          <w:tcPr>
            <w:tcW w:w="2640" w:type="dxa"/>
            <w:gridSpan w:val="2"/>
            <w:tcBorders>
              <w:top w:val="nil"/>
              <w:left w:val="single" w:sz="4" w:space="0" w:color="CCCCCC"/>
              <w:bottom w:val="single" w:sz="4" w:space="0" w:color="CCCCCC"/>
              <w:right w:val="nil"/>
            </w:tcBorders>
            <w:shd w:val="clear" w:color="FFFFFF" w:fill="FFFFFF"/>
            <w:vAlign w:val="center"/>
            <w:hideMark/>
          </w:tcPr>
          <w:p w14:paraId="2E988F5C" w14:textId="77777777" w:rsidR="00FF7D7E" w:rsidRPr="00FF7D7E" w:rsidRDefault="00FF7D7E" w:rsidP="009F658F">
            <w:pPr>
              <w:spacing w:after="0" w:line="240" w:lineRule="auto"/>
              <w:jc w:val="both"/>
              <w:rPr>
                <w:rFonts w:ascii="Arial" w:eastAsia="Times New Roman" w:hAnsi="Arial" w:cs="Arial"/>
                <w:b/>
                <w:bCs/>
                <w:color w:val="993C1D"/>
                <w:sz w:val="20"/>
                <w:szCs w:val="20"/>
                <w:lang w:eastAsia="en-IN"/>
              </w:rPr>
            </w:pPr>
            <w:r w:rsidRPr="00FF7D7E">
              <w:rPr>
                <w:rFonts w:ascii="Arial" w:eastAsia="Times New Roman" w:hAnsi="Arial" w:cs="Arial"/>
                <w:b/>
                <w:bCs/>
                <w:color w:val="993C1D"/>
                <w:sz w:val="20"/>
                <w:szCs w:val="20"/>
                <w:lang w:eastAsia="en-IN"/>
              </w:rPr>
              <w:t>Drawdown penalty</w:t>
            </w:r>
          </w:p>
        </w:tc>
        <w:tc>
          <w:tcPr>
            <w:tcW w:w="1540" w:type="dxa"/>
            <w:gridSpan w:val="2"/>
            <w:tcBorders>
              <w:top w:val="nil"/>
              <w:left w:val="nil"/>
              <w:bottom w:val="single" w:sz="4" w:space="0" w:color="CCCCCC"/>
              <w:right w:val="nil"/>
            </w:tcBorders>
            <w:shd w:val="clear" w:color="FFFFFF" w:fill="FFFFFF"/>
            <w:vAlign w:val="center"/>
            <w:hideMark/>
          </w:tcPr>
          <w:p w14:paraId="2DC08EB2" w14:textId="77777777" w:rsidR="00FF7D7E" w:rsidRPr="00FF7D7E" w:rsidRDefault="00FF7D7E" w:rsidP="009F658F">
            <w:pPr>
              <w:spacing w:after="0" w:line="240" w:lineRule="auto"/>
              <w:jc w:val="both"/>
              <w:rPr>
                <w:rFonts w:ascii="Arial" w:eastAsia="Times New Roman" w:hAnsi="Arial" w:cs="Arial"/>
                <w:b/>
                <w:bCs/>
                <w:color w:val="993C1D"/>
                <w:lang w:eastAsia="en-IN"/>
              </w:rPr>
            </w:pPr>
            <w:r w:rsidRPr="00FF7D7E">
              <w:rPr>
                <w:rFonts w:ascii="Arial" w:eastAsia="Times New Roman" w:hAnsi="Arial" w:cs="Arial"/>
                <w:b/>
                <w:bCs/>
                <w:color w:val="993C1D"/>
                <w:lang w:eastAsia="en-IN"/>
              </w:rPr>
              <w:t>15%</w:t>
            </w:r>
          </w:p>
        </w:tc>
        <w:tc>
          <w:tcPr>
            <w:tcW w:w="3040" w:type="dxa"/>
            <w:tcBorders>
              <w:top w:val="nil"/>
              <w:left w:val="nil"/>
              <w:bottom w:val="single" w:sz="4" w:space="0" w:color="CCCCCC"/>
              <w:right w:val="nil"/>
            </w:tcBorders>
            <w:shd w:val="clear" w:color="FFFFFF" w:fill="FFFFFF"/>
            <w:vAlign w:val="center"/>
            <w:hideMark/>
          </w:tcPr>
          <w:p w14:paraId="4F2F0713" w14:textId="5426687B" w:rsidR="00FF7D7E" w:rsidRPr="00FF7D7E" w:rsidRDefault="00FF7D7E" w:rsidP="009F658F">
            <w:pPr>
              <w:spacing w:after="0" w:line="240" w:lineRule="auto"/>
              <w:jc w:val="both"/>
              <w:rPr>
                <w:rFonts w:ascii="Arial" w:eastAsia="Times New Roman" w:hAnsi="Arial" w:cs="Arial"/>
                <w:color w:val="2C3E50"/>
                <w:sz w:val="20"/>
                <w:szCs w:val="20"/>
                <w:lang w:eastAsia="en-IN"/>
              </w:rPr>
            </w:pPr>
            <w:r w:rsidRPr="00FF7D7E">
              <w:rPr>
                <w:rFonts w:ascii="Arial" w:eastAsia="Times New Roman" w:hAnsi="Arial" w:cs="Arial"/>
                <w:color w:val="2C3E50"/>
                <w:sz w:val="20"/>
                <w:szCs w:val="20"/>
                <w:lang w:eastAsia="en-IN"/>
              </w:rPr>
              <w:t>Largest peak to trough declines in portfolio value</w:t>
            </w:r>
          </w:p>
        </w:tc>
        <w:tc>
          <w:tcPr>
            <w:tcW w:w="2976" w:type="dxa"/>
            <w:tcBorders>
              <w:top w:val="nil"/>
              <w:left w:val="nil"/>
              <w:bottom w:val="single" w:sz="4" w:space="0" w:color="CCCCCC"/>
              <w:right w:val="single" w:sz="4" w:space="0" w:color="CCCCCC"/>
            </w:tcBorders>
            <w:shd w:val="clear" w:color="FFFFFF" w:fill="FFFFFF"/>
            <w:vAlign w:val="center"/>
            <w:hideMark/>
          </w:tcPr>
          <w:p w14:paraId="5A2F3785" w14:textId="77777777" w:rsidR="00FF7D7E" w:rsidRPr="00FF7D7E" w:rsidRDefault="00FF7D7E" w:rsidP="009F658F">
            <w:pPr>
              <w:spacing w:after="0" w:line="240" w:lineRule="auto"/>
              <w:jc w:val="both"/>
              <w:rPr>
                <w:rFonts w:ascii="Arial" w:eastAsia="Times New Roman" w:hAnsi="Arial" w:cs="Arial"/>
                <w:i/>
                <w:iCs/>
                <w:color w:val="555555"/>
                <w:sz w:val="20"/>
                <w:szCs w:val="20"/>
                <w:lang w:eastAsia="en-IN"/>
              </w:rPr>
            </w:pPr>
            <w:r w:rsidRPr="00FF7D7E">
              <w:rPr>
                <w:rFonts w:ascii="Arial" w:eastAsia="Times New Roman" w:hAnsi="Arial" w:cs="Arial"/>
                <w:i/>
                <w:iCs/>
                <w:color w:val="555555"/>
                <w:sz w:val="20"/>
                <w:szCs w:val="20"/>
                <w:lang w:eastAsia="en-IN"/>
              </w:rPr>
              <w:t>Captures worst-case investor loss scenario</w:t>
            </w:r>
          </w:p>
        </w:tc>
      </w:tr>
      <w:tr w:rsidR="00FF7D7E" w:rsidRPr="00FF7D7E" w14:paraId="709622FA" w14:textId="77777777" w:rsidTr="002A4A2F">
        <w:trPr>
          <w:trHeight w:val="560"/>
          <w:jc w:val="center"/>
        </w:trPr>
        <w:tc>
          <w:tcPr>
            <w:tcW w:w="2640" w:type="dxa"/>
            <w:gridSpan w:val="2"/>
            <w:tcBorders>
              <w:top w:val="nil"/>
              <w:left w:val="single" w:sz="8" w:space="0" w:color="444444"/>
              <w:bottom w:val="single" w:sz="8" w:space="0" w:color="444444"/>
              <w:right w:val="nil"/>
            </w:tcBorders>
            <w:shd w:val="clear" w:color="F1EFE8" w:fill="F1EFE8"/>
            <w:vAlign w:val="center"/>
            <w:hideMark/>
          </w:tcPr>
          <w:p w14:paraId="0B6EF822" w14:textId="77777777" w:rsidR="00FF7D7E" w:rsidRPr="00FF7D7E" w:rsidRDefault="00FF7D7E" w:rsidP="009F658F">
            <w:pPr>
              <w:spacing w:after="0" w:line="240" w:lineRule="auto"/>
              <w:jc w:val="both"/>
              <w:rPr>
                <w:rFonts w:ascii="Arial" w:eastAsia="Times New Roman" w:hAnsi="Arial" w:cs="Arial"/>
                <w:b/>
                <w:bCs/>
                <w:color w:val="5F5E5A"/>
                <w:sz w:val="20"/>
                <w:szCs w:val="20"/>
                <w:lang w:eastAsia="en-IN"/>
              </w:rPr>
            </w:pPr>
            <w:r w:rsidRPr="00FF7D7E">
              <w:rPr>
                <w:rFonts w:ascii="Arial" w:eastAsia="Times New Roman" w:hAnsi="Arial" w:cs="Arial"/>
                <w:b/>
                <w:bCs/>
                <w:color w:val="5F5E5A"/>
                <w:sz w:val="20"/>
                <w:szCs w:val="20"/>
                <w:lang w:eastAsia="en-IN"/>
              </w:rPr>
              <w:t>Signal accuracy</w:t>
            </w:r>
          </w:p>
        </w:tc>
        <w:tc>
          <w:tcPr>
            <w:tcW w:w="1540" w:type="dxa"/>
            <w:gridSpan w:val="2"/>
            <w:tcBorders>
              <w:top w:val="nil"/>
              <w:left w:val="nil"/>
              <w:bottom w:val="single" w:sz="8" w:space="0" w:color="444444"/>
              <w:right w:val="nil"/>
            </w:tcBorders>
            <w:shd w:val="clear" w:color="F1EFE8" w:fill="F1EFE8"/>
            <w:vAlign w:val="center"/>
            <w:hideMark/>
          </w:tcPr>
          <w:p w14:paraId="3B31DF7B" w14:textId="77777777" w:rsidR="00FF7D7E" w:rsidRPr="00FF7D7E" w:rsidRDefault="00FF7D7E" w:rsidP="009F658F">
            <w:pPr>
              <w:spacing w:after="0" w:line="240" w:lineRule="auto"/>
              <w:jc w:val="both"/>
              <w:rPr>
                <w:rFonts w:ascii="Arial" w:eastAsia="Times New Roman" w:hAnsi="Arial" w:cs="Arial"/>
                <w:b/>
                <w:bCs/>
                <w:color w:val="5F5E5A"/>
                <w:lang w:eastAsia="en-IN"/>
              </w:rPr>
            </w:pPr>
            <w:r w:rsidRPr="00FF7D7E">
              <w:rPr>
                <w:rFonts w:ascii="Arial" w:eastAsia="Times New Roman" w:hAnsi="Arial" w:cs="Arial"/>
                <w:b/>
                <w:bCs/>
                <w:color w:val="5F5E5A"/>
                <w:lang w:eastAsia="en-IN"/>
              </w:rPr>
              <w:t>10%</w:t>
            </w:r>
          </w:p>
        </w:tc>
        <w:tc>
          <w:tcPr>
            <w:tcW w:w="3040" w:type="dxa"/>
            <w:tcBorders>
              <w:top w:val="nil"/>
              <w:left w:val="nil"/>
              <w:bottom w:val="single" w:sz="8" w:space="0" w:color="444444"/>
              <w:right w:val="nil"/>
            </w:tcBorders>
            <w:shd w:val="clear" w:color="F1EFE8" w:fill="F1EFE8"/>
            <w:vAlign w:val="center"/>
            <w:hideMark/>
          </w:tcPr>
          <w:p w14:paraId="03575531" w14:textId="77777777" w:rsidR="00FF7D7E" w:rsidRPr="00FF7D7E" w:rsidRDefault="00FF7D7E" w:rsidP="009F658F">
            <w:pPr>
              <w:spacing w:after="0" w:line="240" w:lineRule="auto"/>
              <w:jc w:val="both"/>
              <w:rPr>
                <w:rFonts w:ascii="Arial" w:eastAsia="Times New Roman" w:hAnsi="Arial" w:cs="Arial"/>
                <w:color w:val="2C3E50"/>
                <w:sz w:val="20"/>
                <w:szCs w:val="20"/>
                <w:lang w:eastAsia="en-IN"/>
              </w:rPr>
            </w:pPr>
            <w:r w:rsidRPr="00FF7D7E">
              <w:rPr>
                <w:rFonts w:ascii="Arial" w:eastAsia="Times New Roman" w:hAnsi="Arial" w:cs="Arial"/>
                <w:color w:val="2C3E50"/>
                <w:sz w:val="20"/>
                <w:szCs w:val="20"/>
                <w:lang w:eastAsia="en-IN"/>
              </w:rPr>
              <w:t>Proportion of correct directional predictions</w:t>
            </w:r>
          </w:p>
        </w:tc>
        <w:tc>
          <w:tcPr>
            <w:tcW w:w="2976" w:type="dxa"/>
            <w:tcBorders>
              <w:top w:val="nil"/>
              <w:left w:val="nil"/>
              <w:bottom w:val="single" w:sz="8" w:space="0" w:color="444444"/>
              <w:right w:val="single" w:sz="8" w:space="0" w:color="444444"/>
            </w:tcBorders>
            <w:shd w:val="clear" w:color="F1EFE8" w:fill="F1EFE8"/>
            <w:vAlign w:val="center"/>
            <w:hideMark/>
          </w:tcPr>
          <w:p w14:paraId="486BF4AB" w14:textId="77777777" w:rsidR="00FF7D7E" w:rsidRPr="00FF7D7E" w:rsidRDefault="00FF7D7E" w:rsidP="009F658F">
            <w:pPr>
              <w:spacing w:after="0" w:line="240" w:lineRule="auto"/>
              <w:jc w:val="both"/>
              <w:rPr>
                <w:rFonts w:ascii="Arial" w:eastAsia="Times New Roman" w:hAnsi="Arial" w:cs="Arial"/>
                <w:i/>
                <w:iCs/>
                <w:color w:val="555555"/>
                <w:sz w:val="20"/>
                <w:szCs w:val="20"/>
                <w:lang w:eastAsia="en-IN"/>
              </w:rPr>
            </w:pPr>
            <w:r w:rsidRPr="00FF7D7E">
              <w:rPr>
                <w:rFonts w:ascii="Arial" w:eastAsia="Times New Roman" w:hAnsi="Arial" w:cs="Arial"/>
                <w:i/>
                <w:iCs/>
                <w:color w:val="555555"/>
                <w:sz w:val="20"/>
                <w:szCs w:val="20"/>
                <w:lang w:eastAsia="en-IN"/>
              </w:rPr>
              <w:t>Measures quality of agent signal interpretation</w:t>
            </w:r>
          </w:p>
        </w:tc>
      </w:tr>
      <w:tr w:rsidR="00FF7D7E" w:rsidRPr="00FF7D7E" w14:paraId="650F8625" w14:textId="77777777" w:rsidTr="002A4A2F">
        <w:trPr>
          <w:trHeight w:val="520"/>
          <w:jc w:val="center"/>
        </w:trPr>
        <w:tc>
          <w:tcPr>
            <w:tcW w:w="4180" w:type="dxa"/>
            <w:gridSpan w:val="4"/>
            <w:tcBorders>
              <w:top w:val="single" w:sz="8" w:space="0" w:color="444444"/>
              <w:left w:val="single" w:sz="8" w:space="0" w:color="444444"/>
              <w:bottom w:val="single" w:sz="8" w:space="0" w:color="444444"/>
              <w:right w:val="nil"/>
            </w:tcBorders>
            <w:shd w:val="clear" w:color="2C3E50" w:fill="2C3E50"/>
            <w:vAlign w:val="center"/>
            <w:hideMark/>
          </w:tcPr>
          <w:p w14:paraId="4AC8CF60" w14:textId="77777777" w:rsidR="00FF7D7E" w:rsidRPr="00FF7D7E" w:rsidRDefault="00FF7D7E" w:rsidP="009F658F">
            <w:pPr>
              <w:spacing w:after="0" w:line="240" w:lineRule="auto"/>
              <w:jc w:val="both"/>
              <w:rPr>
                <w:rFonts w:ascii="Arial" w:eastAsia="Times New Roman" w:hAnsi="Arial" w:cs="Arial"/>
                <w:b/>
                <w:bCs/>
                <w:color w:val="FFFFFF"/>
                <w:sz w:val="20"/>
                <w:szCs w:val="20"/>
                <w:lang w:eastAsia="en-IN"/>
              </w:rPr>
            </w:pPr>
            <w:r w:rsidRPr="00FF7D7E">
              <w:rPr>
                <w:rFonts w:ascii="Arial" w:eastAsia="Times New Roman" w:hAnsi="Arial" w:cs="Arial"/>
                <w:b/>
                <w:bCs/>
                <w:color w:val="FFFFFF"/>
                <w:sz w:val="20"/>
                <w:szCs w:val="20"/>
                <w:lang w:eastAsia="en-IN"/>
              </w:rPr>
              <w:t>Total composite score</w:t>
            </w:r>
          </w:p>
        </w:tc>
        <w:tc>
          <w:tcPr>
            <w:tcW w:w="3040" w:type="dxa"/>
            <w:tcBorders>
              <w:top w:val="nil"/>
              <w:left w:val="nil"/>
              <w:bottom w:val="nil"/>
              <w:right w:val="nil"/>
            </w:tcBorders>
            <w:shd w:val="clear" w:color="1A3A5C" w:fill="1A3A5C"/>
            <w:vAlign w:val="center"/>
            <w:hideMark/>
          </w:tcPr>
          <w:p w14:paraId="14C867C6" w14:textId="77777777" w:rsidR="00FF7D7E" w:rsidRPr="00FF7D7E" w:rsidRDefault="00FF7D7E" w:rsidP="009F658F">
            <w:pPr>
              <w:spacing w:after="0" w:line="240" w:lineRule="auto"/>
              <w:jc w:val="both"/>
              <w:rPr>
                <w:rFonts w:ascii="Arial" w:eastAsia="Times New Roman" w:hAnsi="Arial" w:cs="Arial"/>
                <w:b/>
                <w:bCs/>
                <w:color w:val="FFFFFF"/>
                <w:lang w:eastAsia="en-IN"/>
              </w:rPr>
            </w:pPr>
            <w:r w:rsidRPr="00FF7D7E">
              <w:rPr>
                <w:rFonts w:ascii="Arial" w:eastAsia="Times New Roman" w:hAnsi="Arial" w:cs="Arial"/>
                <w:b/>
                <w:bCs/>
                <w:color w:val="FFFFFF"/>
                <w:lang w:eastAsia="en-IN"/>
              </w:rPr>
              <w:t>100%</w:t>
            </w:r>
          </w:p>
        </w:tc>
        <w:tc>
          <w:tcPr>
            <w:tcW w:w="2976" w:type="dxa"/>
            <w:tcBorders>
              <w:top w:val="nil"/>
              <w:left w:val="nil"/>
              <w:bottom w:val="nil"/>
              <w:right w:val="single" w:sz="8" w:space="0" w:color="444444"/>
            </w:tcBorders>
            <w:shd w:val="clear" w:color="1A3A5C" w:fill="1A3A5C"/>
            <w:vAlign w:val="center"/>
            <w:hideMark/>
          </w:tcPr>
          <w:p w14:paraId="6741DEDC" w14:textId="77777777" w:rsidR="00FF7D7E" w:rsidRPr="00FF7D7E" w:rsidRDefault="00FF7D7E" w:rsidP="009F658F">
            <w:pPr>
              <w:spacing w:after="0" w:line="240" w:lineRule="auto"/>
              <w:jc w:val="both"/>
              <w:rPr>
                <w:rFonts w:ascii="Arial" w:eastAsia="Times New Roman" w:hAnsi="Arial" w:cs="Arial"/>
                <w:b/>
                <w:bCs/>
                <w:color w:val="FFFFFF"/>
                <w:sz w:val="20"/>
                <w:szCs w:val="20"/>
                <w:lang w:eastAsia="en-IN"/>
              </w:rPr>
            </w:pPr>
            <w:r w:rsidRPr="00FF7D7E">
              <w:rPr>
                <w:rFonts w:ascii="Arial" w:eastAsia="Times New Roman" w:hAnsi="Arial" w:cs="Arial"/>
                <w:b/>
                <w:bCs/>
                <w:color w:val="FFFFFF"/>
                <w:sz w:val="20"/>
                <w:szCs w:val="20"/>
                <w:lang w:eastAsia="en-IN"/>
              </w:rPr>
              <w:t>Weighted composite reward</w:t>
            </w:r>
          </w:p>
        </w:tc>
      </w:tr>
    </w:tbl>
    <w:p w14:paraId="3B423AB0" w14:textId="77777777" w:rsidR="0044346C" w:rsidRDefault="0044346C" w:rsidP="009F658F">
      <w:pPr>
        <w:jc w:val="both"/>
      </w:pPr>
    </w:p>
    <w:p w14:paraId="174C58F8" w14:textId="77777777" w:rsidR="00992CBF" w:rsidRDefault="00992CBF" w:rsidP="009F658F">
      <w:pPr>
        <w:jc w:val="both"/>
      </w:pPr>
    </w:p>
    <w:p w14:paraId="0D45C6CA" w14:textId="18BFAA93" w:rsidR="00E83649" w:rsidRDefault="00E83649" w:rsidP="009F658F">
      <w:pPr>
        <w:jc w:val="both"/>
        <w:rPr>
          <w:rFonts w:eastAsiaTheme="minorEastAsia"/>
        </w:rPr>
      </w:pPr>
      <w:r>
        <w:rPr>
          <w:rFonts w:eastAsiaTheme="minorEastAsia"/>
        </w:rPr>
        <w:t xml:space="preserve">1. </w:t>
      </w:r>
      <w:r w:rsidR="00992CBF" w:rsidRPr="00992CBF">
        <w:rPr>
          <w:rFonts w:eastAsiaTheme="minorEastAsia"/>
          <w:b/>
          <w:bCs/>
        </w:rPr>
        <w:t>Sharpe ratio</w:t>
      </w:r>
      <w:r w:rsidR="00992CBF">
        <w:rPr>
          <w:rFonts w:eastAsiaTheme="minorEastAsia"/>
        </w:rPr>
        <w:t xml:space="preserve">:  </w:t>
      </w:r>
      <m:oMath>
        <m:r>
          <w:rPr>
            <w:rFonts w:ascii="Cambria Math" w:hAnsi="Cambria Math"/>
          </w:rPr>
          <m:t>S=</m:t>
        </m:r>
        <m:f>
          <m:fPr>
            <m:ctrlPr>
              <w:rPr>
                <w:rFonts w:ascii="Cambria Math" w:hAnsi="Cambria Math"/>
              </w:rPr>
            </m:ctrlPr>
          </m:fPr>
          <m:num>
            <m:acc>
              <m:accPr>
                <m:chr m:val="̅"/>
                <m:ctrlPr>
                  <w:rPr>
                    <w:rFonts w:ascii="Cambria Math" w:hAnsi="Cambria Math"/>
                  </w:rPr>
                </m:ctrlPr>
              </m:accPr>
              <m:e>
                <m:r>
                  <w:rPr>
                    <w:rFonts w:ascii="Cambria Math" w:hAnsi="Cambria Math"/>
                  </w:rPr>
                  <m:t>r</m:t>
                </m:r>
              </m:e>
            </m:acc>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f</m:t>
                </m:r>
              </m:sub>
            </m:sSub>
            <m:ctrlPr>
              <w:rPr>
                <w:rFonts w:ascii="Cambria Math" w:hAnsi="Cambria Math"/>
                <w:i/>
              </w:rPr>
            </m:ctrlPr>
          </m:num>
          <m:den>
            <m:sSub>
              <m:sSubPr>
                <m:ctrlPr>
                  <w:rPr>
                    <w:rFonts w:ascii="Cambria Math" w:hAnsi="Cambria Math"/>
                    <w:i/>
                  </w:rPr>
                </m:ctrlPr>
              </m:sSubPr>
              <m:e>
                <m:r>
                  <m:rPr>
                    <m:sty m:val="p"/>
                  </m:rPr>
                  <w:rPr>
                    <w:rFonts w:ascii="Cambria Math" w:hAnsi="Cambria Math"/>
                  </w:rPr>
                  <m:t>σ</m:t>
                </m:r>
              </m:e>
              <m:sub>
                <m:r>
                  <w:rPr>
                    <w:rFonts w:ascii="Cambria Math" w:hAnsi="Cambria Math"/>
                  </w:rPr>
                  <m:t>r</m:t>
                </m:r>
              </m:sub>
            </m:sSub>
            <m:ctrlPr>
              <w:rPr>
                <w:rFonts w:ascii="Cambria Math" w:hAnsi="Cambria Math"/>
                <w:i/>
              </w:rPr>
            </m:ctrlPr>
          </m:den>
        </m:f>
        <m:r>
          <m:rPr>
            <m:sty m:val="p"/>
          </m:rPr>
          <w:rPr>
            <w:rFonts w:ascii="Cambria Math" w:hAnsi="Cambria Math"/>
          </w:rPr>
          <m:t>×</m:t>
        </m:r>
        <m:rad>
          <m:radPr>
            <m:degHide m:val="1"/>
            <m:ctrlPr>
              <w:rPr>
                <w:rFonts w:ascii="Cambria Math" w:hAnsi="Cambria Math"/>
              </w:rPr>
            </m:ctrlPr>
          </m:radPr>
          <m:deg>
            <m:ctrlPr>
              <w:rPr>
                <w:rFonts w:ascii="Cambria Math" w:hAnsi="Cambria Math"/>
                <w:i/>
              </w:rPr>
            </m:ctrlPr>
          </m:deg>
          <m:e>
            <m:r>
              <w:rPr>
                <w:rFonts w:ascii="Cambria Math" w:hAnsi="Cambria Math"/>
              </w:rPr>
              <m:t>252</m:t>
            </m:r>
          </m:e>
        </m:rad>
      </m:oMath>
    </w:p>
    <w:p w14:paraId="58AB6E51" w14:textId="1DE75418" w:rsidR="00E83649" w:rsidRPr="00E83649" w:rsidRDefault="00E83649" w:rsidP="009F658F">
      <w:pPr>
        <w:jc w:val="both"/>
        <w:rPr>
          <w:rFonts w:eastAsiaTheme="minorEastAsia"/>
          <w:b/>
          <w:bCs/>
        </w:rPr>
      </w:pPr>
      <w:r w:rsidRPr="00E83649">
        <w:rPr>
          <w:rFonts w:eastAsiaTheme="minorEastAsia"/>
          <w:b/>
          <w:bCs/>
        </w:rPr>
        <w:t xml:space="preserve">Where: </w:t>
      </w:r>
    </w:p>
    <w:p w14:paraId="01E97D38" w14:textId="77777777" w:rsidR="00E83649" w:rsidRPr="00EF5785" w:rsidRDefault="00000000" w:rsidP="009F658F">
      <w:pPr>
        <w:jc w:val="both"/>
        <w:rPr>
          <w:rFonts w:ascii="Cambria Math" w:hAnsi="Cambria Math"/>
          <w:oMath/>
        </w:rPr>
      </w:pPr>
      <m:oMathPara>
        <m:oMathParaPr>
          <m:jc m:val="left"/>
        </m:oMathParaPr>
        <m:oMath>
          <m:acc>
            <m:accPr>
              <m:chr m:val="̅"/>
              <m:ctrlPr>
                <w:rPr>
                  <w:rFonts w:ascii="Cambria Math" w:hAnsi="Cambria Math"/>
                </w:rPr>
              </m:ctrlPr>
            </m:accPr>
            <m:e>
              <m:r>
                <w:rPr>
                  <w:rFonts w:ascii="Cambria Math" w:hAnsi="Cambria Math"/>
                </w:rPr>
                <m:t>r</m:t>
              </m:r>
            </m:e>
          </m:acc>
          <m:r>
            <w:rPr>
              <w:rFonts w:ascii="Cambria Math" w:hAnsi="Cambria Math"/>
            </w:rPr>
            <m:t>=</m:t>
          </m:r>
          <m:r>
            <m:rPr>
              <m:nor/>
            </m:rPr>
            <w:rPr>
              <w:rFonts w:ascii="Cambria Math" w:hAnsi="Cambria Math"/>
            </w:rPr>
            <m:t>mean daily portfolio return</m:t>
          </m:r>
        </m:oMath>
      </m:oMathPara>
    </w:p>
    <w:p w14:paraId="75758FA7" w14:textId="77777777" w:rsidR="00E83649" w:rsidRPr="00EF5785" w:rsidRDefault="00000000" w:rsidP="009F658F">
      <w:pPr>
        <w:jc w:val="both"/>
        <w:rPr>
          <w:rFonts w:ascii="Cambria Math" w:hAnsi="Cambria Math"/>
          <w:oMath/>
        </w:rPr>
      </w:pPr>
      <m:oMathPara>
        <m:oMathParaPr>
          <m:jc m:val="left"/>
        </m:oMathParaPr>
        <m:oMath>
          <m:sSub>
            <m:sSubPr>
              <m:ctrlPr>
                <w:rPr>
                  <w:rFonts w:ascii="Cambria Math" w:hAnsi="Cambria Math"/>
                  <w:i/>
                </w:rPr>
              </m:ctrlPr>
            </m:sSubPr>
            <m:e>
              <m:r>
                <w:rPr>
                  <w:rFonts w:ascii="Cambria Math" w:hAnsi="Cambria Math"/>
                </w:rPr>
                <m:t>r</m:t>
              </m:r>
            </m:e>
            <m:sub>
              <m:r>
                <w:rPr>
                  <w:rFonts w:ascii="Cambria Math" w:hAnsi="Cambria Math"/>
                </w:rPr>
                <m:t>f</m:t>
              </m:r>
            </m:sub>
          </m:sSub>
          <m:r>
            <w:rPr>
              <w:rFonts w:ascii="Cambria Math" w:hAnsi="Cambria Math"/>
            </w:rPr>
            <m:t>=</m:t>
          </m:r>
          <m:r>
            <m:rPr>
              <m:nor/>
            </m:rPr>
            <w:rPr>
              <w:rFonts w:ascii="Cambria Math" w:hAnsi="Cambria Math"/>
            </w:rPr>
            <m:t>risk-free rate</m:t>
          </m:r>
        </m:oMath>
      </m:oMathPara>
    </w:p>
    <w:p w14:paraId="3A14F05B" w14:textId="77777777" w:rsidR="00E83649" w:rsidRPr="00EF5785" w:rsidRDefault="00000000" w:rsidP="009F658F">
      <w:pPr>
        <w:jc w:val="both"/>
        <w:rPr>
          <w:rFonts w:ascii="Cambria Math" w:hAnsi="Cambria Math"/>
          <w:oMath/>
        </w:rPr>
      </w:pPr>
      <m:oMathPara>
        <m:oMathParaPr>
          <m:jc m:val="left"/>
        </m:oMathParaPr>
        <m:oMath>
          <m:sSub>
            <m:sSubPr>
              <m:ctrlPr>
                <w:rPr>
                  <w:rFonts w:ascii="Cambria Math" w:hAnsi="Cambria Math"/>
                  <w:i/>
                </w:rPr>
              </m:ctrlPr>
            </m:sSubPr>
            <m:e>
              <m:r>
                <w:rPr>
                  <w:rFonts w:ascii="Cambria Math" w:hAnsi="Cambria Math"/>
                </w:rPr>
                <m:t>σ</m:t>
              </m:r>
              <m:ctrlPr>
                <w:rPr>
                  <w:rFonts w:ascii="Cambria Math" w:hAnsi="Cambria Math"/>
                </w:rPr>
              </m:ctrlPr>
            </m:e>
            <m:sub>
              <m:r>
                <w:rPr>
                  <w:rFonts w:ascii="Cambria Math" w:hAnsi="Cambria Math"/>
                </w:rPr>
                <m:t>r</m:t>
              </m:r>
            </m:sub>
          </m:sSub>
          <m:r>
            <w:rPr>
              <w:rFonts w:ascii="Cambria Math" w:hAnsi="Cambria Math"/>
            </w:rPr>
            <m:t>=</m:t>
          </m:r>
          <m:r>
            <m:rPr>
              <m:nor/>
            </m:rPr>
            <w:rPr>
              <w:rFonts w:ascii="Cambria Math" w:hAnsi="Cambria Math"/>
            </w:rPr>
            <m:t>standard deviation of daily returns</m:t>
          </m:r>
        </m:oMath>
      </m:oMathPara>
    </w:p>
    <w:p w14:paraId="5055B92F" w14:textId="77777777" w:rsidR="00E83649" w:rsidRPr="00EF5785" w:rsidRDefault="00000000" w:rsidP="009F658F">
      <w:pPr>
        <w:jc w:val="both"/>
        <w:rPr>
          <w:rFonts w:eastAsiaTheme="minorEastAsia"/>
        </w:rPr>
      </w:pPr>
      <m:oMathPara>
        <m:oMathParaPr>
          <m:jc m:val="left"/>
        </m:oMathParaPr>
        <m:oMath>
          <m:rad>
            <m:radPr>
              <m:degHide m:val="1"/>
              <m:ctrlPr>
                <w:rPr>
                  <w:rFonts w:ascii="Cambria Math" w:hAnsi="Cambria Math"/>
                </w:rPr>
              </m:ctrlPr>
            </m:radPr>
            <m:deg>
              <m:ctrlPr>
                <w:rPr>
                  <w:rFonts w:ascii="Cambria Math" w:hAnsi="Cambria Math"/>
                  <w:i/>
                </w:rPr>
              </m:ctrlPr>
            </m:deg>
            <m:e>
              <m:r>
                <w:rPr>
                  <w:rFonts w:ascii="Cambria Math" w:hAnsi="Cambria Math"/>
                </w:rPr>
                <m:t>252</m:t>
              </m:r>
            </m:e>
          </m:rad>
          <m:r>
            <w:rPr>
              <w:rFonts w:ascii="Cambria Math" w:hAnsi="Cambria Math"/>
            </w:rPr>
            <m:t>=</m:t>
          </m:r>
          <m:r>
            <m:rPr>
              <m:nor/>
            </m:rPr>
            <w:rPr>
              <w:rFonts w:ascii="Cambria Math" w:hAnsi="Cambria Math"/>
            </w:rPr>
            <m:t>annualisation factor</m:t>
          </m:r>
        </m:oMath>
      </m:oMathPara>
    </w:p>
    <w:p w14:paraId="44E2EAB8" w14:textId="5BC2CC38" w:rsidR="00EF5785" w:rsidRPr="00EF5785" w:rsidRDefault="00EF5785" w:rsidP="009F658F">
      <w:pPr>
        <w:jc w:val="both"/>
        <w:rPr>
          <w:rFonts w:ascii="Cambria Math" w:eastAsiaTheme="minorEastAsia" w:hAnsi="Cambria Math"/>
          <w:oMath/>
        </w:rPr>
      </w:pPr>
      <m:oMathPara>
        <m:oMathParaPr>
          <m:jc m:val="left"/>
        </m:oMathParaPr>
        <m:oMath>
          <m:r>
            <w:rPr>
              <w:rFonts w:ascii="Cambria Math" w:eastAsiaTheme="minorEastAsia" w:hAnsi="Cambria Math"/>
            </w:rPr>
            <m:t>rf=0</m:t>
          </m:r>
          <m:r>
            <m:rPr>
              <m:nor/>
            </m:rPr>
            <w:rPr>
              <w:rFonts w:ascii="Cambria Math" w:eastAsiaTheme="minorEastAsia" w:hAnsi="Cambria Math"/>
            </w:rPr>
            <m:t xml:space="preserve"> is assumed throughout this study, as daily interest rate</m:t>
          </m:r>
        </m:oMath>
      </m:oMathPara>
    </w:p>
    <w:p w14:paraId="31343EF3" w14:textId="3C055A9D" w:rsidR="00992CBF" w:rsidRPr="00EF5785" w:rsidRDefault="00EF5785" w:rsidP="009F658F">
      <w:pPr>
        <w:jc w:val="both"/>
        <w:rPr>
          <w:rFonts w:eastAsiaTheme="minorEastAsia"/>
        </w:rPr>
      </w:pPr>
      <m:oMathPara>
        <m:oMathParaPr>
          <m:jc m:val="left"/>
        </m:oMathParaPr>
        <m:oMath>
          <m:r>
            <m:rPr>
              <m:nor/>
            </m:rPr>
            <w:rPr>
              <w:rFonts w:ascii="Cambria Math" w:eastAsiaTheme="minorEastAsia" w:hAnsi="Cambria Math"/>
            </w:rPr>
            <m:t xml:space="preserve"> fluctuations are negligible relative to the daily portfolio volatility </m:t>
          </m:r>
          <m:sSub>
            <m:sSubPr>
              <m:ctrlPr>
                <w:rPr>
                  <w:rFonts w:ascii="Cambria Math" w:eastAsiaTheme="minorEastAsia" w:hAnsi="Cambria Math"/>
                  <w:i/>
                </w:rPr>
              </m:ctrlPr>
            </m:sSubPr>
            <m:e>
              <m:r>
                <m:rPr>
                  <m:sty m:val="p"/>
                </m:rPr>
                <w:rPr>
                  <w:rFonts w:ascii="Cambria Math" w:eastAsiaTheme="minorEastAsia" w:hAnsi="Cambria Math"/>
                </w:rPr>
                <m:t>σ</m:t>
              </m:r>
              <m:ctrlPr>
                <w:rPr>
                  <w:rFonts w:ascii="Cambria Math" w:eastAsiaTheme="minorEastAsia" w:hAnsi="Cambria Math"/>
                </w:rPr>
              </m:ctrlPr>
            </m:e>
            <m:sub>
              <m:r>
                <w:rPr>
                  <w:rFonts w:ascii="Cambria Math" w:eastAsiaTheme="minorEastAsia" w:hAnsi="Cambria Math"/>
                </w:rPr>
                <m:t>r</m:t>
              </m:r>
            </m:sub>
          </m:sSub>
          <m:r>
            <w:rPr>
              <w:rFonts w:ascii="Cambria Math" w:eastAsiaTheme="minorEastAsia" w:hAnsi="Cambria Math"/>
            </w:rPr>
            <m:t>.</m:t>
          </m:r>
        </m:oMath>
      </m:oMathPara>
    </w:p>
    <w:p w14:paraId="1E309B2D" w14:textId="77777777" w:rsidR="00EF5785" w:rsidRPr="00EF5785" w:rsidRDefault="00EF5785" w:rsidP="009F658F">
      <w:pPr>
        <w:jc w:val="both"/>
        <w:rPr>
          <w:rFonts w:ascii="Cambria Math" w:eastAsiaTheme="minorEastAsia" w:hAnsi="Cambria Math"/>
          <w:oMath/>
        </w:rPr>
      </w:pPr>
    </w:p>
    <w:p w14:paraId="2C5102F2" w14:textId="0BFF8AD1" w:rsidR="00FF26F7" w:rsidRDefault="00E83649" w:rsidP="009F658F">
      <w:pPr>
        <w:jc w:val="both"/>
        <w:rPr>
          <w:rFonts w:eastAsiaTheme="minorEastAsia"/>
        </w:rPr>
      </w:pPr>
      <w:r>
        <w:rPr>
          <w:rFonts w:eastAsiaTheme="minorEastAsia"/>
          <w:b/>
          <w:bCs/>
        </w:rPr>
        <w:t xml:space="preserve">2. </w:t>
      </w:r>
      <w:r w:rsidR="00992CBF" w:rsidRPr="00992CBF">
        <w:rPr>
          <w:rFonts w:eastAsiaTheme="minorEastAsia"/>
          <w:b/>
          <w:bCs/>
        </w:rPr>
        <w:t>Total Return:</w:t>
      </w:r>
      <w:r w:rsidR="00992CBF">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total</m:t>
            </m:r>
          </m:sub>
        </m:sSub>
        <m:r>
          <w:rPr>
            <w:rFonts w:ascii="Cambria Math" w:eastAsiaTheme="minorEastAsia" w:hAnsi="Cambria Math"/>
          </w:rPr>
          <m:t>=</m:t>
        </m:r>
        <m:f>
          <m:fPr>
            <m:ctrlPr>
              <w:rPr>
                <w:rFonts w:ascii="Cambria Math" w:eastAsiaTheme="minorEastAsia" w:hAnsi="Cambria Math"/>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0</m:t>
                </m:r>
              </m:sub>
            </m:sSub>
            <m:ctrlPr>
              <w:rPr>
                <w:rFonts w:ascii="Cambria Math" w:eastAsiaTheme="minorEastAsia" w:hAnsi="Cambria Math"/>
                <w:i/>
              </w:rPr>
            </m:ctrlPr>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0</m:t>
                </m:r>
              </m:sub>
            </m:sSub>
            <m:ctrlPr>
              <w:rPr>
                <w:rFonts w:ascii="Cambria Math" w:eastAsiaTheme="minorEastAsia" w:hAnsi="Cambria Math"/>
                <w:i/>
              </w:rPr>
            </m:ctrlPr>
          </m:den>
        </m:f>
        <m:r>
          <m:rPr>
            <m:sty m:val="p"/>
          </m:rPr>
          <w:rPr>
            <w:rFonts w:ascii="Cambria Math" w:eastAsiaTheme="minorEastAsia" w:hAnsi="Cambria Math"/>
          </w:rPr>
          <m:t>×</m:t>
        </m:r>
        <m:r>
          <w:rPr>
            <w:rFonts w:ascii="Cambria Math" w:eastAsiaTheme="minorEastAsia" w:hAnsi="Cambria Math"/>
          </w:rPr>
          <m:t>100</m:t>
        </m:r>
      </m:oMath>
      <w:r w:rsidR="00992CBF">
        <w:rPr>
          <w:rFonts w:eastAsiaTheme="minorEastAsia"/>
        </w:rPr>
        <w:t xml:space="preserve"> </w:t>
      </w:r>
    </w:p>
    <w:p w14:paraId="14162986" w14:textId="7006969B" w:rsidR="00FF26F7" w:rsidRPr="00FF26F7" w:rsidRDefault="00FF26F7" w:rsidP="009F658F">
      <w:pPr>
        <w:jc w:val="both"/>
        <w:rPr>
          <w:rFonts w:eastAsiaTheme="minorEastAsia"/>
          <w:b/>
          <w:bCs/>
        </w:rPr>
      </w:pPr>
      <w:r w:rsidRPr="00FF26F7">
        <w:rPr>
          <w:rFonts w:eastAsiaTheme="minorEastAsia"/>
          <w:b/>
          <w:bCs/>
        </w:rPr>
        <w:t>Where:</w:t>
      </w:r>
    </w:p>
    <w:p w14:paraId="4218AD8A" w14:textId="77777777" w:rsidR="00FF26F7" w:rsidRPr="008A499B" w:rsidRDefault="00000000" w:rsidP="009F658F">
      <w:pPr>
        <w:jc w:val="both"/>
        <w:rPr>
          <w:rFonts w:ascii="Cambria Math" w:hAnsi="Cambria Math"/>
          <w:oMath/>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m:t>
          </m:r>
          <m:r>
            <m:rPr>
              <m:nor/>
            </m:rPr>
            <w:rPr>
              <w:rFonts w:ascii="Cambria Math" w:hAnsi="Cambria Math"/>
            </w:rPr>
            <m:t xml:space="preserve">final portfolio value </m:t>
          </m:r>
        </m:oMath>
      </m:oMathPara>
    </w:p>
    <w:p w14:paraId="47C652CF" w14:textId="77777777" w:rsidR="00FF26F7" w:rsidRPr="008A499B" w:rsidRDefault="00000000" w:rsidP="009F658F">
      <w:pPr>
        <w:jc w:val="both"/>
        <w:rPr>
          <w:rFonts w:ascii="Cambria Math" w:hAnsi="Cambria Math"/>
          <w:oMath/>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t>
          </m:r>
          <m:r>
            <m:rPr>
              <m:nor/>
            </m:rPr>
            <w:rPr>
              <w:rFonts w:ascii="Cambria Math" w:hAnsi="Cambria Math"/>
            </w:rPr>
            <m:t>initial portfolio value</m:t>
          </m:r>
        </m:oMath>
      </m:oMathPara>
    </w:p>
    <w:p w14:paraId="186F7CBC" w14:textId="77777777" w:rsidR="00992CBF" w:rsidRDefault="00992CBF" w:rsidP="009F658F">
      <w:pPr>
        <w:jc w:val="both"/>
        <w:rPr>
          <w:rFonts w:eastAsiaTheme="minorEastAsia"/>
        </w:rPr>
      </w:pPr>
    </w:p>
    <w:p w14:paraId="66C4B2EA" w14:textId="2ADE48A3" w:rsidR="006A6AF3" w:rsidRDefault="00E83649" w:rsidP="009F658F">
      <w:pPr>
        <w:jc w:val="both"/>
        <w:rPr>
          <w:rFonts w:eastAsiaTheme="minorEastAsia"/>
        </w:rPr>
      </w:pPr>
      <w:r>
        <w:rPr>
          <w:rFonts w:eastAsiaTheme="minorEastAsia"/>
          <w:b/>
          <w:bCs/>
        </w:rPr>
        <w:t xml:space="preserve">3. </w:t>
      </w:r>
      <w:r w:rsidR="00992CBF" w:rsidRPr="00992CBF">
        <w:rPr>
          <w:rFonts w:eastAsiaTheme="minorEastAsia"/>
          <w:b/>
          <w:bCs/>
        </w:rPr>
        <w:t>Turnover penalty:</w:t>
      </w:r>
      <w:r w:rsidR="00992CBF">
        <w:rPr>
          <w:rFonts w:eastAsiaTheme="minorEastAsia"/>
        </w:rPr>
        <w:t xml:space="preserve">  </w:t>
      </w:r>
    </w:p>
    <w:p w14:paraId="7DA19D20" w14:textId="34BD8C86" w:rsidR="00992CBF" w:rsidRDefault="006A6AF3" w:rsidP="009F658F">
      <w:pPr>
        <w:jc w:val="both"/>
      </w:pPr>
      <w:r>
        <w:rPr>
          <w:noProof/>
        </w:rPr>
        <w:drawing>
          <wp:inline distT="0" distB="0" distL="0" distR="0" wp14:anchorId="16FF8009" wp14:editId="1D6B342E">
            <wp:extent cx="5731510" cy="395605"/>
            <wp:effectExtent l="0" t="0" r="2540" b="4445"/>
            <wp:docPr id="2063006057" name="Picture 9"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put" descr="equation"/>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95605"/>
                    </a:xfrm>
                    <a:prstGeom prst="rect">
                      <a:avLst/>
                    </a:prstGeom>
                    <a:noFill/>
                    <a:ln>
                      <a:noFill/>
                    </a:ln>
                  </pic:spPr>
                </pic:pic>
              </a:graphicData>
            </a:graphic>
          </wp:inline>
        </w:drawing>
      </w:r>
    </w:p>
    <w:p w14:paraId="26AB4796" w14:textId="77777777" w:rsidR="00FF26F7" w:rsidRDefault="00FF26F7" w:rsidP="009F658F">
      <w:pPr>
        <w:jc w:val="both"/>
      </w:pPr>
    </w:p>
    <w:p w14:paraId="2FEC94AC" w14:textId="2E00C161" w:rsidR="00FF26F7" w:rsidRPr="00CD41BD" w:rsidRDefault="00FF26F7" w:rsidP="009F658F">
      <w:pPr>
        <w:jc w:val="both"/>
        <w:rPr>
          <w:b/>
          <w:bCs/>
        </w:rPr>
      </w:pPr>
      <w:r w:rsidRPr="00CD41BD">
        <w:rPr>
          <w:b/>
          <w:bCs/>
        </w:rPr>
        <w:t>Where:</w:t>
      </w:r>
    </w:p>
    <w:p w14:paraId="0D75FA3D" w14:textId="77777777" w:rsidR="00FF26F7" w:rsidRPr="00CD41BD" w:rsidRDefault="00FF26F7" w:rsidP="009F658F">
      <w:pPr>
        <w:jc w:val="both"/>
        <w:rPr>
          <w:rFonts w:ascii="Cambria Math" w:eastAsiaTheme="minorEastAsia" w:hAnsi="Cambria Math"/>
          <w:oMath/>
        </w:rPr>
      </w:pPr>
      <m:oMathPara>
        <m:oMathParaPr>
          <m:jc m:val="left"/>
        </m:oMathParaPr>
        <m:oMath>
          <m:r>
            <w:rPr>
              <w:rFonts w:ascii="Cambria Math" w:eastAsiaTheme="minorEastAsia" w:hAnsi="Cambria Math"/>
            </w:rPr>
            <m:t>τ=</m:t>
          </m:r>
          <m:r>
            <m:rPr>
              <m:nor/>
            </m:rPr>
            <w:rPr>
              <w:rFonts w:ascii="Cambria Math" w:eastAsiaTheme="minorEastAsia" w:hAnsi="Cambria Math"/>
            </w:rPr>
            <m:t xml:space="preserve">Turnover penalty score, </m:t>
          </m:r>
          <m:r>
            <w:rPr>
              <w:rFonts w:ascii="Cambria Math" w:eastAsiaTheme="minorEastAsia" w:hAnsi="Cambria Math"/>
            </w:rPr>
            <m:t>τ</m:t>
          </m:r>
          <m:r>
            <m:rPr>
              <m:sty m:val="p"/>
            </m:rPr>
            <w:rPr>
              <w:rFonts w:ascii="Cambria Math" w:eastAsiaTheme="minorEastAsia" w:hAnsi="Cambria Math"/>
            </w:rPr>
            <m:t>∈</m:t>
          </m:r>
          <m:d>
            <m:dPr>
              <m:begChr m:val="["/>
              <m:endChr m:val="]"/>
              <m:ctrlPr>
                <w:rPr>
                  <w:rFonts w:ascii="Cambria Math" w:eastAsiaTheme="minorEastAsia" w:hAnsi="Cambria Math"/>
                  <w:i/>
                </w:rPr>
              </m:ctrlPr>
            </m:dPr>
            <m:e>
              <m:r>
                <w:rPr>
                  <w:rFonts w:ascii="Cambria Math" w:eastAsiaTheme="minorEastAsia" w:hAnsi="Cambria Math"/>
                </w:rPr>
                <m:t>0,1</m:t>
              </m:r>
            </m:e>
          </m:d>
        </m:oMath>
      </m:oMathPara>
    </w:p>
    <w:p w14:paraId="020DBB79" w14:textId="77777777" w:rsidR="00FF26F7" w:rsidRPr="00CD41BD" w:rsidRDefault="00FF26F7" w:rsidP="009F658F">
      <w:pPr>
        <w:jc w:val="both"/>
        <w:rPr>
          <w:rFonts w:ascii="Cambria Math" w:eastAsiaTheme="minorEastAsia" w:hAnsi="Cambria Math"/>
          <w:oMath/>
        </w:rPr>
      </w:pPr>
      <m:oMathPara>
        <m:oMathParaPr>
          <m:jc m:val="left"/>
        </m:oMathParaPr>
        <m:oMath>
          <m:r>
            <w:rPr>
              <w:rFonts w:ascii="Cambria Math" w:eastAsiaTheme="minorEastAsia" w:hAnsi="Cambria Math"/>
            </w:rPr>
            <m:t>F=</m:t>
          </m:r>
          <m:r>
            <m:rPr>
              <m:nor/>
            </m:rPr>
            <w:rPr>
              <w:rFonts w:ascii="Cambria Math" w:eastAsiaTheme="minorEastAsia" w:hAnsi="Cambria Math"/>
            </w:rPr>
            <m:t>Number of position flips within 5 trading days</m:t>
          </m:r>
        </m:oMath>
      </m:oMathPara>
    </w:p>
    <w:p w14:paraId="63DDC51B" w14:textId="77777777" w:rsidR="00FF26F7" w:rsidRPr="00CD41BD" w:rsidRDefault="00000000" w:rsidP="009F658F">
      <w:pPr>
        <w:jc w:val="both"/>
        <w:rPr>
          <w:rFonts w:ascii="Cambria Math" w:eastAsiaTheme="minorEastAsia" w:hAnsi="Cambria Math"/>
          <w:oMath/>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trades</m:t>
              </m:r>
            </m:sub>
          </m:sSub>
          <m:r>
            <w:rPr>
              <w:rFonts w:ascii="Cambria Math" w:eastAsiaTheme="minorEastAsia" w:hAnsi="Cambria Math"/>
            </w:rPr>
            <m:t>=</m:t>
          </m:r>
          <m:r>
            <m:rPr>
              <m:nor/>
            </m:rPr>
            <w:rPr>
              <w:rFonts w:ascii="Cambria Math" w:eastAsiaTheme="minorEastAsia" w:hAnsi="Cambria Math"/>
            </w:rPr>
            <m:t>Total number of non-hold trade actions</m:t>
          </m:r>
        </m:oMath>
      </m:oMathPara>
    </w:p>
    <w:p w14:paraId="4DDF86D5" w14:textId="77777777" w:rsidR="00FF26F7" w:rsidRPr="00CD41BD" w:rsidRDefault="00000000" w:rsidP="009F658F">
      <w:pPr>
        <w:jc w:val="both"/>
        <w:rPr>
          <w:rFonts w:ascii="Cambria Math" w:eastAsiaTheme="minorEastAsia" w:hAnsi="Cambria Math"/>
          <w:oMath/>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decisions</m:t>
              </m:r>
            </m:sub>
          </m:sSub>
          <m:r>
            <w:rPr>
              <w:rFonts w:ascii="Cambria Math" w:eastAsiaTheme="minorEastAsia" w:hAnsi="Cambria Math"/>
            </w:rPr>
            <m:t>=</m:t>
          </m:r>
          <m:r>
            <m:rPr>
              <m:nor/>
            </m:rPr>
            <w:rPr>
              <w:rFonts w:ascii="Cambria Math" w:eastAsiaTheme="minorEastAsia" w:hAnsi="Cambria Math"/>
            </w:rPr>
            <m:t>Total number of all decisions including holds</m:t>
          </m:r>
        </m:oMath>
      </m:oMathPara>
    </w:p>
    <w:p w14:paraId="13448B0C" w14:textId="77777777" w:rsidR="00FF26F7" w:rsidRPr="00CD41BD" w:rsidRDefault="00FF26F7" w:rsidP="009F658F">
      <w:pPr>
        <w:jc w:val="both"/>
        <w:rPr>
          <w:rFonts w:ascii="Cambria Math" w:eastAsiaTheme="minorEastAsia" w:hAnsi="Cambria Math"/>
          <w:oMath/>
        </w:rPr>
      </w:pPr>
      <m:oMathPara>
        <m:oMathParaPr>
          <m:jc m:val="left"/>
        </m:oMathParaPr>
        <m:oMath>
          <m:r>
            <w:rPr>
              <w:rFonts w:ascii="Cambria Math" w:eastAsiaTheme="minorEastAsia" w:hAnsi="Cambria Math"/>
            </w:rPr>
            <m:t>0.10=</m:t>
          </m:r>
          <m:r>
            <m:rPr>
              <m:nor/>
            </m:rPr>
            <w:rPr>
              <w:rFonts w:ascii="Cambria Math" w:eastAsiaTheme="minorEastAsia" w:hAnsi="Cambria Math"/>
            </w:rPr>
            <m:t>Ideal trade rate threshold</m:t>
          </m:r>
        </m:oMath>
      </m:oMathPara>
    </w:p>
    <w:p w14:paraId="479713E4" w14:textId="77777777" w:rsidR="00FF26F7" w:rsidRPr="00CD41BD" w:rsidRDefault="00FF26F7" w:rsidP="009F658F">
      <w:pPr>
        <w:jc w:val="both"/>
        <w:rPr>
          <w:rFonts w:ascii="Cambria Math" w:eastAsiaTheme="minorEastAsia" w:hAnsi="Cambria Math"/>
          <w:oMath/>
        </w:rPr>
      </w:pPr>
      <m:oMathPara>
        <m:oMathParaPr>
          <m:jc m:val="left"/>
        </m:oMathParaPr>
        <m:oMath>
          <m:r>
            <w:rPr>
              <w:rFonts w:ascii="Cambria Math" w:eastAsiaTheme="minorEastAsia" w:hAnsi="Cambria Math"/>
            </w:rPr>
            <m:t>0.90=</m:t>
          </m:r>
          <m:r>
            <m:rPr>
              <m:nor/>
            </m:rPr>
            <w:rPr>
              <w:rFonts w:ascii="Cambria Math" w:eastAsiaTheme="minorEastAsia" w:hAnsi="Cambria Math"/>
            </w:rPr>
            <m:t>Normalisation factor</m:t>
          </m:r>
        </m:oMath>
      </m:oMathPara>
    </w:p>
    <w:p w14:paraId="09E2E514" w14:textId="77777777" w:rsidR="00FF26F7" w:rsidRPr="00CD41BD" w:rsidRDefault="00FF26F7" w:rsidP="009F658F">
      <w:pPr>
        <w:jc w:val="both"/>
        <w:rPr>
          <w:rFonts w:ascii="Cambria Math" w:eastAsiaTheme="minorEastAsia" w:hAnsi="Cambria Math"/>
          <w:oMath/>
        </w:rPr>
      </w:pPr>
      <m:oMathPara>
        <m:oMathParaPr>
          <m:jc m:val="left"/>
        </m:oMathParaPr>
        <m:oMath>
          <m:r>
            <w:rPr>
              <w:rFonts w:ascii="Cambria Math" w:eastAsiaTheme="minorEastAsia" w:hAnsi="Cambria Math"/>
            </w:rPr>
            <m:t>0.5=</m:t>
          </m:r>
          <m:r>
            <m:rPr>
              <m:nor/>
            </m:rPr>
            <w:rPr>
              <w:rFonts w:ascii="Cambria Math" w:eastAsiaTheme="minorEastAsia" w:hAnsi="Cambria Math"/>
            </w:rPr>
            <m:t>Equal weighting between flip rate and busyness</m:t>
          </m:r>
        </m:oMath>
      </m:oMathPara>
    </w:p>
    <w:p w14:paraId="517274BD" w14:textId="77777777" w:rsidR="006A6AF3" w:rsidRDefault="006A6AF3" w:rsidP="009F658F">
      <w:pPr>
        <w:jc w:val="both"/>
      </w:pPr>
    </w:p>
    <w:p w14:paraId="4172488C" w14:textId="714F7C77" w:rsidR="00E83649" w:rsidRDefault="00E83649" w:rsidP="009F658F">
      <w:pPr>
        <w:jc w:val="both"/>
        <w:rPr>
          <w:rFonts w:eastAsiaTheme="minorEastAsia"/>
        </w:rPr>
      </w:pPr>
      <w:r>
        <w:rPr>
          <w:b/>
          <w:bCs/>
        </w:rPr>
        <w:t xml:space="preserve">4. </w:t>
      </w:r>
      <w:r w:rsidR="00992CBF" w:rsidRPr="00992CBF">
        <w:rPr>
          <w:b/>
          <w:bCs/>
        </w:rPr>
        <w:t>Drawdown penalty</w:t>
      </w:r>
      <w:r w:rsidR="00992CBF">
        <w:t xml:space="preserve">:  </w:t>
      </w:r>
      <m:oMath>
        <m:r>
          <w:rPr>
            <w:rFonts w:ascii="Cambria Math" w:hAnsi="Cambria Math"/>
          </w:rPr>
          <m:t>MDD=</m:t>
        </m:r>
        <m:func>
          <m:funcPr>
            <m:ctrlPr>
              <w:rPr>
                <w:rFonts w:ascii="Cambria Math" w:hAnsi="Cambria Math"/>
              </w:rPr>
            </m:ctrlPr>
          </m:funcPr>
          <m:fName>
            <m:limLow>
              <m:limLowPr>
                <m:ctrlPr>
                  <w:rPr>
                    <w:rFonts w:ascii="Cambria Math" w:hAnsi="Cambria Math"/>
                    <w:i/>
                  </w:rPr>
                </m:ctrlPr>
              </m:limLowPr>
              <m:e>
                <m:r>
                  <m:rPr>
                    <m:sty m:val="p"/>
                  </m:rPr>
                  <w:rPr>
                    <w:rFonts w:ascii="Cambria Math" w:hAnsi="Cambria Math"/>
                  </w:rPr>
                  <m:t>max</m:t>
                </m:r>
              </m:e>
              <m:lim>
                <m:r>
                  <w:rPr>
                    <w:rFonts w:ascii="Cambria Math" w:hAnsi="Cambria Math"/>
                  </w:rPr>
                  <m:t>t</m:t>
                </m:r>
                <m:r>
                  <m:rPr>
                    <m:sty m:val="p"/>
                  </m:rPr>
                  <w:rPr>
                    <w:rFonts w:ascii="Cambria Math" w:hAnsi="Cambria Math"/>
                  </w:rPr>
                  <m:t>∈</m:t>
                </m:r>
                <m:d>
                  <m:dPr>
                    <m:begChr m:val="["/>
                    <m:endChr m:val="]"/>
                    <m:ctrlPr>
                      <w:rPr>
                        <w:rFonts w:ascii="Cambria Math" w:hAnsi="Cambria Math"/>
                        <w:i/>
                      </w:rPr>
                    </m:ctrlPr>
                  </m:dPr>
                  <m:e>
                    <m:r>
                      <w:rPr>
                        <w:rFonts w:ascii="Cambria Math" w:hAnsi="Cambria Math"/>
                      </w:rPr>
                      <m:t>0,T</m:t>
                    </m:r>
                  </m:e>
                </m:d>
                <m:ctrlPr>
                  <w:rPr>
                    <w:rFonts w:ascii="Cambria Math" w:hAnsi="Cambria Math"/>
                  </w:rPr>
                </m:ctrlPr>
              </m:lim>
            </m:limLow>
            <m:ctrlPr>
              <w:rPr>
                <w:rFonts w:ascii="Cambria Math" w:hAnsi="Cambria Math"/>
                <w:i/>
              </w:rPr>
            </m:ctrlPr>
          </m:fName>
          <m:e>
            <m:d>
              <m:dPr>
                <m:ctrlPr>
                  <w:rPr>
                    <w:rFonts w:ascii="Cambria Math" w:hAnsi="Cambria Math"/>
                  </w:rPr>
                </m:ctrlPr>
              </m:dPr>
              <m:e>
                <m:f>
                  <m:fPr>
                    <m:ctrlPr>
                      <w:rPr>
                        <w:rFonts w:ascii="Cambria Math" w:hAnsi="Cambria Math"/>
                      </w:rPr>
                    </m:ctrlPr>
                  </m:fPr>
                  <m:num>
                    <m:sSub>
                      <m:sSubPr>
                        <m:ctrlPr>
                          <w:rPr>
                            <w:rFonts w:ascii="Cambria Math" w:hAnsi="Cambria Math"/>
                            <w:i/>
                          </w:rPr>
                        </m:ctrlPr>
                      </m:sSubPr>
                      <m:e>
                        <m:r>
                          <w:rPr>
                            <w:rFonts w:ascii="Cambria Math" w:hAnsi="Cambria Math"/>
                          </w:rPr>
                          <m:t>P</m:t>
                        </m:r>
                      </m:e>
                      <m:sub>
                        <m:r>
                          <w:rPr>
                            <w:rFonts w:ascii="Cambria Math" w:hAnsi="Cambria Math"/>
                          </w:rPr>
                          <m:t>peak</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t</m:t>
                        </m:r>
                      </m:sub>
                    </m:sSub>
                    <m:ctrlPr>
                      <w:rPr>
                        <w:rFonts w:ascii="Cambria Math" w:hAnsi="Cambria Math"/>
                        <w:i/>
                      </w:rPr>
                    </m:ctrlPr>
                  </m:num>
                  <m:den>
                    <m:sSub>
                      <m:sSubPr>
                        <m:ctrlPr>
                          <w:rPr>
                            <w:rFonts w:ascii="Cambria Math" w:hAnsi="Cambria Math"/>
                            <w:i/>
                          </w:rPr>
                        </m:ctrlPr>
                      </m:sSubPr>
                      <m:e>
                        <m:r>
                          <w:rPr>
                            <w:rFonts w:ascii="Cambria Math" w:hAnsi="Cambria Math"/>
                          </w:rPr>
                          <m:t>P</m:t>
                        </m:r>
                      </m:e>
                      <m:sub>
                        <m:r>
                          <w:rPr>
                            <w:rFonts w:ascii="Cambria Math" w:hAnsi="Cambria Math"/>
                          </w:rPr>
                          <m:t>peak</m:t>
                        </m:r>
                      </m:sub>
                    </m:sSub>
                    <m:ctrlPr>
                      <w:rPr>
                        <w:rFonts w:ascii="Cambria Math" w:hAnsi="Cambria Math"/>
                        <w:i/>
                      </w:rPr>
                    </m:ctrlPr>
                  </m:den>
                </m:f>
                <m:ctrlPr>
                  <w:rPr>
                    <w:rFonts w:ascii="Cambria Math" w:hAnsi="Cambria Math"/>
                    <w:i/>
                  </w:rPr>
                </m:ctrlPr>
              </m:e>
            </m:d>
            <m:ctrlPr>
              <w:rPr>
                <w:rFonts w:ascii="Cambria Math" w:hAnsi="Cambria Math"/>
                <w:i/>
              </w:rPr>
            </m:ctrlPr>
          </m:e>
        </m:func>
        <m:r>
          <m:rPr>
            <m:sty m:val="p"/>
          </m:rPr>
          <w:rPr>
            <w:rFonts w:ascii="Cambria Math" w:hAnsi="Cambria Math"/>
          </w:rPr>
          <m:t>×</m:t>
        </m:r>
        <m:r>
          <w:rPr>
            <w:rFonts w:ascii="Cambria Math" w:hAnsi="Cambria Math"/>
          </w:rPr>
          <m:t>100</m:t>
        </m:r>
      </m:oMath>
    </w:p>
    <w:p w14:paraId="63174E3F" w14:textId="4AF6B01E" w:rsidR="00E83649" w:rsidRDefault="00E83649" w:rsidP="009F658F">
      <w:pPr>
        <w:jc w:val="both"/>
        <w:rPr>
          <w:rFonts w:eastAsiaTheme="minorEastAsia"/>
        </w:rPr>
      </w:pPr>
      <w:r w:rsidRPr="00E83649">
        <w:rPr>
          <w:rFonts w:eastAsiaTheme="minorEastAsia"/>
          <w:b/>
          <w:bCs/>
        </w:rPr>
        <w:t>Where</w:t>
      </w:r>
      <w:r>
        <w:rPr>
          <w:rFonts w:eastAsiaTheme="minorEastAsia"/>
        </w:rPr>
        <w:t>:</w:t>
      </w:r>
    </w:p>
    <w:p w14:paraId="3F16ADD8" w14:textId="77777777" w:rsidR="00E83649" w:rsidRPr="008A499B" w:rsidRDefault="00000000" w:rsidP="009F658F">
      <w:pPr>
        <w:jc w:val="both"/>
        <w:rPr>
          <w:rFonts w:ascii="Cambria Math" w:hAnsi="Cambria Math"/>
          <w:oMath/>
        </w:rPr>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peak</m:t>
              </m:r>
            </m:sub>
          </m:sSub>
          <m:r>
            <w:rPr>
              <w:rFonts w:ascii="Cambria Math" w:hAnsi="Cambria Math"/>
            </w:rPr>
            <m:t>=</m:t>
          </m:r>
          <m:r>
            <m:rPr>
              <m:nor/>
            </m:rPr>
            <w:rPr>
              <w:rFonts w:ascii="Cambria Math" w:hAnsi="Cambria Math"/>
            </w:rPr>
            <m:t xml:space="preserve">highest portfolio value up to time </m:t>
          </m:r>
          <m:r>
            <w:rPr>
              <w:rFonts w:ascii="Cambria Math" w:hAnsi="Cambria Math"/>
            </w:rPr>
            <m:t>t</m:t>
          </m:r>
        </m:oMath>
      </m:oMathPara>
    </w:p>
    <w:p w14:paraId="64180A6A" w14:textId="77777777" w:rsidR="00E83649" w:rsidRPr="008A499B" w:rsidRDefault="00000000" w:rsidP="009F658F">
      <w:pPr>
        <w:jc w:val="both"/>
        <w:rPr>
          <w:rFonts w:ascii="Cambria Math" w:hAnsi="Cambria Math"/>
          <w:oMath/>
        </w:rPr>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t</m:t>
              </m:r>
            </m:sub>
          </m:sSub>
          <m:r>
            <w:rPr>
              <w:rFonts w:ascii="Cambria Math" w:hAnsi="Cambria Math"/>
            </w:rPr>
            <m:t>=</m:t>
          </m:r>
          <m:r>
            <m:rPr>
              <m:nor/>
            </m:rPr>
            <w:rPr>
              <w:rFonts w:ascii="Cambria Math" w:hAnsi="Cambria Math"/>
            </w:rPr>
            <m:t xml:space="preserve">portfolio value at time </m:t>
          </m:r>
          <m:r>
            <w:rPr>
              <w:rFonts w:ascii="Cambria Math" w:hAnsi="Cambria Math"/>
            </w:rPr>
            <m:t>t</m:t>
          </m:r>
        </m:oMath>
      </m:oMathPara>
    </w:p>
    <w:p w14:paraId="5C21A840" w14:textId="77777777" w:rsidR="008A499B" w:rsidRDefault="008A499B" w:rsidP="009F658F">
      <w:pPr>
        <w:jc w:val="both"/>
        <w:rPr>
          <w:rFonts w:eastAsiaTheme="minorEastAsia"/>
        </w:rPr>
      </w:pPr>
    </w:p>
    <w:p w14:paraId="360210AA" w14:textId="6278D8E6" w:rsidR="00992CBF" w:rsidRDefault="00E83649" w:rsidP="009F658F">
      <w:pPr>
        <w:jc w:val="both"/>
      </w:pPr>
      <w:r>
        <w:rPr>
          <w:rFonts w:eastAsiaTheme="minorEastAsia"/>
          <w:b/>
          <w:bCs/>
        </w:rPr>
        <w:t xml:space="preserve">5. </w:t>
      </w:r>
      <w:r w:rsidR="008A499B" w:rsidRPr="008A499B">
        <w:rPr>
          <w:rFonts w:eastAsiaTheme="minorEastAsia"/>
          <w:b/>
          <w:bCs/>
        </w:rPr>
        <w:t>Accuracy:</w:t>
      </w:r>
      <w:r w:rsidR="008A499B">
        <w:rPr>
          <w:rFonts w:eastAsiaTheme="minorEastAsia"/>
        </w:rPr>
        <w:t xml:space="preserve"> </w:t>
      </w:r>
      <w:r w:rsidR="008A499B">
        <w:t xml:space="preserve"> </w:t>
      </w:r>
      <m:oMath>
        <m:r>
          <w:rPr>
            <w:rFonts w:ascii="Cambria Math" w:hAnsi="Cambria Math"/>
          </w:rPr>
          <m:t>A=</m:t>
        </m:r>
        <m:f>
          <m:fPr>
            <m:ctrlPr>
              <w:rPr>
                <w:rFonts w:ascii="Cambria Math" w:hAnsi="Cambria Math"/>
              </w:rPr>
            </m:ctrlPr>
          </m:fPr>
          <m:num>
            <m:r>
              <w:rPr>
                <w:rFonts w:ascii="Cambria Math" w:hAnsi="Cambria Math"/>
              </w:rPr>
              <m:t>1</m:t>
            </m:r>
            <m:ctrlPr>
              <w:rPr>
                <w:rFonts w:ascii="Cambria Math" w:hAnsi="Cambria Math"/>
                <w:i/>
              </w:rPr>
            </m:ctrlPr>
          </m:num>
          <m:den>
            <m:r>
              <w:rPr>
                <w:rFonts w:ascii="Cambria Math" w:hAnsi="Cambria Math"/>
              </w:rPr>
              <m:t>N</m:t>
            </m:r>
            <m:ctrlPr>
              <w:rPr>
                <w:rFonts w:ascii="Cambria Math" w:hAnsi="Cambria Math"/>
                <w:i/>
              </w:rPr>
            </m:ctrlPr>
          </m:den>
        </m:f>
        <m:nary>
          <m:naryPr>
            <m:chr m:val="∑"/>
            <m:ctrlPr>
              <w:rPr>
                <w:rFonts w:ascii="Cambria Math" w:hAnsi="Cambria Math"/>
              </w:rPr>
            </m:ctrlPr>
          </m:naryPr>
          <m:sub>
            <m:r>
              <w:rPr>
                <w:rFonts w:ascii="Cambria Math" w:hAnsi="Cambria Math"/>
              </w:rPr>
              <m:t>i=1</m:t>
            </m:r>
            <m:ctrlPr>
              <w:rPr>
                <w:rFonts w:ascii="Cambria Math" w:hAnsi="Cambria Math"/>
                <w:i/>
              </w:rPr>
            </m:ctrlPr>
          </m:sub>
          <m:sup>
            <m:r>
              <w:rPr>
                <w:rFonts w:ascii="Cambria Math" w:hAnsi="Cambria Math"/>
              </w:rPr>
              <m:t>N</m:t>
            </m:r>
            <m:ctrlPr>
              <w:rPr>
                <w:rFonts w:ascii="Cambria Math" w:hAnsi="Cambria Math"/>
                <w:i/>
              </w:rPr>
            </m:ctrlPr>
          </m:sup>
          <m:e>
            <m:r>
              <w:rPr>
                <w:rFonts w:ascii="Cambria Math" w:hAnsi="Cambria Math"/>
              </w:rPr>
              <m:t>1</m:t>
            </m:r>
            <m:d>
              <m:dPr>
                <m:begChr m:val="["/>
                <m:endChr m:val="]"/>
                <m:ctrlPr>
                  <w:rPr>
                    <w:rFonts w:ascii="Cambria Math" w:hAnsi="Cambria Math"/>
                    <w:i/>
                  </w:rPr>
                </m:ctrlPr>
              </m:dPr>
              <m:e>
                <m:acc>
                  <m:accPr>
                    <m:ctrlPr>
                      <w:rPr>
                        <w:rFonts w:ascii="Cambria Math" w:hAnsi="Cambria Math"/>
                      </w:rPr>
                    </m:ctrlPr>
                  </m:accPr>
                  <m:e>
                    <m:sSub>
                      <m:sSubPr>
                        <m:ctrlPr>
                          <w:rPr>
                            <w:rFonts w:ascii="Cambria Math" w:hAnsi="Cambria Math"/>
                            <w:i/>
                          </w:rPr>
                        </m:ctrlPr>
                      </m:sSubPr>
                      <m:e>
                        <m:r>
                          <w:rPr>
                            <w:rFonts w:ascii="Cambria Math" w:hAnsi="Cambria Math"/>
                          </w:rPr>
                          <m:t>y</m:t>
                        </m:r>
                        <m:ctrlPr>
                          <w:rPr>
                            <w:rFonts w:ascii="Cambria Math" w:hAnsi="Cambria Math"/>
                          </w:rPr>
                        </m:ctrlPr>
                      </m:e>
                      <m:sub>
                        <m:r>
                          <w:rPr>
                            <w:rFonts w:ascii="Cambria Math" w:hAnsi="Cambria Math"/>
                          </w:rPr>
                          <m:t>i</m:t>
                        </m:r>
                      </m:sub>
                    </m:sSub>
                  </m:e>
                </m:acc>
                <m:r>
                  <w:rPr>
                    <w:rFonts w:ascii="Cambria Math" w:hAnsi="Cambria Math"/>
                  </w:rPr>
                  <m:t xml:space="preserve"> - </m:t>
                </m:r>
                <m:sSub>
                  <m:sSubPr>
                    <m:ctrlPr>
                      <w:rPr>
                        <w:rFonts w:ascii="Cambria Math" w:hAnsi="Cambria Math"/>
                        <w:i/>
                      </w:rPr>
                    </m:ctrlPr>
                  </m:sSubPr>
                  <m:e>
                    <m:r>
                      <w:rPr>
                        <w:rFonts w:ascii="Cambria Math" w:hAnsi="Cambria Math"/>
                      </w:rPr>
                      <m:t>y</m:t>
                    </m:r>
                  </m:e>
                  <m:sub>
                    <m:r>
                      <w:rPr>
                        <w:rFonts w:ascii="Cambria Math" w:hAnsi="Cambria Math"/>
                      </w:rPr>
                      <m:t>i</m:t>
                    </m:r>
                  </m:sub>
                </m:sSub>
              </m:e>
            </m:d>
            <m:ctrlPr>
              <w:rPr>
                <w:rFonts w:ascii="Cambria Math" w:hAnsi="Cambria Math"/>
                <w:i/>
              </w:rPr>
            </m:ctrlPr>
          </m:e>
        </m:nary>
      </m:oMath>
    </w:p>
    <w:p w14:paraId="246A2D32" w14:textId="651AF9F3" w:rsidR="008A499B" w:rsidRPr="008A499B" w:rsidRDefault="008A499B" w:rsidP="009F658F">
      <w:pPr>
        <w:jc w:val="both"/>
        <w:rPr>
          <w:b/>
          <w:bCs/>
        </w:rPr>
      </w:pPr>
      <w:r w:rsidRPr="008A499B">
        <w:rPr>
          <w:b/>
          <w:bCs/>
        </w:rPr>
        <w:t>Where</w:t>
      </w:r>
      <w:r>
        <w:rPr>
          <w:b/>
          <w:bCs/>
        </w:rPr>
        <w:t>:</w:t>
      </w:r>
    </w:p>
    <w:p w14:paraId="0D1FDD93" w14:textId="340D54CC" w:rsidR="008A499B" w:rsidRPr="008A499B" w:rsidRDefault="008A499B" w:rsidP="009F658F">
      <w:pPr>
        <w:jc w:val="both"/>
        <w:rPr>
          <w:rFonts w:ascii="Cambria Math" w:hAnsi="Cambria Math"/>
          <w:oMath/>
        </w:rPr>
      </w:pPr>
      <m:oMathPara>
        <m:oMathParaPr>
          <m:jc m:val="left"/>
        </m:oMathParaPr>
        <m:oMath>
          <m:r>
            <w:rPr>
              <w:rFonts w:ascii="Cambria Math" w:hAnsi="Cambria Math"/>
            </w:rPr>
            <m:t>N=</m:t>
          </m:r>
          <m:r>
            <m:rPr>
              <m:nor/>
            </m:rPr>
            <w:rPr>
              <w:rFonts w:ascii="Cambria Math" w:hAnsi="Cambria Math"/>
            </w:rPr>
            <m:t>total number of signals generated</m:t>
          </m:r>
        </m:oMath>
      </m:oMathPara>
    </w:p>
    <w:p w14:paraId="1A84103E" w14:textId="0061EC38" w:rsidR="008A499B" w:rsidRPr="008A499B" w:rsidRDefault="00000000" w:rsidP="009F658F">
      <w:pPr>
        <w:jc w:val="both"/>
        <w:rPr>
          <w:rFonts w:ascii="Cambria Math" w:hAnsi="Cambria Math"/>
          <w:oMath/>
        </w:rPr>
      </w:pPr>
      <m:oMathPara>
        <m:oMathParaPr>
          <m:jc m:val="left"/>
        </m:oMathParaPr>
        <m:oMath>
          <m:acc>
            <m:accPr>
              <m:ctrlPr>
                <w:rPr>
                  <w:rFonts w:ascii="Cambria Math" w:hAnsi="Cambria Math"/>
                </w:rPr>
              </m:ctrlPr>
            </m:accPr>
            <m:e>
              <m:sSub>
                <m:sSubPr>
                  <m:ctrlPr>
                    <w:rPr>
                      <w:rFonts w:ascii="Cambria Math" w:hAnsi="Cambria Math"/>
                      <w:i/>
                    </w:rPr>
                  </m:ctrlPr>
                </m:sSubPr>
                <m:e>
                  <m:r>
                    <w:rPr>
                      <w:rFonts w:ascii="Cambria Math" w:hAnsi="Cambria Math"/>
                    </w:rPr>
                    <m:t>y</m:t>
                  </m:r>
                  <m:ctrlPr>
                    <w:rPr>
                      <w:rFonts w:ascii="Cambria Math" w:hAnsi="Cambria Math"/>
                    </w:rPr>
                  </m:ctrlPr>
                </m:e>
                <m:sub>
                  <m:r>
                    <w:rPr>
                      <w:rFonts w:ascii="Cambria Math" w:hAnsi="Cambria Math"/>
                    </w:rPr>
                    <m:t>i</m:t>
                  </m:r>
                </m:sub>
              </m:sSub>
            </m:e>
          </m:acc>
          <m:r>
            <w:rPr>
              <w:rFonts w:ascii="Cambria Math" w:hAnsi="Cambria Math"/>
            </w:rPr>
            <m:t>=</m:t>
          </m:r>
          <m:r>
            <m:rPr>
              <m:nor/>
            </m:rPr>
            <w:rPr>
              <w:rFonts w:ascii="Cambria Math" w:hAnsi="Cambria Math"/>
            </w:rPr>
            <m:t xml:space="preserve">predicted signal for trade </m:t>
          </m:r>
          <m:r>
            <w:rPr>
              <w:rFonts w:ascii="Cambria Math" w:hAnsi="Cambria Math"/>
            </w:rPr>
            <m:t>i</m:t>
          </m:r>
        </m:oMath>
      </m:oMathPara>
    </w:p>
    <w:p w14:paraId="576FEB12" w14:textId="050AA396" w:rsidR="008A499B" w:rsidRPr="00FF26F7" w:rsidRDefault="00000000" w:rsidP="009F658F">
      <w:pPr>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r>
            <m:rPr>
              <m:nor/>
            </m:rPr>
            <w:rPr>
              <w:rFonts w:ascii="Cambria Math" w:hAnsi="Cambria Math"/>
            </w:rPr>
            <m:t xml:space="preserve">actual outcome for trade </m:t>
          </m:r>
          <m:r>
            <w:rPr>
              <w:rFonts w:ascii="Cambria Math" w:hAnsi="Cambria Math"/>
            </w:rPr>
            <m:t>i</m:t>
          </m:r>
        </m:oMath>
      </m:oMathPara>
    </w:p>
    <w:p w14:paraId="7016CA05" w14:textId="2CE55798" w:rsidR="009F658F" w:rsidRPr="0044346C" w:rsidRDefault="009F658F" w:rsidP="008A499B"/>
    <w:p w14:paraId="19216010" w14:textId="3E1E5750" w:rsidR="00E51A05" w:rsidRDefault="00E51A05" w:rsidP="009F658F">
      <w:pPr>
        <w:pStyle w:val="Heading2"/>
        <w:jc w:val="both"/>
      </w:pPr>
      <w:bookmarkStart w:id="57" w:name="_Toc228577633"/>
      <w:r>
        <w:t>4. Results</w:t>
      </w:r>
      <w:bookmarkEnd w:id="57"/>
      <w:r>
        <w:t xml:space="preserve">  </w:t>
      </w:r>
    </w:p>
    <w:p w14:paraId="19232E11" w14:textId="77777777" w:rsidR="000F6F89" w:rsidRDefault="000F6F89" w:rsidP="009F658F">
      <w:pPr>
        <w:jc w:val="both"/>
      </w:pPr>
    </w:p>
    <w:p w14:paraId="6497C402" w14:textId="7EDB9C1B" w:rsidR="009E0146" w:rsidRPr="009E0146" w:rsidRDefault="009E0146" w:rsidP="009E0146">
      <w:pPr>
        <w:jc w:val="both"/>
      </w:pPr>
      <w:r w:rsidRPr="009E0146">
        <w:t xml:space="preserve">This section presents the </w:t>
      </w:r>
      <w:proofErr w:type="spellStart"/>
      <w:r w:rsidRPr="009E0146">
        <w:t>backtesting</w:t>
      </w:r>
      <w:proofErr w:type="spellEnd"/>
      <w:r w:rsidRPr="009E0146">
        <w:t xml:space="preserve"> results of the proposed multi-agent framework across two chronological phases. Phase 1 covers January 2015 to June 2018</w:t>
      </w:r>
      <w:r>
        <w:t xml:space="preserve"> which captures the </w:t>
      </w:r>
      <w:r w:rsidRPr="009E0146">
        <w:t xml:space="preserve">bull market of 2015 to 2017 and the subsequent market correction. Phase 3 covers July 2019 to December 2020 and represents the most challenging evaluation environment, </w:t>
      </w:r>
      <w:r>
        <w:t xml:space="preserve">containing </w:t>
      </w:r>
      <w:r w:rsidRPr="009E0146">
        <w:t>the pre-COVID expansion of late 2019, the rapid market crash of early 2020, and the remarkable V-shaped recovery that followed. Both phases use a starting portfolio value of £100,000 with a transaction cost of 0.1% per trade, and performance is benchmarked against the SPY ETF buy-and-hold return, which represents the widely accepted passive market benchmark that any active trading system should aim to exceed [55][56].</w:t>
      </w:r>
    </w:p>
    <w:p w14:paraId="2D476595" w14:textId="0D80E66B" w:rsidR="009E0146" w:rsidRDefault="009E0146" w:rsidP="009E0146">
      <w:pPr>
        <w:jc w:val="both"/>
      </w:pPr>
      <w:r w:rsidRPr="009E0146">
        <w:t xml:space="preserve">Across Phase 1, which </w:t>
      </w:r>
      <w:r>
        <w:t xml:space="preserve">is consist of </w:t>
      </w:r>
      <w:r w:rsidRPr="009E0146">
        <w:t xml:space="preserve">800 trading days, the portfolio grew from £100,000 to £184,761, delivering a total return of 84.76% with an annualised Sharpe ratio of 1.52, a peak value of £191,233 on 12 March 2018, and a maximum drawdown of 17.42%. Across Phase 3, which </w:t>
      </w:r>
      <w:r>
        <w:t xml:space="preserve">contains </w:t>
      </w:r>
      <w:r w:rsidRPr="009E0146">
        <w:t xml:space="preserve">370 trading days, the portfolio grew from £100,000 to £185,399, delivering a total return of 85.40% with an improved Sharpe ratio of 1.79 despite encompassing the COVID-19 crash, a peak value of £187,376 on 17 December 2020, and a maximum drawdown of 17.21%. The near identical total returns across two different market environments are one of the most </w:t>
      </w:r>
      <w:r>
        <w:t xml:space="preserve">important </w:t>
      </w:r>
      <w:r w:rsidRPr="009E0146">
        <w:t xml:space="preserve">findings of the study, and detailed results for each phase are presented in the </w:t>
      </w:r>
      <w:r>
        <w:t>flowed section.</w:t>
      </w:r>
    </w:p>
    <w:p w14:paraId="183295F6" w14:textId="77777777" w:rsidR="009E0146" w:rsidRPr="009E0146" w:rsidRDefault="009E0146" w:rsidP="009E0146">
      <w:pPr>
        <w:jc w:val="both"/>
      </w:pPr>
    </w:p>
    <w:p w14:paraId="52109384" w14:textId="77777777" w:rsidR="00600AEE" w:rsidRDefault="00600AEE" w:rsidP="009F658F">
      <w:pPr>
        <w:jc w:val="both"/>
      </w:pPr>
    </w:p>
    <w:p w14:paraId="720F3D27" w14:textId="77777777" w:rsidR="009F658F" w:rsidRDefault="009F658F" w:rsidP="009F658F">
      <w:pPr>
        <w:jc w:val="both"/>
      </w:pPr>
    </w:p>
    <w:p w14:paraId="09A81D71" w14:textId="77777777" w:rsidR="009F658F" w:rsidRDefault="009F658F" w:rsidP="009F658F">
      <w:pPr>
        <w:jc w:val="center"/>
      </w:pPr>
    </w:p>
    <w:p w14:paraId="2F7B55AD" w14:textId="77777777" w:rsidR="009F658F" w:rsidRDefault="009F658F" w:rsidP="009F658F">
      <w:pPr>
        <w:jc w:val="both"/>
      </w:pPr>
    </w:p>
    <w:p w14:paraId="2C267F86" w14:textId="77777777" w:rsidR="009E0146" w:rsidRDefault="009E0146" w:rsidP="009F658F">
      <w:pPr>
        <w:jc w:val="both"/>
      </w:pPr>
    </w:p>
    <w:p w14:paraId="75F66D9F" w14:textId="77777777" w:rsidR="009F658F" w:rsidRDefault="009F658F" w:rsidP="009F658F">
      <w:pPr>
        <w:jc w:val="both"/>
      </w:pPr>
    </w:p>
    <w:tbl>
      <w:tblPr>
        <w:tblW w:w="0" w:type="auto"/>
        <w:tblLook w:val="04A0" w:firstRow="1" w:lastRow="0" w:firstColumn="1" w:lastColumn="0" w:noHBand="0" w:noVBand="1"/>
      </w:tblPr>
      <w:tblGrid>
        <w:gridCol w:w="1212"/>
        <w:gridCol w:w="2180"/>
        <w:gridCol w:w="2268"/>
        <w:gridCol w:w="3346"/>
      </w:tblGrid>
      <w:tr w:rsidR="00600AEE" w:rsidRPr="00600AEE" w14:paraId="2518C551" w14:textId="77777777" w:rsidTr="00600AEE">
        <w:trPr>
          <w:trHeight w:val="640"/>
        </w:trPr>
        <w:tc>
          <w:tcPr>
            <w:tcW w:w="0" w:type="auto"/>
            <w:gridSpan w:val="4"/>
            <w:tcBorders>
              <w:top w:val="single" w:sz="8" w:space="0" w:color="444444"/>
              <w:left w:val="single" w:sz="8" w:space="0" w:color="444444"/>
              <w:bottom w:val="single" w:sz="8" w:space="0" w:color="444444"/>
              <w:right w:val="single" w:sz="8" w:space="0" w:color="444444"/>
            </w:tcBorders>
            <w:shd w:val="clear" w:color="1A3A5C" w:fill="1A3A5C"/>
            <w:vAlign w:val="center"/>
            <w:hideMark/>
          </w:tcPr>
          <w:p w14:paraId="160A52D7" w14:textId="4DB8FE27" w:rsidR="00600AEE" w:rsidRPr="009F658F" w:rsidRDefault="009F658F" w:rsidP="009F658F">
            <w:pPr>
              <w:spacing w:after="0" w:line="240" w:lineRule="auto"/>
              <w:jc w:val="both"/>
              <w:rPr>
                <w:rFonts w:ascii="Arial" w:eastAsia="Times New Roman" w:hAnsi="Arial" w:cs="Arial"/>
                <w:b/>
                <w:bCs/>
                <w:color w:val="FFFFFF"/>
                <w:sz w:val="16"/>
                <w:szCs w:val="16"/>
                <w:lang w:eastAsia="en-IN"/>
              </w:rPr>
            </w:pPr>
            <w:r>
              <w:rPr>
                <w:rFonts w:ascii="Arial" w:eastAsia="Times New Roman" w:hAnsi="Arial" w:cs="Arial"/>
                <w:b/>
                <w:bCs/>
                <w:color w:val="FFFFFF"/>
                <w:sz w:val="16"/>
                <w:szCs w:val="16"/>
                <w:lang w:eastAsia="en-IN"/>
              </w:rPr>
              <w:lastRenderedPageBreak/>
              <w:t xml:space="preserve">                                                  </w:t>
            </w:r>
            <w:r w:rsidR="00600AEE" w:rsidRPr="009F658F">
              <w:rPr>
                <w:rFonts w:ascii="Arial" w:eastAsia="Times New Roman" w:hAnsi="Arial" w:cs="Arial"/>
                <w:b/>
                <w:bCs/>
                <w:color w:val="FFFFFF"/>
                <w:sz w:val="16"/>
                <w:szCs w:val="16"/>
                <w:lang w:eastAsia="en-IN"/>
              </w:rPr>
              <w:t xml:space="preserve">Trade Analysis Summary </w:t>
            </w:r>
            <w:r w:rsidR="004611EA" w:rsidRPr="009F658F">
              <w:rPr>
                <w:rFonts w:ascii="Arial" w:eastAsia="Times New Roman" w:hAnsi="Arial" w:cs="Arial"/>
                <w:b/>
                <w:bCs/>
                <w:color w:val="FFFFFF"/>
                <w:sz w:val="16"/>
                <w:szCs w:val="16"/>
                <w:lang w:eastAsia="en-IN"/>
              </w:rPr>
              <w:t>-</w:t>
            </w:r>
            <w:r w:rsidR="00600AEE" w:rsidRPr="009F658F">
              <w:rPr>
                <w:rFonts w:ascii="Arial" w:eastAsia="Times New Roman" w:hAnsi="Arial" w:cs="Arial"/>
                <w:b/>
                <w:bCs/>
                <w:color w:val="FFFFFF"/>
                <w:sz w:val="16"/>
                <w:szCs w:val="16"/>
                <w:lang w:eastAsia="en-IN"/>
              </w:rPr>
              <w:t xml:space="preserve"> Phase 1 vs Phase 3</w:t>
            </w:r>
          </w:p>
        </w:tc>
      </w:tr>
      <w:tr w:rsidR="00600AEE" w:rsidRPr="00600AEE" w14:paraId="7EBE5E4C" w14:textId="77777777" w:rsidTr="009F658F">
        <w:trPr>
          <w:trHeight w:val="720"/>
        </w:trPr>
        <w:tc>
          <w:tcPr>
            <w:tcW w:w="0" w:type="auto"/>
            <w:tcBorders>
              <w:top w:val="single" w:sz="8" w:space="0" w:color="444444"/>
              <w:left w:val="single" w:sz="8" w:space="0" w:color="444444"/>
              <w:bottom w:val="single" w:sz="8" w:space="0" w:color="444444"/>
              <w:right w:val="nil"/>
            </w:tcBorders>
            <w:shd w:val="clear" w:color="2C3E50" w:fill="2C3E50"/>
            <w:vAlign w:val="center"/>
            <w:hideMark/>
          </w:tcPr>
          <w:p w14:paraId="42568BA4" w14:textId="77777777" w:rsidR="00600AEE" w:rsidRPr="009F658F" w:rsidRDefault="00600AEE" w:rsidP="008D36D9">
            <w:pPr>
              <w:spacing w:after="0" w:line="240" w:lineRule="auto"/>
              <w:jc w:val="center"/>
              <w:rPr>
                <w:rFonts w:ascii="Arial" w:eastAsia="Times New Roman" w:hAnsi="Arial" w:cs="Arial"/>
                <w:b/>
                <w:bCs/>
                <w:color w:val="FFFFFF"/>
                <w:sz w:val="16"/>
                <w:szCs w:val="16"/>
                <w:lang w:eastAsia="en-IN"/>
              </w:rPr>
            </w:pPr>
            <w:r w:rsidRPr="009F658F">
              <w:rPr>
                <w:rFonts w:ascii="Arial" w:eastAsia="Times New Roman" w:hAnsi="Arial" w:cs="Arial"/>
                <w:b/>
                <w:bCs/>
                <w:color w:val="FFFFFF"/>
                <w:sz w:val="16"/>
                <w:szCs w:val="16"/>
                <w:lang w:eastAsia="en-IN"/>
              </w:rPr>
              <w:t>Metric</w:t>
            </w:r>
          </w:p>
        </w:tc>
        <w:tc>
          <w:tcPr>
            <w:tcW w:w="2180" w:type="dxa"/>
            <w:tcBorders>
              <w:top w:val="single" w:sz="8" w:space="0" w:color="444444"/>
              <w:left w:val="nil"/>
              <w:bottom w:val="single" w:sz="8" w:space="0" w:color="444444"/>
              <w:right w:val="nil"/>
            </w:tcBorders>
            <w:shd w:val="clear" w:color="2C3E50" w:fill="2C3E50"/>
            <w:vAlign w:val="center"/>
            <w:hideMark/>
          </w:tcPr>
          <w:p w14:paraId="0EFDC395" w14:textId="77777777" w:rsidR="008D36D9" w:rsidRDefault="00600AEE" w:rsidP="008D36D9">
            <w:pPr>
              <w:spacing w:after="0" w:line="240" w:lineRule="auto"/>
              <w:jc w:val="center"/>
              <w:rPr>
                <w:rFonts w:ascii="Arial" w:eastAsia="Times New Roman" w:hAnsi="Arial" w:cs="Arial"/>
                <w:b/>
                <w:bCs/>
                <w:color w:val="FFFFFF"/>
                <w:sz w:val="16"/>
                <w:szCs w:val="16"/>
                <w:lang w:eastAsia="en-IN"/>
              </w:rPr>
            </w:pPr>
            <w:r w:rsidRPr="009F658F">
              <w:rPr>
                <w:rFonts w:ascii="Arial" w:eastAsia="Times New Roman" w:hAnsi="Arial" w:cs="Arial"/>
                <w:b/>
                <w:bCs/>
                <w:color w:val="FFFFFF"/>
                <w:sz w:val="16"/>
                <w:szCs w:val="16"/>
                <w:lang w:eastAsia="en-IN"/>
              </w:rPr>
              <w:t>Phas</w:t>
            </w:r>
            <w:r w:rsidR="009F658F">
              <w:rPr>
                <w:rFonts w:ascii="Arial" w:eastAsia="Times New Roman" w:hAnsi="Arial" w:cs="Arial"/>
                <w:b/>
                <w:bCs/>
                <w:color w:val="FFFFFF"/>
                <w:sz w:val="16"/>
                <w:szCs w:val="16"/>
                <w:lang w:eastAsia="en-IN"/>
              </w:rPr>
              <w:t>e</w:t>
            </w:r>
            <w:r w:rsidRPr="009F658F">
              <w:rPr>
                <w:rFonts w:ascii="Arial" w:eastAsia="Times New Roman" w:hAnsi="Arial" w:cs="Arial"/>
                <w:b/>
                <w:bCs/>
                <w:color w:val="FFFFFF"/>
                <w:sz w:val="16"/>
                <w:szCs w:val="16"/>
                <w:lang w:eastAsia="en-IN"/>
              </w:rPr>
              <w:t>1</w:t>
            </w:r>
          </w:p>
          <w:p w14:paraId="0D37FCE8" w14:textId="73EABA66" w:rsidR="00600AEE" w:rsidRPr="009F658F" w:rsidRDefault="00600AEE" w:rsidP="008D36D9">
            <w:pPr>
              <w:spacing w:after="0" w:line="240" w:lineRule="auto"/>
              <w:jc w:val="center"/>
              <w:rPr>
                <w:rFonts w:ascii="Arial" w:eastAsia="Times New Roman" w:hAnsi="Arial" w:cs="Arial"/>
                <w:b/>
                <w:bCs/>
                <w:color w:val="FFFFFF"/>
                <w:sz w:val="16"/>
                <w:szCs w:val="16"/>
                <w:lang w:eastAsia="en-IN"/>
              </w:rPr>
            </w:pPr>
            <w:r w:rsidRPr="009F658F">
              <w:rPr>
                <w:rFonts w:ascii="Arial" w:eastAsia="Times New Roman" w:hAnsi="Arial" w:cs="Arial"/>
                <w:b/>
                <w:bCs/>
                <w:color w:val="FFFFFF"/>
                <w:sz w:val="16"/>
                <w:szCs w:val="16"/>
                <w:lang w:eastAsia="en-IN"/>
              </w:rPr>
              <w:t xml:space="preserve">(Jan 2015 </w:t>
            </w:r>
            <w:r w:rsidR="004611EA" w:rsidRPr="009F658F">
              <w:rPr>
                <w:rFonts w:ascii="Arial" w:eastAsia="Times New Roman" w:hAnsi="Arial" w:cs="Arial"/>
                <w:b/>
                <w:bCs/>
                <w:color w:val="FFFFFF"/>
                <w:sz w:val="16"/>
                <w:szCs w:val="16"/>
                <w:lang w:eastAsia="en-IN"/>
              </w:rPr>
              <w:t xml:space="preserve">- </w:t>
            </w:r>
            <w:r w:rsidRPr="009F658F">
              <w:rPr>
                <w:rFonts w:ascii="Arial" w:eastAsia="Times New Roman" w:hAnsi="Arial" w:cs="Arial"/>
                <w:b/>
                <w:bCs/>
                <w:color w:val="FFFFFF"/>
                <w:sz w:val="16"/>
                <w:szCs w:val="16"/>
                <w:lang w:eastAsia="en-IN"/>
              </w:rPr>
              <w:t>Mar 2018)</w:t>
            </w:r>
          </w:p>
        </w:tc>
        <w:tc>
          <w:tcPr>
            <w:tcW w:w="2268" w:type="dxa"/>
            <w:tcBorders>
              <w:top w:val="single" w:sz="8" w:space="0" w:color="444444"/>
              <w:left w:val="nil"/>
              <w:bottom w:val="single" w:sz="8" w:space="0" w:color="444444"/>
              <w:right w:val="nil"/>
            </w:tcBorders>
            <w:shd w:val="clear" w:color="2C3E50" w:fill="2C3E50"/>
            <w:vAlign w:val="center"/>
            <w:hideMark/>
          </w:tcPr>
          <w:p w14:paraId="475B981D" w14:textId="0ECE552F" w:rsidR="008D36D9" w:rsidRDefault="00600AEE" w:rsidP="008D36D9">
            <w:pPr>
              <w:spacing w:after="0" w:line="240" w:lineRule="auto"/>
              <w:jc w:val="center"/>
              <w:rPr>
                <w:rFonts w:ascii="Arial" w:eastAsia="Times New Roman" w:hAnsi="Arial" w:cs="Arial"/>
                <w:b/>
                <w:bCs/>
                <w:color w:val="FFFFFF"/>
                <w:sz w:val="16"/>
                <w:szCs w:val="16"/>
                <w:lang w:eastAsia="en-IN"/>
              </w:rPr>
            </w:pPr>
            <w:r w:rsidRPr="009F658F">
              <w:rPr>
                <w:rFonts w:ascii="Arial" w:eastAsia="Times New Roman" w:hAnsi="Arial" w:cs="Arial"/>
                <w:b/>
                <w:bCs/>
                <w:color w:val="FFFFFF"/>
                <w:sz w:val="16"/>
                <w:szCs w:val="16"/>
                <w:lang w:eastAsia="en-IN"/>
              </w:rPr>
              <w:t>Phase3</w:t>
            </w:r>
          </w:p>
          <w:p w14:paraId="37EDFA18" w14:textId="3844ED97" w:rsidR="00600AEE" w:rsidRPr="009F658F" w:rsidRDefault="00600AEE" w:rsidP="008D36D9">
            <w:pPr>
              <w:spacing w:after="0" w:line="240" w:lineRule="auto"/>
              <w:jc w:val="center"/>
              <w:rPr>
                <w:rFonts w:ascii="Arial" w:eastAsia="Times New Roman" w:hAnsi="Arial" w:cs="Arial"/>
                <w:b/>
                <w:bCs/>
                <w:color w:val="FFFFFF"/>
                <w:sz w:val="16"/>
                <w:szCs w:val="16"/>
                <w:lang w:eastAsia="en-IN"/>
              </w:rPr>
            </w:pPr>
            <w:r w:rsidRPr="009F658F">
              <w:rPr>
                <w:rFonts w:ascii="Arial" w:eastAsia="Times New Roman" w:hAnsi="Arial" w:cs="Arial"/>
                <w:b/>
                <w:bCs/>
                <w:color w:val="FFFFFF"/>
                <w:sz w:val="16"/>
                <w:szCs w:val="16"/>
                <w:lang w:eastAsia="en-IN"/>
              </w:rPr>
              <w:t xml:space="preserve">(Jul 2019 </w:t>
            </w:r>
            <w:r w:rsidR="004611EA" w:rsidRPr="009F658F">
              <w:rPr>
                <w:rFonts w:ascii="Arial" w:eastAsia="Times New Roman" w:hAnsi="Arial" w:cs="Arial"/>
                <w:b/>
                <w:bCs/>
                <w:color w:val="FFFFFF"/>
                <w:sz w:val="16"/>
                <w:szCs w:val="16"/>
                <w:lang w:eastAsia="en-IN"/>
              </w:rPr>
              <w:t>-</w:t>
            </w:r>
            <w:r w:rsidRPr="009F658F">
              <w:rPr>
                <w:rFonts w:ascii="Arial" w:eastAsia="Times New Roman" w:hAnsi="Arial" w:cs="Arial"/>
                <w:b/>
                <w:bCs/>
                <w:color w:val="FFFFFF"/>
                <w:sz w:val="16"/>
                <w:szCs w:val="16"/>
                <w:lang w:eastAsia="en-IN"/>
              </w:rPr>
              <w:t xml:space="preserve"> Dec 2020)</w:t>
            </w:r>
          </w:p>
        </w:tc>
        <w:tc>
          <w:tcPr>
            <w:tcW w:w="3346" w:type="dxa"/>
            <w:tcBorders>
              <w:top w:val="single" w:sz="8" w:space="0" w:color="444444"/>
              <w:left w:val="nil"/>
              <w:bottom w:val="single" w:sz="8" w:space="0" w:color="444444"/>
              <w:right w:val="single" w:sz="8" w:space="0" w:color="444444"/>
            </w:tcBorders>
            <w:shd w:val="clear" w:color="2C3E50" w:fill="2C3E50"/>
            <w:vAlign w:val="center"/>
            <w:hideMark/>
          </w:tcPr>
          <w:p w14:paraId="3FA02BD5" w14:textId="77777777" w:rsidR="00600AEE" w:rsidRPr="009F658F" w:rsidRDefault="00600AEE" w:rsidP="008D36D9">
            <w:pPr>
              <w:spacing w:after="0" w:line="240" w:lineRule="auto"/>
              <w:jc w:val="center"/>
              <w:rPr>
                <w:rFonts w:ascii="Arial" w:eastAsia="Times New Roman" w:hAnsi="Arial" w:cs="Arial"/>
                <w:b/>
                <w:bCs/>
                <w:color w:val="FFFFFF"/>
                <w:sz w:val="16"/>
                <w:szCs w:val="16"/>
                <w:lang w:eastAsia="en-IN"/>
              </w:rPr>
            </w:pPr>
            <w:r w:rsidRPr="009F658F">
              <w:rPr>
                <w:rFonts w:ascii="Arial" w:eastAsia="Times New Roman" w:hAnsi="Arial" w:cs="Arial"/>
                <w:b/>
                <w:bCs/>
                <w:color w:val="FFFFFF"/>
                <w:sz w:val="16"/>
                <w:szCs w:val="16"/>
                <w:lang w:eastAsia="en-IN"/>
              </w:rPr>
              <w:t>What this means</w:t>
            </w:r>
          </w:p>
        </w:tc>
      </w:tr>
      <w:tr w:rsidR="00600AEE" w:rsidRPr="00600AEE" w14:paraId="3F5BE78E" w14:textId="77777777" w:rsidTr="00600AEE">
        <w:trPr>
          <w:trHeight w:val="440"/>
        </w:trPr>
        <w:tc>
          <w:tcPr>
            <w:tcW w:w="0" w:type="auto"/>
            <w:gridSpan w:val="4"/>
            <w:tcBorders>
              <w:top w:val="single" w:sz="4" w:space="0" w:color="CCCCCC"/>
              <w:left w:val="single" w:sz="4" w:space="0" w:color="CCCCCC"/>
              <w:bottom w:val="single" w:sz="4" w:space="0" w:color="CCCCCC"/>
              <w:right w:val="single" w:sz="4" w:space="0" w:color="CCCCCC"/>
            </w:tcBorders>
            <w:shd w:val="clear" w:color="BDD7EE" w:fill="BDD7EE"/>
            <w:vAlign w:val="center"/>
            <w:hideMark/>
          </w:tcPr>
          <w:p w14:paraId="6834743B"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 xml:space="preserve">  TRADE VOLUME</w:t>
            </w:r>
          </w:p>
        </w:tc>
      </w:tr>
      <w:tr w:rsidR="00600AEE" w:rsidRPr="00600AEE" w14:paraId="330B93FB" w14:textId="77777777" w:rsidTr="009F658F">
        <w:trPr>
          <w:trHeight w:val="600"/>
        </w:trPr>
        <w:tc>
          <w:tcPr>
            <w:tcW w:w="0" w:type="auto"/>
            <w:tcBorders>
              <w:top w:val="nil"/>
              <w:left w:val="single" w:sz="4" w:space="0" w:color="CCCCCC"/>
              <w:bottom w:val="single" w:sz="4" w:space="0" w:color="CCCCCC"/>
              <w:right w:val="nil"/>
            </w:tcBorders>
            <w:shd w:val="clear" w:color="F8FAFB" w:fill="F8FAFB"/>
            <w:vAlign w:val="center"/>
            <w:hideMark/>
          </w:tcPr>
          <w:p w14:paraId="43CF108C"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r w:rsidRPr="009F658F">
              <w:rPr>
                <w:rFonts w:ascii="Arial" w:eastAsia="Times New Roman" w:hAnsi="Arial" w:cs="Arial"/>
                <w:b/>
                <w:bCs/>
                <w:color w:val="2C3E50"/>
                <w:sz w:val="16"/>
                <w:szCs w:val="16"/>
                <w:lang w:eastAsia="en-IN"/>
              </w:rPr>
              <w:t>Total trades executed</w:t>
            </w:r>
          </w:p>
        </w:tc>
        <w:tc>
          <w:tcPr>
            <w:tcW w:w="2180" w:type="dxa"/>
            <w:tcBorders>
              <w:top w:val="nil"/>
              <w:left w:val="nil"/>
              <w:bottom w:val="single" w:sz="4" w:space="0" w:color="CCCCCC"/>
              <w:right w:val="nil"/>
            </w:tcBorders>
            <w:shd w:val="clear" w:color="F8FAFB" w:fill="F8FAFB"/>
            <w:vAlign w:val="center"/>
            <w:hideMark/>
          </w:tcPr>
          <w:p w14:paraId="79BA9C27"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760</w:t>
            </w:r>
          </w:p>
        </w:tc>
        <w:tc>
          <w:tcPr>
            <w:tcW w:w="2268" w:type="dxa"/>
            <w:tcBorders>
              <w:top w:val="nil"/>
              <w:left w:val="nil"/>
              <w:bottom w:val="single" w:sz="4" w:space="0" w:color="CCCCCC"/>
              <w:right w:val="nil"/>
            </w:tcBorders>
            <w:shd w:val="clear" w:color="F8FAFB" w:fill="F8FAFB"/>
            <w:vAlign w:val="center"/>
            <w:hideMark/>
          </w:tcPr>
          <w:p w14:paraId="07058772"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358</w:t>
            </w:r>
          </w:p>
        </w:tc>
        <w:tc>
          <w:tcPr>
            <w:tcW w:w="3346" w:type="dxa"/>
            <w:tcBorders>
              <w:top w:val="nil"/>
              <w:left w:val="nil"/>
              <w:bottom w:val="single" w:sz="4" w:space="0" w:color="CCCCCC"/>
              <w:right w:val="single" w:sz="4" w:space="0" w:color="CCCCCC"/>
            </w:tcBorders>
            <w:shd w:val="clear" w:color="F8FAFB" w:fill="F8FAFB"/>
            <w:vAlign w:val="center"/>
            <w:hideMark/>
          </w:tcPr>
          <w:p w14:paraId="7A29DCE1" w14:textId="77777777"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Total number of individual buy, sell, short, and cover orders placed across the full simulation period</w:t>
            </w:r>
          </w:p>
        </w:tc>
      </w:tr>
      <w:tr w:rsidR="00600AEE" w:rsidRPr="00600AEE" w14:paraId="1A81BAC9" w14:textId="77777777" w:rsidTr="009F658F">
        <w:trPr>
          <w:trHeight w:val="600"/>
        </w:trPr>
        <w:tc>
          <w:tcPr>
            <w:tcW w:w="0" w:type="auto"/>
            <w:tcBorders>
              <w:top w:val="nil"/>
              <w:left w:val="single" w:sz="4" w:space="0" w:color="CCCCCC"/>
              <w:bottom w:val="single" w:sz="4" w:space="0" w:color="CCCCCC"/>
              <w:right w:val="nil"/>
            </w:tcBorders>
            <w:shd w:val="clear" w:color="FFFFFF" w:fill="FFFFFF"/>
            <w:vAlign w:val="center"/>
            <w:hideMark/>
          </w:tcPr>
          <w:p w14:paraId="5E38E1EB"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r w:rsidRPr="009F658F">
              <w:rPr>
                <w:rFonts w:ascii="Arial" w:eastAsia="Times New Roman" w:hAnsi="Arial" w:cs="Arial"/>
                <w:b/>
                <w:bCs/>
                <w:color w:val="2C3E50"/>
                <w:sz w:val="16"/>
                <w:szCs w:val="16"/>
                <w:lang w:eastAsia="en-IN"/>
              </w:rPr>
              <w:t>Buy orders</w:t>
            </w:r>
          </w:p>
        </w:tc>
        <w:tc>
          <w:tcPr>
            <w:tcW w:w="2180" w:type="dxa"/>
            <w:tcBorders>
              <w:top w:val="nil"/>
              <w:left w:val="nil"/>
              <w:bottom w:val="single" w:sz="4" w:space="0" w:color="CCCCCC"/>
              <w:right w:val="nil"/>
            </w:tcBorders>
            <w:shd w:val="clear" w:color="FFFFFF" w:fill="FFFFFF"/>
            <w:vAlign w:val="center"/>
            <w:hideMark/>
          </w:tcPr>
          <w:p w14:paraId="473FD720"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499</w:t>
            </w:r>
          </w:p>
        </w:tc>
        <w:tc>
          <w:tcPr>
            <w:tcW w:w="2268" w:type="dxa"/>
            <w:tcBorders>
              <w:top w:val="nil"/>
              <w:left w:val="nil"/>
              <w:bottom w:val="single" w:sz="4" w:space="0" w:color="CCCCCC"/>
              <w:right w:val="nil"/>
            </w:tcBorders>
            <w:shd w:val="clear" w:color="FFFFFF" w:fill="FFFFFF"/>
            <w:vAlign w:val="center"/>
            <w:hideMark/>
          </w:tcPr>
          <w:p w14:paraId="772CCFE5"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248</w:t>
            </w:r>
          </w:p>
        </w:tc>
        <w:tc>
          <w:tcPr>
            <w:tcW w:w="3346" w:type="dxa"/>
            <w:tcBorders>
              <w:top w:val="nil"/>
              <w:left w:val="nil"/>
              <w:bottom w:val="single" w:sz="4" w:space="0" w:color="CCCCCC"/>
              <w:right w:val="single" w:sz="4" w:space="0" w:color="CCCCCC"/>
            </w:tcBorders>
            <w:shd w:val="clear" w:color="FFFFFF" w:fill="FFFFFF"/>
            <w:vAlign w:val="center"/>
            <w:hideMark/>
          </w:tcPr>
          <w:p w14:paraId="0D308C44" w14:textId="77777777"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Number of long positions opened the system purchased shares expecting prices to rise</w:t>
            </w:r>
          </w:p>
        </w:tc>
      </w:tr>
      <w:tr w:rsidR="00600AEE" w:rsidRPr="00600AEE" w14:paraId="0F644039" w14:textId="77777777" w:rsidTr="009F658F">
        <w:trPr>
          <w:trHeight w:val="600"/>
        </w:trPr>
        <w:tc>
          <w:tcPr>
            <w:tcW w:w="0" w:type="auto"/>
            <w:tcBorders>
              <w:top w:val="nil"/>
              <w:left w:val="single" w:sz="4" w:space="0" w:color="CCCCCC"/>
              <w:bottom w:val="single" w:sz="4" w:space="0" w:color="CCCCCC"/>
              <w:right w:val="nil"/>
            </w:tcBorders>
            <w:shd w:val="clear" w:color="F8FAFB" w:fill="F8FAFB"/>
            <w:vAlign w:val="center"/>
            <w:hideMark/>
          </w:tcPr>
          <w:p w14:paraId="7DE77FB1"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r w:rsidRPr="009F658F">
              <w:rPr>
                <w:rFonts w:ascii="Arial" w:eastAsia="Times New Roman" w:hAnsi="Arial" w:cs="Arial"/>
                <w:b/>
                <w:bCs/>
                <w:color w:val="2C3E50"/>
                <w:sz w:val="16"/>
                <w:szCs w:val="16"/>
                <w:lang w:eastAsia="en-IN"/>
              </w:rPr>
              <w:t>Sell orders</w:t>
            </w:r>
          </w:p>
        </w:tc>
        <w:tc>
          <w:tcPr>
            <w:tcW w:w="2180" w:type="dxa"/>
            <w:tcBorders>
              <w:top w:val="nil"/>
              <w:left w:val="nil"/>
              <w:bottom w:val="single" w:sz="4" w:space="0" w:color="CCCCCC"/>
              <w:right w:val="nil"/>
            </w:tcBorders>
            <w:shd w:val="clear" w:color="F8FAFB" w:fill="F8FAFB"/>
            <w:vAlign w:val="center"/>
            <w:hideMark/>
          </w:tcPr>
          <w:p w14:paraId="351A9EDD"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170</w:t>
            </w:r>
          </w:p>
        </w:tc>
        <w:tc>
          <w:tcPr>
            <w:tcW w:w="2268" w:type="dxa"/>
            <w:tcBorders>
              <w:top w:val="nil"/>
              <w:left w:val="nil"/>
              <w:bottom w:val="single" w:sz="4" w:space="0" w:color="CCCCCC"/>
              <w:right w:val="nil"/>
            </w:tcBorders>
            <w:shd w:val="clear" w:color="F8FAFB" w:fill="F8FAFB"/>
            <w:vAlign w:val="center"/>
            <w:hideMark/>
          </w:tcPr>
          <w:p w14:paraId="594D5DF9"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33</w:t>
            </w:r>
          </w:p>
        </w:tc>
        <w:tc>
          <w:tcPr>
            <w:tcW w:w="3346" w:type="dxa"/>
            <w:tcBorders>
              <w:top w:val="nil"/>
              <w:left w:val="nil"/>
              <w:bottom w:val="single" w:sz="4" w:space="0" w:color="CCCCCC"/>
              <w:right w:val="single" w:sz="4" w:space="0" w:color="CCCCCC"/>
            </w:tcBorders>
            <w:shd w:val="clear" w:color="F8FAFB" w:fill="F8FAFB"/>
            <w:vAlign w:val="center"/>
            <w:hideMark/>
          </w:tcPr>
          <w:p w14:paraId="081B038F" w14:textId="77777777"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Number of long positions closed existing holdings sold to lock in gains or cut losses</w:t>
            </w:r>
          </w:p>
        </w:tc>
      </w:tr>
      <w:tr w:rsidR="00600AEE" w:rsidRPr="00600AEE" w14:paraId="27356C30" w14:textId="77777777" w:rsidTr="009F658F">
        <w:trPr>
          <w:trHeight w:val="600"/>
        </w:trPr>
        <w:tc>
          <w:tcPr>
            <w:tcW w:w="0" w:type="auto"/>
            <w:tcBorders>
              <w:top w:val="nil"/>
              <w:left w:val="single" w:sz="4" w:space="0" w:color="CCCCCC"/>
              <w:bottom w:val="single" w:sz="4" w:space="0" w:color="CCCCCC"/>
              <w:right w:val="nil"/>
            </w:tcBorders>
            <w:shd w:val="clear" w:color="FFFFFF" w:fill="FFFFFF"/>
            <w:vAlign w:val="center"/>
            <w:hideMark/>
          </w:tcPr>
          <w:p w14:paraId="140071D3"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r w:rsidRPr="009F658F">
              <w:rPr>
                <w:rFonts w:ascii="Arial" w:eastAsia="Times New Roman" w:hAnsi="Arial" w:cs="Arial"/>
                <w:b/>
                <w:bCs/>
                <w:color w:val="2C3E50"/>
                <w:sz w:val="16"/>
                <w:szCs w:val="16"/>
                <w:lang w:eastAsia="en-IN"/>
              </w:rPr>
              <w:t>Short positions</w:t>
            </w:r>
          </w:p>
        </w:tc>
        <w:tc>
          <w:tcPr>
            <w:tcW w:w="2180" w:type="dxa"/>
            <w:tcBorders>
              <w:top w:val="nil"/>
              <w:left w:val="nil"/>
              <w:bottom w:val="single" w:sz="4" w:space="0" w:color="CCCCCC"/>
              <w:right w:val="nil"/>
            </w:tcBorders>
            <w:shd w:val="clear" w:color="FFFFFF" w:fill="FFFFFF"/>
            <w:vAlign w:val="center"/>
            <w:hideMark/>
          </w:tcPr>
          <w:p w14:paraId="701B5815"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50</w:t>
            </w:r>
          </w:p>
        </w:tc>
        <w:tc>
          <w:tcPr>
            <w:tcW w:w="2268" w:type="dxa"/>
            <w:tcBorders>
              <w:top w:val="nil"/>
              <w:left w:val="nil"/>
              <w:bottom w:val="single" w:sz="4" w:space="0" w:color="CCCCCC"/>
              <w:right w:val="nil"/>
            </w:tcBorders>
            <w:shd w:val="clear" w:color="FFFFFF" w:fill="FFFFFF"/>
            <w:vAlign w:val="center"/>
            <w:hideMark/>
          </w:tcPr>
          <w:p w14:paraId="640F12D1"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52</w:t>
            </w:r>
          </w:p>
        </w:tc>
        <w:tc>
          <w:tcPr>
            <w:tcW w:w="3346" w:type="dxa"/>
            <w:tcBorders>
              <w:top w:val="nil"/>
              <w:left w:val="nil"/>
              <w:bottom w:val="single" w:sz="4" w:space="0" w:color="CCCCCC"/>
              <w:right w:val="single" w:sz="4" w:space="0" w:color="CCCCCC"/>
            </w:tcBorders>
            <w:shd w:val="clear" w:color="FFFFFF" w:fill="FFFFFF"/>
            <w:vAlign w:val="center"/>
            <w:hideMark/>
          </w:tcPr>
          <w:p w14:paraId="3151B910" w14:textId="77777777"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Number of short positions opened the system borrowed and sold shares expecting prices to fall</w:t>
            </w:r>
          </w:p>
        </w:tc>
      </w:tr>
      <w:tr w:rsidR="00600AEE" w:rsidRPr="00600AEE" w14:paraId="26E20F2F" w14:textId="77777777" w:rsidTr="009F658F">
        <w:trPr>
          <w:trHeight w:val="600"/>
        </w:trPr>
        <w:tc>
          <w:tcPr>
            <w:tcW w:w="0" w:type="auto"/>
            <w:tcBorders>
              <w:top w:val="nil"/>
              <w:left w:val="single" w:sz="4" w:space="0" w:color="CCCCCC"/>
              <w:bottom w:val="single" w:sz="4" w:space="0" w:color="CCCCCC"/>
              <w:right w:val="nil"/>
            </w:tcBorders>
            <w:shd w:val="clear" w:color="F8FAFB" w:fill="F8FAFB"/>
            <w:vAlign w:val="center"/>
            <w:hideMark/>
          </w:tcPr>
          <w:p w14:paraId="47842AF4"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r w:rsidRPr="009F658F">
              <w:rPr>
                <w:rFonts w:ascii="Arial" w:eastAsia="Times New Roman" w:hAnsi="Arial" w:cs="Arial"/>
                <w:b/>
                <w:bCs/>
                <w:color w:val="2C3E50"/>
                <w:sz w:val="16"/>
                <w:szCs w:val="16"/>
                <w:lang w:eastAsia="en-IN"/>
              </w:rPr>
              <w:t>Cover orders</w:t>
            </w:r>
          </w:p>
        </w:tc>
        <w:tc>
          <w:tcPr>
            <w:tcW w:w="2180" w:type="dxa"/>
            <w:tcBorders>
              <w:top w:val="nil"/>
              <w:left w:val="nil"/>
              <w:bottom w:val="single" w:sz="4" w:space="0" w:color="CCCCCC"/>
              <w:right w:val="nil"/>
            </w:tcBorders>
            <w:shd w:val="clear" w:color="F8FAFB" w:fill="F8FAFB"/>
            <w:vAlign w:val="center"/>
            <w:hideMark/>
          </w:tcPr>
          <w:p w14:paraId="3470B15A"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41</w:t>
            </w:r>
          </w:p>
        </w:tc>
        <w:tc>
          <w:tcPr>
            <w:tcW w:w="2268" w:type="dxa"/>
            <w:tcBorders>
              <w:top w:val="nil"/>
              <w:left w:val="nil"/>
              <w:bottom w:val="single" w:sz="4" w:space="0" w:color="CCCCCC"/>
              <w:right w:val="nil"/>
            </w:tcBorders>
            <w:shd w:val="clear" w:color="F8FAFB" w:fill="F8FAFB"/>
            <w:vAlign w:val="center"/>
            <w:hideMark/>
          </w:tcPr>
          <w:p w14:paraId="625093F3"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25</w:t>
            </w:r>
          </w:p>
        </w:tc>
        <w:tc>
          <w:tcPr>
            <w:tcW w:w="3346" w:type="dxa"/>
            <w:tcBorders>
              <w:top w:val="nil"/>
              <w:left w:val="nil"/>
              <w:bottom w:val="single" w:sz="4" w:space="0" w:color="CCCCCC"/>
              <w:right w:val="single" w:sz="4" w:space="0" w:color="CCCCCC"/>
            </w:tcBorders>
            <w:shd w:val="clear" w:color="F8FAFB" w:fill="F8FAFB"/>
            <w:vAlign w:val="center"/>
            <w:hideMark/>
          </w:tcPr>
          <w:p w14:paraId="4848AB57" w14:textId="57D0BA44"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Number of short positions closed borrowed shares bought back to close the short trade</w:t>
            </w:r>
          </w:p>
        </w:tc>
      </w:tr>
      <w:tr w:rsidR="00600AEE" w:rsidRPr="00600AEE" w14:paraId="00E6F3CC" w14:textId="77777777" w:rsidTr="00600AEE">
        <w:trPr>
          <w:trHeight w:val="440"/>
        </w:trPr>
        <w:tc>
          <w:tcPr>
            <w:tcW w:w="0" w:type="auto"/>
            <w:gridSpan w:val="4"/>
            <w:tcBorders>
              <w:top w:val="single" w:sz="4" w:space="0" w:color="CCCCCC"/>
              <w:left w:val="single" w:sz="4" w:space="0" w:color="CCCCCC"/>
              <w:bottom w:val="single" w:sz="4" w:space="0" w:color="CCCCCC"/>
              <w:right w:val="single" w:sz="4" w:space="0" w:color="CCCCCC"/>
            </w:tcBorders>
            <w:shd w:val="clear" w:color="BDD7EE" w:fill="BDD7EE"/>
            <w:vAlign w:val="center"/>
            <w:hideMark/>
          </w:tcPr>
          <w:p w14:paraId="496D4B1A"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 xml:space="preserve">  PERFORMANCE METRICS</w:t>
            </w:r>
          </w:p>
        </w:tc>
      </w:tr>
      <w:tr w:rsidR="00600AEE" w:rsidRPr="00600AEE" w14:paraId="04BC8CD5" w14:textId="77777777" w:rsidTr="009F658F">
        <w:trPr>
          <w:trHeight w:val="1030"/>
        </w:trPr>
        <w:tc>
          <w:tcPr>
            <w:tcW w:w="0" w:type="auto"/>
            <w:tcBorders>
              <w:top w:val="nil"/>
              <w:left w:val="single" w:sz="4" w:space="0" w:color="CCCCCC"/>
              <w:bottom w:val="single" w:sz="4" w:space="0" w:color="CCCCCC"/>
              <w:right w:val="nil"/>
            </w:tcBorders>
            <w:shd w:val="clear" w:color="EAF6EE" w:fill="EAF6EE"/>
            <w:vAlign w:val="center"/>
            <w:hideMark/>
          </w:tcPr>
          <w:p w14:paraId="37239A4C"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r w:rsidRPr="009F658F">
              <w:rPr>
                <w:rFonts w:ascii="Arial" w:eastAsia="Times New Roman" w:hAnsi="Arial" w:cs="Arial"/>
                <w:b/>
                <w:bCs/>
                <w:color w:val="2C3E50"/>
                <w:sz w:val="16"/>
                <w:szCs w:val="16"/>
                <w:lang w:eastAsia="en-IN"/>
              </w:rPr>
              <w:t>Overall win rate</w:t>
            </w:r>
          </w:p>
        </w:tc>
        <w:tc>
          <w:tcPr>
            <w:tcW w:w="2180" w:type="dxa"/>
            <w:tcBorders>
              <w:top w:val="nil"/>
              <w:left w:val="nil"/>
              <w:bottom w:val="single" w:sz="4" w:space="0" w:color="CCCCCC"/>
              <w:right w:val="nil"/>
            </w:tcBorders>
            <w:shd w:val="clear" w:color="EAF6EE" w:fill="EAF6EE"/>
            <w:vAlign w:val="center"/>
            <w:hideMark/>
          </w:tcPr>
          <w:p w14:paraId="6BE3307F" w14:textId="77777777" w:rsidR="00600AEE" w:rsidRPr="009F658F" w:rsidRDefault="00600AEE" w:rsidP="009F658F">
            <w:pPr>
              <w:spacing w:after="0" w:line="240" w:lineRule="auto"/>
              <w:jc w:val="both"/>
              <w:rPr>
                <w:rFonts w:ascii="Arial" w:eastAsia="Times New Roman" w:hAnsi="Arial" w:cs="Arial"/>
                <w:b/>
                <w:bCs/>
                <w:color w:val="1D6B3A"/>
                <w:sz w:val="16"/>
                <w:szCs w:val="16"/>
                <w:lang w:eastAsia="en-IN"/>
              </w:rPr>
            </w:pPr>
            <w:r w:rsidRPr="009F658F">
              <w:rPr>
                <w:rFonts w:ascii="Arial" w:eastAsia="Times New Roman" w:hAnsi="Arial" w:cs="Arial"/>
                <w:b/>
                <w:bCs/>
                <w:color w:val="1D6B3A"/>
                <w:sz w:val="16"/>
                <w:szCs w:val="16"/>
                <w:lang w:eastAsia="en-IN"/>
              </w:rPr>
              <w:t>61.6%</w:t>
            </w:r>
          </w:p>
        </w:tc>
        <w:tc>
          <w:tcPr>
            <w:tcW w:w="2268" w:type="dxa"/>
            <w:tcBorders>
              <w:top w:val="nil"/>
              <w:left w:val="nil"/>
              <w:bottom w:val="single" w:sz="4" w:space="0" w:color="CCCCCC"/>
              <w:right w:val="nil"/>
            </w:tcBorders>
            <w:shd w:val="clear" w:color="EAF6EE" w:fill="EAF6EE"/>
            <w:vAlign w:val="center"/>
            <w:hideMark/>
          </w:tcPr>
          <w:p w14:paraId="05C86A1B" w14:textId="77777777" w:rsidR="00600AEE" w:rsidRPr="009F658F" w:rsidRDefault="00600AEE" w:rsidP="009F658F">
            <w:pPr>
              <w:spacing w:after="0" w:line="240" w:lineRule="auto"/>
              <w:jc w:val="both"/>
              <w:rPr>
                <w:rFonts w:ascii="Arial" w:eastAsia="Times New Roman" w:hAnsi="Arial" w:cs="Arial"/>
                <w:b/>
                <w:bCs/>
                <w:color w:val="1D6B3A"/>
                <w:sz w:val="16"/>
                <w:szCs w:val="16"/>
                <w:lang w:eastAsia="en-IN"/>
              </w:rPr>
            </w:pPr>
            <w:r w:rsidRPr="009F658F">
              <w:rPr>
                <w:rFonts w:ascii="Arial" w:eastAsia="Times New Roman" w:hAnsi="Arial" w:cs="Arial"/>
                <w:b/>
                <w:bCs/>
                <w:color w:val="1D6B3A"/>
                <w:sz w:val="16"/>
                <w:szCs w:val="16"/>
                <w:lang w:eastAsia="en-IN"/>
              </w:rPr>
              <w:t>62.1%</w:t>
            </w:r>
          </w:p>
        </w:tc>
        <w:tc>
          <w:tcPr>
            <w:tcW w:w="3346" w:type="dxa"/>
            <w:tcBorders>
              <w:top w:val="nil"/>
              <w:left w:val="nil"/>
              <w:bottom w:val="single" w:sz="4" w:space="0" w:color="CCCCCC"/>
              <w:right w:val="single" w:sz="4" w:space="0" w:color="CCCCCC"/>
            </w:tcBorders>
            <w:shd w:val="clear" w:color="EAF6EE" w:fill="EAF6EE"/>
            <w:vAlign w:val="center"/>
            <w:hideMark/>
          </w:tcPr>
          <w:p w14:paraId="749B4BEC" w14:textId="77777777"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Percentage of all fully closed trades (both long and short) that generated a net profit after transaction costs</w:t>
            </w:r>
          </w:p>
        </w:tc>
      </w:tr>
      <w:tr w:rsidR="00600AEE" w:rsidRPr="00600AEE" w14:paraId="107A2E2E" w14:textId="77777777" w:rsidTr="009F658F">
        <w:trPr>
          <w:trHeight w:val="900"/>
        </w:trPr>
        <w:tc>
          <w:tcPr>
            <w:tcW w:w="0" w:type="auto"/>
            <w:tcBorders>
              <w:top w:val="nil"/>
              <w:left w:val="single" w:sz="4" w:space="0" w:color="CCCCCC"/>
              <w:bottom w:val="single" w:sz="4" w:space="0" w:color="CCCCCC"/>
              <w:right w:val="nil"/>
            </w:tcBorders>
            <w:shd w:val="clear" w:color="EAF6EE" w:fill="EAF6EE"/>
            <w:vAlign w:val="center"/>
            <w:hideMark/>
          </w:tcPr>
          <w:p w14:paraId="507370AA"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r w:rsidRPr="009F658F">
              <w:rPr>
                <w:rFonts w:ascii="Arial" w:eastAsia="Times New Roman" w:hAnsi="Arial" w:cs="Arial"/>
                <w:b/>
                <w:bCs/>
                <w:color w:val="2C3E50"/>
                <w:sz w:val="16"/>
                <w:szCs w:val="16"/>
                <w:lang w:eastAsia="en-IN"/>
              </w:rPr>
              <w:t>Long win rate</w:t>
            </w:r>
          </w:p>
        </w:tc>
        <w:tc>
          <w:tcPr>
            <w:tcW w:w="2180" w:type="dxa"/>
            <w:tcBorders>
              <w:top w:val="nil"/>
              <w:left w:val="nil"/>
              <w:bottom w:val="single" w:sz="4" w:space="0" w:color="CCCCCC"/>
              <w:right w:val="nil"/>
            </w:tcBorders>
            <w:shd w:val="clear" w:color="EAF6EE" w:fill="EAF6EE"/>
            <w:vAlign w:val="center"/>
            <w:hideMark/>
          </w:tcPr>
          <w:p w14:paraId="77B606D1" w14:textId="77777777" w:rsidR="00600AEE" w:rsidRPr="009F658F" w:rsidRDefault="00600AEE" w:rsidP="009F658F">
            <w:pPr>
              <w:spacing w:after="0" w:line="240" w:lineRule="auto"/>
              <w:jc w:val="both"/>
              <w:rPr>
                <w:rFonts w:ascii="Arial" w:eastAsia="Times New Roman" w:hAnsi="Arial" w:cs="Arial"/>
                <w:b/>
                <w:bCs/>
                <w:color w:val="1D6B3A"/>
                <w:sz w:val="16"/>
                <w:szCs w:val="16"/>
                <w:lang w:eastAsia="en-IN"/>
              </w:rPr>
            </w:pPr>
            <w:r w:rsidRPr="009F658F">
              <w:rPr>
                <w:rFonts w:ascii="Arial" w:eastAsia="Times New Roman" w:hAnsi="Arial" w:cs="Arial"/>
                <w:b/>
                <w:bCs/>
                <w:color w:val="1D6B3A"/>
                <w:sz w:val="16"/>
                <w:szCs w:val="16"/>
                <w:lang w:eastAsia="en-IN"/>
              </w:rPr>
              <w:t>67.6%</w:t>
            </w:r>
          </w:p>
        </w:tc>
        <w:tc>
          <w:tcPr>
            <w:tcW w:w="2268" w:type="dxa"/>
            <w:tcBorders>
              <w:top w:val="nil"/>
              <w:left w:val="nil"/>
              <w:bottom w:val="single" w:sz="4" w:space="0" w:color="CCCCCC"/>
              <w:right w:val="nil"/>
            </w:tcBorders>
            <w:shd w:val="clear" w:color="EAF6EE" w:fill="EAF6EE"/>
            <w:vAlign w:val="center"/>
            <w:hideMark/>
          </w:tcPr>
          <w:p w14:paraId="1D3070B2" w14:textId="77777777" w:rsidR="00600AEE" w:rsidRPr="009F658F" w:rsidRDefault="00600AEE" w:rsidP="009F658F">
            <w:pPr>
              <w:spacing w:after="0" w:line="240" w:lineRule="auto"/>
              <w:jc w:val="both"/>
              <w:rPr>
                <w:rFonts w:ascii="Arial" w:eastAsia="Times New Roman" w:hAnsi="Arial" w:cs="Arial"/>
                <w:b/>
                <w:bCs/>
                <w:color w:val="1D6B3A"/>
                <w:sz w:val="16"/>
                <w:szCs w:val="16"/>
                <w:lang w:eastAsia="en-IN"/>
              </w:rPr>
            </w:pPr>
            <w:r w:rsidRPr="009F658F">
              <w:rPr>
                <w:rFonts w:ascii="Arial" w:eastAsia="Times New Roman" w:hAnsi="Arial" w:cs="Arial"/>
                <w:b/>
                <w:bCs/>
                <w:color w:val="1D6B3A"/>
                <w:sz w:val="16"/>
                <w:szCs w:val="16"/>
                <w:lang w:eastAsia="en-IN"/>
              </w:rPr>
              <w:t>81.8%</w:t>
            </w:r>
          </w:p>
        </w:tc>
        <w:tc>
          <w:tcPr>
            <w:tcW w:w="3346" w:type="dxa"/>
            <w:tcBorders>
              <w:top w:val="nil"/>
              <w:left w:val="nil"/>
              <w:bottom w:val="single" w:sz="4" w:space="0" w:color="CCCCCC"/>
              <w:right w:val="single" w:sz="4" w:space="0" w:color="CCCCCC"/>
            </w:tcBorders>
            <w:shd w:val="clear" w:color="EAF6EE" w:fill="EAF6EE"/>
            <w:vAlign w:val="center"/>
            <w:hideMark/>
          </w:tcPr>
          <w:p w14:paraId="66601E60" w14:textId="77777777"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Percentage of closed long positions that were profitable Phase 3 shows a notable improvement driven by stronger trending conditions</w:t>
            </w:r>
          </w:p>
        </w:tc>
      </w:tr>
      <w:tr w:rsidR="00600AEE" w:rsidRPr="00600AEE" w14:paraId="246C791C" w14:textId="77777777" w:rsidTr="009F658F">
        <w:trPr>
          <w:trHeight w:val="1250"/>
        </w:trPr>
        <w:tc>
          <w:tcPr>
            <w:tcW w:w="0" w:type="auto"/>
            <w:tcBorders>
              <w:top w:val="nil"/>
              <w:left w:val="single" w:sz="4" w:space="0" w:color="CCCCCC"/>
              <w:bottom w:val="single" w:sz="4" w:space="0" w:color="CCCCCC"/>
              <w:right w:val="nil"/>
            </w:tcBorders>
            <w:shd w:val="clear" w:color="FDEDEC" w:fill="FDEDEC"/>
            <w:vAlign w:val="center"/>
            <w:hideMark/>
          </w:tcPr>
          <w:p w14:paraId="3A4A645E"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r w:rsidRPr="009F658F">
              <w:rPr>
                <w:rFonts w:ascii="Arial" w:eastAsia="Times New Roman" w:hAnsi="Arial" w:cs="Arial"/>
                <w:b/>
                <w:bCs/>
                <w:color w:val="2C3E50"/>
                <w:sz w:val="16"/>
                <w:szCs w:val="16"/>
                <w:lang w:eastAsia="en-IN"/>
              </w:rPr>
              <w:t>Short win rate</w:t>
            </w:r>
          </w:p>
        </w:tc>
        <w:tc>
          <w:tcPr>
            <w:tcW w:w="2180" w:type="dxa"/>
            <w:tcBorders>
              <w:top w:val="nil"/>
              <w:left w:val="nil"/>
              <w:bottom w:val="single" w:sz="4" w:space="0" w:color="CCCCCC"/>
              <w:right w:val="nil"/>
            </w:tcBorders>
            <w:shd w:val="clear" w:color="FDEDEC" w:fill="FDEDEC"/>
            <w:vAlign w:val="center"/>
            <w:hideMark/>
          </w:tcPr>
          <w:p w14:paraId="52F932D4" w14:textId="77777777" w:rsidR="00600AEE" w:rsidRPr="009F658F" w:rsidRDefault="00600AEE" w:rsidP="009F658F">
            <w:pPr>
              <w:spacing w:after="0" w:line="240" w:lineRule="auto"/>
              <w:jc w:val="both"/>
              <w:rPr>
                <w:rFonts w:ascii="Arial" w:eastAsia="Times New Roman" w:hAnsi="Arial" w:cs="Arial"/>
                <w:b/>
                <w:bCs/>
                <w:color w:val="A93226"/>
                <w:sz w:val="16"/>
                <w:szCs w:val="16"/>
                <w:lang w:eastAsia="en-IN"/>
              </w:rPr>
            </w:pPr>
            <w:r w:rsidRPr="009F658F">
              <w:rPr>
                <w:rFonts w:ascii="Arial" w:eastAsia="Times New Roman" w:hAnsi="Arial" w:cs="Arial"/>
                <w:b/>
                <w:bCs/>
                <w:color w:val="A93226"/>
                <w:sz w:val="16"/>
                <w:szCs w:val="16"/>
                <w:lang w:eastAsia="en-IN"/>
              </w:rPr>
              <w:t>36.6%</w:t>
            </w:r>
          </w:p>
        </w:tc>
        <w:tc>
          <w:tcPr>
            <w:tcW w:w="2268" w:type="dxa"/>
            <w:tcBorders>
              <w:top w:val="nil"/>
              <w:left w:val="nil"/>
              <w:bottom w:val="single" w:sz="4" w:space="0" w:color="CCCCCC"/>
              <w:right w:val="nil"/>
            </w:tcBorders>
            <w:shd w:val="clear" w:color="FDEDEC" w:fill="FDEDEC"/>
            <w:vAlign w:val="center"/>
            <w:hideMark/>
          </w:tcPr>
          <w:p w14:paraId="3D1FD033" w14:textId="77777777" w:rsidR="00600AEE" w:rsidRPr="009F658F" w:rsidRDefault="00600AEE" w:rsidP="009F658F">
            <w:pPr>
              <w:spacing w:after="0" w:line="240" w:lineRule="auto"/>
              <w:jc w:val="both"/>
              <w:rPr>
                <w:rFonts w:ascii="Arial" w:eastAsia="Times New Roman" w:hAnsi="Arial" w:cs="Arial"/>
                <w:b/>
                <w:bCs/>
                <w:color w:val="A93226"/>
                <w:sz w:val="16"/>
                <w:szCs w:val="16"/>
                <w:lang w:eastAsia="en-IN"/>
              </w:rPr>
            </w:pPr>
            <w:r w:rsidRPr="009F658F">
              <w:rPr>
                <w:rFonts w:ascii="Arial" w:eastAsia="Times New Roman" w:hAnsi="Arial" w:cs="Arial"/>
                <w:b/>
                <w:bCs/>
                <w:color w:val="A93226"/>
                <w:sz w:val="16"/>
                <w:szCs w:val="16"/>
                <w:lang w:eastAsia="en-IN"/>
              </w:rPr>
              <w:t>36.0%</w:t>
            </w:r>
          </w:p>
        </w:tc>
        <w:tc>
          <w:tcPr>
            <w:tcW w:w="3346" w:type="dxa"/>
            <w:tcBorders>
              <w:top w:val="nil"/>
              <w:left w:val="nil"/>
              <w:bottom w:val="single" w:sz="4" w:space="0" w:color="CCCCCC"/>
              <w:right w:val="single" w:sz="4" w:space="0" w:color="CCCCCC"/>
            </w:tcBorders>
            <w:shd w:val="clear" w:color="FDEDEC" w:fill="FDEDEC"/>
            <w:vAlign w:val="center"/>
            <w:hideMark/>
          </w:tcPr>
          <w:p w14:paraId="0882FE8F" w14:textId="178BCD85"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 xml:space="preserve">Percentage of closed short positions that were profitable, we can clearly see that both </w:t>
            </w:r>
            <w:r w:rsidR="008D36D9">
              <w:rPr>
                <w:rFonts w:ascii="Arial" w:eastAsia="Times New Roman" w:hAnsi="Arial" w:cs="Arial"/>
                <w:i/>
                <w:iCs/>
                <w:color w:val="555555"/>
                <w:sz w:val="16"/>
                <w:szCs w:val="16"/>
                <w:lang w:eastAsia="en-IN"/>
              </w:rPr>
              <w:t>p</w:t>
            </w:r>
            <w:r w:rsidR="008D36D9" w:rsidRPr="009F658F">
              <w:rPr>
                <w:rFonts w:ascii="Arial" w:eastAsia="Times New Roman" w:hAnsi="Arial" w:cs="Arial"/>
                <w:i/>
                <w:iCs/>
                <w:color w:val="555555"/>
                <w:sz w:val="16"/>
                <w:szCs w:val="16"/>
                <w:lang w:eastAsia="en-IN"/>
              </w:rPr>
              <w:t>hases</w:t>
            </w:r>
            <w:r w:rsidRPr="009F658F">
              <w:rPr>
                <w:rFonts w:ascii="Arial" w:eastAsia="Times New Roman" w:hAnsi="Arial" w:cs="Arial"/>
                <w:i/>
                <w:iCs/>
                <w:color w:val="555555"/>
                <w:sz w:val="16"/>
                <w:szCs w:val="16"/>
                <w:lang w:eastAsia="en-IN"/>
              </w:rPr>
              <w:t xml:space="preserve"> generate same number of short win reason being that overall market is going to be up but for certain period due to outer influence markets faces disruption at that time short strategy works better</w:t>
            </w:r>
          </w:p>
        </w:tc>
      </w:tr>
      <w:tr w:rsidR="00600AEE" w:rsidRPr="00600AEE" w14:paraId="6B89D8A6" w14:textId="77777777" w:rsidTr="00600AEE">
        <w:trPr>
          <w:trHeight w:val="440"/>
        </w:trPr>
        <w:tc>
          <w:tcPr>
            <w:tcW w:w="0" w:type="auto"/>
            <w:gridSpan w:val="4"/>
            <w:tcBorders>
              <w:top w:val="single" w:sz="4" w:space="0" w:color="CCCCCC"/>
              <w:left w:val="single" w:sz="4" w:space="0" w:color="CCCCCC"/>
              <w:bottom w:val="single" w:sz="4" w:space="0" w:color="CCCCCC"/>
              <w:right w:val="single" w:sz="4" w:space="0" w:color="CCCCCC"/>
            </w:tcBorders>
            <w:shd w:val="clear" w:color="BDD7EE" w:fill="BDD7EE"/>
            <w:vAlign w:val="center"/>
            <w:hideMark/>
          </w:tcPr>
          <w:p w14:paraId="706EF3BF"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 xml:space="preserve">  RETURN QUALITY</w:t>
            </w:r>
          </w:p>
        </w:tc>
      </w:tr>
      <w:tr w:rsidR="00600AEE" w:rsidRPr="00600AEE" w14:paraId="329FDDC6" w14:textId="77777777" w:rsidTr="009F658F">
        <w:trPr>
          <w:trHeight w:val="1020"/>
        </w:trPr>
        <w:tc>
          <w:tcPr>
            <w:tcW w:w="0" w:type="auto"/>
            <w:tcBorders>
              <w:top w:val="nil"/>
              <w:left w:val="single" w:sz="4" w:space="0" w:color="CCCCCC"/>
              <w:bottom w:val="single" w:sz="4" w:space="0" w:color="CCCCCC"/>
              <w:right w:val="nil"/>
            </w:tcBorders>
            <w:shd w:val="clear" w:color="F8FAFB" w:fill="F8FAFB"/>
            <w:vAlign w:val="center"/>
            <w:hideMark/>
          </w:tcPr>
          <w:p w14:paraId="224958A9"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proofErr w:type="spellStart"/>
            <w:r w:rsidRPr="009F658F">
              <w:rPr>
                <w:rFonts w:ascii="Arial" w:eastAsia="Times New Roman" w:hAnsi="Arial" w:cs="Arial"/>
                <w:b/>
                <w:bCs/>
                <w:color w:val="2C3E50"/>
                <w:sz w:val="16"/>
                <w:szCs w:val="16"/>
                <w:lang w:eastAsia="en-IN"/>
              </w:rPr>
              <w:t>Avg</w:t>
            </w:r>
            <w:proofErr w:type="spellEnd"/>
            <w:r w:rsidRPr="009F658F">
              <w:rPr>
                <w:rFonts w:ascii="Arial" w:eastAsia="Times New Roman" w:hAnsi="Arial" w:cs="Arial"/>
                <w:b/>
                <w:bCs/>
                <w:color w:val="2C3E50"/>
                <w:sz w:val="16"/>
                <w:szCs w:val="16"/>
                <w:lang w:eastAsia="en-IN"/>
              </w:rPr>
              <w:t xml:space="preserve"> winning return (long)</w:t>
            </w:r>
          </w:p>
        </w:tc>
        <w:tc>
          <w:tcPr>
            <w:tcW w:w="2180" w:type="dxa"/>
            <w:tcBorders>
              <w:top w:val="nil"/>
              <w:left w:val="nil"/>
              <w:bottom w:val="single" w:sz="4" w:space="0" w:color="CCCCCC"/>
              <w:right w:val="nil"/>
            </w:tcBorders>
            <w:shd w:val="clear" w:color="F8FAFB" w:fill="F8FAFB"/>
            <w:vAlign w:val="center"/>
            <w:hideMark/>
          </w:tcPr>
          <w:p w14:paraId="72DB04B6"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+70.75%</w:t>
            </w:r>
          </w:p>
        </w:tc>
        <w:tc>
          <w:tcPr>
            <w:tcW w:w="2268" w:type="dxa"/>
            <w:tcBorders>
              <w:top w:val="nil"/>
              <w:left w:val="nil"/>
              <w:bottom w:val="single" w:sz="4" w:space="0" w:color="CCCCCC"/>
              <w:right w:val="nil"/>
            </w:tcBorders>
            <w:shd w:val="clear" w:color="F8FAFB" w:fill="F8FAFB"/>
            <w:vAlign w:val="center"/>
            <w:hideMark/>
          </w:tcPr>
          <w:p w14:paraId="5750B898"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+38.96%</w:t>
            </w:r>
          </w:p>
        </w:tc>
        <w:tc>
          <w:tcPr>
            <w:tcW w:w="3346" w:type="dxa"/>
            <w:tcBorders>
              <w:top w:val="nil"/>
              <w:left w:val="nil"/>
              <w:bottom w:val="single" w:sz="4" w:space="0" w:color="CCCCCC"/>
              <w:right w:val="single" w:sz="4" w:space="0" w:color="CCCCCC"/>
            </w:tcBorders>
            <w:shd w:val="clear" w:color="F8FAFB" w:fill="F8FAFB"/>
            <w:vAlign w:val="center"/>
            <w:hideMark/>
          </w:tcPr>
          <w:p w14:paraId="4EC6906F" w14:textId="77777777"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Average percentage gain per profitable long trade. Phase 1 higher due to longer average holding periods allowing gains to compound</w:t>
            </w:r>
          </w:p>
        </w:tc>
      </w:tr>
      <w:tr w:rsidR="00600AEE" w:rsidRPr="00600AEE" w14:paraId="79A91AD8" w14:textId="77777777" w:rsidTr="009F658F">
        <w:trPr>
          <w:trHeight w:val="1110"/>
        </w:trPr>
        <w:tc>
          <w:tcPr>
            <w:tcW w:w="0" w:type="auto"/>
            <w:tcBorders>
              <w:top w:val="nil"/>
              <w:left w:val="single" w:sz="4" w:space="0" w:color="CCCCCC"/>
              <w:bottom w:val="single" w:sz="4" w:space="0" w:color="CCCCCC"/>
              <w:right w:val="nil"/>
            </w:tcBorders>
            <w:shd w:val="clear" w:color="FFFFFF" w:fill="FFFFFF"/>
            <w:vAlign w:val="center"/>
            <w:hideMark/>
          </w:tcPr>
          <w:p w14:paraId="3A0BBA8A"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proofErr w:type="spellStart"/>
            <w:r w:rsidRPr="009F658F">
              <w:rPr>
                <w:rFonts w:ascii="Arial" w:eastAsia="Times New Roman" w:hAnsi="Arial" w:cs="Arial"/>
                <w:b/>
                <w:bCs/>
                <w:color w:val="2C3E50"/>
                <w:sz w:val="16"/>
                <w:szCs w:val="16"/>
                <w:lang w:eastAsia="en-IN"/>
              </w:rPr>
              <w:t>Avg</w:t>
            </w:r>
            <w:proofErr w:type="spellEnd"/>
            <w:r w:rsidRPr="009F658F">
              <w:rPr>
                <w:rFonts w:ascii="Arial" w:eastAsia="Times New Roman" w:hAnsi="Arial" w:cs="Arial"/>
                <w:b/>
                <w:bCs/>
                <w:color w:val="2C3E50"/>
                <w:sz w:val="16"/>
                <w:szCs w:val="16"/>
                <w:lang w:eastAsia="en-IN"/>
              </w:rPr>
              <w:t xml:space="preserve"> losing return (long)</w:t>
            </w:r>
          </w:p>
        </w:tc>
        <w:tc>
          <w:tcPr>
            <w:tcW w:w="2180" w:type="dxa"/>
            <w:tcBorders>
              <w:top w:val="nil"/>
              <w:left w:val="nil"/>
              <w:bottom w:val="single" w:sz="4" w:space="0" w:color="CCCCCC"/>
              <w:right w:val="nil"/>
            </w:tcBorders>
            <w:shd w:val="clear" w:color="FFFFFF" w:fill="FFFFFF"/>
            <w:vAlign w:val="center"/>
            <w:hideMark/>
          </w:tcPr>
          <w:p w14:paraId="6F001027"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-15.58%</w:t>
            </w:r>
          </w:p>
        </w:tc>
        <w:tc>
          <w:tcPr>
            <w:tcW w:w="2268" w:type="dxa"/>
            <w:tcBorders>
              <w:top w:val="nil"/>
              <w:left w:val="nil"/>
              <w:bottom w:val="single" w:sz="4" w:space="0" w:color="CCCCCC"/>
              <w:right w:val="nil"/>
            </w:tcBorders>
            <w:shd w:val="clear" w:color="FFFFFF" w:fill="FFFFFF"/>
            <w:vAlign w:val="center"/>
            <w:hideMark/>
          </w:tcPr>
          <w:p w14:paraId="7078A811"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-6.21%</w:t>
            </w:r>
          </w:p>
        </w:tc>
        <w:tc>
          <w:tcPr>
            <w:tcW w:w="3346" w:type="dxa"/>
            <w:tcBorders>
              <w:top w:val="nil"/>
              <w:left w:val="nil"/>
              <w:bottom w:val="single" w:sz="4" w:space="0" w:color="CCCCCC"/>
              <w:right w:val="single" w:sz="4" w:space="0" w:color="CCCCCC"/>
            </w:tcBorders>
            <w:shd w:val="clear" w:color="FFFFFF" w:fill="FFFFFF"/>
            <w:vAlign w:val="center"/>
            <w:hideMark/>
          </w:tcPr>
          <w:p w14:paraId="5FD496C6" w14:textId="77777777"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Average percentage loss per unprofitable long trade. Negative sign indicates a loss. Phase 3 losses are smaller due to tighter trailing stop-loss management</w:t>
            </w:r>
          </w:p>
        </w:tc>
      </w:tr>
      <w:tr w:rsidR="00600AEE" w:rsidRPr="00600AEE" w14:paraId="79035A05" w14:textId="77777777" w:rsidTr="00600AEE">
        <w:trPr>
          <w:trHeight w:val="440"/>
        </w:trPr>
        <w:tc>
          <w:tcPr>
            <w:tcW w:w="0" w:type="auto"/>
            <w:gridSpan w:val="4"/>
            <w:tcBorders>
              <w:top w:val="single" w:sz="4" w:space="0" w:color="CCCCCC"/>
              <w:left w:val="single" w:sz="4" w:space="0" w:color="CCCCCC"/>
              <w:bottom w:val="single" w:sz="4" w:space="0" w:color="CCCCCC"/>
              <w:right w:val="single" w:sz="4" w:space="0" w:color="CCCCCC"/>
            </w:tcBorders>
            <w:shd w:val="clear" w:color="BDD7EE" w:fill="BDD7EE"/>
            <w:vAlign w:val="center"/>
            <w:hideMark/>
          </w:tcPr>
          <w:p w14:paraId="6777C667"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 xml:space="preserve">  HOLDING BEHAVIOUR</w:t>
            </w:r>
          </w:p>
        </w:tc>
      </w:tr>
      <w:tr w:rsidR="00600AEE" w:rsidRPr="00600AEE" w14:paraId="52B87A19" w14:textId="77777777" w:rsidTr="009F658F">
        <w:trPr>
          <w:trHeight w:val="2580"/>
        </w:trPr>
        <w:tc>
          <w:tcPr>
            <w:tcW w:w="0" w:type="auto"/>
            <w:tcBorders>
              <w:top w:val="nil"/>
              <w:left w:val="single" w:sz="8" w:space="0" w:color="444444"/>
              <w:bottom w:val="single" w:sz="8" w:space="0" w:color="444444"/>
              <w:right w:val="nil"/>
            </w:tcBorders>
            <w:shd w:val="clear" w:color="FFFFFF" w:fill="FFFFFF"/>
            <w:vAlign w:val="center"/>
            <w:hideMark/>
          </w:tcPr>
          <w:p w14:paraId="10A174A5" w14:textId="77777777" w:rsidR="00600AEE" w:rsidRPr="009F658F" w:rsidRDefault="00600AEE" w:rsidP="009F658F">
            <w:pPr>
              <w:spacing w:after="0" w:line="240" w:lineRule="auto"/>
              <w:jc w:val="both"/>
              <w:rPr>
                <w:rFonts w:ascii="Arial" w:eastAsia="Times New Roman" w:hAnsi="Arial" w:cs="Arial"/>
                <w:b/>
                <w:bCs/>
                <w:color w:val="2C3E50"/>
                <w:sz w:val="16"/>
                <w:szCs w:val="16"/>
                <w:lang w:eastAsia="en-IN"/>
              </w:rPr>
            </w:pPr>
            <w:proofErr w:type="spellStart"/>
            <w:r w:rsidRPr="009F658F">
              <w:rPr>
                <w:rFonts w:ascii="Arial" w:eastAsia="Times New Roman" w:hAnsi="Arial" w:cs="Arial"/>
                <w:b/>
                <w:bCs/>
                <w:color w:val="2C3E50"/>
                <w:sz w:val="16"/>
                <w:szCs w:val="16"/>
                <w:lang w:eastAsia="en-IN"/>
              </w:rPr>
              <w:lastRenderedPageBreak/>
              <w:t>Avg</w:t>
            </w:r>
            <w:proofErr w:type="spellEnd"/>
            <w:r w:rsidRPr="009F658F">
              <w:rPr>
                <w:rFonts w:ascii="Arial" w:eastAsia="Times New Roman" w:hAnsi="Arial" w:cs="Arial"/>
                <w:b/>
                <w:bCs/>
                <w:color w:val="2C3E50"/>
                <w:sz w:val="16"/>
                <w:szCs w:val="16"/>
                <w:lang w:eastAsia="en-IN"/>
              </w:rPr>
              <w:t xml:space="preserve"> holding period (long)</w:t>
            </w:r>
          </w:p>
        </w:tc>
        <w:tc>
          <w:tcPr>
            <w:tcW w:w="2180" w:type="dxa"/>
            <w:tcBorders>
              <w:top w:val="nil"/>
              <w:left w:val="nil"/>
              <w:bottom w:val="single" w:sz="8" w:space="0" w:color="444444"/>
              <w:right w:val="nil"/>
            </w:tcBorders>
            <w:shd w:val="clear" w:color="FFFFFF" w:fill="FFFFFF"/>
            <w:vAlign w:val="center"/>
            <w:hideMark/>
          </w:tcPr>
          <w:p w14:paraId="1D04971D"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294.6 days</w:t>
            </w:r>
          </w:p>
        </w:tc>
        <w:tc>
          <w:tcPr>
            <w:tcW w:w="2268" w:type="dxa"/>
            <w:tcBorders>
              <w:top w:val="nil"/>
              <w:left w:val="nil"/>
              <w:bottom w:val="single" w:sz="8" w:space="0" w:color="444444"/>
              <w:right w:val="nil"/>
            </w:tcBorders>
            <w:shd w:val="clear" w:color="FFFFFF" w:fill="FFFFFF"/>
            <w:vAlign w:val="center"/>
            <w:hideMark/>
          </w:tcPr>
          <w:p w14:paraId="5425FDB7" w14:textId="77777777" w:rsidR="00600AEE" w:rsidRPr="009F658F" w:rsidRDefault="00600AEE" w:rsidP="009F658F">
            <w:pPr>
              <w:spacing w:after="0" w:line="240" w:lineRule="auto"/>
              <w:jc w:val="both"/>
              <w:rPr>
                <w:rFonts w:ascii="Arial" w:eastAsia="Times New Roman" w:hAnsi="Arial" w:cs="Arial"/>
                <w:b/>
                <w:bCs/>
                <w:color w:val="1A3A5C"/>
                <w:sz w:val="16"/>
                <w:szCs w:val="16"/>
                <w:lang w:eastAsia="en-IN"/>
              </w:rPr>
            </w:pPr>
            <w:r w:rsidRPr="009F658F">
              <w:rPr>
                <w:rFonts w:ascii="Arial" w:eastAsia="Times New Roman" w:hAnsi="Arial" w:cs="Arial"/>
                <w:b/>
                <w:bCs/>
                <w:color w:val="1A3A5C"/>
                <w:sz w:val="16"/>
                <w:szCs w:val="16"/>
                <w:lang w:eastAsia="en-IN"/>
              </w:rPr>
              <w:t>150.5 days</w:t>
            </w:r>
          </w:p>
        </w:tc>
        <w:tc>
          <w:tcPr>
            <w:tcW w:w="3346" w:type="dxa"/>
            <w:tcBorders>
              <w:top w:val="nil"/>
              <w:left w:val="nil"/>
              <w:bottom w:val="single" w:sz="8" w:space="0" w:color="444444"/>
              <w:right w:val="single" w:sz="8" w:space="0" w:color="444444"/>
            </w:tcBorders>
            <w:shd w:val="clear" w:color="FFFFFF" w:fill="FFFFFF"/>
            <w:vAlign w:val="center"/>
            <w:hideMark/>
          </w:tcPr>
          <w:p w14:paraId="50832893" w14:textId="4A3D9823" w:rsidR="00600AEE" w:rsidRPr="009F658F" w:rsidRDefault="00600AEE" w:rsidP="009F658F">
            <w:pPr>
              <w:spacing w:after="0" w:line="240" w:lineRule="auto"/>
              <w:jc w:val="both"/>
              <w:rPr>
                <w:rFonts w:ascii="Arial" w:eastAsia="Times New Roman" w:hAnsi="Arial" w:cs="Arial"/>
                <w:i/>
                <w:iCs/>
                <w:color w:val="555555"/>
                <w:sz w:val="16"/>
                <w:szCs w:val="16"/>
                <w:lang w:eastAsia="en-IN"/>
              </w:rPr>
            </w:pPr>
            <w:r w:rsidRPr="009F658F">
              <w:rPr>
                <w:rFonts w:ascii="Arial" w:eastAsia="Times New Roman" w:hAnsi="Arial" w:cs="Arial"/>
                <w:i/>
                <w:iCs/>
                <w:color w:val="555555"/>
                <w:sz w:val="16"/>
                <w:szCs w:val="16"/>
                <w:lang w:eastAsia="en-IN"/>
              </w:rPr>
              <w:t>Average number of calendar days a long (buy) position was held before being closed (sold). For example, if the agent bought AAPL on 1st January 2015 and sold it on 1st July 2015, that trade was held for 181 days. I</w:t>
            </w:r>
            <w:r w:rsidR="008D36D9">
              <w:rPr>
                <w:rFonts w:ascii="Arial" w:eastAsia="Times New Roman" w:hAnsi="Arial" w:cs="Arial"/>
                <w:i/>
                <w:iCs/>
                <w:color w:val="555555"/>
                <w:sz w:val="16"/>
                <w:szCs w:val="16"/>
                <w:lang w:eastAsia="en-IN"/>
              </w:rPr>
              <w:t xml:space="preserve">f </w:t>
            </w:r>
            <w:r w:rsidRPr="009F658F">
              <w:rPr>
                <w:rFonts w:ascii="Arial" w:eastAsia="Times New Roman" w:hAnsi="Arial" w:cs="Arial"/>
                <w:i/>
                <w:iCs/>
                <w:color w:val="555555"/>
                <w:sz w:val="16"/>
                <w:szCs w:val="16"/>
                <w:lang w:eastAsia="en-IN"/>
              </w:rPr>
              <w:t>another AAPL</w:t>
            </w:r>
            <w:r w:rsidRPr="009F658F">
              <w:rPr>
                <w:rFonts w:ascii="Arial" w:eastAsia="Times New Roman" w:hAnsi="Arial" w:cs="Arial"/>
                <w:i/>
                <w:iCs/>
                <w:color w:val="555555"/>
                <w:sz w:val="16"/>
                <w:szCs w:val="16"/>
                <w:lang w:eastAsia="en-IN"/>
              </w:rPr>
              <w:br/>
              <w:t xml:space="preserve">  trade was held for 100 days and a third for 200 days, the average holding period would</w:t>
            </w:r>
            <w:r w:rsidRPr="009F658F">
              <w:rPr>
                <w:rFonts w:ascii="Arial" w:eastAsia="Times New Roman" w:hAnsi="Arial" w:cs="Arial"/>
                <w:i/>
                <w:iCs/>
                <w:color w:val="555555"/>
                <w:sz w:val="16"/>
                <w:szCs w:val="16"/>
                <w:lang w:eastAsia="en-IN"/>
              </w:rPr>
              <w:br/>
              <w:t xml:space="preserve">  be (181 + 100 + 200) ÷ 3 = 160.3 days. In Phase 1, across all 170 closed long trades, </w:t>
            </w:r>
            <w:r w:rsidRPr="009F658F">
              <w:rPr>
                <w:rFonts w:ascii="Arial" w:eastAsia="Times New Roman" w:hAnsi="Arial" w:cs="Arial"/>
                <w:i/>
                <w:iCs/>
                <w:color w:val="555555"/>
                <w:sz w:val="16"/>
                <w:szCs w:val="16"/>
                <w:lang w:eastAsia="en-IN"/>
              </w:rPr>
              <w:br/>
              <w:t xml:space="preserve">  this average was 294.6 days, meaning on average the agent held each stock position </w:t>
            </w:r>
            <w:r w:rsidR="00CE0CD5" w:rsidRPr="009F658F">
              <w:rPr>
                <w:rFonts w:ascii="Arial" w:eastAsia="Times New Roman" w:hAnsi="Arial" w:cs="Arial"/>
                <w:i/>
                <w:iCs/>
                <w:color w:val="555555"/>
                <w:sz w:val="16"/>
                <w:szCs w:val="16"/>
                <w:lang w:eastAsia="en-IN"/>
              </w:rPr>
              <w:t>for approximately</w:t>
            </w:r>
            <w:r w:rsidRPr="009F658F">
              <w:rPr>
                <w:rFonts w:ascii="Arial" w:eastAsia="Times New Roman" w:hAnsi="Arial" w:cs="Arial"/>
                <w:i/>
                <w:iCs/>
                <w:color w:val="555555"/>
                <w:sz w:val="16"/>
                <w:szCs w:val="16"/>
                <w:lang w:eastAsia="en-IN"/>
              </w:rPr>
              <w:t xml:space="preserve"> 9.8 months before selling. In Phase 3, across 33 closed long trades, this</w:t>
            </w:r>
            <w:r w:rsidR="004611EA" w:rsidRPr="009F658F">
              <w:rPr>
                <w:rFonts w:ascii="Arial" w:eastAsia="Times New Roman" w:hAnsi="Arial" w:cs="Arial"/>
                <w:i/>
                <w:iCs/>
                <w:color w:val="555555"/>
                <w:sz w:val="16"/>
                <w:szCs w:val="16"/>
                <w:lang w:eastAsia="en-IN"/>
              </w:rPr>
              <w:t xml:space="preserve"> </w:t>
            </w:r>
            <w:r w:rsidRPr="009F658F">
              <w:rPr>
                <w:rFonts w:ascii="Arial" w:eastAsia="Times New Roman" w:hAnsi="Arial" w:cs="Arial"/>
                <w:i/>
                <w:iCs/>
                <w:color w:val="555555"/>
                <w:sz w:val="16"/>
                <w:szCs w:val="16"/>
                <w:lang w:eastAsia="en-IN"/>
              </w:rPr>
              <w:t xml:space="preserve">dropped to 150.5 days, approximately 5 months indicating the agent made faster       </w:t>
            </w:r>
            <w:r w:rsidRPr="009F658F">
              <w:rPr>
                <w:rFonts w:ascii="Arial" w:eastAsia="Times New Roman" w:hAnsi="Arial" w:cs="Arial"/>
                <w:i/>
                <w:iCs/>
                <w:color w:val="555555"/>
                <w:sz w:val="16"/>
                <w:szCs w:val="16"/>
                <w:lang w:eastAsia="en-IN"/>
              </w:rPr>
              <w:br/>
              <w:t xml:space="preserve">  trading decisions in the later phase.</w:t>
            </w:r>
          </w:p>
        </w:tc>
      </w:tr>
      <w:tr w:rsidR="00600AEE" w:rsidRPr="00600AEE" w14:paraId="4763B95A" w14:textId="77777777" w:rsidTr="006C3897">
        <w:trPr>
          <w:trHeight w:val="123"/>
        </w:trPr>
        <w:tc>
          <w:tcPr>
            <w:tcW w:w="0" w:type="auto"/>
            <w:tcBorders>
              <w:top w:val="nil"/>
              <w:left w:val="nil"/>
              <w:bottom w:val="nil"/>
              <w:right w:val="nil"/>
            </w:tcBorders>
            <w:noWrap/>
            <w:vAlign w:val="bottom"/>
            <w:hideMark/>
          </w:tcPr>
          <w:p w14:paraId="0A31041A" w14:textId="77777777" w:rsidR="00600AEE" w:rsidRPr="00600AEE" w:rsidRDefault="00600AEE" w:rsidP="009F658F">
            <w:pPr>
              <w:spacing w:after="0" w:line="240" w:lineRule="auto"/>
              <w:jc w:val="both"/>
              <w:rPr>
                <w:rFonts w:ascii="Arial" w:eastAsia="Times New Roman" w:hAnsi="Arial" w:cs="Arial"/>
                <w:i/>
                <w:iCs/>
                <w:color w:val="555555"/>
                <w:sz w:val="18"/>
                <w:szCs w:val="18"/>
                <w:lang w:eastAsia="en-IN"/>
              </w:rPr>
            </w:pPr>
          </w:p>
        </w:tc>
        <w:tc>
          <w:tcPr>
            <w:tcW w:w="2180" w:type="dxa"/>
            <w:tcBorders>
              <w:top w:val="nil"/>
              <w:left w:val="nil"/>
              <w:bottom w:val="nil"/>
              <w:right w:val="nil"/>
            </w:tcBorders>
            <w:noWrap/>
            <w:vAlign w:val="bottom"/>
            <w:hideMark/>
          </w:tcPr>
          <w:p w14:paraId="157705F5" w14:textId="77777777" w:rsidR="00600AEE" w:rsidRPr="00600AEE" w:rsidRDefault="00600AEE" w:rsidP="009F658F">
            <w:pPr>
              <w:spacing w:after="0" w:line="240" w:lineRule="auto"/>
              <w:jc w:val="both"/>
              <w:rPr>
                <w:rFonts w:ascii="Times New Roman" w:eastAsia="Times New Roman" w:hAnsi="Times New Roman" w:cs="Times New Roman"/>
                <w:sz w:val="20"/>
                <w:szCs w:val="20"/>
                <w:lang w:eastAsia="en-IN"/>
              </w:rPr>
            </w:pPr>
          </w:p>
        </w:tc>
        <w:tc>
          <w:tcPr>
            <w:tcW w:w="2268" w:type="dxa"/>
            <w:tcBorders>
              <w:top w:val="nil"/>
              <w:left w:val="nil"/>
              <w:bottom w:val="nil"/>
              <w:right w:val="nil"/>
            </w:tcBorders>
            <w:noWrap/>
            <w:vAlign w:val="bottom"/>
            <w:hideMark/>
          </w:tcPr>
          <w:p w14:paraId="122C3770" w14:textId="77777777" w:rsidR="00600AEE" w:rsidRPr="00600AEE" w:rsidRDefault="00600AEE" w:rsidP="009F658F">
            <w:pPr>
              <w:spacing w:after="0" w:line="240" w:lineRule="auto"/>
              <w:jc w:val="both"/>
              <w:rPr>
                <w:rFonts w:ascii="Times New Roman" w:eastAsia="Times New Roman" w:hAnsi="Times New Roman" w:cs="Times New Roman"/>
                <w:sz w:val="20"/>
                <w:szCs w:val="20"/>
                <w:lang w:eastAsia="en-IN"/>
              </w:rPr>
            </w:pPr>
          </w:p>
        </w:tc>
        <w:tc>
          <w:tcPr>
            <w:tcW w:w="3346" w:type="dxa"/>
            <w:tcBorders>
              <w:top w:val="nil"/>
              <w:left w:val="nil"/>
              <w:bottom w:val="nil"/>
              <w:right w:val="nil"/>
            </w:tcBorders>
            <w:noWrap/>
            <w:vAlign w:val="bottom"/>
            <w:hideMark/>
          </w:tcPr>
          <w:p w14:paraId="45577657" w14:textId="77777777" w:rsidR="00600AEE" w:rsidRPr="00600AEE" w:rsidRDefault="00600AEE" w:rsidP="009F658F">
            <w:pPr>
              <w:spacing w:after="0" w:line="240" w:lineRule="auto"/>
              <w:jc w:val="both"/>
              <w:rPr>
                <w:rFonts w:ascii="Times New Roman" w:eastAsia="Times New Roman" w:hAnsi="Times New Roman" w:cs="Times New Roman"/>
                <w:sz w:val="20"/>
                <w:szCs w:val="20"/>
                <w:lang w:eastAsia="en-IN"/>
              </w:rPr>
            </w:pPr>
          </w:p>
        </w:tc>
      </w:tr>
    </w:tbl>
    <w:p w14:paraId="386A42C0" w14:textId="77777777" w:rsidR="006C3897" w:rsidRDefault="006C3897" w:rsidP="006C3897">
      <w:bookmarkStart w:id="58" w:name="_Toc228577634"/>
    </w:p>
    <w:p w14:paraId="10AEA35E" w14:textId="77777777" w:rsidR="006C3897" w:rsidRDefault="006C3897" w:rsidP="006C3897"/>
    <w:p w14:paraId="14E26C81" w14:textId="77777777" w:rsidR="006C3897" w:rsidRDefault="006C3897" w:rsidP="006C3897"/>
    <w:p w14:paraId="7EC3A533" w14:textId="77777777" w:rsidR="006C3897" w:rsidRDefault="006C3897" w:rsidP="006C3897">
      <w:pPr>
        <w:keepNext/>
      </w:pPr>
      <w:r w:rsidRPr="006C3897">
        <w:rPr>
          <w:noProof/>
        </w:rPr>
        <w:drawing>
          <wp:inline distT="0" distB="0" distL="0" distR="0" wp14:anchorId="70A1BACD" wp14:editId="02BECEF1">
            <wp:extent cx="5731510" cy="3152775"/>
            <wp:effectExtent l="0" t="0" r="2540" b="9525"/>
            <wp:docPr id="1235730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30530" name=""/>
                    <pic:cNvPicPr/>
                  </pic:nvPicPr>
                  <pic:blipFill>
                    <a:blip r:embed="rId37"/>
                    <a:stretch>
                      <a:fillRect/>
                    </a:stretch>
                  </pic:blipFill>
                  <pic:spPr>
                    <a:xfrm>
                      <a:off x="0" y="0"/>
                      <a:ext cx="5731510" cy="3152775"/>
                    </a:xfrm>
                    <a:prstGeom prst="rect">
                      <a:avLst/>
                    </a:prstGeom>
                  </pic:spPr>
                </pic:pic>
              </a:graphicData>
            </a:graphic>
          </wp:inline>
        </w:drawing>
      </w:r>
    </w:p>
    <w:p w14:paraId="0C34379D" w14:textId="34633ED8" w:rsidR="006C3897" w:rsidRDefault="006C3897" w:rsidP="006C3897">
      <w:pPr>
        <w:pStyle w:val="Caption"/>
        <w:ind w:left="2160" w:firstLine="720"/>
      </w:pPr>
      <w:bookmarkStart w:id="59" w:name="_Toc228816070"/>
      <w:r>
        <w:t xml:space="preserve">Figure </w:t>
      </w:r>
      <w:fldSimple w:instr=" SEQ Figure \* ARABIC ">
        <w:r>
          <w:rPr>
            <w:noProof/>
          </w:rPr>
          <w:t>25</w:t>
        </w:r>
      </w:fldSimple>
      <w:r>
        <w:t>: Simulation Running</w:t>
      </w:r>
      <w:bookmarkEnd w:id="59"/>
    </w:p>
    <w:p w14:paraId="23E43D71" w14:textId="77777777" w:rsidR="006C3897" w:rsidRPr="006C3897" w:rsidRDefault="006C3897" w:rsidP="006C3897"/>
    <w:p w14:paraId="14B44A4C" w14:textId="67C9377C" w:rsidR="006C3897" w:rsidRPr="006C3897" w:rsidRDefault="00DB3CB0" w:rsidP="006C3897">
      <w:pPr>
        <w:pStyle w:val="Heading3"/>
        <w:jc w:val="both"/>
      </w:pPr>
      <w:r>
        <w:t xml:space="preserve">4.1 Phase </w:t>
      </w:r>
      <w:bookmarkEnd w:id="58"/>
      <w:r w:rsidR="006C3897">
        <w:t>1</w:t>
      </w:r>
    </w:p>
    <w:p w14:paraId="443C155A" w14:textId="77777777" w:rsidR="00600AEE" w:rsidRDefault="00600AEE" w:rsidP="009F658F">
      <w:pPr>
        <w:jc w:val="both"/>
      </w:pPr>
    </w:p>
    <w:p w14:paraId="370F2277" w14:textId="36B73646" w:rsidR="00600AEE" w:rsidRDefault="00600AEE" w:rsidP="009F658F">
      <w:pPr>
        <w:jc w:val="both"/>
      </w:pPr>
      <w:r>
        <w:t xml:space="preserve">In this section we are going to discuss in detail analysis of the framework’s performance during Phase 1, it covers the period from January 2015 to March 2018 consist of 800 trading days. This analysis </w:t>
      </w:r>
      <w:r w:rsidR="00B81818">
        <w:t xml:space="preserve">covers </w:t>
      </w:r>
      <w:r w:rsidR="00B81818" w:rsidRPr="00B81818">
        <w:t>overall portfolio performance, trade analysis, signal behaviour, and the effectiveness of the dynamic prompt optimisation mechanism across 800 trading days.</w:t>
      </w:r>
    </w:p>
    <w:p w14:paraId="43FF0F3F" w14:textId="6F278A6C" w:rsidR="00600AEE" w:rsidRDefault="00600AEE" w:rsidP="009F658F">
      <w:pPr>
        <w:jc w:val="both"/>
      </w:pPr>
    </w:p>
    <w:p w14:paraId="647455E6" w14:textId="77777777" w:rsidR="002300F0" w:rsidRDefault="002300F0" w:rsidP="009F658F">
      <w:pPr>
        <w:jc w:val="both"/>
      </w:pPr>
    </w:p>
    <w:p w14:paraId="21CFF8A7" w14:textId="739F4832" w:rsidR="00E51A05" w:rsidRDefault="00600AEE" w:rsidP="009F658F">
      <w:pPr>
        <w:pStyle w:val="Heading4"/>
        <w:jc w:val="both"/>
      </w:pPr>
      <w:r>
        <w:lastRenderedPageBreak/>
        <w:t xml:space="preserve">4.1.1. Portfolio performance </w:t>
      </w:r>
    </w:p>
    <w:p w14:paraId="42F88B5D" w14:textId="77777777" w:rsidR="009F2DC1" w:rsidRDefault="009F2DC1" w:rsidP="009F658F">
      <w:pPr>
        <w:jc w:val="both"/>
      </w:pPr>
    </w:p>
    <w:p w14:paraId="70E79D47" w14:textId="3ABC2D82" w:rsidR="009F2DC1" w:rsidRDefault="009F2DC1" w:rsidP="009F658F">
      <w:pPr>
        <w:jc w:val="both"/>
      </w:pPr>
      <w:r w:rsidRPr="009F2DC1">
        <w:t xml:space="preserve">Phase 1 </w:t>
      </w:r>
      <w:r>
        <w:t xml:space="preserve">contains </w:t>
      </w:r>
      <w:r w:rsidRPr="009F2DC1">
        <w:t xml:space="preserve">800 trading days from January 2015 to March 2018, with the portfolio starting </w:t>
      </w:r>
      <w:r>
        <w:t xml:space="preserve">cash </w:t>
      </w:r>
      <w:r w:rsidRPr="009F2DC1">
        <w:t xml:space="preserve">at </w:t>
      </w:r>
      <w:r w:rsidR="003E7638">
        <w:t>$</w:t>
      </w:r>
      <w:r w:rsidRPr="009F2DC1">
        <w:t xml:space="preserve">100,000. By the end of the phase the portfolio had grown to </w:t>
      </w:r>
      <w:r w:rsidR="003E7638">
        <w:t>$</w:t>
      </w:r>
      <w:r w:rsidRPr="009F2DC1">
        <w:t xml:space="preserve">184,761, delivering a total return of 84.76%. To </w:t>
      </w:r>
      <w:r w:rsidR="00A9386B">
        <w:t>give the context</w:t>
      </w:r>
      <w:r w:rsidRPr="009F2DC1">
        <w:t xml:space="preserve">, the SPY buy-and-hold benchmark </w:t>
      </w:r>
      <w:r w:rsidR="00A9386B">
        <w:t xml:space="preserve">were only able to deliver </w:t>
      </w:r>
      <w:r w:rsidRPr="009F2DC1">
        <w:t>38%</w:t>
      </w:r>
      <w:r w:rsidR="00A9386B">
        <w:t xml:space="preserve"> return </w:t>
      </w:r>
      <w:r w:rsidRPr="009F2DC1">
        <w:t xml:space="preserve">over the same period, meaning the </w:t>
      </w:r>
      <w:r w:rsidR="00A9386B">
        <w:t xml:space="preserve">proposed </w:t>
      </w:r>
      <w:r w:rsidRPr="009F2DC1">
        <w:t xml:space="preserve">framework </w:t>
      </w:r>
      <w:r w:rsidR="00A9386B">
        <w:t xml:space="preserve">has </w:t>
      </w:r>
      <w:r w:rsidRPr="009F2DC1">
        <w:t xml:space="preserve">generated more than double the passive market return </w:t>
      </w:r>
      <w:r w:rsidR="00A9386B">
        <w:t xml:space="preserve">strategy </w:t>
      </w:r>
      <w:r w:rsidRPr="009F2DC1">
        <w:t>without the investor having to do anything beyond letting the system run.</w:t>
      </w:r>
    </w:p>
    <w:p w14:paraId="7B0270F9" w14:textId="77777777" w:rsidR="002300F0" w:rsidRDefault="002300F0" w:rsidP="009F658F">
      <w:pPr>
        <w:jc w:val="both"/>
      </w:pPr>
    </w:p>
    <w:p w14:paraId="5EB1287F" w14:textId="77777777" w:rsidR="008601EE" w:rsidRDefault="008601EE" w:rsidP="009F658F">
      <w:pPr>
        <w:keepNext/>
        <w:jc w:val="both"/>
      </w:pPr>
      <w:r w:rsidRPr="009F2DC1">
        <w:rPr>
          <w:noProof/>
        </w:rPr>
        <w:drawing>
          <wp:inline distT="0" distB="0" distL="0" distR="0" wp14:anchorId="2EE9D52E" wp14:editId="5BA4179B">
            <wp:extent cx="5731510" cy="2916767"/>
            <wp:effectExtent l="0" t="0" r="2540" b="0"/>
            <wp:docPr id="1377681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681409" name=""/>
                    <pic:cNvPicPr/>
                  </pic:nvPicPr>
                  <pic:blipFill>
                    <a:blip r:embed="rId38"/>
                    <a:stretch>
                      <a:fillRect/>
                    </a:stretch>
                  </pic:blipFill>
                  <pic:spPr>
                    <a:xfrm>
                      <a:off x="0" y="0"/>
                      <a:ext cx="5731927" cy="2916979"/>
                    </a:xfrm>
                    <a:prstGeom prst="rect">
                      <a:avLst/>
                    </a:prstGeom>
                  </pic:spPr>
                </pic:pic>
              </a:graphicData>
            </a:graphic>
          </wp:inline>
        </w:drawing>
      </w:r>
    </w:p>
    <w:p w14:paraId="4D6B7810" w14:textId="35BBDAE7" w:rsidR="008601EE" w:rsidRDefault="008601EE" w:rsidP="009F658F">
      <w:pPr>
        <w:pStyle w:val="Caption"/>
        <w:jc w:val="both"/>
      </w:pPr>
      <w:r>
        <w:t xml:space="preserve">                                         </w:t>
      </w:r>
      <w:bookmarkStart w:id="60" w:name="_Ref227417917"/>
      <w:bookmarkStart w:id="61" w:name="_Toc228816071"/>
      <w:r>
        <w:t xml:space="preserve">Figure </w:t>
      </w:r>
      <w:fldSimple w:instr=" SEQ Figure \* ARABIC ">
        <w:r w:rsidR="006C3897">
          <w:rPr>
            <w:noProof/>
          </w:rPr>
          <w:t>26</w:t>
        </w:r>
      </w:fldSimple>
      <w:bookmarkEnd w:id="60"/>
      <w:r>
        <w:t>: Portfolio Value Over Time vs SPY Benchmark, Phase 1 (January 2015 - March 2018)</w:t>
      </w:r>
      <w:bookmarkEnd w:id="61"/>
      <w:r>
        <w:t xml:space="preserve">          </w:t>
      </w:r>
    </w:p>
    <w:p w14:paraId="7976D408" w14:textId="77777777" w:rsidR="008601EE" w:rsidRPr="009F2DC1" w:rsidRDefault="008601EE" w:rsidP="009F658F">
      <w:pPr>
        <w:jc w:val="both"/>
      </w:pPr>
    </w:p>
    <w:p w14:paraId="00899B8B" w14:textId="63E64FBD" w:rsidR="009F2DC1" w:rsidRPr="009F2DC1" w:rsidRDefault="009F2DC1" w:rsidP="009F658F">
      <w:pPr>
        <w:jc w:val="both"/>
      </w:pPr>
      <w:r w:rsidRPr="009F2DC1">
        <w:t xml:space="preserve">The portfolio did not follow a straight line upward. It climbed steadily through 2015 and 2016, accelerated strongly through 2017, and reached its highest point of </w:t>
      </w:r>
      <w:r w:rsidR="003E7638">
        <w:t>$</w:t>
      </w:r>
      <w:r w:rsidRPr="009F2DC1">
        <w:t xml:space="preserve">191,233 on 12 March 2018. Shortly after this peak the broader market entered a correction in early 2018, which pulled the portfolio back slightly before the phase concluded, finishing at </w:t>
      </w:r>
      <w:r w:rsidR="003E7638">
        <w:t>$</w:t>
      </w:r>
      <w:r w:rsidRPr="009F2DC1">
        <w:t xml:space="preserve">184,761. The largest peak to trough decline recorded across the entire phase was 17.42%, meaning that at its worst moment the portfolio had fallen by around </w:t>
      </w:r>
      <w:r w:rsidR="003E7638">
        <w:t>$</w:t>
      </w:r>
      <w:r w:rsidRPr="009F2DC1">
        <w:t xml:space="preserve">17 for every </w:t>
      </w:r>
      <w:r w:rsidR="003E7638">
        <w:t>$</w:t>
      </w:r>
      <w:r w:rsidRPr="009F2DC1">
        <w:t>100 it had previously been worth, before recovering again.</w:t>
      </w:r>
    </w:p>
    <w:p w14:paraId="6CDFA1FA" w14:textId="77777777" w:rsidR="00B81818" w:rsidRDefault="00B81818" w:rsidP="009F658F">
      <w:pPr>
        <w:jc w:val="both"/>
      </w:pPr>
    </w:p>
    <w:p w14:paraId="3BF3A740" w14:textId="77777777" w:rsidR="004611EA" w:rsidRDefault="004611EA" w:rsidP="009F658F">
      <w:pPr>
        <w:jc w:val="both"/>
      </w:pPr>
    </w:p>
    <w:p w14:paraId="42912FC3" w14:textId="77777777" w:rsidR="00192FD6" w:rsidRDefault="00192FD6" w:rsidP="009F658F">
      <w:pPr>
        <w:keepNext/>
        <w:jc w:val="both"/>
      </w:pPr>
      <w:r w:rsidRPr="00192FD6">
        <w:rPr>
          <w:noProof/>
        </w:rPr>
        <w:lastRenderedPageBreak/>
        <w:drawing>
          <wp:inline distT="0" distB="0" distL="0" distR="0" wp14:anchorId="6C4B9BA4" wp14:editId="44A8CE42">
            <wp:extent cx="5731510" cy="2853055"/>
            <wp:effectExtent l="0" t="0" r="2540" b="4445"/>
            <wp:docPr id="608441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41086" name=""/>
                    <pic:cNvPicPr/>
                  </pic:nvPicPr>
                  <pic:blipFill>
                    <a:blip r:embed="rId39"/>
                    <a:stretch>
                      <a:fillRect/>
                    </a:stretch>
                  </pic:blipFill>
                  <pic:spPr>
                    <a:xfrm>
                      <a:off x="0" y="0"/>
                      <a:ext cx="5731510" cy="2853055"/>
                    </a:xfrm>
                    <a:prstGeom prst="rect">
                      <a:avLst/>
                    </a:prstGeom>
                  </pic:spPr>
                </pic:pic>
              </a:graphicData>
            </a:graphic>
          </wp:inline>
        </w:drawing>
      </w:r>
    </w:p>
    <w:p w14:paraId="328C67E4" w14:textId="7583DB1D" w:rsidR="00192FD6" w:rsidRDefault="00192FD6" w:rsidP="009F658F">
      <w:pPr>
        <w:pStyle w:val="Caption"/>
        <w:ind w:left="2160"/>
        <w:jc w:val="both"/>
      </w:pPr>
      <w:bookmarkStart w:id="62" w:name="_Toc228816072"/>
      <w:r>
        <w:t xml:space="preserve">Figure </w:t>
      </w:r>
      <w:fldSimple w:instr=" SEQ Figure \* ARABIC ">
        <w:r w:rsidR="006C3897">
          <w:rPr>
            <w:noProof/>
          </w:rPr>
          <w:t>27</w:t>
        </w:r>
      </w:fldSimple>
      <w:r>
        <w:t>:</w:t>
      </w:r>
      <w:r w:rsidR="004611EA" w:rsidRPr="004611EA">
        <w:t xml:space="preserve"> Drawdown Curve, Phase 1 (January 2015 </w:t>
      </w:r>
      <w:r w:rsidR="004611EA">
        <w:t xml:space="preserve">- </w:t>
      </w:r>
      <w:r w:rsidR="004611EA" w:rsidRPr="004611EA">
        <w:t>March 2018)</w:t>
      </w:r>
      <w:bookmarkEnd w:id="62"/>
    </w:p>
    <w:p w14:paraId="04DDE957" w14:textId="77777777" w:rsidR="004611EA" w:rsidRPr="004611EA" w:rsidRDefault="004611EA" w:rsidP="009F658F">
      <w:pPr>
        <w:jc w:val="both"/>
      </w:pPr>
    </w:p>
    <w:p w14:paraId="19109D68" w14:textId="3F94E30A" w:rsidR="009B2980" w:rsidRDefault="00AF69F1" w:rsidP="009F658F">
      <w:pPr>
        <w:jc w:val="both"/>
      </w:pPr>
      <w:r w:rsidRPr="009F2DC1">
        <w:t>Despite operating through a market that included both a</w:t>
      </w:r>
      <w:r>
        <w:t xml:space="preserve"> long </w:t>
      </w:r>
      <w:r w:rsidRPr="009F2DC1">
        <w:t xml:space="preserve">bull run and a sudden correction, the framework maintained a Sharpe ratio of 1.52 across the full phase. This </w:t>
      </w:r>
      <w:r>
        <w:t xml:space="preserve">number </w:t>
      </w:r>
      <w:r w:rsidRPr="009F2DC1">
        <w:t xml:space="preserve">comfortably </w:t>
      </w:r>
      <w:r>
        <w:t xml:space="preserve">cross the </w:t>
      </w:r>
      <w:r w:rsidRPr="009F2DC1">
        <w:t xml:space="preserve">threshold of 1.0 </w:t>
      </w:r>
      <w:r>
        <w:t xml:space="preserve">which is widely acceptable </w:t>
      </w:r>
      <w:r w:rsidRPr="009F2DC1">
        <w:t>and confirms that the returns were generated through consistent and disciplined trading rather than through taking on excessive risk. In other words, the system was not simply getting lucky on a few big bets but was instead building returns steadily and managing downside risk throughout</w:t>
      </w:r>
    </w:p>
    <w:p w14:paraId="441FAE1B" w14:textId="77777777" w:rsidR="00615D8A" w:rsidRDefault="00615D8A" w:rsidP="009F658F">
      <w:pPr>
        <w:jc w:val="both"/>
      </w:pPr>
    </w:p>
    <w:p w14:paraId="54E98065" w14:textId="4869379C" w:rsidR="003C53DE" w:rsidRDefault="003C53DE" w:rsidP="009F658F">
      <w:pPr>
        <w:pStyle w:val="Heading4"/>
        <w:jc w:val="both"/>
      </w:pPr>
      <w:r>
        <w:t>4.1.</w:t>
      </w:r>
      <w:r w:rsidR="00D57387">
        <w:t>2</w:t>
      </w:r>
      <w:r>
        <w:t xml:space="preserve"> Trade Analysis   </w:t>
      </w:r>
    </w:p>
    <w:p w14:paraId="323F185C" w14:textId="77777777" w:rsidR="003C53DE" w:rsidRDefault="003C53DE" w:rsidP="009F658F">
      <w:pPr>
        <w:jc w:val="both"/>
      </w:pPr>
    </w:p>
    <w:p w14:paraId="1F3757C3" w14:textId="79119337" w:rsidR="00FF2645" w:rsidRPr="00FF2645" w:rsidRDefault="00FF2645" w:rsidP="00FF2645">
      <w:pPr>
        <w:jc w:val="both"/>
      </w:pPr>
      <w:r w:rsidRPr="00FF2645">
        <w:t>A total of 760 trades has been executed in the system, comprising 499 buy orders, 170 sell orders, 50 short positions, and 41 cover orders. Clearly, from the trade execution, a remark can be made that the market was bullish during those periods because most of that trade consisted of buy and sell orders.  The system correctly identified that long positions offered more reliable opportunities than short selling in a rising market environment. The three most traded securities during Phase 1 were GME with 98 trades, GOOGL with 91, and AMZN with 89. GME's high trading frequency is not surprising given that it is one of the most volatile stocks in the portfolio, with its price moving sharply in both directions throughout the period, which naturally caused the analytical agents to generate frequent and strong signals on it. GOOGL and AMZN hold a different story; neither of these stocks is particularly volatile, but both are amongst the most widely covered companies in the world with a constant flow of news, earnings updates, and analyst ratings available.  </w:t>
      </w:r>
    </w:p>
    <w:p w14:paraId="15EC6527" w14:textId="77777777" w:rsidR="00FF2645" w:rsidRPr="00FF2645" w:rsidRDefault="00FF2645" w:rsidP="00FF2645">
      <w:pPr>
        <w:jc w:val="both"/>
      </w:pPr>
      <w:r w:rsidRPr="00FF2645">
        <w:t xml:space="preserve">Of the 211 fully closed positions across Phase 1, 130 were profitable, which generated an overall win rate of 61.6%. Breaking this down further, the long position was able to yield more profit than the short strategy. Out of 170 closed long trades, 115 were able to generate profit, representing a long win rate of 67.6%. When the system was right on long trade, it was able to deliver nearly 70.75% invested capital, and when it is on the losing side on long trade, it loses nearly 15.58% of </w:t>
      </w:r>
      <w:r w:rsidRPr="00FF2645">
        <w:lastRenderedPageBreak/>
        <w:t>invested capital. This asymmetry between winning and losing returns is one of the most encouraging findings of the Phase 1 analysis, as it shows that the dynamic trailing stop-loss mechanism was successfully cutting losses early while allowing winning positions to run for as long as the momentum continued. Profit-to-loss ratio is approximately 4.5 to 1, which confirms that the system did not need to generate strong overall, only to be right more often than wrong, and to manage the size of its losses effectively when it was wrong.</w:t>
      </w:r>
    </w:p>
    <w:p w14:paraId="0C3FDD73" w14:textId="67205060" w:rsidR="000D62AF" w:rsidRDefault="000D62AF" w:rsidP="009F658F">
      <w:pPr>
        <w:jc w:val="both"/>
      </w:pPr>
    </w:p>
    <w:p w14:paraId="0B0345E5" w14:textId="77777777" w:rsidR="00445996" w:rsidRDefault="00445996" w:rsidP="009F658F">
      <w:pPr>
        <w:jc w:val="both"/>
      </w:pPr>
    </w:p>
    <w:p w14:paraId="7359A9EB" w14:textId="77777777" w:rsidR="00445996" w:rsidRDefault="00445996" w:rsidP="009F658F">
      <w:pPr>
        <w:keepNext/>
        <w:ind w:left="1440"/>
        <w:jc w:val="both"/>
      </w:pPr>
      <w:r w:rsidRPr="00307838">
        <w:rPr>
          <w:noProof/>
        </w:rPr>
        <w:drawing>
          <wp:inline distT="0" distB="0" distL="0" distR="0" wp14:anchorId="7B9460D2" wp14:editId="24353619">
            <wp:extent cx="3792958" cy="3513266"/>
            <wp:effectExtent l="0" t="0" r="0" b="0"/>
            <wp:docPr id="11954876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808971" cy="3528098"/>
                    </a:xfrm>
                    <a:prstGeom prst="rect">
                      <a:avLst/>
                    </a:prstGeom>
                    <a:noFill/>
                    <a:ln>
                      <a:noFill/>
                    </a:ln>
                  </pic:spPr>
                </pic:pic>
              </a:graphicData>
            </a:graphic>
          </wp:inline>
        </w:drawing>
      </w:r>
    </w:p>
    <w:p w14:paraId="51D88C8A" w14:textId="7230B07E" w:rsidR="00445996" w:rsidRDefault="00445996" w:rsidP="009F658F">
      <w:pPr>
        <w:pStyle w:val="Caption"/>
        <w:ind w:left="2160" w:firstLine="720"/>
        <w:jc w:val="both"/>
      </w:pPr>
      <w:bookmarkStart w:id="63" w:name="_Toc228816073"/>
      <w:r>
        <w:t xml:space="preserve">Figure </w:t>
      </w:r>
      <w:fldSimple w:instr=" SEQ Figure \* ARABIC ">
        <w:r w:rsidR="006C3897">
          <w:rPr>
            <w:noProof/>
          </w:rPr>
          <w:t>28</w:t>
        </w:r>
      </w:fldSimple>
      <w:r>
        <w:t xml:space="preserve">: </w:t>
      </w:r>
      <w:r w:rsidRPr="007A7D0E">
        <w:t>trade_breakdown_phase1</w:t>
      </w:r>
      <w:bookmarkEnd w:id="63"/>
      <w:r>
        <w:t xml:space="preserve">    </w:t>
      </w:r>
    </w:p>
    <w:p w14:paraId="16667315" w14:textId="77777777" w:rsidR="00445996" w:rsidRDefault="00445996" w:rsidP="009F658F">
      <w:pPr>
        <w:jc w:val="both"/>
      </w:pPr>
    </w:p>
    <w:p w14:paraId="714D69B6" w14:textId="77777777" w:rsidR="00FF2645" w:rsidRPr="00FF2645" w:rsidRDefault="00FF2645" w:rsidP="00FF2645">
      <w:pPr>
        <w:jc w:val="both"/>
      </w:pPr>
      <w:r w:rsidRPr="00FF2645">
        <w:t>Short position was more challenging than Phase 1 because 15 out of 41 closed short trades were profitable, representing a short win rate 0f 36.6%.  This is not surprising given the market condition during Phase 1, the stock market was broadly rising, as seen in Figure 26, which makes short selling more difficult. When the overall market is going up, betting against individual stocks is a very difficult task, the reason being that in a rising market, even poor-performing stocks get pushed because of the market's nature. Average holding period for long position was 294.6 calendar days, which confirms that the system operated as a genuine medium to long-term investor rather than a short-term trader, and that the 20-day minimum holding period was functioning as a floor rather than a ceiling, with positions being held for considerably longer whenever the trailing stop-loss continued to move favourably.</w:t>
      </w:r>
    </w:p>
    <w:p w14:paraId="26191775" w14:textId="77777777" w:rsidR="00FF2645" w:rsidRPr="00FF2645" w:rsidRDefault="00FF2645" w:rsidP="00FF2645">
      <w:pPr>
        <w:jc w:val="both"/>
      </w:pPr>
      <w:r w:rsidRPr="00FF2645">
        <w:rPr>
          <w:b/>
          <w:bCs/>
        </w:rPr>
        <w:t>IMP:</w:t>
      </w:r>
      <w:r w:rsidRPr="00FF2645">
        <w:t xml:space="preserve"> Holding period is calculated by pairing buy and sell trade events sequentially (FIFO by event count). Partial position closures and quantity mismatches mean reported holding periods are approximate; true lot-level tracking was not implemented.    </w:t>
      </w:r>
    </w:p>
    <w:p w14:paraId="4CC082AB" w14:textId="77777777" w:rsidR="00307838" w:rsidRDefault="00307838" w:rsidP="009F658F">
      <w:pPr>
        <w:jc w:val="both"/>
      </w:pPr>
    </w:p>
    <w:p w14:paraId="0DF4BED5" w14:textId="77777777" w:rsidR="00307838" w:rsidRDefault="00307838" w:rsidP="009F658F">
      <w:pPr>
        <w:keepNext/>
        <w:jc w:val="both"/>
      </w:pPr>
      <w:r>
        <w:rPr>
          <w:noProof/>
        </w:rPr>
        <w:lastRenderedPageBreak/>
        <w:drawing>
          <wp:inline distT="0" distB="0" distL="0" distR="0" wp14:anchorId="14340577" wp14:editId="648277AF">
            <wp:extent cx="5731510" cy="3801110"/>
            <wp:effectExtent l="0" t="0" r="2540" b="8890"/>
            <wp:docPr id="8636431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801110"/>
                    </a:xfrm>
                    <a:prstGeom prst="rect">
                      <a:avLst/>
                    </a:prstGeom>
                    <a:noFill/>
                    <a:ln>
                      <a:noFill/>
                    </a:ln>
                  </pic:spPr>
                </pic:pic>
              </a:graphicData>
            </a:graphic>
          </wp:inline>
        </w:drawing>
      </w:r>
    </w:p>
    <w:p w14:paraId="12C56D90" w14:textId="3C416099" w:rsidR="00307838" w:rsidRPr="00307838" w:rsidRDefault="00307838" w:rsidP="009F658F">
      <w:pPr>
        <w:pStyle w:val="Caption"/>
        <w:ind w:left="2880" w:firstLine="720"/>
        <w:jc w:val="both"/>
      </w:pPr>
      <w:bookmarkStart w:id="64" w:name="_Toc228816074"/>
      <w:r>
        <w:t xml:space="preserve">Figure </w:t>
      </w:r>
      <w:fldSimple w:instr=" SEQ Figure \* ARABIC ">
        <w:r w:rsidR="006C3897">
          <w:rPr>
            <w:noProof/>
          </w:rPr>
          <w:t>29</w:t>
        </w:r>
      </w:fldSimple>
      <w:r>
        <w:t xml:space="preserve">: </w:t>
      </w:r>
      <w:r w:rsidRPr="008A60F2">
        <w:t>win</w:t>
      </w:r>
      <w:r>
        <w:t xml:space="preserve"> </w:t>
      </w:r>
      <w:r w:rsidRPr="008A60F2">
        <w:t>rate</w:t>
      </w:r>
      <w:r>
        <w:t xml:space="preserve"> </w:t>
      </w:r>
      <w:r w:rsidRPr="008A60F2">
        <w:t>bar</w:t>
      </w:r>
      <w:r>
        <w:t xml:space="preserve"> </w:t>
      </w:r>
      <w:r w:rsidRPr="008A60F2">
        <w:t>phase1</w:t>
      </w:r>
      <w:bookmarkEnd w:id="64"/>
    </w:p>
    <w:p w14:paraId="10F78B18" w14:textId="77777777" w:rsidR="00307838" w:rsidRDefault="00307838" w:rsidP="009F658F">
      <w:pPr>
        <w:jc w:val="both"/>
      </w:pPr>
    </w:p>
    <w:p w14:paraId="6D17B4B5" w14:textId="77777777" w:rsidR="003D3540" w:rsidRDefault="00445996" w:rsidP="009F658F">
      <w:pPr>
        <w:keepNext/>
        <w:jc w:val="both"/>
      </w:pPr>
      <w:r>
        <w:rPr>
          <w:noProof/>
        </w:rPr>
        <w:drawing>
          <wp:inline distT="0" distB="0" distL="0" distR="0" wp14:anchorId="6E165B9F" wp14:editId="3B97651E">
            <wp:extent cx="5414229" cy="3717290"/>
            <wp:effectExtent l="0" t="0" r="0" b="0"/>
            <wp:docPr id="14387702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422980" cy="3723298"/>
                    </a:xfrm>
                    <a:prstGeom prst="rect">
                      <a:avLst/>
                    </a:prstGeom>
                    <a:noFill/>
                    <a:ln>
                      <a:noFill/>
                    </a:ln>
                  </pic:spPr>
                </pic:pic>
              </a:graphicData>
            </a:graphic>
          </wp:inline>
        </w:drawing>
      </w:r>
    </w:p>
    <w:p w14:paraId="2653F70B" w14:textId="5319F9FC" w:rsidR="00307838" w:rsidRDefault="003D3540" w:rsidP="009F658F">
      <w:pPr>
        <w:pStyle w:val="Caption"/>
        <w:ind w:left="2160" w:firstLine="720"/>
        <w:jc w:val="both"/>
      </w:pPr>
      <w:bookmarkStart w:id="65" w:name="_Toc228816075"/>
      <w:r>
        <w:t xml:space="preserve">Figure </w:t>
      </w:r>
      <w:fldSimple w:instr=" SEQ Figure \* ARABIC ">
        <w:r w:rsidR="006C3897">
          <w:rPr>
            <w:noProof/>
          </w:rPr>
          <w:t>30</w:t>
        </w:r>
      </w:fldSimple>
      <w:r>
        <w:t xml:space="preserve">: </w:t>
      </w:r>
      <w:r w:rsidRPr="00125910">
        <w:t>Holding Period Statistics</w:t>
      </w:r>
      <w:r w:rsidR="00D57387">
        <w:t xml:space="preserve"> for Phase 1</w:t>
      </w:r>
      <w:bookmarkEnd w:id="65"/>
    </w:p>
    <w:p w14:paraId="3302A651" w14:textId="77777777" w:rsidR="00D57387" w:rsidRPr="00D57387" w:rsidRDefault="00D57387" w:rsidP="009F658F">
      <w:pPr>
        <w:jc w:val="both"/>
      </w:pPr>
    </w:p>
    <w:p w14:paraId="3BACEDA5" w14:textId="28153A42" w:rsidR="00D57387" w:rsidRDefault="00D57387" w:rsidP="009F658F">
      <w:pPr>
        <w:pStyle w:val="Heading4"/>
        <w:jc w:val="both"/>
      </w:pPr>
      <w:r>
        <w:lastRenderedPageBreak/>
        <w:t xml:space="preserve">4.1.3 Signal Analysis  </w:t>
      </w:r>
    </w:p>
    <w:p w14:paraId="38A3C885" w14:textId="77777777" w:rsidR="00D57387" w:rsidRDefault="00D57387" w:rsidP="009F658F">
      <w:pPr>
        <w:jc w:val="both"/>
      </w:pPr>
    </w:p>
    <w:p w14:paraId="68184047" w14:textId="77777777" w:rsidR="00E91A13" w:rsidRPr="00E91A13" w:rsidRDefault="00E91A13" w:rsidP="00E91A13">
      <w:pPr>
        <w:jc w:val="both"/>
      </w:pPr>
      <w:r w:rsidRPr="00E91A13">
        <w:t>In this section, we are specifically going to do an analysis of how the Stock Picker agent translated the output of the four analytical agents into actionable trading recommendations, and how the Orchestrator agent filtered those recommendations before investing any capital in the market. Every day, Stock Picker gets a signal and confidence score from the Technical Analyst, Fundamental Analyst, Sentiment Analyst, and Macro Analyst, synthesises them into a single recommendation for each of the 13 securities, and produces either a buy, hold, or short signal. Orchestration is like a manager who will review that recommendation after getting a snapshot of the whole portfolio.  </w:t>
      </w:r>
    </w:p>
    <w:p w14:paraId="69B3D12D" w14:textId="77777777" w:rsidR="00E91A13" w:rsidRPr="00E91A13" w:rsidRDefault="00E91A13" w:rsidP="00E91A13">
      <w:pPr>
        <w:jc w:val="both"/>
      </w:pPr>
      <w:r w:rsidRPr="00E91A13">
        <w:t xml:space="preserve">Across Phase 1, the Stock Picker agent generated a total of 14,697 signals covering all 13 securities across the full 800 trading days. Out of these, 5,649 were hold signals representing 38.4%, 4,802 were </w:t>
      </w:r>
      <w:proofErr w:type="spellStart"/>
      <w:r w:rsidRPr="00E91A13">
        <w:t>buy</w:t>
      </w:r>
      <w:proofErr w:type="spellEnd"/>
      <w:r w:rsidRPr="00E91A13">
        <w:t xml:space="preserve"> signals representing 32.7%, and 4,246 were short signals representing 28.9%. The fact that the Stock Picker was generating a meaningful proportion of short signals even during a broadly rising market shows that the agent was not simply defaulting to bullish recommendations but was genuinely evaluating each stock on its own merits every single day.</w:t>
      </w:r>
    </w:p>
    <w:p w14:paraId="131121A6" w14:textId="77777777" w:rsidR="00FB4AE1" w:rsidRDefault="00FB4AE1" w:rsidP="009F658F">
      <w:pPr>
        <w:jc w:val="both"/>
      </w:pPr>
    </w:p>
    <w:p w14:paraId="6C54CD82" w14:textId="77777777" w:rsidR="00A81D24" w:rsidRDefault="00FB4AE1" w:rsidP="007D159C">
      <w:pPr>
        <w:keepNext/>
        <w:ind w:left="2160"/>
        <w:jc w:val="both"/>
      </w:pPr>
      <w:r w:rsidRPr="00FB4AE1">
        <w:rPr>
          <w:noProof/>
        </w:rPr>
        <w:drawing>
          <wp:inline distT="0" distB="0" distL="0" distR="0" wp14:anchorId="70A3D989" wp14:editId="05555ED4">
            <wp:extent cx="3533858" cy="2910840"/>
            <wp:effectExtent l="0" t="0" r="9525" b="3810"/>
            <wp:docPr id="1369880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880231" name=""/>
                    <pic:cNvPicPr/>
                  </pic:nvPicPr>
                  <pic:blipFill>
                    <a:blip r:embed="rId43"/>
                    <a:stretch>
                      <a:fillRect/>
                    </a:stretch>
                  </pic:blipFill>
                  <pic:spPr>
                    <a:xfrm>
                      <a:off x="0" y="0"/>
                      <a:ext cx="3554191" cy="2927589"/>
                    </a:xfrm>
                    <a:prstGeom prst="rect">
                      <a:avLst/>
                    </a:prstGeom>
                  </pic:spPr>
                </pic:pic>
              </a:graphicData>
            </a:graphic>
          </wp:inline>
        </w:drawing>
      </w:r>
    </w:p>
    <w:p w14:paraId="47032AE2" w14:textId="4D8A518B" w:rsidR="00FB4AE1" w:rsidRDefault="00A81D24" w:rsidP="007D159C">
      <w:pPr>
        <w:pStyle w:val="Caption"/>
        <w:ind w:left="2160" w:firstLine="720"/>
        <w:jc w:val="both"/>
      </w:pPr>
      <w:bookmarkStart w:id="66" w:name="_Toc228816076"/>
      <w:r>
        <w:t xml:space="preserve">Figure </w:t>
      </w:r>
      <w:fldSimple w:instr=" SEQ Figure \* ARABIC ">
        <w:r w:rsidR="006C3897">
          <w:rPr>
            <w:noProof/>
          </w:rPr>
          <w:t>31</w:t>
        </w:r>
      </w:fldSimple>
      <w:r>
        <w:t xml:space="preserve">: </w:t>
      </w:r>
      <w:r w:rsidRPr="00F85481">
        <w:t>Figure 36: Signal execution rate for Phase 3</w:t>
      </w:r>
      <w:bookmarkEnd w:id="66"/>
    </w:p>
    <w:p w14:paraId="6AC96D5C" w14:textId="77777777" w:rsidR="00FB4AE1" w:rsidRPr="00F506A6" w:rsidRDefault="00FB4AE1" w:rsidP="009F658F">
      <w:pPr>
        <w:jc w:val="both"/>
      </w:pPr>
    </w:p>
    <w:p w14:paraId="1EC15BF9" w14:textId="77777777" w:rsidR="00E91A13" w:rsidRPr="00E91A13" w:rsidRDefault="00E91A13" w:rsidP="00E91A13">
      <w:pPr>
        <w:jc w:val="both"/>
      </w:pPr>
      <w:r w:rsidRPr="00E91A13">
        <w:t xml:space="preserve">From 14,697 signals generated, 954 were actually executed trades by the Orchestrator (confidence gate all aligned, described in IMP), giving an overall execution rate of 6.5%. This low rate shows the selective nature of the Orchestrator's decision-making. The Stock Picker generates a signal for every ticker on every trading day, regardless of whether conditions are favourable for trading, while the Orchestrator only opens trades after analysing broader portfolio context, available cash, minimum holding period constraints, and confidence gate all align. Of the 4,802 buy signals generated, 587 were executed, representing a buy execution rate of 12.2%, while 154 of the 4,246 short signals were executed, representing a short execution rate of 3.6%. </w:t>
      </w:r>
      <w:r w:rsidRPr="00E91A13">
        <w:lastRenderedPageBreak/>
        <w:t>The lower short execution rate is because of broadly bullish market conditions of Phase 1, where the Orchestrator was more selective about entering short positions.</w:t>
      </w:r>
    </w:p>
    <w:p w14:paraId="7990470C" w14:textId="77777777" w:rsidR="005C3177" w:rsidRDefault="005C3177" w:rsidP="009F658F">
      <w:pPr>
        <w:jc w:val="both"/>
      </w:pPr>
    </w:p>
    <w:p w14:paraId="6BACA241" w14:textId="2DF1CE1E" w:rsidR="005C3177" w:rsidRDefault="00FD311D" w:rsidP="009F658F">
      <w:pPr>
        <w:keepNext/>
        <w:jc w:val="both"/>
      </w:pPr>
      <w:r w:rsidRPr="00FD311D">
        <w:rPr>
          <w:noProof/>
        </w:rPr>
        <w:drawing>
          <wp:inline distT="0" distB="0" distL="0" distR="0" wp14:anchorId="307D1AA8" wp14:editId="25FAFB0E">
            <wp:extent cx="5731510" cy="3938270"/>
            <wp:effectExtent l="0" t="0" r="2540" b="5080"/>
            <wp:docPr id="1459459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459703" name=""/>
                    <pic:cNvPicPr/>
                  </pic:nvPicPr>
                  <pic:blipFill>
                    <a:blip r:embed="rId44"/>
                    <a:stretch>
                      <a:fillRect/>
                    </a:stretch>
                  </pic:blipFill>
                  <pic:spPr>
                    <a:xfrm>
                      <a:off x="0" y="0"/>
                      <a:ext cx="5731510" cy="3938270"/>
                    </a:xfrm>
                    <a:prstGeom prst="rect">
                      <a:avLst/>
                    </a:prstGeom>
                  </pic:spPr>
                </pic:pic>
              </a:graphicData>
            </a:graphic>
          </wp:inline>
        </w:drawing>
      </w:r>
    </w:p>
    <w:p w14:paraId="1240B845" w14:textId="435CA0D5" w:rsidR="005C3177" w:rsidRDefault="007D159C" w:rsidP="009F658F">
      <w:pPr>
        <w:pStyle w:val="Caption"/>
        <w:jc w:val="both"/>
      </w:pPr>
      <w:bookmarkStart w:id="67" w:name="_Ref227545015"/>
      <w:r>
        <w:t xml:space="preserve">                                                                         </w:t>
      </w:r>
      <w:bookmarkStart w:id="68" w:name="_Toc228816077"/>
      <w:r w:rsidR="005C3177">
        <w:t xml:space="preserve">Figure </w:t>
      </w:r>
      <w:fldSimple w:instr=" SEQ Figure \* ARABIC ">
        <w:r w:rsidR="006C3897">
          <w:rPr>
            <w:noProof/>
          </w:rPr>
          <w:t>32</w:t>
        </w:r>
      </w:fldSimple>
      <w:bookmarkEnd w:id="67"/>
      <w:r w:rsidR="005C3177">
        <w:t>: Technical Analyst Signal Distribution for Phase1</w:t>
      </w:r>
      <w:bookmarkEnd w:id="68"/>
    </w:p>
    <w:p w14:paraId="593F1225" w14:textId="77777777" w:rsidR="005C3177" w:rsidRPr="00F506A6" w:rsidRDefault="005C3177" w:rsidP="009F658F">
      <w:pPr>
        <w:jc w:val="both"/>
      </w:pPr>
    </w:p>
    <w:p w14:paraId="14309AA9" w14:textId="77777777" w:rsidR="00E91A13" w:rsidRPr="00E91A13" w:rsidRDefault="00E91A13" w:rsidP="00E91A13">
      <w:pPr>
        <w:jc w:val="both"/>
      </w:pPr>
      <w:r w:rsidRPr="00E91A13">
        <w:t>Looking at what each individual agent was saying throughout Phase 1 reveals some interesting results shown in Figure 32. The Technical Analyst was largely giving neutral and bearish, with 45.0% neutral and 32.2% bearish signals and only 22.8% bullish, picking up on short-term dips and pullbacks within the longer-term uptrend rather than simply following the overall market direction. The Fundamental Analyst was the most negative of all four agents, with 69.1% of its signals being bearish, suggesting that whilst stock prices were rising, the underlying financial health of many companies in the portfolio was not particularly strong because most of the companies were in the growing stage at the start of Phase 1. In contrast, the Sentiment Analyst was the most optimistic, producing 43.5% bullish signals overall, which is consistent with the broadly positive news flow that accompanied the extended bull market of 2015 to 2017. The Macro Analyst gave nearly 42.3% bullish signals, which reflects the supportive low interest rate and steady growth environment of the period. The difference in signals between the Analyst's deeply bearish stance and the Macro Analyst's broadly positive stance shows accurately why the multi-agent architecture adds value. Different agents were reading different signals from different data sources, and the Stock Picker's role was to weigh all of these views together into a single balanced recommendation.</w:t>
      </w:r>
    </w:p>
    <w:p w14:paraId="4D1AE092" w14:textId="40108CB2" w:rsidR="00FD311D" w:rsidRDefault="00FD311D" w:rsidP="009F658F">
      <w:pPr>
        <w:jc w:val="both"/>
      </w:pPr>
    </w:p>
    <w:p w14:paraId="109814B0" w14:textId="77777777" w:rsidR="00E91A13" w:rsidRPr="00E91A13" w:rsidRDefault="00E91A13" w:rsidP="00E91A13">
      <w:pPr>
        <w:jc w:val="both"/>
      </w:pPr>
      <w:r w:rsidRPr="00E91A13">
        <w:rPr>
          <w:b/>
          <w:bCs/>
        </w:rPr>
        <w:lastRenderedPageBreak/>
        <w:t>IMP</w:t>
      </w:r>
      <w:r w:rsidRPr="00E91A13">
        <w:t>:  If orchestration confidence is below 0.6 just for long position, then we have a hard-coded condition that will make sure that it does not push itself for more long position. We can make it a user variable so that the user can manipulate it according to the user's risk-taking appetite.   </w:t>
      </w:r>
    </w:p>
    <w:p w14:paraId="64760CA1" w14:textId="77777777" w:rsidR="00C96EDE" w:rsidRPr="00F506A6" w:rsidRDefault="00C96EDE" w:rsidP="009F658F">
      <w:pPr>
        <w:jc w:val="both"/>
      </w:pPr>
    </w:p>
    <w:p w14:paraId="6CCB90BF" w14:textId="744EEA3A" w:rsidR="00C96EDE" w:rsidRDefault="00C96EDE" w:rsidP="009F658F">
      <w:pPr>
        <w:pStyle w:val="Heading4"/>
        <w:jc w:val="both"/>
      </w:pPr>
      <w:r>
        <w:t>4.1.</w:t>
      </w:r>
      <w:r w:rsidR="00B21AC3">
        <w:t>4</w:t>
      </w:r>
      <w:r>
        <w:t xml:space="preserve"> </w:t>
      </w:r>
      <w:r w:rsidR="00B21AC3" w:rsidRPr="00B21AC3">
        <w:t>Optimisation Trigger Analysis</w:t>
      </w:r>
    </w:p>
    <w:p w14:paraId="1856967C" w14:textId="77777777" w:rsidR="00B21AC3" w:rsidRDefault="00B21AC3" w:rsidP="009F658F">
      <w:pPr>
        <w:jc w:val="both"/>
      </w:pPr>
    </w:p>
    <w:p w14:paraId="49C84A0E" w14:textId="126F6A70" w:rsidR="00B21AC3" w:rsidRDefault="00B21AC3" w:rsidP="008D36D9">
      <w:pPr>
        <w:jc w:val="both"/>
      </w:pPr>
      <w:r>
        <w:t xml:space="preserve">As back testing was down across 80 </w:t>
      </w:r>
      <w:r w:rsidRPr="00B21AC3">
        <w:t xml:space="preserve">windows during Phase 1, with each window representing a 10-day chunk of the simulation across which the portfolio's drawdown was measured and used to determine whether any optimisation intervention was needed. </w:t>
      </w:r>
      <w:r>
        <w:t xml:space="preserve">Reason for dividing the whole data into window is that we don’t want to load large amount of data in one go in memory so we preferred to have sliding window architecture so that it does not clog up the memory. </w:t>
      </w:r>
    </w:p>
    <w:p w14:paraId="4ECC9375" w14:textId="2AD7AABF" w:rsidR="00B21AC3" w:rsidRDefault="00B21AC3" w:rsidP="008D36D9">
      <w:pPr>
        <w:jc w:val="both"/>
      </w:pPr>
      <w:r>
        <w:t>Before going into deep analysis</w:t>
      </w:r>
      <w:r w:rsidR="006D287C">
        <w:t xml:space="preserve">, it is important to note that different optimisation triggers at different threshold. Below given </w:t>
      </w:r>
      <w:r w:rsidR="00921709">
        <w:fldChar w:fldCharType="begin"/>
      </w:r>
      <w:r w:rsidR="00921709">
        <w:instrText xml:space="preserve"> REF _Ref227497421 \h </w:instrText>
      </w:r>
      <w:r w:rsidR="009F658F">
        <w:instrText xml:space="preserve"> \* MERGEFORMAT </w:instrText>
      </w:r>
      <w:r w:rsidR="00921709">
        <w:fldChar w:fldCharType="separate"/>
      </w:r>
      <w:r w:rsidR="00934643">
        <w:t xml:space="preserve">Table </w:t>
      </w:r>
      <w:r w:rsidR="00934643">
        <w:rPr>
          <w:noProof/>
        </w:rPr>
        <w:t>3</w:t>
      </w:r>
      <w:r w:rsidR="00921709">
        <w:fldChar w:fldCharType="end"/>
      </w:r>
      <w:r w:rsidR="00921709">
        <w:t xml:space="preserve"> </w:t>
      </w:r>
      <w:r w:rsidR="006D287C">
        <w:t xml:space="preserve">represent at what threshold what optimisation technique gets enable and what does it do.  </w:t>
      </w:r>
    </w:p>
    <w:p w14:paraId="4E73F8C8" w14:textId="77777777" w:rsidR="006D287C" w:rsidRDefault="006D287C" w:rsidP="008D36D9">
      <w:pPr>
        <w:jc w:val="both"/>
      </w:pPr>
    </w:p>
    <w:p w14:paraId="3FC6EF6E" w14:textId="5A2BADC0" w:rsidR="007D159C" w:rsidRDefault="006D287C" w:rsidP="007D159C">
      <w:pPr>
        <w:pStyle w:val="Caption"/>
        <w:keepNext/>
        <w:ind w:left="2160" w:firstLine="720"/>
        <w:jc w:val="both"/>
      </w:pPr>
      <w:bookmarkStart w:id="69" w:name="_Ref227497421"/>
      <w:bookmarkStart w:id="70" w:name="_Ref227546705"/>
      <w:bookmarkStart w:id="71" w:name="_Toc228815977"/>
      <w:r>
        <w:t xml:space="preserve">Table </w:t>
      </w:r>
      <w:fldSimple w:instr=" SEQ Table \* ARABIC ">
        <w:r w:rsidR="00BB2641">
          <w:rPr>
            <w:noProof/>
          </w:rPr>
          <w:t>3</w:t>
        </w:r>
      </w:fldSimple>
      <w:bookmarkEnd w:id="69"/>
      <w:r>
        <w:t>: Optimisation trigger condition</w:t>
      </w:r>
      <w:bookmarkEnd w:id="70"/>
      <w:bookmarkEnd w:id="71"/>
    </w:p>
    <w:p w14:paraId="0F4D3238" w14:textId="77777777" w:rsidR="007D159C" w:rsidRPr="007D159C" w:rsidRDefault="007D159C" w:rsidP="007D159C"/>
    <w:tbl>
      <w:tblPr>
        <w:tblW w:w="9056" w:type="dxa"/>
        <w:tblInd w:w="-45" w:type="dxa"/>
        <w:tblLook w:val="0000" w:firstRow="0" w:lastRow="0" w:firstColumn="0" w:lastColumn="0" w:noHBand="0" w:noVBand="0"/>
      </w:tblPr>
      <w:tblGrid>
        <w:gridCol w:w="2084"/>
        <w:gridCol w:w="2180"/>
        <w:gridCol w:w="1862"/>
        <w:gridCol w:w="2930"/>
      </w:tblGrid>
      <w:tr w:rsidR="007D159C" w14:paraId="11A46466" w14:textId="77777777" w:rsidTr="007D159C">
        <w:trPr>
          <w:trHeight w:val="480"/>
        </w:trPr>
        <w:tc>
          <w:tcPr>
            <w:tcW w:w="9056" w:type="dxa"/>
            <w:gridSpan w:val="4"/>
            <w:tcBorders>
              <w:top w:val="single" w:sz="12" w:space="0" w:color="333333"/>
              <w:left w:val="single" w:sz="12" w:space="0" w:color="333333"/>
              <w:bottom w:val="single" w:sz="12" w:space="0" w:color="333333"/>
              <w:right w:val="single" w:sz="12" w:space="0" w:color="333333"/>
            </w:tcBorders>
            <w:shd w:val="clear" w:color="auto" w:fill="153D63" w:themeFill="text2" w:themeFillTint="E6"/>
          </w:tcPr>
          <w:p w14:paraId="2D78E2E0" w14:textId="631ABA20" w:rsidR="007D159C" w:rsidRDefault="007D159C" w:rsidP="007D159C">
            <w:pPr>
              <w:autoSpaceDE w:val="0"/>
              <w:autoSpaceDN w:val="0"/>
              <w:adjustRightInd w:val="0"/>
              <w:spacing w:after="0" w:line="240" w:lineRule="auto"/>
              <w:jc w:val="center"/>
              <w:rPr>
                <w:rFonts w:ascii="Arial" w:hAnsi="Arial" w:cs="Arial"/>
                <w:b/>
                <w:bCs/>
                <w:color w:val="FFFFFF"/>
                <w:sz w:val="20"/>
                <w:szCs w:val="20"/>
              </w:rPr>
            </w:pPr>
            <w:r>
              <w:rPr>
                <w:rFonts w:ascii="Arial" w:hAnsi="Arial" w:cs="Arial"/>
                <w:b/>
                <w:bCs/>
                <w:color w:val="FFFFFF"/>
                <w:sz w:val="26"/>
                <w:szCs w:val="26"/>
              </w:rPr>
              <w:t>Optimisation Trigger Conditions and Actions</w:t>
            </w:r>
          </w:p>
        </w:tc>
      </w:tr>
      <w:tr w:rsidR="007D159C" w14:paraId="50A11875" w14:textId="77777777" w:rsidTr="007D159C">
        <w:trPr>
          <w:trHeight w:val="480"/>
        </w:trPr>
        <w:tc>
          <w:tcPr>
            <w:tcW w:w="0" w:type="auto"/>
            <w:tcBorders>
              <w:top w:val="single" w:sz="12" w:space="0" w:color="333333"/>
              <w:left w:val="single" w:sz="12" w:space="0" w:color="333333"/>
              <w:bottom w:val="single" w:sz="12" w:space="0" w:color="333333"/>
              <w:right w:val="nil"/>
            </w:tcBorders>
            <w:shd w:val="solid" w:color="333333" w:fill="333333"/>
          </w:tcPr>
          <w:p w14:paraId="3C65CAC5" w14:textId="77777777" w:rsidR="007D159C" w:rsidRDefault="007D159C" w:rsidP="007D159C">
            <w:pPr>
              <w:autoSpaceDE w:val="0"/>
              <w:autoSpaceDN w:val="0"/>
              <w:adjustRightInd w:val="0"/>
              <w:spacing w:after="0" w:line="240" w:lineRule="auto"/>
              <w:jc w:val="both"/>
              <w:rPr>
                <w:rFonts w:ascii="Arial" w:hAnsi="Arial" w:cs="Arial"/>
                <w:b/>
                <w:bCs/>
                <w:color w:val="FFFFFF"/>
                <w:sz w:val="20"/>
                <w:szCs w:val="20"/>
              </w:rPr>
            </w:pPr>
            <w:r>
              <w:rPr>
                <w:rFonts w:ascii="Arial" w:hAnsi="Arial" w:cs="Arial"/>
                <w:b/>
                <w:bCs/>
                <w:color w:val="FFFFFF"/>
                <w:sz w:val="20"/>
                <w:szCs w:val="20"/>
              </w:rPr>
              <w:t>Trigger condition</w:t>
            </w:r>
          </w:p>
        </w:tc>
        <w:tc>
          <w:tcPr>
            <w:tcW w:w="2180" w:type="dxa"/>
            <w:tcBorders>
              <w:top w:val="single" w:sz="12" w:space="0" w:color="333333"/>
              <w:left w:val="nil"/>
              <w:bottom w:val="single" w:sz="12" w:space="0" w:color="333333"/>
              <w:right w:val="nil"/>
            </w:tcBorders>
            <w:shd w:val="solid" w:color="333333" w:fill="333333"/>
          </w:tcPr>
          <w:p w14:paraId="2820B1D2" w14:textId="77777777" w:rsidR="007D159C" w:rsidRDefault="007D159C" w:rsidP="007D159C">
            <w:pPr>
              <w:autoSpaceDE w:val="0"/>
              <w:autoSpaceDN w:val="0"/>
              <w:adjustRightInd w:val="0"/>
              <w:spacing w:after="0" w:line="240" w:lineRule="auto"/>
              <w:jc w:val="both"/>
              <w:rPr>
                <w:rFonts w:ascii="Arial" w:hAnsi="Arial" w:cs="Arial"/>
                <w:b/>
                <w:bCs/>
                <w:color w:val="FFFFFF"/>
                <w:sz w:val="20"/>
                <w:szCs w:val="20"/>
              </w:rPr>
            </w:pPr>
            <w:r>
              <w:rPr>
                <w:rFonts w:ascii="Arial" w:hAnsi="Arial" w:cs="Arial"/>
                <w:b/>
                <w:bCs/>
                <w:color w:val="FFFFFF"/>
                <w:sz w:val="20"/>
                <w:szCs w:val="20"/>
              </w:rPr>
              <w:t>Drawdown threshold</w:t>
            </w:r>
          </w:p>
        </w:tc>
        <w:tc>
          <w:tcPr>
            <w:tcW w:w="1862" w:type="dxa"/>
            <w:tcBorders>
              <w:top w:val="single" w:sz="12" w:space="0" w:color="333333"/>
              <w:left w:val="nil"/>
              <w:bottom w:val="single" w:sz="12" w:space="0" w:color="333333"/>
              <w:right w:val="nil"/>
            </w:tcBorders>
            <w:shd w:val="solid" w:color="333333" w:fill="333333"/>
          </w:tcPr>
          <w:p w14:paraId="09529F5B" w14:textId="77777777" w:rsidR="007D159C" w:rsidRDefault="007D159C" w:rsidP="007D159C">
            <w:pPr>
              <w:autoSpaceDE w:val="0"/>
              <w:autoSpaceDN w:val="0"/>
              <w:adjustRightInd w:val="0"/>
              <w:spacing w:after="0" w:line="240" w:lineRule="auto"/>
              <w:jc w:val="both"/>
              <w:rPr>
                <w:rFonts w:ascii="Arial" w:hAnsi="Arial" w:cs="Arial"/>
                <w:b/>
                <w:bCs/>
                <w:color w:val="FFFFFF"/>
                <w:sz w:val="20"/>
                <w:szCs w:val="20"/>
              </w:rPr>
            </w:pPr>
            <w:r>
              <w:rPr>
                <w:rFonts w:ascii="Arial" w:hAnsi="Arial" w:cs="Arial"/>
                <w:b/>
                <w:bCs/>
                <w:color w:val="FFFFFF"/>
                <w:sz w:val="20"/>
                <w:szCs w:val="20"/>
              </w:rPr>
              <w:t>Optimiser activated</w:t>
            </w:r>
          </w:p>
        </w:tc>
        <w:tc>
          <w:tcPr>
            <w:tcW w:w="0" w:type="auto"/>
            <w:tcBorders>
              <w:top w:val="single" w:sz="12" w:space="0" w:color="333333"/>
              <w:left w:val="nil"/>
              <w:bottom w:val="single" w:sz="12" w:space="0" w:color="333333"/>
              <w:right w:val="single" w:sz="12" w:space="0" w:color="333333"/>
            </w:tcBorders>
            <w:shd w:val="solid" w:color="333333" w:fill="333333"/>
          </w:tcPr>
          <w:p w14:paraId="41B82646" w14:textId="77777777" w:rsidR="007D159C" w:rsidRDefault="007D159C" w:rsidP="007D159C">
            <w:pPr>
              <w:autoSpaceDE w:val="0"/>
              <w:autoSpaceDN w:val="0"/>
              <w:adjustRightInd w:val="0"/>
              <w:spacing w:after="0" w:line="240" w:lineRule="auto"/>
              <w:jc w:val="both"/>
              <w:rPr>
                <w:rFonts w:ascii="Arial" w:hAnsi="Arial" w:cs="Arial"/>
                <w:b/>
                <w:bCs/>
                <w:color w:val="FFFFFF"/>
                <w:sz w:val="20"/>
                <w:szCs w:val="20"/>
              </w:rPr>
            </w:pPr>
            <w:r>
              <w:rPr>
                <w:rFonts w:ascii="Arial" w:hAnsi="Arial" w:cs="Arial"/>
                <w:b/>
                <w:bCs/>
                <w:color w:val="FFFFFF"/>
                <w:sz w:val="20"/>
                <w:szCs w:val="20"/>
              </w:rPr>
              <w:t>Action taken</w:t>
            </w:r>
          </w:p>
        </w:tc>
      </w:tr>
      <w:tr w:rsidR="007D159C" w14:paraId="578170E2" w14:textId="77777777" w:rsidTr="007D159C">
        <w:trPr>
          <w:trHeight w:val="1402"/>
        </w:trPr>
        <w:tc>
          <w:tcPr>
            <w:tcW w:w="0" w:type="auto"/>
            <w:tcBorders>
              <w:top w:val="nil"/>
              <w:left w:val="single" w:sz="6" w:space="0" w:color="C0C0C0"/>
              <w:bottom w:val="single" w:sz="6" w:space="0" w:color="C0C0C0"/>
              <w:right w:val="nil"/>
            </w:tcBorders>
            <w:shd w:val="solid" w:color="FFFFCC" w:fill="FFFFCC"/>
          </w:tcPr>
          <w:p w14:paraId="4F340FDA" w14:textId="77777777" w:rsidR="007D159C" w:rsidRDefault="007D159C" w:rsidP="007D159C">
            <w:pPr>
              <w:autoSpaceDE w:val="0"/>
              <w:autoSpaceDN w:val="0"/>
              <w:adjustRightInd w:val="0"/>
              <w:spacing w:after="0" w:line="240" w:lineRule="auto"/>
              <w:jc w:val="both"/>
              <w:rPr>
                <w:rFonts w:ascii="Arial" w:hAnsi="Arial" w:cs="Arial"/>
                <w:b/>
                <w:bCs/>
                <w:color w:val="008000"/>
                <w:sz w:val="20"/>
                <w:szCs w:val="20"/>
              </w:rPr>
            </w:pPr>
            <w:r>
              <w:rPr>
                <w:rFonts w:ascii="Arial" w:hAnsi="Arial" w:cs="Arial"/>
                <w:b/>
                <w:bCs/>
                <w:color w:val="008000"/>
                <w:sz w:val="20"/>
                <w:szCs w:val="20"/>
              </w:rPr>
              <w:t>No trigger</w:t>
            </w:r>
          </w:p>
        </w:tc>
        <w:tc>
          <w:tcPr>
            <w:tcW w:w="2180" w:type="dxa"/>
            <w:tcBorders>
              <w:top w:val="nil"/>
              <w:left w:val="nil"/>
              <w:bottom w:val="single" w:sz="6" w:space="0" w:color="C0C0C0"/>
              <w:right w:val="nil"/>
            </w:tcBorders>
            <w:shd w:val="solid" w:color="FFFFCC" w:fill="FFFFCC"/>
          </w:tcPr>
          <w:p w14:paraId="1B5105C0" w14:textId="77777777" w:rsidR="007D159C" w:rsidRDefault="007D159C" w:rsidP="007D159C">
            <w:pPr>
              <w:autoSpaceDE w:val="0"/>
              <w:autoSpaceDN w:val="0"/>
              <w:adjustRightInd w:val="0"/>
              <w:spacing w:after="0" w:line="240" w:lineRule="auto"/>
              <w:jc w:val="both"/>
              <w:rPr>
                <w:rFonts w:ascii="Arial" w:hAnsi="Arial" w:cs="Arial"/>
                <w:b/>
                <w:bCs/>
                <w:color w:val="008000"/>
              </w:rPr>
            </w:pPr>
            <w:r>
              <w:rPr>
                <w:rFonts w:ascii="Arial" w:hAnsi="Arial" w:cs="Arial"/>
                <w:b/>
                <w:bCs/>
                <w:color w:val="008000"/>
              </w:rPr>
              <w:t>dd &lt; 2%</w:t>
            </w:r>
          </w:p>
        </w:tc>
        <w:tc>
          <w:tcPr>
            <w:tcW w:w="1862" w:type="dxa"/>
            <w:tcBorders>
              <w:top w:val="nil"/>
              <w:left w:val="nil"/>
              <w:bottom w:val="single" w:sz="6" w:space="0" w:color="C0C0C0"/>
              <w:right w:val="nil"/>
            </w:tcBorders>
            <w:shd w:val="solid" w:color="FFFFCC" w:fill="FFFFCC"/>
          </w:tcPr>
          <w:p w14:paraId="0E564B47" w14:textId="77777777" w:rsidR="007D159C" w:rsidRDefault="007D159C" w:rsidP="007D159C">
            <w:pPr>
              <w:autoSpaceDE w:val="0"/>
              <w:autoSpaceDN w:val="0"/>
              <w:adjustRightInd w:val="0"/>
              <w:spacing w:after="0" w:line="240" w:lineRule="auto"/>
              <w:jc w:val="both"/>
              <w:rPr>
                <w:rFonts w:ascii="Arial" w:hAnsi="Arial" w:cs="Arial"/>
                <w:color w:val="333333"/>
                <w:sz w:val="20"/>
                <w:szCs w:val="20"/>
              </w:rPr>
            </w:pPr>
            <w:r>
              <w:rPr>
                <w:rFonts w:ascii="Arial" w:hAnsi="Arial" w:cs="Arial"/>
                <w:color w:val="333333"/>
                <w:sz w:val="20"/>
                <w:szCs w:val="20"/>
              </w:rPr>
              <w:t>None</w:t>
            </w:r>
          </w:p>
        </w:tc>
        <w:tc>
          <w:tcPr>
            <w:tcW w:w="0" w:type="auto"/>
            <w:tcBorders>
              <w:top w:val="nil"/>
              <w:left w:val="nil"/>
              <w:bottom w:val="single" w:sz="6" w:space="0" w:color="C0C0C0"/>
              <w:right w:val="single" w:sz="6" w:space="0" w:color="C0C0C0"/>
            </w:tcBorders>
            <w:shd w:val="solid" w:color="FFFFCC" w:fill="FFFFCC"/>
          </w:tcPr>
          <w:p w14:paraId="1F92A2EF" w14:textId="77777777" w:rsidR="007D159C" w:rsidRDefault="007D159C" w:rsidP="007D159C">
            <w:pPr>
              <w:autoSpaceDE w:val="0"/>
              <w:autoSpaceDN w:val="0"/>
              <w:adjustRightInd w:val="0"/>
              <w:spacing w:after="0" w:line="240" w:lineRule="auto"/>
              <w:jc w:val="both"/>
              <w:rPr>
                <w:rFonts w:ascii="Arial" w:hAnsi="Arial" w:cs="Arial"/>
                <w:i/>
                <w:iCs/>
                <w:color w:val="333333"/>
                <w:sz w:val="18"/>
                <w:szCs w:val="18"/>
              </w:rPr>
            </w:pPr>
            <w:r>
              <w:rPr>
                <w:rFonts w:ascii="Arial" w:hAnsi="Arial" w:cs="Arial"/>
                <w:i/>
                <w:iCs/>
                <w:color w:val="333333"/>
                <w:sz w:val="18"/>
                <w:szCs w:val="18"/>
              </w:rPr>
              <w:t>Training continues unchanged. The current agent prompts are retained as performance is within acceptable boundaries.</w:t>
            </w:r>
          </w:p>
        </w:tc>
      </w:tr>
      <w:tr w:rsidR="007D159C" w14:paraId="29C79F17" w14:textId="77777777" w:rsidTr="007D159C">
        <w:trPr>
          <w:trHeight w:val="1402"/>
        </w:trPr>
        <w:tc>
          <w:tcPr>
            <w:tcW w:w="0" w:type="auto"/>
            <w:tcBorders>
              <w:top w:val="nil"/>
              <w:left w:val="single" w:sz="6" w:space="0" w:color="C0C0C0"/>
              <w:bottom w:val="single" w:sz="6" w:space="0" w:color="C0C0C0"/>
              <w:right w:val="nil"/>
            </w:tcBorders>
            <w:shd w:val="solid" w:color="FFFFCC" w:fill="FFFFCC"/>
          </w:tcPr>
          <w:p w14:paraId="1BD46193" w14:textId="77777777" w:rsidR="007D159C" w:rsidRDefault="007D159C" w:rsidP="007D159C">
            <w:pPr>
              <w:autoSpaceDE w:val="0"/>
              <w:autoSpaceDN w:val="0"/>
              <w:adjustRightInd w:val="0"/>
              <w:spacing w:after="0" w:line="240" w:lineRule="auto"/>
              <w:jc w:val="both"/>
              <w:rPr>
                <w:rFonts w:ascii="Arial" w:hAnsi="Arial" w:cs="Arial"/>
                <w:b/>
                <w:bCs/>
                <w:color w:val="993300"/>
                <w:sz w:val="20"/>
                <w:szCs w:val="20"/>
              </w:rPr>
            </w:pPr>
            <w:r>
              <w:rPr>
                <w:rFonts w:ascii="Arial" w:hAnsi="Arial" w:cs="Arial"/>
                <w:b/>
                <w:bCs/>
                <w:color w:val="993300"/>
                <w:sz w:val="20"/>
                <w:szCs w:val="20"/>
              </w:rPr>
              <w:t xml:space="preserve">Negative </w:t>
            </w:r>
            <w:proofErr w:type="spellStart"/>
            <w:r>
              <w:rPr>
                <w:rFonts w:ascii="Arial" w:hAnsi="Arial" w:cs="Arial"/>
                <w:b/>
                <w:bCs/>
                <w:color w:val="993300"/>
                <w:sz w:val="20"/>
                <w:szCs w:val="20"/>
              </w:rPr>
              <w:t>BootstrapFewShot</w:t>
            </w:r>
            <w:proofErr w:type="spellEnd"/>
          </w:p>
        </w:tc>
        <w:tc>
          <w:tcPr>
            <w:tcW w:w="2180" w:type="dxa"/>
            <w:tcBorders>
              <w:top w:val="nil"/>
              <w:left w:val="nil"/>
              <w:bottom w:val="single" w:sz="6" w:space="0" w:color="C0C0C0"/>
              <w:right w:val="nil"/>
            </w:tcBorders>
            <w:shd w:val="solid" w:color="FFFFCC" w:fill="FFFFCC"/>
          </w:tcPr>
          <w:p w14:paraId="3DB00537" w14:textId="77777777" w:rsidR="007D159C" w:rsidRDefault="007D159C" w:rsidP="007D159C">
            <w:pPr>
              <w:autoSpaceDE w:val="0"/>
              <w:autoSpaceDN w:val="0"/>
              <w:adjustRightInd w:val="0"/>
              <w:spacing w:after="0" w:line="240" w:lineRule="auto"/>
              <w:jc w:val="both"/>
              <w:rPr>
                <w:rFonts w:ascii="Arial" w:hAnsi="Arial" w:cs="Arial"/>
                <w:b/>
                <w:bCs/>
                <w:color w:val="993300"/>
              </w:rPr>
            </w:pPr>
            <w:r>
              <w:rPr>
                <w:rFonts w:ascii="Arial" w:hAnsi="Arial" w:cs="Arial"/>
                <w:b/>
                <w:bCs/>
                <w:color w:val="993300"/>
              </w:rPr>
              <w:t>2% ≤ dd &lt; 8%</w:t>
            </w:r>
          </w:p>
        </w:tc>
        <w:tc>
          <w:tcPr>
            <w:tcW w:w="1862" w:type="dxa"/>
            <w:tcBorders>
              <w:top w:val="nil"/>
              <w:left w:val="nil"/>
              <w:bottom w:val="single" w:sz="6" w:space="0" w:color="C0C0C0"/>
              <w:right w:val="nil"/>
            </w:tcBorders>
            <w:shd w:val="solid" w:color="FFFFCC" w:fill="FFFFCC"/>
          </w:tcPr>
          <w:p w14:paraId="24C4ED64" w14:textId="77777777" w:rsidR="007D159C" w:rsidRDefault="007D159C" w:rsidP="007D159C">
            <w:pPr>
              <w:autoSpaceDE w:val="0"/>
              <w:autoSpaceDN w:val="0"/>
              <w:adjustRightInd w:val="0"/>
              <w:spacing w:after="0" w:line="240" w:lineRule="auto"/>
              <w:jc w:val="both"/>
              <w:rPr>
                <w:rFonts w:ascii="Arial" w:hAnsi="Arial" w:cs="Arial"/>
                <w:color w:val="333333"/>
                <w:sz w:val="20"/>
                <w:szCs w:val="20"/>
              </w:rPr>
            </w:pPr>
            <w:r>
              <w:rPr>
                <w:rFonts w:ascii="Arial" w:hAnsi="Arial" w:cs="Arial"/>
                <w:color w:val="333333"/>
                <w:sz w:val="20"/>
                <w:szCs w:val="20"/>
              </w:rPr>
              <w:t xml:space="preserve">Negative </w:t>
            </w:r>
            <w:proofErr w:type="spellStart"/>
            <w:r>
              <w:rPr>
                <w:rFonts w:ascii="Arial" w:hAnsi="Arial" w:cs="Arial"/>
                <w:color w:val="333333"/>
                <w:sz w:val="20"/>
                <w:szCs w:val="20"/>
              </w:rPr>
              <w:t>BootstrapFewShot</w:t>
            </w:r>
            <w:proofErr w:type="spellEnd"/>
          </w:p>
        </w:tc>
        <w:tc>
          <w:tcPr>
            <w:tcW w:w="0" w:type="auto"/>
            <w:tcBorders>
              <w:top w:val="nil"/>
              <w:left w:val="nil"/>
              <w:bottom w:val="single" w:sz="6" w:space="0" w:color="C0C0C0"/>
              <w:right w:val="single" w:sz="6" w:space="0" w:color="C0C0C0"/>
            </w:tcBorders>
            <w:shd w:val="solid" w:color="FFFFCC" w:fill="FFFFCC"/>
          </w:tcPr>
          <w:p w14:paraId="31D3EA13" w14:textId="77777777" w:rsidR="007D159C" w:rsidRDefault="007D159C" w:rsidP="007D159C">
            <w:pPr>
              <w:autoSpaceDE w:val="0"/>
              <w:autoSpaceDN w:val="0"/>
              <w:adjustRightInd w:val="0"/>
              <w:spacing w:after="0" w:line="240" w:lineRule="auto"/>
              <w:jc w:val="both"/>
              <w:rPr>
                <w:rFonts w:ascii="Arial" w:hAnsi="Arial" w:cs="Arial"/>
                <w:i/>
                <w:iCs/>
                <w:color w:val="333333"/>
                <w:sz w:val="18"/>
                <w:szCs w:val="18"/>
              </w:rPr>
            </w:pPr>
            <w:r>
              <w:rPr>
                <w:rFonts w:ascii="Arial" w:hAnsi="Arial" w:cs="Arial"/>
                <w:i/>
                <w:iCs/>
                <w:color w:val="333333"/>
                <w:sz w:val="18"/>
                <w:szCs w:val="18"/>
              </w:rPr>
              <w:t>Poor-performing examples from the current chunk are relabelled as hold and injected into the agent prompts as few-shot demonstrations to discourage loss-making behaviour and encourage caution.</w:t>
            </w:r>
          </w:p>
        </w:tc>
      </w:tr>
      <w:tr w:rsidR="007D159C" w14:paraId="0FAC48F2" w14:textId="77777777" w:rsidTr="007D159C">
        <w:trPr>
          <w:trHeight w:val="1402"/>
        </w:trPr>
        <w:tc>
          <w:tcPr>
            <w:tcW w:w="0" w:type="auto"/>
            <w:tcBorders>
              <w:top w:val="nil"/>
              <w:left w:val="single" w:sz="12" w:space="0" w:color="333333"/>
              <w:bottom w:val="single" w:sz="12" w:space="0" w:color="333333"/>
              <w:right w:val="nil"/>
            </w:tcBorders>
            <w:shd w:val="solid" w:color="FFCC99" w:fill="FFCC99"/>
          </w:tcPr>
          <w:p w14:paraId="6A2EF411" w14:textId="77777777" w:rsidR="007D159C" w:rsidRDefault="007D159C" w:rsidP="007D159C">
            <w:pPr>
              <w:autoSpaceDE w:val="0"/>
              <w:autoSpaceDN w:val="0"/>
              <w:adjustRightInd w:val="0"/>
              <w:spacing w:after="0" w:line="240" w:lineRule="auto"/>
              <w:jc w:val="both"/>
              <w:rPr>
                <w:rFonts w:ascii="Arial" w:hAnsi="Arial" w:cs="Arial"/>
                <w:b/>
                <w:bCs/>
                <w:color w:val="993300"/>
                <w:sz w:val="20"/>
                <w:szCs w:val="20"/>
              </w:rPr>
            </w:pPr>
            <w:r>
              <w:rPr>
                <w:rFonts w:ascii="Arial" w:hAnsi="Arial" w:cs="Arial"/>
                <w:b/>
                <w:bCs/>
                <w:color w:val="993300"/>
                <w:sz w:val="20"/>
                <w:szCs w:val="20"/>
              </w:rPr>
              <w:t>Emergency MIPROv2</w:t>
            </w:r>
          </w:p>
        </w:tc>
        <w:tc>
          <w:tcPr>
            <w:tcW w:w="2180" w:type="dxa"/>
            <w:tcBorders>
              <w:top w:val="nil"/>
              <w:left w:val="nil"/>
              <w:bottom w:val="single" w:sz="12" w:space="0" w:color="333333"/>
              <w:right w:val="nil"/>
            </w:tcBorders>
            <w:shd w:val="solid" w:color="FFCC99" w:fill="FFCC99"/>
          </w:tcPr>
          <w:p w14:paraId="265631A7" w14:textId="77777777" w:rsidR="007D159C" w:rsidRDefault="007D159C" w:rsidP="007D159C">
            <w:pPr>
              <w:autoSpaceDE w:val="0"/>
              <w:autoSpaceDN w:val="0"/>
              <w:adjustRightInd w:val="0"/>
              <w:spacing w:after="0" w:line="240" w:lineRule="auto"/>
              <w:jc w:val="both"/>
              <w:rPr>
                <w:rFonts w:ascii="Arial" w:hAnsi="Arial" w:cs="Arial"/>
                <w:b/>
                <w:bCs/>
                <w:color w:val="993300"/>
              </w:rPr>
            </w:pPr>
            <w:r>
              <w:rPr>
                <w:rFonts w:ascii="Arial" w:hAnsi="Arial" w:cs="Arial"/>
                <w:b/>
                <w:bCs/>
                <w:color w:val="993300"/>
              </w:rPr>
              <w:t>dd ≥ 8%</w:t>
            </w:r>
          </w:p>
        </w:tc>
        <w:tc>
          <w:tcPr>
            <w:tcW w:w="1862" w:type="dxa"/>
            <w:tcBorders>
              <w:top w:val="nil"/>
              <w:left w:val="nil"/>
              <w:bottom w:val="single" w:sz="12" w:space="0" w:color="333333"/>
              <w:right w:val="nil"/>
            </w:tcBorders>
            <w:shd w:val="solid" w:color="FFCC99" w:fill="FFCC99"/>
          </w:tcPr>
          <w:p w14:paraId="53BBA8B6" w14:textId="77777777" w:rsidR="007D159C" w:rsidRDefault="007D159C" w:rsidP="007D159C">
            <w:pPr>
              <w:autoSpaceDE w:val="0"/>
              <w:autoSpaceDN w:val="0"/>
              <w:adjustRightInd w:val="0"/>
              <w:spacing w:after="0" w:line="240" w:lineRule="auto"/>
              <w:jc w:val="both"/>
              <w:rPr>
                <w:rFonts w:ascii="Arial" w:hAnsi="Arial" w:cs="Arial"/>
                <w:color w:val="333333"/>
                <w:sz w:val="20"/>
                <w:szCs w:val="20"/>
              </w:rPr>
            </w:pPr>
            <w:r>
              <w:rPr>
                <w:rFonts w:ascii="Arial" w:hAnsi="Arial" w:cs="Arial"/>
                <w:color w:val="333333"/>
                <w:sz w:val="20"/>
                <w:szCs w:val="20"/>
              </w:rPr>
              <w:t>MIPROv2 (auto = light)</w:t>
            </w:r>
          </w:p>
        </w:tc>
        <w:tc>
          <w:tcPr>
            <w:tcW w:w="0" w:type="auto"/>
            <w:tcBorders>
              <w:top w:val="nil"/>
              <w:left w:val="nil"/>
              <w:bottom w:val="single" w:sz="12" w:space="0" w:color="333333"/>
              <w:right w:val="single" w:sz="12" w:space="0" w:color="333333"/>
            </w:tcBorders>
            <w:shd w:val="solid" w:color="FFCC99" w:fill="FFCC99"/>
          </w:tcPr>
          <w:p w14:paraId="61442E2C" w14:textId="77777777" w:rsidR="007D159C" w:rsidRDefault="007D159C" w:rsidP="007D159C">
            <w:pPr>
              <w:autoSpaceDE w:val="0"/>
              <w:autoSpaceDN w:val="0"/>
              <w:adjustRightInd w:val="0"/>
              <w:spacing w:after="0" w:line="240" w:lineRule="auto"/>
              <w:jc w:val="both"/>
              <w:rPr>
                <w:rFonts w:ascii="Arial" w:hAnsi="Arial" w:cs="Arial"/>
                <w:i/>
                <w:iCs/>
                <w:color w:val="333333"/>
                <w:sz w:val="18"/>
                <w:szCs w:val="18"/>
              </w:rPr>
            </w:pPr>
            <w:r>
              <w:rPr>
                <w:rFonts w:ascii="Arial" w:hAnsi="Arial" w:cs="Arial"/>
                <w:i/>
                <w:iCs/>
                <w:color w:val="333333"/>
                <w:sz w:val="18"/>
                <w:szCs w:val="18"/>
              </w:rPr>
              <w:t>Full prompt rewrite is triggered. All six agent instructions are regenerated from scratch using multi-prompt instruction optimisation, selecting the best performing instruction set from a set of candidates.</w:t>
            </w:r>
          </w:p>
        </w:tc>
      </w:tr>
    </w:tbl>
    <w:p w14:paraId="1516AF44" w14:textId="77777777" w:rsidR="006D287C" w:rsidRDefault="006D287C" w:rsidP="008D36D9">
      <w:pPr>
        <w:jc w:val="both"/>
      </w:pPr>
    </w:p>
    <w:p w14:paraId="585A363A" w14:textId="77777777" w:rsidR="0085275D" w:rsidRDefault="0085275D" w:rsidP="008D36D9">
      <w:pPr>
        <w:jc w:val="both"/>
        <w:sectPr w:rsidR="0085275D" w:rsidSect="0085275D">
          <w:pgSz w:w="11906" w:h="16838"/>
          <w:pgMar w:top="1440" w:right="1440" w:bottom="1440" w:left="1440" w:header="709" w:footer="709" w:gutter="0"/>
          <w:cols w:space="708"/>
          <w:docGrid w:linePitch="360"/>
        </w:sectPr>
      </w:pPr>
    </w:p>
    <w:p w14:paraId="1820380A" w14:textId="7C97178B" w:rsidR="00B21AC3" w:rsidRPr="00B21AC3" w:rsidRDefault="00B21AC3" w:rsidP="008D36D9">
      <w:pPr>
        <w:jc w:val="both"/>
      </w:pPr>
      <w:r>
        <w:lastRenderedPageBreak/>
        <w:t>Out of these 80 windows</w:t>
      </w:r>
      <w:r w:rsidRPr="00B21AC3">
        <w:t xml:space="preserve">, 57 </w:t>
      </w:r>
      <w:r w:rsidR="006D287C">
        <w:t xml:space="preserve">do not trigger any optimisation technique </w:t>
      </w:r>
      <w:r w:rsidRPr="00B21AC3">
        <w:t>as the portfolio drawdown remained comfortably below the 2% threshold</w:t>
      </w:r>
      <w:r>
        <w:t xml:space="preserve"> of drawdown</w:t>
      </w:r>
      <w:r w:rsidRPr="00B21AC3">
        <w:t xml:space="preserve">, </w:t>
      </w:r>
      <w:r w:rsidR="00921709">
        <w:t xml:space="preserve">which tells that </w:t>
      </w:r>
      <w:r w:rsidRPr="00B21AC3">
        <w:t xml:space="preserve">system was performing well and trading within acceptable risk boundaries for the majority of the phase. </w:t>
      </w:r>
      <w:r w:rsidR="006D287C" w:rsidRPr="00B21AC3">
        <w:t>However,</w:t>
      </w:r>
      <w:r w:rsidRPr="00B21AC3">
        <w:t xml:space="preserve"> 22 windows triggered the Negative </w:t>
      </w:r>
      <w:proofErr w:type="spellStart"/>
      <w:r w:rsidRPr="00B21AC3">
        <w:t>BootstrapFewShot</w:t>
      </w:r>
      <w:proofErr w:type="spellEnd"/>
      <w:r w:rsidRPr="00B21AC3">
        <w:t xml:space="preserve"> procedure as drawdown fell between 2% and 8%, and 1 window triggered the Emergency MIPROv2 optimisation when drawdown exceeded 8%.</w:t>
      </w:r>
      <w:r w:rsidR="00F43076">
        <w:t xml:space="preserve"> One important to note that reward mechanism is helping a lot in maintaining the portfolio stable and growing for most of time because 57 time it does not require any optimisation which tell that agents are learning form this reward signal.</w:t>
      </w:r>
    </w:p>
    <w:p w14:paraId="12EB5A0A" w14:textId="69E9FBCF" w:rsidR="00921709" w:rsidRDefault="00921709" w:rsidP="008D36D9">
      <w:pPr>
        <w:jc w:val="both"/>
      </w:pPr>
      <w:r>
        <w:t xml:space="preserve">Yes, there was </w:t>
      </w:r>
      <w:r w:rsidR="00B21AC3" w:rsidRPr="00B21AC3">
        <w:t>single</w:t>
      </w:r>
      <w:r>
        <w:t xml:space="preserve"> time</w:t>
      </w:r>
      <w:r w:rsidR="00B21AC3" w:rsidRPr="00B21AC3">
        <w:t xml:space="preserve"> Emergency MIPROv2 trigger</w:t>
      </w:r>
      <w:r>
        <w:t xml:space="preserve">ed </w:t>
      </w:r>
      <w:r w:rsidR="00B21AC3" w:rsidRPr="00B21AC3">
        <w:t xml:space="preserve">at epoch 200 chunk 4 when the portfolio drawdown reached 8.13%. This was the most severe stress event of Phase 1 and required the most aggressive optimisation response available to the system. </w:t>
      </w:r>
      <w:r>
        <w:t xml:space="preserve">After the </w:t>
      </w:r>
      <w:r w:rsidR="00B21AC3" w:rsidRPr="00B21AC3">
        <w:t xml:space="preserve">trigger </w:t>
      </w:r>
      <w:r>
        <w:t xml:space="preserve">event happened, </w:t>
      </w:r>
      <w:r w:rsidR="00B21AC3" w:rsidRPr="00B21AC3">
        <w:t xml:space="preserve">composite reward score improved from 0.0226 to 0.0641 in the </w:t>
      </w:r>
      <w:r>
        <w:t xml:space="preserve">next </w:t>
      </w:r>
      <w:r w:rsidR="00B21AC3" w:rsidRPr="00B21AC3">
        <w:t>window</w:t>
      </w:r>
      <w:r>
        <w:t xml:space="preserve"> which </w:t>
      </w:r>
      <w:r w:rsidR="00B21AC3" w:rsidRPr="00B21AC3">
        <w:t>confirm</w:t>
      </w:r>
      <w:r>
        <w:t>s</w:t>
      </w:r>
      <w:r w:rsidR="00B21AC3" w:rsidRPr="00B21AC3">
        <w:t xml:space="preserve"> that the emergency intervention had a measurable positive effect on the system's behaviou</w:t>
      </w:r>
      <w:r>
        <w:t>r</w:t>
      </w:r>
      <w:r w:rsidR="00B21AC3" w:rsidRPr="00B21AC3">
        <w:t xml:space="preserve">. </w:t>
      </w:r>
    </w:p>
    <w:p w14:paraId="052964E5" w14:textId="77777777" w:rsidR="00F43076" w:rsidRDefault="00F43076" w:rsidP="008D36D9">
      <w:pPr>
        <w:jc w:val="both"/>
      </w:pPr>
    </w:p>
    <w:p w14:paraId="7242CA6E" w14:textId="642D6FC4" w:rsidR="0085275D" w:rsidRDefault="008D36D9" w:rsidP="008D36D9">
      <w:pPr>
        <w:pStyle w:val="Caption"/>
        <w:keepNext/>
        <w:jc w:val="both"/>
      </w:pPr>
      <w:r>
        <w:t xml:space="preserve">                                                                                                                          </w:t>
      </w:r>
      <w:bookmarkStart w:id="72" w:name="_Toc228815978"/>
      <w:r w:rsidR="0085275D">
        <w:t xml:space="preserve">Table </w:t>
      </w:r>
      <w:fldSimple w:instr=" SEQ Table \* ARABIC ">
        <w:r w:rsidR="00BB2641">
          <w:rPr>
            <w:noProof/>
          </w:rPr>
          <w:t>4</w:t>
        </w:r>
      </w:fldSimple>
      <w:r w:rsidR="0085275D">
        <w:t xml:space="preserve">: </w:t>
      </w:r>
      <w:r w:rsidR="0085275D" w:rsidRPr="003C6715">
        <w:t>Optimisation Trigger: Before vs After Analysis</w:t>
      </w:r>
      <w:r w:rsidR="000B0446">
        <w:t xml:space="preserve"> for phase 1</w:t>
      </w:r>
      <w:bookmarkEnd w:id="72"/>
    </w:p>
    <w:tbl>
      <w:tblPr>
        <w:tblW w:w="0" w:type="auto"/>
        <w:jc w:val="center"/>
        <w:tblLook w:val="04A0" w:firstRow="1" w:lastRow="0" w:firstColumn="1" w:lastColumn="0" w:noHBand="0" w:noVBand="1"/>
      </w:tblPr>
      <w:tblGrid>
        <w:gridCol w:w="417"/>
        <w:gridCol w:w="1888"/>
        <w:gridCol w:w="1888"/>
        <w:gridCol w:w="2077"/>
        <w:gridCol w:w="1337"/>
        <w:gridCol w:w="787"/>
        <w:gridCol w:w="767"/>
        <w:gridCol w:w="877"/>
        <w:gridCol w:w="1137"/>
      </w:tblGrid>
      <w:tr w:rsidR="0053755C" w:rsidRPr="0085275D" w14:paraId="67A8F0B3" w14:textId="77777777" w:rsidTr="0015526C">
        <w:trPr>
          <w:trHeight w:val="400"/>
          <w:jc w:val="center"/>
        </w:trPr>
        <w:tc>
          <w:tcPr>
            <w:tcW w:w="0" w:type="auto"/>
            <w:gridSpan w:val="5"/>
            <w:tcBorders>
              <w:top w:val="single" w:sz="4" w:space="0" w:color="CCCCCC"/>
              <w:left w:val="single" w:sz="4" w:space="0" w:color="CCCCCC"/>
              <w:bottom w:val="single" w:sz="4" w:space="0" w:color="CCCCCC"/>
              <w:right w:val="nil"/>
            </w:tcBorders>
            <w:shd w:val="clear" w:color="2C3E50" w:fill="2C3E50"/>
            <w:vAlign w:val="center"/>
            <w:hideMark/>
          </w:tcPr>
          <w:p w14:paraId="6933FBF8"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Event details</w:t>
            </w:r>
          </w:p>
        </w:tc>
        <w:tc>
          <w:tcPr>
            <w:tcW w:w="0" w:type="auto"/>
            <w:gridSpan w:val="4"/>
            <w:tcBorders>
              <w:top w:val="single" w:sz="4" w:space="0" w:color="CCCCCC"/>
              <w:left w:val="nil"/>
              <w:bottom w:val="single" w:sz="4" w:space="0" w:color="CCCCCC"/>
              <w:right w:val="nil"/>
            </w:tcBorders>
            <w:shd w:val="clear" w:color="534AB7" w:fill="534AB7"/>
            <w:vAlign w:val="center"/>
            <w:hideMark/>
          </w:tcPr>
          <w:p w14:paraId="0A563A5B"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Composite reward</w:t>
            </w:r>
          </w:p>
        </w:tc>
      </w:tr>
      <w:tr w:rsidR="0053755C" w:rsidRPr="0085275D" w14:paraId="6950594F" w14:textId="77777777" w:rsidTr="0015526C">
        <w:trPr>
          <w:trHeight w:val="560"/>
          <w:jc w:val="center"/>
        </w:trPr>
        <w:tc>
          <w:tcPr>
            <w:tcW w:w="0" w:type="auto"/>
            <w:tcBorders>
              <w:top w:val="single" w:sz="8" w:space="0" w:color="444444"/>
              <w:left w:val="single" w:sz="8" w:space="0" w:color="444444"/>
              <w:bottom w:val="single" w:sz="8" w:space="0" w:color="444444"/>
              <w:right w:val="nil"/>
            </w:tcBorders>
            <w:shd w:val="clear" w:color="2C3E50" w:fill="2C3E50"/>
            <w:vAlign w:val="center"/>
            <w:hideMark/>
          </w:tcPr>
          <w:p w14:paraId="5726F657"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w:t>
            </w:r>
          </w:p>
        </w:tc>
        <w:tc>
          <w:tcPr>
            <w:tcW w:w="0" w:type="auto"/>
            <w:tcBorders>
              <w:top w:val="single" w:sz="4" w:space="0" w:color="CCCCCC"/>
              <w:left w:val="nil"/>
              <w:bottom w:val="single" w:sz="4" w:space="0" w:color="CCCCCC"/>
              <w:right w:val="nil"/>
            </w:tcBorders>
            <w:shd w:val="clear" w:color="2C3E50" w:fill="2C3E50"/>
            <w:vAlign w:val="center"/>
            <w:hideMark/>
          </w:tcPr>
          <w:p w14:paraId="0CC5565A"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Window before</w:t>
            </w:r>
          </w:p>
        </w:tc>
        <w:tc>
          <w:tcPr>
            <w:tcW w:w="0" w:type="auto"/>
            <w:tcBorders>
              <w:top w:val="single" w:sz="4" w:space="0" w:color="CCCCCC"/>
              <w:left w:val="nil"/>
              <w:bottom w:val="single" w:sz="4" w:space="0" w:color="CCCCCC"/>
              <w:right w:val="nil"/>
            </w:tcBorders>
            <w:shd w:val="clear" w:color="2C3E50" w:fill="2C3E50"/>
            <w:vAlign w:val="center"/>
            <w:hideMark/>
          </w:tcPr>
          <w:p w14:paraId="098E8002"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Window after</w:t>
            </w:r>
          </w:p>
        </w:tc>
        <w:tc>
          <w:tcPr>
            <w:tcW w:w="0" w:type="auto"/>
            <w:tcBorders>
              <w:top w:val="single" w:sz="4" w:space="0" w:color="CCCCCC"/>
              <w:left w:val="nil"/>
              <w:bottom w:val="single" w:sz="4" w:space="0" w:color="CCCCCC"/>
              <w:right w:val="nil"/>
            </w:tcBorders>
            <w:shd w:val="clear" w:color="2C3E50" w:fill="2C3E50"/>
            <w:vAlign w:val="center"/>
            <w:hideMark/>
          </w:tcPr>
          <w:p w14:paraId="3AD180E1"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Trigger type</w:t>
            </w:r>
          </w:p>
        </w:tc>
        <w:tc>
          <w:tcPr>
            <w:tcW w:w="0" w:type="auto"/>
            <w:tcBorders>
              <w:top w:val="single" w:sz="4" w:space="0" w:color="CCCCCC"/>
              <w:left w:val="nil"/>
              <w:bottom w:val="single" w:sz="4" w:space="0" w:color="CCCCCC"/>
              <w:right w:val="nil"/>
            </w:tcBorders>
            <w:shd w:val="clear" w:color="2C3E50" w:fill="2C3E50"/>
            <w:vAlign w:val="center"/>
            <w:hideMark/>
          </w:tcPr>
          <w:p w14:paraId="1249FB67"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Drawdown %</w:t>
            </w:r>
          </w:p>
        </w:tc>
        <w:tc>
          <w:tcPr>
            <w:tcW w:w="0" w:type="auto"/>
            <w:tcBorders>
              <w:top w:val="single" w:sz="4" w:space="0" w:color="CCCCCC"/>
              <w:left w:val="nil"/>
              <w:bottom w:val="single" w:sz="4" w:space="0" w:color="CCCCCC"/>
              <w:right w:val="nil"/>
            </w:tcBorders>
            <w:shd w:val="clear" w:color="534AB7" w:fill="534AB7"/>
            <w:vAlign w:val="center"/>
            <w:hideMark/>
          </w:tcPr>
          <w:p w14:paraId="3B3E52B8"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Before</w:t>
            </w:r>
          </w:p>
        </w:tc>
        <w:tc>
          <w:tcPr>
            <w:tcW w:w="0" w:type="auto"/>
            <w:tcBorders>
              <w:top w:val="single" w:sz="4" w:space="0" w:color="CCCCCC"/>
              <w:left w:val="nil"/>
              <w:bottom w:val="single" w:sz="4" w:space="0" w:color="CCCCCC"/>
              <w:right w:val="nil"/>
            </w:tcBorders>
            <w:shd w:val="clear" w:color="534AB7" w:fill="534AB7"/>
            <w:vAlign w:val="center"/>
            <w:hideMark/>
          </w:tcPr>
          <w:p w14:paraId="60F82E70"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After</w:t>
            </w:r>
          </w:p>
        </w:tc>
        <w:tc>
          <w:tcPr>
            <w:tcW w:w="0" w:type="auto"/>
            <w:tcBorders>
              <w:top w:val="single" w:sz="4" w:space="0" w:color="CCCCCC"/>
              <w:left w:val="nil"/>
              <w:bottom w:val="single" w:sz="4" w:space="0" w:color="CCCCCC"/>
              <w:right w:val="nil"/>
            </w:tcBorders>
            <w:shd w:val="clear" w:color="534AB7" w:fill="534AB7"/>
            <w:vAlign w:val="center"/>
            <w:hideMark/>
          </w:tcPr>
          <w:p w14:paraId="2C1A7779"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Change</w:t>
            </w:r>
          </w:p>
        </w:tc>
        <w:tc>
          <w:tcPr>
            <w:tcW w:w="0" w:type="auto"/>
            <w:tcBorders>
              <w:top w:val="single" w:sz="4" w:space="0" w:color="CCCCCC"/>
              <w:left w:val="nil"/>
              <w:bottom w:val="single" w:sz="4" w:space="0" w:color="CCCCCC"/>
              <w:right w:val="nil"/>
            </w:tcBorders>
            <w:shd w:val="clear" w:color="534AB7" w:fill="534AB7"/>
            <w:vAlign w:val="center"/>
            <w:hideMark/>
          </w:tcPr>
          <w:p w14:paraId="0E662F4E" w14:textId="77777777" w:rsidR="0053755C" w:rsidRPr="0085275D" w:rsidRDefault="0053755C" w:rsidP="008D36D9">
            <w:pPr>
              <w:spacing w:after="0" w:line="240" w:lineRule="auto"/>
              <w:jc w:val="both"/>
              <w:rPr>
                <w:rFonts w:ascii="Arial" w:eastAsia="Times New Roman" w:hAnsi="Arial" w:cs="Arial"/>
                <w:b/>
                <w:bCs/>
                <w:color w:val="FFFFFF"/>
                <w:sz w:val="18"/>
                <w:szCs w:val="18"/>
                <w:lang w:eastAsia="en-IN"/>
              </w:rPr>
            </w:pPr>
            <w:r w:rsidRPr="0085275D">
              <w:rPr>
                <w:rFonts w:ascii="Arial" w:eastAsia="Times New Roman" w:hAnsi="Arial" w:cs="Arial"/>
                <w:b/>
                <w:bCs/>
                <w:color w:val="FFFFFF"/>
                <w:sz w:val="18"/>
                <w:szCs w:val="18"/>
                <w:lang w:eastAsia="en-IN"/>
              </w:rPr>
              <w:t>Improved?</w:t>
            </w:r>
          </w:p>
        </w:tc>
      </w:tr>
      <w:tr w:rsidR="0053755C" w:rsidRPr="0085275D" w14:paraId="0F40464F"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4A7F09CF"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1</w:t>
            </w:r>
          </w:p>
        </w:tc>
        <w:tc>
          <w:tcPr>
            <w:tcW w:w="0" w:type="auto"/>
            <w:tcBorders>
              <w:top w:val="nil"/>
              <w:left w:val="nil"/>
              <w:bottom w:val="single" w:sz="4" w:space="0" w:color="CCCCCC"/>
              <w:right w:val="nil"/>
            </w:tcBorders>
            <w:shd w:val="clear" w:color="auto" w:fill="D9F2D0" w:themeFill="accent6" w:themeFillTint="33"/>
            <w:vAlign w:val="center"/>
            <w:hideMark/>
          </w:tcPr>
          <w:p w14:paraId="06A82970"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epoch_0_chunk_0</w:t>
            </w:r>
          </w:p>
        </w:tc>
        <w:tc>
          <w:tcPr>
            <w:tcW w:w="0" w:type="auto"/>
            <w:tcBorders>
              <w:top w:val="nil"/>
              <w:left w:val="nil"/>
              <w:bottom w:val="single" w:sz="4" w:space="0" w:color="CCCCCC"/>
              <w:right w:val="nil"/>
            </w:tcBorders>
            <w:shd w:val="clear" w:color="auto" w:fill="D9F2D0" w:themeFill="accent6" w:themeFillTint="33"/>
            <w:vAlign w:val="center"/>
            <w:hideMark/>
          </w:tcPr>
          <w:p w14:paraId="7C4A5BFD"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epoch_0_chunk_1</w:t>
            </w:r>
          </w:p>
        </w:tc>
        <w:tc>
          <w:tcPr>
            <w:tcW w:w="0" w:type="auto"/>
            <w:tcBorders>
              <w:top w:val="nil"/>
              <w:left w:val="nil"/>
              <w:bottom w:val="single" w:sz="4" w:space="0" w:color="CCCCCC"/>
              <w:right w:val="nil"/>
            </w:tcBorders>
            <w:shd w:val="clear" w:color="auto" w:fill="D9F2D0" w:themeFill="accent6" w:themeFillTint="33"/>
            <w:vAlign w:val="center"/>
            <w:hideMark/>
          </w:tcPr>
          <w:p w14:paraId="4BB802DA"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6D524E78"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2.03%</w:t>
            </w:r>
          </w:p>
        </w:tc>
        <w:tc>
          <w:tcPr>
            <w:tcW w:w="0" w:type="auto"/>
            <w:tcBorders>
              <w:top w:val="nil"/>
              <w:left w:val="nil"/>
              <w:bottom w:val="single" w:sz="4" w:space="0" w:color="CCCCCC"/>
              <w:right w:val="nil"/>
            </w:tcBorders>
            <w:shd w:val="clear" w:color="auto" w:fill="D9F2D0" w:themeFill="accent6" w:themeFillTint="33"/>
            <w:vAlign w:val="center"/>
            <w:hideMark/>
          </w:tcPr>
          <w:p w14:paraId="0999334E"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0.3192</w:t>
            </w:r>
          </w:p>
        </w:tc>
        <w:tc>
          <w:tcPr>
            <w:tcW w:w="0" w:type="auto"/>
            <w:tcBorders>
              <w:top w:val="nil"/>
              <w:left w:val="nil"/>
              <w:bottom w:val="single" w:sz="4" w:space="0" w:color="CCCCCC"/>
              <w:right w:val="nil"/>
            </w:tcBorders>
            <w:shd w:val="clear" w:color="auto" w:fill="D9F2D0" w:themeFill="accent6" w:themeFillTint="33"/>
            <w:vAlign w:val="center"/>
            <w:hideMark/>
          </w:tcPr>
          <w:p w14:paraId="5551E56A"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0.3256</w:t>
            </w:r>
          </w:p>
        </w:tc>
        <w:tc>
          <w:tcPr>
            <w:tcW w:w="0" w:type="auto"/>
            <w:tcBorders>
              <w:top w:val="nil"/>
              <w:left w:val="nil"/>
              <w:bottom w:val="single" w:sz="4" w:space="0" w:color="CCCCCC"/>
              <w:right w:val="nil"/>
            </w:tcBorders>
            <w:shd w:val="clear" w:color="auto" w:fill="D9F2D0" w:themeFill="accent6" w:themeFillTint="33"/>
            <w:vAlign w:val="center"/>
            <w:hideMark/>
          </w:tcPr>
          <w:p w14:paraId="41DB088C"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+0.0065</w:t>
            </w:r>
          </w:p>
        </w:tc>
        <w:tc>
          <w:tcPr>
            <w:tcW w:w="0" w:type="auto"/>
            <w:tcBorders>
              <w:top w:val="nil"/>
              <w:left w:val="nil"/>
              <w:bottom w:val="single" w:sz="4" w:space="0" w:color="CCCCCC"/>
              <w:right w:val="nil"/>
            </w:tcBorders>
            <w:shd w:val="clear" w:color="auto" w:fill="D9F2D0" w:themeFill="accent6" w:themeFillTint="33"/>
            <w:vAlign w:val="center"/>
            <w:hideMark/>
          </w:tcPr>
          <w:p w14:paraId="0AE3B210"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3D77B8EB" w14:textId="77777777" w:rsidTr="0015526C">
        <w:trPr>
          <w:trHeight w:val="440"/>
          <w:jc w:val="center"/>
        </w:trPr>
        <w:tc>
          <w:tcPr>
            <w:tcW w:w="0" w:type="auto"/>
            <w:tcBorders>
              <w:top w:val="nil"/>
              <w:left w:val="single" w:sz="4" w:space="0" w:color="CCCCCC"/>
              <w:bottom w:val="single" w:sz="4" w:space="0" w:color="CCCCCC"/>
              <w:right w:val="nil"/>
            </w:tcBorders>
            <w:shd w:val="clear" w:color="auto" w:fill="FAE2D5" w:themeFill="accent2" w:themeFillTint="33"/>
            <w:vAlign w:val="center"/>
            <w:hideMark/>
          </w:tcPr>
          <w:p w14:paraId="2FD5EB70"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2</w:t>
            </w:r>
          </w:p>
        </w:tc>
        <w:tc>
          <w:tcPr>
            <w:tcW w:w="0" w:type="auto"/>
            <w:tcBorders>
              <w:top w:val="nil"/>
              <w:left w:val="nil"/>
              <w:bottom w:val="single" w:sz="4" w:space="0" w:color="CCCCCC"/>
              <w:right w:val="nil"/>
            </w:tcBorders>
            <w:shd w:val="clear" w:color="auto" w:fill="FAE2D5" w:themeFill="accent2" w:themeFillTint="33"/>
            <w:vAlign w:val="center"/>
            <w:hideMark/>
          </w:tcPr>
          <w:p w14:paraId="3CB5FE01"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epoch_0_chunk_3</w:t>
            </w:r>
          </w:p>
        </w:tc>
        <w:tc>
          <w:tcPr>
            <w:tcW w:w="0" w:type="auto"/>
            <w:tcBorders>
              <w:top w:val="nil"/>
              <w:left w:val="nil"/>
              <w:bottom w:val="single" w:sz="4" w:space="0" w:color="CCCCCC"/>
              <w:right w:val="nil"/>
            </w:tcBorders>
            <w:shd w:val="clear" w:color="auto" w:fill="FAE2D5" w:themeFill="accent2" w:themeFillTint="33"/>
            <w:vAlign w:val="center"/>
            <w:hideMark/>
          </w:tcPr>
          <w:p w14:paraId="2CDE4FCB"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epoch_0_chunk_4</w:t>
            </w:r>
          </w:p>
        </w:tc>
        <w:tc>
          <w:tcPr>
            <w:tcW w:w="0" w:type="auto"/>
            <w:tcBorders>
              <w:top w:val="nil"/>
              <w:left w:val="nil"/>
              <w:bottom w:val="single" w:sz="4" w:space="0" w:color="CCCCCC"/>
              <w:right w:val="nil"/>
            </w:tcBorders>
            <w:shd w:val="clear" w:color="auto" w:fill="FAE2D5" w:themeFill="accent2" w:themeFillTint="33"/>
            <w:vAlign w:val="center"/>
            <w:hideMark/>
          </w:tcPr>
          <w:p w14:paraId="67A7FA02"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FAE2D5" w:themeFill="accent2" w:themeFillTint="33"/>
            <w:vAlign w:val="center"/>
            <w:hideMark/>
          </w:tcPr>
          <w:p w14:paraId="322F01B5"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2.17%</w:t>
            </w:r>
          </w:p>
        </w:tc>
        <w:tc>
          <w:tcPr>
            <w:tcW w:w="0" w:type="auto"/>
            <w:tcBorders>
              <w:top w:val="nil"/>
              <w:left w:val="nil"/>
              <w:bottom w:val="single" w:sz="4" w:space="0" w:color="CCCCCC"/>
              <w:right w:val="nil"/>
            </w:tcBorders>
            <w:shd w:val="clear" w:color="auto" w:fill="FAE2D5" w:themeFill="accent2" w:themeFillTint="33"/>
            <w:vAlign w:val="center"/>
            <w:hideMark/>
          </w:tcPr>
          <w:p w14:paraId="50615492"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0.1342</w:t>
            </w:r>
          </w:p>
        </w:tc>
        <w:tc>
          <w:tcPr>
            <w:tcW w:w="0" w:type="auto"/>
            <w:tcBorders>
              <w:top w:val="nil"/>
              <w:left w:val="nil"/>
              <w:bottom w:val="single" w:sz="4" w:space="0" w:color="CCCCCC"/>
              <w:right w:val="nil"/>
            </w:tcBorders>
            <w:shd w:val="clear" w:color="auto" w:fill="FAE2D5" w:themeFill="accent2" w:themeFillTint="33"/>
            <w:vAlign w:val="center"/>
            <w:hideMark/>
          </w:tcPr>
          <w:p w14:paraId="40F63A62"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0.0270</w:t>
            </w:r>
          </w:p>
        </w:tc>
        <w:tc>
          <w:tcPr>
            <w:tcW w:w="0" w:type="auto"/>
            <w:tcBorders>
              <w:top w:val="nil"/>
              <w:left w:val="nil"/>
              <w:bottom w:val="single" w:sz="4" w:space="0" w:color="CCCCCC"/>
              <w:right w:val="nil"/>
            </w:tcBorders>
            <w:shd w:val="clear" w:color="auto" w:fill="FAE2D5" w:themeFill="accent2" w:themeFillTint="33"/>
            <w:vAlign w:val="center"/>
            <w:hideMark/>
          </w:tcPr>
          <w:p w14:paraId="412A972C" w14:textId="77777777" w:rsidR="0053755C" w:rsidRPr="0085275D" w:rsidRDefault="0053755C" w:rsidP="008D36D9">
            <w:pPr>
              <w:spacing w:after="0" w:line="240" w:lineRule="auto"/>
              <w:jc w:val="both"/>
              <w:rPr>
                <w:rFonts w:ascii="Arial" w:eastAsia="Times New Roman" w:hAnsi="Arial" w:cs="Arial"/>
                <w:b/>
                <w:bCs/>
                <w:color w:val="A93226"/>
                <w:sz w:val="18"/>
                <w:szCs w:val="18"/>
                <w:lang w:eastAsia="en-IN"/>
              </w:rPr>
            </w:pPr>
            <w:r w:rsidRPr="0085275D">
              <w:rPr>
                <w:rFonts w:ascii="Arial" w:eastAsia="Times New Roman" w:hAnsi="Arial" w:cs="Arial"/>
                <w:b/>
                <w:bCs/>
                <w:color w:val="A93226"/>
                <w:sz w:val="18"/>
                <w:szCs w:val="18"/>
                <w:lang w:eastAsia="en-IN"/>
              </w:rPr>
              <w:t>-0.1072</w:t>
            </w:r>
          </w:p>
        </w:tc>
        <w:tc>
          <w:tcPr>
            <w:tcW w:w="0" w:type="auto"/>
            <w:tcBorders>
              <w:top w:val="nil"/>
              <w:left w:val="nil"/>
              <w:bottom w:val="single" w:sz="4" w:space="0" w:color="CCCCCC"/>
              <w:right w:val="nil"/>
            </w:tcBorders>
            <w:shd w:val="clear" w:color="auto" w:fill="FAE2D5" w:themeFill="accent2" w:themeFillTint="33"/>
            <w:vAlign w:val="center"/>
            <w:hideMark/>
          </w:tcPr>
          <w:p w14:paraId="19F63719" w14:textId="77777777" w:rsidR="0053755C" w:rsidRPr="0085275D" w:rsidRDefault="0053755C" w:rsidP="008D36D9">
            <w:pPr>
              <w:spacing w:after="0" w:line="240" w:lineRule="auto"/>
              <w:jc w:val="both"/>
              <w:rPr>
                <w:rFonts w:ascii="Arial" w:eastAsia="Times New Roman" w:hAnsi="Arial" w:cs="Arial"/>
                <w:b/>
                <w:bCs/>
                <w:color w:val="A93226"/>
                <w:sz w:val="20"/>
                <w:szCs w:val="20"/>
                <w:lang w:eastAsia="en-IN"/>
              </w:rPr>
            </w:pPr>
            <w:r w:rsidRPr="0085275D">
              <w:rPr>
                <w:rFonts w:ascii="Arial" w:eastAsia="Times New Roman" w:hAnsi="Arial" w:cs="Arial"/>
                <w:b/>
                <w:bCs/>
                <w:color w:val="A93226"/>
                <w:sz w:val="20"/>
                <w:szCs w:val="20"/>
                <w:lang w:eastAsia="en-IN"/>
              </w:rPr>
              <w:t>NO</w:t>
            </w:r>
          </w:p>
        </w:tc>
      </w:tr>
      <w:tr w:rsidR="0053755C" w:rsidRPr="0085275D" w14:paraId="7A5EB922"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34FDF2F4"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3</w:t>
            </w:r>
          </w:p>
        </w:tc>
        <w:tc>
          <w:tcPr>
            <w:tcW w:w="0" w:type="auto"/>
            <w:tcBorders>
              <w:top w:val="nil"/>
              <w:left w:val="nil"/>
              <w:bottom w:val="single" w:sz="4" w:space="0" w:color="CCCCCC"/>
              <w:right w:val="nil"/>
            </w:tcBorders>
            <w:shd w:val="clear" w:color="auto" w:fill="D9F2D0" w:themeFill="accent6" w:themeFillTint="33"/>
            <w:vAlign w:val="center"/>
            <w:hideMark/>
          </w:tcPr>
          <w:p w14:paraId="0D5E3D7B"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epoch_0_chunk_4</w:t>
            </w:r>
          </w:p>
        </w:tc>
        <w:tc>
          <w:tcPr>
            <w:tcW w:w="0" w:type="auto"/>
            <w:tcBorders>
              <w:top w:val="nil"/>
              <w:left w:val="nil"/>
              <w:bottom w:val="single" w:sz="4" w:space="0" w:color="CCCCCC"/>
              <w:right w:val="nil"/>
            </w:tcBorders>
            <w:shd w:val="clear" w:color="auto" w:fill="D9F2D0" w:themeFill="accent6" w:themeFillTint="33"/>
            <w:vAlign w:val="center"/>
            <w:hideMark/>
          </w:tcPr>
          <w:p w14:paraId="73694C0E"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epoch_50_chunk_0</w:t>
            </w:r>
          </w:p>
        </w:tc>
        <w:tc>
          <w:tcPr>
            <w:tcW w:w="0" w:type="auto"/>
            <w:tcBorders>
              <w:top w:val="nil"/>
              <w:left w:val="nil"/>
              <w:bottom w:val="single" w:sz="4" w:space="0" w:color="CCCCCC"/>
              <w:right w:val="nil"/>
            </w:tcBorders>
            <w:shd w:val="clear" w:color="auto" w:fill="D9F2D0" w:themeFill="accent6" w:themeFillTint="33"/>
            <w:vAlign w:val="center"/>
            <w:hideMark/>
          </w:tcPr>
          <w:p w14:paraId="2997B404"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3BE1CBE7"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2.70%</w:t>
            </w:r>
          </w:p>
        </w:tc>
        <w:tc>
          <w:tcPr>
            <w:tcW w:w="0" w:type="auto"/>
            <w:tcBorders>
              <w:top w:val="nil"/>
              <w:left w:val="nil"/>
              <w:bottom w:val="single" w:sz="4" w:space="0" w:color="CCCCCC"/>
              <w:right w:val="nil"/>
            </w:tcBorders>
            <w:shd w:val="clear" w:color="auto" w:fill="D9F2D0" w:themeFill="accent6" w:themeFillTint="33"/>
            <w:vAlign w:val="center"/>
            <w:hideMark/>
          </w:tcPr>
          <w:p w14:paraId="60583D93"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0.0270</w:t>
            </w:r>
          </w:p>
        </w:tc>
        <w:tc>
          <w:tcPr>
            <w:tcW w:w="0" w:type="auto"/>
            <w:tcBorders>
              <w:top w:val="nil"/>
              <w:left w:val="nil"/>
              <w:bottom w:val="single" w:sz="4" w:space="0" w:color="CCCCCC"/>
              <w:right w:val="nil"/>
            </w:tcBorders>
            <w:shd w:val="clear" w:color="auto" w:fill="D9F2D0" w:themeFill="accent6" w:themeFillTint="33"/>
            <w:vAlign w:val="center"/>
            <w:hideMark/>
          </w:tcPr>
          <w:p w14:paraId="343F1661"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0.3277</w:t>
            </w:r>
          </w:p>
        </w:tc>
        <w:tc>
          <w:tcPr>
            <w:tcW w:w="0" w:type="auto"/>
            <w:tcBorders>
              <w:top w:val="nil"/>
              <w:left w:val="nil"/>
              <w:bottom w:val="single" w:sz="4" w:space="0" w:color="CCCCCC"/>
              <w:right w:val="nil"/>
            </w:tcBorders>
            <w:shd w:val="clear" w:color="auto" w:fill="D9F2D0" w:themeFill="accent6" w:themeFillTint="33"/>
            <w:vAlign w:val="center"/>
            <w:hideMark/>
          </w:tcPr>
          <w:p w14:paraId="734A693E"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+0.3007</w:t>
            </w:r>
          </w:p>
        </w:tc>
        <w:tc>
          <w:tcPr>
            <w:tcW w:w="0" w:type="auto"/>
            <w:tcBorders>
              <w:top w:val="nil"/>
              <w:left w:val="nil"/>
              <w:bottom w:val="single" w:sz="4" w:space="0" w:color="CCCCCC"/>
              <w:right w:val="nil"/>
            </w:tcBorders>
            <w:shd w:val="clear" w:color="auto" w:fill="D9F2D0" w:themeFill="accent6" w:themeFillTint="33"/>
            <w:vAlign w:val="center"/>
            <w:hideMark/>
          </w:tcPr>
          <w:p w14:paraId="08B45FD8"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1420776E"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1EF15187"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4</w:t>
            </w:r>
          </w:p>
        </w:tc>
        <w:tc>
          <w:tcPr>
            <w:tcW w:w="0" w:type="auto"/>
            <w:tcBorders>
              <w:top w:val="nil"/>
              <w:left w:val="nil"/>
              <w:bottom w:val="single" w:sz="4" w:space="0" w:color="CCCCCC"/>
              <w:right w:val="nil"/>
            </w:tcBorders>
            <w:shd w:val="clear" w:color="auto" w:fill="D9F2D0" w:themeFill="accent6" w:themeFillTint="33"/>
            <w:vAlign w:val="center"/>
            <w:hideMark/>
          </w:tcPr>
          <w:p w14:paraId="2AD16B68"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epoch_100_chunk_1</w:t>
            </w:r>
          </w:p>
        </w:tc>
        <w:tc>
          <w:tcPr>
            <w:tcW w:w="0" w:type="auto"/>
            <w:tcBorders>
              <w:top w:val="nil"/>
              <w:left w:val="nil"/>
              <w:bottom w:val="single" w:sz="4" w:space="0" w:color="CCCCCC"/>
              <w:right w:val="nil"/>
            </w:tcBorders>
            <w:shd w:val="clear" w:color="auto" w:fill="D9F2D0" w:themeFill="accent6" w:themeFillTint="33"/>
            <w:vAlign w:val="center"/>
            <w:hideMark/>
          </w:tcPr>
          <w:p w14:paraId="3F123392"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epoch_100_chunk_2</w:t>
            </w:r>
          </w:p>
        </w:tc>
        <w:tc>
          <w:tcPr>
            <w:tcW w:w="0" w:type="auto"/>
            <w:tcBorders>
              <w:top w:val="nil"/>
              <w:left w:val="nil"/>
              <w:bottom w:val="single" w:sz="4" w:space="0" w:color="CCCCCC"/>
              <w:right w:val="nil"/>
            </w:tcBorders>
            <w:shd w:val="clear" w:color="auto" w:fill="D9F2D0" w:themeFill="accent6" w:themeFillTint="33"/>
            <w:vAlign w:val="center"/>
            <w:hideMark/>
          </w:tcPr>
          <w:p w14:paraId="38514A1F"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21955830"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2.03%</w:t>
            </w:r>
          </w:p>
        </w:tc>
        <w:tc>
          <w:tcPr>
            <w:tcW w:w="0" w:type="auto"/>
            <w:tcBorders>
              <w:top w:val="nil"/>
              <w:left w:val="nil"/>
              <w:bottom w:val="single" w:sz="4" w:space="0" w:color="CCCCCC"/>
              <w:right w:val="nil"/>
            </w:tcBorders>
            <w:shd w:val="clear" w:color="auto" w:fill="D9F2D0" w:themeFill="accent6" w:themeFillTint="33"/>
            <w:vAlign w:val="center"/>
            <w:hideMark/>
          </w:tcPr>
          <w:p w14:paraId="7964E381"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0.3571</w:t>
            </w:r>
          </w:p>
        </w:tc>
        <w:tc>
          <w:tcPr>
            <w:tcW w:w="0" w:type="auto"/>
            <w:tcBorders>
              <w:top w:val="nil"/>
              <w:left w:val="nil"/>
              <w:bottom w:val="single" w:sz="4" w:space="0" w:color="CCCCCC"/>
              <w:right w:val="nil"/>
            </w:tcBorders>
            <w:shd w:val="clear" w:color="auto" w:fill="D9F2D0" w:themeFill="accent6" w:themeFillTint="33"/>
            <w:vAlign w:val="center"/>
            <w:hideMark/>
          </w:tcPr>
          <w:p w14:paraId="2E78C34D"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0.3774</w:t>
            </w:r>
          </w:p>
        </w:tc>
        <w:tc>
          <w:tcPr>
            <w:tcW w:w="0" w:type="auto"/>
            <w:tcBorders>
              <w:top w:val="nil"/>
              <w:left w:val="nil"/>
              <w:bottom w:val="single" w:sz="4" w:space="0" w:color="CCCCCC"/>
              <w:right w:val="nil"/>
            </w:tcBorders>
            <w:shd w:val="clear" w:color="auto" w:fill="D9F2D0" w:themeFill="accent6" w:themeFillTint="33"/>
            <w:vAlign w:val="center"/>
            <w:hideMark/>
          </w:tcPr>
          <w:p w14:paraId="69E92920"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+0.0203</w:t>
            </w:r>
          </w:p>
        </w:tc>
        <w:tc>
          <w:tcPr>
            <w:tcW w:w="0" w:type="auto"/>
            <w:tcBorders>
              <w:top w:val="nil"/>
              <w:left w:val="nil"/>
              <w:bottom w:val="single" w:sz="4" w:space="0" w:color="CCCCCC"/>
              <w:right w:val="nil"/>
            </w:tcBorders>
            <w:shd w:val="clear" w:color="auto" w:fill="D9F2D0" w:themeFill="accent6" w:themeFillTint="33"/>
            <w:vAlign w:val="center"/>
            <w:hideMark/>
          </w:tcPr>
          <w:p w14:paraId="30DBADC2"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0F5C1AA3" w14:textId="77777777" w:rsidTr="0015526C">
        <w:trPr>
          <w:trHeight w:val="440"/>
          <w:jc w:val="center"/>
        </w:trPr>
        <w:tc>
          <w:tcPr>
            <w:tcW w:w="0" w:type="auto"/>
            <w:tcBorders>
              <w:top w:val="nil"/>
              <w:left w:val="single" w:sz="4" w:space="0" w:color="CCCCCC"/>
              <w:bottom w:val="single" w:sz="4" w:space="0" w:color="CCCCCC"/>
              <w:right w:val="nil"/>
            </w:tcBorders>
            <w:shd w:val="clear" w:color="auto" w:fill="FAE2D5" w:themeFill="accent2" w:themeFillTint="33"/>
            <w:vAlign w:val="center"/>
            <w:hideMark/>
          </w:tcPr>
          <w:p w14:paraId="3C9279A6"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5</w:t>
            </w:r>
          </w:p>
        </w:tc>
        <w:tc>
          <w:tcPr>
            <w:tcW w:w="0" w:type="auto"/>
            <w:tcBorders>
              <w:top w:val="nil"/>
              <w:left w:val="nil"/>
              <w:bottom w:val="single" w:sz="4" w:space="0" w:color="CCCCCC"/>
              <w:right w:val="nil"/>
            </w:tcBorders>
            <w:shd w:val="clear" w:color="auto" w:fill="FAE2D5" w:themeFill="accent2" w:themeFillTint="33"/>
            <w:vAlign w:val="center"/>
            <w:hideMark/>
          </w:tcPr>
          <w:p w14:paraId="5A51A21B"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epoch_100_chunk_4</w:t>
            </w:r>
          </w:p>
        </w:tc>
        <w:tc>
          <w:tcPr>
            <w:tcW w:w="0" w:type="auto"/>
            <w:tcBorders>
              <w:top w:val="nil"/>
              <w:left w:val="nil"/>
              <w:bottom w:val="single" w:sz="4" w:space="0" w:color="CCCCCC"/>
              <w:right w:val="nil"/>
            </w:tcBorders>
            <w:shd w:val="clear" w:color="auto" w:fill="FAE2D5" w:themeFill="accent2" w:themeFillTint="33"/>
            <w:vAlign w:val="center"/>
            <w:hideMark/>
          </w:tcPr>
          <w:p w14:paraId="08C4C69F"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epoch_150_chunk_0</w:t>
            </w:r>
          </w:p>
        </w:tc>
        <w:tc>
          <w:tcPr>
            <w:tcW w:w="0" w:type="auto"/>
            <w:tcBorders>
              <w:top w:val="nil"/>
              <w:left w:val="nil"/>
              <w:bottom w:val="single" w:sz="4" w:space="0" w:color="CCCCCC"/>
              <w:right w:val="nil"/>
            </w:tcBorders>
            <w:shd w:val="clear" w:color="auto" w:fill="FAE2D5" w:themeFill="accent2" w:themeFillTint="33"/>
            <w:vAlign w:val="center"/>
            <w:hideMark/>
          </w:tcPr>
          <w:p w14:paraId="000468F4"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FAE2D5" w:themeFill="accent2" w:themeFillTint="33"/>
            <w:vAlign w:val="center"/>
            <w:hideMark/>
          </w:tcPr>
          <w:p w14:paraId="443B0C0B"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5.88%</w:t>
            </w:r>
          </w:p>
        </w:tc>
        <w:tc>
          <w:tcPr>
            <w:tcW w:w="0" w:type="auto"/>
            <w:tcBorders>
              <w:top w:val="nil"/>
              <w:left w:val="nil"/>
              <w:bottom w:val="single" w:sz="4" w:space="0" w:color="CCCCCC"/>
              <w:right w:val="nil"/>
            </w:tcBorders>
            <w:shd w:val="clear" w:color="auto" w:fill="FAE2D5" w:themeFill="accent2" w:themeFillTint="33"/>
            <w:vAlign w:val="center"/>
            <w:hideMark/>
          </w:tcPr>
          <w:p w14:paraId="2849CCB4"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0.0480</w:t>
            </w:r>
          </w:p>
        </w:tc>
        <w:tc>
          <w:tcPr>
            <w:tcW w:w="0" w:type="auto"/>
            <w:tcBorders>
              <w:top w:val="nil"/>
              <w:left w:val="nil"/>
              <w:bottom w:val="single" w:sz="4" w:space="0" w:color="CCCCCC"/>
              <w:right w:val="nil"/>
            </w:tcBorders>
            <w:shd w:val="clear" w:color="auto" w:fill="FAE2D5" w:themeFill="accent2" w:themeFillTint="33"/>
            <w:vAlign w:val="center"/>
            <w:hideMark/>
          </w:tcPr>
          <w:p w14:paraId="323EDA67"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0.0266</w:t>
            </w:r>
          </w:p>
        </w:tc>
        <w:tc>
          <w:tcPr>
            <w:tcW w:w="0" w:type="auto"/>
            <w:tcBorders>
              <w:top w:val="nil"/>
              <w:left w:val="nil"/>
              <w:bottom w:val="single" w:sz="4" w:space="0" w:color="CCCCCC"/>
              <w:right w:val="nil"/>
            </w:tcBorders>
            <w:shd w:val="clear" w:color="auto" w:fill="FAE2D5" w:themeFill="accent2" w:themeFillTint="33"/>
            <w:vAlign w:val="center"/>
            <w:hideMark/>
          </w:tcPr>
          <w:p w14:paraId="304D600F" w14:textId="77777777" w:rsidR="0053755C" w:rsidRPr="0085275D" w:rsidRDefault="0053755C" w:rsidP="008D36D9">
            <w:pPr>
              <w:spacing w:after="0" w:line="240" w:lineRule="auto"/>
              <w:jc w:val="both"/>
              <w:rPr>
                <w:rFonts w:ascii="Arial" w:eastAsia="Times New Roman" w:hAnsi="Arial" w:cs="Arial"/>
                <w:b/>
                <w:bCs/>
                <w:color w:val="A93226"/>
                <w:sz w:val="18"/>
                <w:szCs w:val="18"/>
                <w:lang w:eastAsia="en-IN"/>
              </w:rPr>
            </w:pPr>
            <w:r w:rsidRPr="0085275D">
              <w:rPr>
                <w:rFonts w:ascii="Arial" w:eastAsia="Times New Roman" w:hAnsi="Arial" w:cs="Arial"/>
                <w:b/>
                <w:bCs/>
                <w:color w:val="A93226"/>
                <w:sz w:val="18"/>
                <w:szCs w:val="18"/>
                <w:lang w:eastAsia="en-IN"/>
              </w:rPr>
              <w:t>-0.0214</w:t>
            </w:r>
          </w:p>
        </w:tc>
        <w:tc>
          <w:tcPr>
            <w:tcW w:w="0" w:type="auto"/>
            <w:tcBorders>
              <w:top w:val="nil"/>
              <w:left w:val="nil"/>
              <w:bottom w:val="single" w:sz="4" w:space="0" w:color="CCCCCC"/>
              <w:right w:val="nil"/>
            </w:tcBorders>
            <w:shd w:val="clear" w:color="auto" w:fill="FAE2D5" w:themeFill="accent2" w:themeFillTint="33"/>
            <w:vAlign w:val="center"/>
            <w:hideMark/>
          </w:tcPr>
          <w:p w14:paraId="236AF399" w14:textId="77777777" w:rsidR="0053755C" w:rsidRPr="0085275D" w:rsidRDefault="0053755C" w:rsidP="008D36D9">
            <w:pPr>
              <w:spacing w:after="0" w:line="240" w:lineRule="auto"/>
              <w:jc w:val="both"/>
              <w:rPr>
                <w:rFonts w:ascii="Arial" w:eastAsia="Times New Roman" w:hAnsi="Arial" w:cs="Arial"/>
                <w:b/>
                <w:bCs/>
                <w:color w:val="A93226"/>
                <w:sz w:val="20"/>
                <w:szCs w:val="20"/>
                <w:lang w:eastAsia="en-IN"/>
              </w:rPr>
            </w:pPr>
            <w:r w:rsidRPr="0085275D">
              <w:rPr>
                <w:rFonts w:ascii="Arial" w:eastAsia="Times New Roman" w:hAnsi="Arial" w:cs="Arial"/>
                <w:b/>
                <w:bCs/>
                <w:color w:val="A93226"/>
                <w:sz w:val="20"/>
                <w:szCs w:val="20"/>
                <w:lang w:eastAsia="en-IN"/>
              </w:rPr>
              <w:t>NO</w:t>
            </w:r>
          </w:p>
        </w:tc>
      </w:tr>
      <w:tr w:rsidR="0053755C" w:rsidRPr="0085275D" w14:paraId="2CF567BE"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5B76AA11"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6</w:t>
            </w:r>
          </w:p>
        </w:tc>
        <w:tc>
          <w:tcPr>
            <w:tcW w:w="0" w:type="auto"/>
            <w:tcBorders>
              <w:top w:val="nil"/>
              <w:left w:val="nil"/>
              <w:bottom w:val="single" w:sz="4" w:space="0" w:color="CCCCCC"/>
              <w:right w:val="nil"/>
            </w:tcBorders>
            <w:shd w:val="clear" w:color="auto" w:fill="D9F2D0" w:themeFill="accent6" w:themeFillTint="33"/>
            <w:vAlign w:val="center"/>
            <w:hideMark/>
          </w:tcPr>
          <w:p w14:paraId="7267399F"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epoch_150_chunk_0</w:t>
            </w:r>
          </w:p>
        </w:tc>
        <w:tc>
          <w:tcPr>
            <w:tcW w:w="0" w:type="auto"/>
            <w:tcBorders>
              <w:top w:val="nil"/>
              <w:left w:val="nil"/>
              <w:bottom w:val="single" w:sz="4" w:space="0" w:color="CCCCCC"/>
              <w:right w:val="nil"/>
            </w:tcBorders>
            <w:shd w:val="clear" w:color="auto" w:fill="D9F2D0" w:themeFill="accent6" w:themeFillTint="33"/>
            <w:vAlign w:val="center"/>
            <w:hideMark/>
          </w:tcPr>
          <w:p w14:paraId="7D1A74BB"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epoch_150_chunk_1</w:t>
            </w:r>
          </w:p>
        </w:tc>
        <w:tc>
          <w:tcPr>
            <w:tcW w:w="0" w:type="auto"/>
            <w:tcBorders>
              <w:top w:val="nil"/>
              <w:left w:val="nil"/>
              <w:bottom w:val="single" w:sz="4" w:space="0" w:color="CCCCCC"/>
              <w:right w:val="nil"/>
            </w:tcBorders>
            <w:shd w:val="clear" w:color="auto" w:fill="D9F2D0" w:themeFill="accent6" w:themeFillTint="33"/>
            <w:vAlign w:val="center"/>
            <w:hideMark/>
          </w:tcPr>
          <w:p w14:paraId="7AFD2064"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5BD0A346"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5.78%</w:t>
            </w:r>
          </w:p>
        </w:tc>
        <w:tc>
          <w:tcPr>
            <w:tcW w:w="0" w:type="auto"/>
            <w:tcBorders>
              <w:top w:val="nil"/>
              <w:left w:val="nil"/>
              <w:bottom w:val="single" w:sz="4" w:space="0" w:color="CCCCCC"/>
              <w:right w:val="nil"/>
            </w:tcBorders>
            <w:shd w:val="clear" w:color="auto" w:fill="D9F2D0" w:themeFill="accent6" w:themeFillTint="33"/>
            <w:vAlign w:val="center"/>
            <w:hideMark/>
          </w:tcPr>
          <w:p w14:paraId="6E149383"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0.0266</w:t>
            </w:r>
          </w:p>
        </w:tc>
        <w:tc>
          <w:tcPr>
            <w:tcW w:w="0" w:type="auto"/>
            <w:tcBorders>
              <w:top w:val="nil"/>
              <w:left w:val="nil"/>
              <w:bottom w:val="single" w:sz="4" w:space="0" w:color="CCCCCC"/>
              <w:right w:val="nil"/>
            </w:tcBorders>
            <w:shd w:val="clear" w:color="auto" w:fill="D9F2D0" w:themeFill="accent6" w:themeFillTint="33"/>
            <w:vAlign w:val="center"/>
            <w:hideMark/>
          </w:tcPr>
          <w:p w14:paraId="266BF5B0"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0.3361</w:t>
            </w:r>
          </w:p>
        </w:tc>
        <w:tc>
          <w:tcPr>
            <w:tcW w:w="0" w:type="auto"/>
            <w:tcBorders>
              <w:top w:val="nil"/>
              <w:left w:val="nil"/>
              <w:bottom w:val="single" w:sz="4" w:space="0" w:color="CCCCCC"/>
              <w:right w:val="nil"/>
            </w:tcBorders>
            <w:shd w:val="clear" w:color="auto" w:fill="D9F2D0" w:themeFill="accent6" w:themeFillTint="33"/>
            <w:vAlign w:val="center"/>
            <w:hideMark/>
          </w:tcPr>
          <w:p w14:paraId="16BD2666"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+0.3095</w:t>
            </w:r>
          </w:p>
        </w:tc>
        <w:tc>
          <w:tcPr>
            <w:tcW w:w="0" w:type="auto"/>
            <w:tcBorders>
              <w:top w:val="nil"/>
              <w:left w:val="nil"/>
              <w:bottom w:val="single" w:sz="4" w:space="0" w:color="CCCCCC"/>
              <w:right w:val="nil"/>
            </w:tcBorders>
            <w:shd w:val="clear" w:color="auto" w:fill="D9F2D0" w:themeFill="accent6" w:themeFillTint="33"/>
            <w:vAlign w:val="center"/>
            <w:hideMark/>
          </w:tcPr>
          <w:p w14:paraId="7176D924"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2CA4545A" w14:textId="77777777" w:rsidTr="0015526C">
        <w:trPr>
          <w:trHeight w:val="440"/>
          <w:jc w:val="center"/>
        </w:trPr>
        <w:tc>
          <w:tcPr>
            <w:tcW w:w="0" w:type="auto"/>
            <w:tcBorders>
              <w:top w:val="nil"/>
              <w:left w:val="single" w:sz="4" w:space="0" w:color="CCCCCC"/>
              <w:bottom w:val="single" w:sz="4" w:space="0" w:color="CCCCCC"/>
              <w:right w:val="nil"/>
            </w:tcBorders>
            <w:shd w:val="clear" w:color="auto" w:fill="FAE2D5" w:themeFill="accent2" w:themeFillTint="33"/>
            <w:vAlign w:val="center"/>
            <w:hideMark/>
          </w:tcPr>
          <w:p w14:paraId="5D99B671"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7</w:t>
            </w:r>
          </w:p>
        </w:tc>
        <w:tc>
          <w:tcPr>
            <w:tcW w:w="0" w:type="auto"/>
            <w:tcBorders>
              <w:top w:val="nil"/>
              <w:left w:val="nil"/>
              <w:bottom w:val="single" w:sz="4" w:space="0" w:color="CCCCCC"/>
              <w:right w:val="nil"/>
            </w:tcBorders>
            <w:shd w:val="clear" w:color="auto" w:fill="FAE2D5" w:themeFill="accent2" w:themeFillTint="33"/>
            <w:vAlign w:val="center"/>
            <w:hideMark/>
          </w:tcPr>
          <w:p w14:paraId="6CF905C2"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epoch_150_chunk_2</w:t>
            </w:r>
          </w:p>
        </w:tc>
        <w:tc>
          <w:tcPr>
            <w:tcW w:w="0" w:type="auto"/>
            <w:tcBorders>
              <w:top w:val="nil"/>
              <w:left w:val="nil"/>
              <w:bottom w:val="single" w:sz="4" w:space="0" w:color="CCCCCC"/>
              <w:right w:val="nil"/>
            </w:tcBorders>
            <w:shd w:val="clear" w:color="auto" w:fill="FAE2D5" w:themeFill="accent2" w:themeFillTint="33"/>
            <w:vAlign w:val="center"/>
            <w:hideMark/>
          </w:tcPr>
          <w:p w14:paraId="285ED538"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epoch_150_chunk_3</w:t>
            </w:r>
          </w:p>
        </w:tc>
        <w:tc>
          <w:tcPr>
            <w:tcW w:w="0" w:type="auto"/>
            <w:tcBorders>
              <w:top w:val="nil"/>
              <w:left w:val="nil"/>
              <w:bottom w:val="single" w:sz="4" w:space="0" w:color="CCCCCC"/>
              <w:right w:val="nil"/>
            </w:tcBorders>
            <w:shd w:val="clear" w:color="auto" w:fill="FAE2D5" w:themeFill="accent2" w:themeFillTint="33"/>
            <w:vAlign w:val="center"/>
            <w:hideMark/>
          </w:tcPr>
          <w:p w14:paraId="592694FE"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FAE2D5" w:themeFill="accent2" w:themeFillTint="33"/>
            <w:vAlign w:val="center"/>
            <w:hideMark/>
          </w:tcPr>
          <w:p w14:paraId="382EB156"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4.06%</w:t>
            </w:r>
          </w:p>
        </w:tc>
        <w:tc>
          <w:tcPr>
            <w:tcW w:w="0" w:type="auto"/>
            <w:tcBorders>
              <w:top w:val="nil"/>
              <w:left w:val="nil"/>
              <w:bottom w:val="single" w:sz="4" w:space="0" w:color="CCCCCC"/>
              <w:right w:val="nil"/>
            </w:tcBorders>
            <w:shd w:val="clear" w:color="auto" w:fill="FAE2D5" w:themeFill="accent2" w:themeFillTint="33"/>
            <w:vAlign w:val="center"/>
            <w:hideMark/>
          </w:tcPr>
          <w:p w14:paraId="7255FAA5"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0.0249</w:t>
            </w:r>
          </w:p>
        </w:tc>
        <w:tc>
          <w:tcPr>
            <w:tcW w:w="0" w:type="auto"/>
            <w:tcBorders>
              <w:top w:val="nil"/>
              <w:left w:val="nil"/>
              <w:bottom w:val="single" w:sz="4" w:space="0" w:color="CCCCCC"/>
              <w:right w:val="nil"/>
            </w:tcBorders>
            <w:shd w:val="clear" w:color="auto" w:fill="FAE2D5" w:themeFill="accent2" w:themeFillTint="33"/>
            <w:vAlign w:val="center"/>
            <w:hideMark/>
          </w:tcPr>
          <w:p w14:paraId="677D73F1"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0.0236</w:t>
            </w:r>
          </w:p>
        </w:tc>
        <w:tc>
          <w:tcPr>
            <w:tcW w:w="0" w:type="auto"/>
            <w:tcBorders>
              <w:top w:val="nil"/>
              <w:left w:val="nil"/>
              <w:bottom w:val="single" w:sz="4" w:space="0" w:color="CCCCCC"/>
              <w:right w:val="nil"/>
            </w:tcBorders>
            <w:shd w:val="clear" w:color="auto" w:fill="FAE2D5" w:themeFill="accent2" w:themeFillTint="33"/>
            <w:vAlign w:val="center"/>
            <w:hideMark/>
          </w:tcPr>
          <w:p w14:paraId="52D5C2E2" w14:textId="77777777" w:rsidR="0053755C" w:rsidRPr="0085275D" w:rsidRDefault="0053755C" w:rsidP="008D36D9">
            <w:pPr>
              <w:spacing w:after="0" w:line="240" w:lineRule="auto"/>
              <w:jc w:val="both"/>
              <w:rPr>
                <w:rFonts w:ascii="Arial" w:eastAsia="Times New Roman" w:hAnsi="Arial" w:cs="Arial"/>
                <w:b/>
                <w:bCs/>
                <w:color w:val="A93226"/>
                <w:sz w:val="18"/>
                <w:szCs w:val="18"/>
                <w:lang w:eastAsia="en-IN"/>
              </w:rPr>
            </w:pPr>
            <w:r w:rsidRPr="0085275D">
              <w:rPr>
                <w:rFonts w:ascii="Arial" w:eastAsia="Times New Roman" w:hAnsi="Arial" w:cs="Arial"/>
                <w:b/>
                <w:bCs/>
                <w:color w:val="A93226"/>
                <w:sz w:val="18"/>
                <w:szCs w:val="18"/>
                <w:lang w:eastAsia="en-IN"/>
              </w:rPr>
              <w:t>-0.0012</w:t>
            </w:r>
          </w:p>
        </w:tc>
        <w:tc>
          <w:tcPr>
            <w:tcW w:w="0" w:type="auto"/>
            <w:tcBorders>
              <w:top w:val="nil"/>
              <w:left w:val="nil"/>
              <w:bottom w:val="single" w:sz="4" w:space="0" w:color="CCCCCC"/>
              <w:right w:val="nil"/>
            </w:tcBorders>
            <w:shd w:val="clear" w:color="auto" w:fill="FAE2D5" w:themeFill="accent2" w:themeFillTint="33"/>
            <w:vAlign w:val="center"/>
            <w:hideMark/>
          </w:tcPr>
          <w:p w14:paraId="6DA24C3D" w14:textId="77777777" w:rsidR="0053755C" w:rsidRPr="0085275D" w:rsidRDefault="0053755C" w:rsidP="008D36D9">
            <w:pPr>
              <w:spacing w:after="0" w:line="240" w:lineRule="auto"/>
              <w:jc w:val="both"/>
              <w:rPr>
                <w:rFonts w:ascii="Arial" w:eastAsia="Times New Roman" w:hAnsi="Arial" w:cs="Arial"/>
                <w:b/>
                <w:bCs/>
                <w:color w:val="A93226"/>
                <w:sz w:val="20"/>
                <w:szCs w:val="20"/>
                <w:lang w:eastAsia="en-IN"/>
              </w:rPr>
            </w:pPr>
            <w:r w:rsidRPr="0085275D">
              <w:rPr>
                <w:rFonts w:ascii="Arial" w:eastAsia="Times New Roman" w:hAnsi="Arial" w:cs="Arial"/>
                <w:b/>
                <w:bCs/>
                <w:color w:val="A93226"/>
                <w:sz w:val="20"/>
                <w:szCs w:val="20"/>
                <w:lang w:eastAsia="en-IN"/>
              </w:rPr>
              <w:t>NO</w:t>
            </w:r>
          </w:p>
        </w:tc>
      </w:tr>
      <w:tr w:rsidR="0053755C" w:rsidRPr="0085275D" w14:paraId="1E6B390B"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3744BFDC"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8</w:t>
            </w:r>
          </w:p>
        </w:tc>
        <w:tc>
          <w:tcPr>
            <w:tcW w:w="0" w:type="auto"/>
            <w:tcBorders>
              <w:top w:val="nil"/>
              <w:left w:val="nil"/>
              <w:bottom w:val="single" w:sz="4" w:space="0" w:color="CCCCCC"/>
              <w:right w:val="nil"/>
            </w:tcBorders>
            <w:shd w:val="clear" w:color="auto" w:fill="D9F2D0" w:themeFill="accent6" w:themeFillTint="33"/>
            <w:vAlign w:val="center"/>
            <w:hideMark/>
          </w:tcPr>
          <w:p w14:paraId="6381397B"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epoch_200_chunk_0</w:t>
            </w:r>
          </w:p>
        </w:tc>
        <w:tc>
          <w:tcPr>
            <w:tcW w:w="0" w:type="auto"/>
            <w:tcBorders>
              <w:top w:val="nil"/>
              <w:left w:val="nil"/>
              <w:bottom w:val="single" w:sz="4" w:space="0" w:color="CCCCCC"/>
              <w:right w:val="nil"/>
            </w:tcBorders>
            <w:shd w:val="clear" w:color="auto" w:fill="D9F2D0" w:themeFill="accent6" w:themeFillTint="33"/>
            <w:vAlign w:val="center"/>
            <w:hideMark/>
          </w:tcPr>
          <w:p w14:paraId="6F87065D"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epoch_200_chunk_1</w:t>
            </w:r>
          </w:p>
        </w:tc>
        <w:tc>
          <w:tcPr>
            <w:tcW w:w="0" w:type="auto"/>
            <w:tcBorders>
              <w:top w:val="nil"/>
              <w:left w:val="nil"/>
              <w:bottom w:val="single" w:sz="4" w:space="0" w:color="CCCCCC"/>
              <w:right w:val="nil"/>
            </w:tcBorders>
            <w:shd w:val="clear" w:color="auto" w:fill="D9F2D0" w:themeFill="accent6" w:themeFillTint="33"/>
            <w:vAlign w:val="center"/>
            <w:hideMark/>
          </w:tcPr>
          <w:p w14:paraId="2A0C0018"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296C582F"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6.56%</w:t>
            </w:r>
          </w:p>
        </w:tc>
        <w:tc>
          <w:tcPr>
            <w:tcW w:w="0" w:type="auto"/>
            <w:tcBorders>
              <w:top w:val="nil"/>
              <w:left w:val="nil"/>
              <w:bottom w:val="single" w:sz="4" w:space="0" w:color="CCCCCC"/>
              <w:right w:val="nil"/>
            </w:tcBorders>
            <w:shd w:val="clear" w:color="auto" w:fill="D9F2D0" w:themeFill="accent6" w:themeFillTint="33"/>
            <w:vAlign w:val="center"/>
            <w:hideMark/>
          </w:tcPr>
          <w:p w14:paraId="3C7FD725"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0.0439</w:t>
            </w:r>
          </w:p>
        </w:tc>
        <w:tc>
          <w:tcPr>
            <w:tcW w:w="0" w:type="auto"/>
            <w:tcBorders>
              <w:top w:val="nil"/>
              <w:left w:val="nil"/>
              <w:bottom w:val="single" w:sz="4" w:space="0" w:color="CCCCCC"/>
              <w:right w:val="nil"/>
            </w:tcBorders>
            <w:shd w:val="clear" w:color="auto" w:fill="D9F2D0" w:themeFill="accent6" w:themeFillTint="33"/>
            <w:vAlign w:val="center"/>
            <w:hideMark/>
          </w:tcPr>
          <w:p w14:paraId="0F6D78A4"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0.3764</w:t>
            </w:r>
          </w:p>
        </w:tc>
        <w:tc>
          <w:tcPr>
            <w:tcW w:w="0" w:type="auto"/>
            <w:tcBorders>
              <w:top w:val="nil"/>
              <w:left w:val="nil"/>
              <w:bottom w:val="single" w:sz="4" w:space="0" w:color="CCCCCC"/>
              <w:right w:val="nil"/>
            </w:tcBorders>
            <w:shd w:val="clear" w:color="auto" w:fill="D9F2D0" w:themeFill="accent6" w:themeFillTint="33"/>
            <w:vAlign w:val="center"/>
            <w:hideMark/>
          </w:tcPr>
          <w:p w14:paraId="75B9E904"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+0.3325</w:t>
            </w:r>
          </w:p>
        </w:tc>
        <w:tc>
          <w:tcPr>
            <w:tcW w:w="0" w:type="auto"/>
            <w:tcBorders>
              <w:top w:val="nil"/>
              <w:left w:val="nil"/>
              <w:bottom w:val="single" w:sz="4" w:space="0" w:color="CCCCCC"/>
              <w:right w:val="nil"/>
            </w:tcBorders>
            <w:shd w:val="clear" w:color="auto" w:fill="D9F2D0" w:themeFill="accent6" w:themeFillTint="33"/>
            <w:vAlign w:val="center"/>
            <w:hideMark/>
          </w:tcPr>
          <w:p w14:paraId="782D3C8E"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7281348D"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1278197D"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9</w:t>
            </w:r>
          </w:p>
        </w:tc>
        <w:tc>
          <w:tcPr>
            <w:tcW w:w="0" w:type="auto"/>
            <w:tcBorders>
              <w:top w:val="nil"/>
              <w:left w:val="nil"/>
              <w:bottom w:val="single" w:sz="4" w:space="0" w:color="CCCCCC"/>
              <w:right w:val="nil"/>
            </w:tcBorders>
            <w:shd w:val="clear" w:color="auto" w:fill="D9F2D0" w:themeFill="accent6" w:themeFillTint="33"/>
            <w:vAlign w:val="center"/>
            <w:hideMark/>
          </w:tcPr>
          <w:p w14:paraId="2476969F"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epoch_200_chunk_2</w:t>
            </w:r>
          </w:p>
        </w:tc>
        <w:tc>
          <w:tcPr>
            <w:tcW w:w="0" w:type="auto"/>
            <w:tcBorders>
              <w:top w:val="nil"/>
              <w:left w:val="nil"/>
              <w:bottom w:val="single" w:sz="4" w:space="0" w:color="CCCCCC"/>
              <w:right w:val="nil"/>
            </w:tcBorders>
            <w:shd w:val="clear" w:color="auto" w:fill="D9F2D0" w:themeFill="accent6" w:themeFillTint="33"/>
            <w:vAlign w:val="center"/>
            <w:hideMark/>
          </w:tcPr>
          <w:p w14:paraId="747D0CCD"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epoch_200_chunk_3</w:t>
            </w:r>
          </w:p>
        </w:tc>
        <w:tc>
          <w:tcPr>
            <w:tcW w:w="0" w:type="auto"/>
            <w:tcBorders>
              <w:top w:val="nil"/>
              <w:left w:val="nil"/>
              <w:bottom w:val="single" w:sz="4" w:space="0" w:color="CCCCCC"/>
              <w:right w:val="nil"/>
            </w:tcBorders>
            <w:shd w:val="clear" w:color="auto" w:fill="D9F2D0" w:themeFill="accent6" w:themeFillTint="33"/>
            <w:vAlign w:val="center"/>
            <w:hideMark/>
          </w:tcPr>
          <w:p w14:paraId="7C6119C4"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342679CD"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3.04%</w:t>
            </w:r>
          </w:p>
        </w:tc>
        <w:tc>
          <w:tcPr>
            <w:tcW w:w="0" w:type="auto"/>
            <w:tcBorders>
              <w:top w:val="nil"/>
              <w:left w:val="nil"/>
              <w:bottom w:val="single" w:sz="4" w:space="0" w:color="CCCCCC"/>
              <w:right w:val="nil"/>
            </w:tcBorders>
            <w:shd w:val="clear" w:color="auto" w:fill="D9F2D0" w:themeFill="accent6" w:themeFillTint="33"/>
            <w:vAlign w:val="center"/>
            <w:hideMark/>
          </w:tcPr>
          <w:p w14:paraId="431B8237"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0.0645</w:t>
            </w:r>
          </w:p>
        </w:tc>
        <w:tc>
          <w:tcPr>
            <w:tcW w:w="0" w:type="auto"/>
            <w:tcBorders>
              <w:top w:val="nil"/>
              <w:left w:val="nil"/>
              <w:bottom w:val="single" w:sz="4" w:space="0" w:color="CCCCCC"/>
              <w:right w:val="nil"/>
            </w:tcBorders>
            <w:shd w:val="clear" w:color="auto" w:fill="D9F2D0" w:themeFill="accent6" w:themeFillTint="33"/>
            <w:vAlign w:val="center"/>
            <w:hideMark/>
          </w:tcPr>
          <w:p w14:paraId="115F6288"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0.3439</w:t>
            </w:r>
          </w:p>
        </w:tc>
        <w:tc>
          <w:tcPr>
            <w:tcW w:w="0" w:type="auto"/>
            <w:tcBorders>
              <w:top w:val="nil"/>
              <w:left w:val="nil"/>
              <w:bottom w:val="single" w:sz="4" w:space="0" w:color="CCCCCC"/>
              <w:right w:val="nil"/>
            </w:tcBorders>
            <w:shd w:val="clear" w:color="auto" w:fill="D9F2D0" w:themeFill="accent6" w:themeFillTint="33"/>
            <w:vAlign w:val="center"/>
            <w:hideMark/>
          </w:tcPr>
          <w:p w14:paraId="1353BA20"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+0.2795</w:t>
            </w:r>
          </w:p>
        </w:tc>
        <w:tc>
          <w:tcPr>
            <w:tcW w:w="0" w:type="auto"/>
            <w:tcBorders>
              <w:top w:val="nil"/>
              <w:left w:val="nil"/>
              <w:bottom w:val="single" w:sz="4" w:space="0" w:color="CCCCCC"/>
              <w:right w:val="nil"/>
            </w:tcBorders>
            <w:shd w:val="clear" w:color="auto" w:fill="D9F2D0" w:themeFill="accent6" w:themeFillTint="33"/>
            <w:vAlign w:val="center"/>
            <w:hideMark/>
          </w:tcPr>
          <w:p w14:paraId="0E181261"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1F90C3B7" w14:textId="77777777" w:rsidTr="0015526C">
        <w:trPr>
          <w:trHeight w:val="440"/>
          <w:jc w:val="center"/>
        </w:trPr>
        <w:tc>
          <w:tcPr>
            <w:tcW w:w="0" w:type="auto"/>
            <w:tcBorders>
              <w:top w:val="nil"/>
              <w:left w:val="single" w:sz="4" w:space="0" w:color="CCCCCC"/>
              <w:bottom w:val="single" w:sz="4" w:space="0" w:color="CCCCCC"/>
              <w:right w:val="nil"/>
            </w:tcBorders>
            <w:shd w:val="clear" w:color="FFF8E7" w:fill="FFF8E7"/>
            <w:vAlign w:val="center"/>
            <w:hideMark/>
          </w:tcPr>
          <w:p w14:paraId="61CA0832"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lastRenderedPageBreak/>
              <w:t>10</w:t>
            </w:r>
          </w:p>
        </w:tc>
        <w:tc>
          <w:tcPr>
            <w:tcW w:w="0" w:type="auto"/>
            <w:tcBorders>
              <w:top w:val="nil"/>
              <w:left w:val="nil"/>
              <w:bottom w:val="single" w:sz="4" w:space="0" w:color="CCCCCC"/>
              <w:right w:val="nil"/>
            </w:tcBorders>
            <w:shd w:val="clear" w:color="FFF8E7" w:fill="FFF8E7"/>
            <w:vAlign w:val="center"/>
            <w:hideMark/>
          </w:tcPr>
          <w:p w14:paraId="1EA9537D"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epoch_200_chunk_4</w:t>
            </w:r>
          </w:p>
        </w:tc>
        <w:tc>
          <w:tcPr>
            <w:tcW w:w="0" w:type="auto"/>
            <w:tcBorders>
              <w:top w:val="nil"/>
              <w:left w:val="nil"/>
              <w:bottom w:val="single" w:sz="4" w:space="0" w:color="CCCCCC"/>
              <w:right w:val="nil"/>
            </w:tcBorders>
            <w:shd w:val="clear" w:color="FFF8E7" w:fill="FFF8E7"/>
            <w:vAlign w:val="center"/>
            <w:hideMark/>
          </w:tcPr>
          <w:p w14:paraId="60F49669"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epoch_250_chunk_0</w:t>
            </w:r>
          </w:p>
        </w:tc>
        <w:tc>
          <w:tcPr>
            <w:tcW w:w="0" w:type="auto"/>
            <w:tcBorders>
              <w:top w:val="nil"/>
              <w:left w:val="nil"/>
              <w:bottom w:val="single" w:sz="4" w:space="0" w:color="CCCCCC"/>
              <w:right w:val="nil"/>
            </w:tcBorders>
            <w:shd w:val="clear" w:color="FFF8E7" w:fill="FFF8E7"/>
            <w:vAlign w:val="center"/>
            <w:hideMark/>
          </w:tcPr>
          <w:p w14:paraId="223B163C" w14:textId="77777777" w:rsidR="0053755C" w:rsidRPr="0085275D" w:rsidRDefault="0053755C" w:rsidP="008D36D9">
            <w:pPr>
              <w:spacing w:after="0" w:line="240" w:lineRule="auto"/>
              <w:jc w:val="both"/>
              <w:rPr>
                <w:rFonts w:ascii="Arial" w:eastAsia="Times New Roman" w:hAnsi="Arial" w:cs="Arial"/>
                <w:b/>
                <w:bCs/>
                <w:color w:val="993C1D"/>
                <w:sz w:val="18"/>
                <w:szCs w:val="18"/>
                <w:lang w:eastAsia="en-IN"/>
              </w:rPr>
            </w:pPr>
            <w:r w:rsidRPr="0085275D">
              <w:rPr>
                <w:rFonts w:ascii="Arial" w:eastAsia="Times New Roman" w:hAnsi="Arial" w:cs="Arial"/>
                <w:b/>
                <w:bCs/>
                <w:color w:val="993C1D"/>
                <w:sz w:val="18"/>
                <w:szCs w:val="18"/>
                <w:lang w:eastAsia="en-IN"/>
              </w:rPr>
              <w:t>Emergency MIPROv2</w:t>
            </w:r>
          </w:p>
        </w:tc>
        <w:tc>
          <w:tcPr>
            <w:tcW w:w="0" w:type="auto"/>
            <w:tcBorders>
              <w:top w:val="nil"/>
              <w:left w:val="nil"/>
              <w:bottom w:val="single" w:sz="4" w:space="0" w:color="CCCCCC"/>
              <w:right w:val="nil"/>
            </w:tcBorders>
            <w:shd w:val="clear" w:color="FFF8E7" w:fill="FFF8E7"/>
            <w:vAlign w:val="center"/>
            <w:hideMark/>
          </w:tcPr>
          <w:p w14:paraId="4FD0B857" w14:textId="77777777" w:rsidR="0053755C" w:rsidRPr="0085275D" w:rsidRDefault="0053755C" w:rsidP="008D36D9">
            <w:pPr>
              <w:spacing w:after="0" w:line="240" w:lineRule="auto"/>
              <w:jc w:val="both"/>
              <w:rPr>
                <w:rFonts w:ascii="Arial" w:eastAsia="Times New Roman" w:hAnsi="Arial" w:cs="Arial"/>
                <w:b/>
                <w:bCs/>
                <w:color w:val="A93226"/>
                <w:sz w:val="18"/>
                <w:szCs w:val="18"/>
                <w:lang w:eastAsia="en-IN"/>
              </w:rPr>
            </w:pPr>
            <w:r w:rsidRPr="0085275D">
              <w:rPr>
                <w:rFonts w:ascii="Arial" w:eastAsia="Times New Roman" w:hAnsi="Arial" w:cs="Arial"/>
                <w:b/>
                <w:bCs/>
                <w:color w:val="A93226"/>
                <w:sz w:val="18"/>
                <w:szCs w:val="18"/>
                <w:lang w:eastAsia="en-IN"/>
              </w:rPr>
              <w:t>8.13%</w:t>
            </w:r>
          </w:p>
        </w:tc>
        <w:tc>
          <w:tcPr>
            <w:tcW w:w="0" w:type="auto"/>
            <w:tcBorders>
              <w:top w:val="nil"/>
              <w:left w:val="nil"/>
              <w:bottom w:val="single" w:sz="4" w:space="0" w:color="CCCCCC"/>
              <w:right w:val="nil"/>
            </w:tcBorders>
            <w:shd w:val="clear" w:color="FFF8E7" w:fill="FFF8E7"/>
            <w:vAlign w:val="center"/>
            <w:hideMark/>
          </w:tcPr>
          <w:p w14:paraId="153CB275"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0.0226</w:t>
            </w:r>
          </w:p>
        </w:tc>
        <w:tc>
          <w:tcPr>
            <w:tcW w:w="0" w:type="auto"/>
            <w:tcBorders>
              <w:top w:val="nil"/>
              <w:left w:val="nil"/>
              <w:bottom w:val="single" w:sz="4" w:space="0" w:color="CCCCCC"/>
              <w:right w:val="nil"/>
            </w:tcBorders>
            <w:shd w:val="clear" w:color="FFF8E7" w:fill="FFF8E7"/>
            <w:vAlign w:val="center"/>
            <w:hideMark/>
          </w:tcPr>
          <w:p w14:paraId="5496E59B"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0.0641</w:t>
            </w:r>
          </w:p>
        </w:tc>
        <w:tc>
          <w:tcPr>
            <w:tcW w:w="0" w:type="auto"/>
            <w:tcBorders>
              <w:top w:val="nil"/>
              <w:left w:val="nil"/>
              <w:bottom w:val="single" w:sz="4" w:space="0" w:color="CCCCCC"/>
              <w:right w:val="nil"/>
            </w:tcBorders>
            <w:shd w:val="clear" w:color="FFF8E7" w:fill="FFF8E7"/>
            <w:vAlign w:val="center"/>
            <w:hideMark/>
          </w:tcPr>
          <w:p w14:paraId="3BF34081"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+0.0416</w:t>
            </w:r>
          </w:p>
        </w:tc>
        <w:tc>
          <w:tcPr>
            <w:tcW w:w="0" w:type="auto"/>
            <w:tcBorders>
              <w:top w:val="nil"/>
              <w:left w:val="nil"/>
              <w:bottom w:val="single" w:sz="4" w:space="0" w:color="CCCCCC"/>
              <w:right w:val="nil"/>
            </w:tcBorders>
            <w:shd w:val="clear" w:color="FFF8E7" w:fill="FFF8E7"/>
            <w:vAlign w:val="center"/>
            <w:hideMark/>
          </w:tcPr>
          <w:p w14:paraId="7DFE5C7E"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340134FE"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0FB116E1"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11</w:t>
            </w:r>
          </w:p>
        </w:tc>
        <w:tc>
          <w:tcPr>
            <w:tcW w:w="0" w:type="auto"/>
            <w:tcBorders>
              <w:top w:val="nil"/>
              <w:left w:val="nil"/>
              <w:bottom w:val="single" w:sz="4" w:space="0" w:color="CCCCCC"/>
              <w:right w:val="nil"/>
            </w:tcBorders>
            <w:shd w:val="clear" w:color="auto" w:fill="D9F2D0" w:themeFill="accent6" w:themeFillTint="33"/>
            <w:vAlign w:val="center"/>
            <w:hideMark/>
          </w:tcPr>
          <w:p w14:paraId="17C76F96"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epoch_250_chunk_1</w:t>
            </w:r>
          </w:p>
        </w:tc>
        <w:tc>
          <w:tcPr>
            <w:tcW w:w="0" w:type="auto"/>
            <w:tcBorders>
              <w:top w:val="nil"/>
              <w:left w:val="nil"/>
              <w:bottom w:val="single" w:sz="4" w:space="0" w:color="CCCCCC"/>
              <w:right w:val="nil"/>
            </w:tcBorders>
            <w:shd w:val="clear" w:color="auto" w:fill="D9F2D0" w:themeFill="accent6" w:themeFillTint="33"/>
            <w:vAlign w:val="center"/>
            <w:hideMark/>
          </w:tcPr>
          <w:p w14:paraId="591089A9"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epoch_250_chunk_2</w:t>
            </w:r>
          </w:p>
        </w:tc>
        <w:tc>
          <w:tcPr>
            <w:tcW w:w="0" w:type="auto"/>
            <w:tcBorders>
              <w:top w:val="nil"/>
              <w:left w:val="nil"/>
              <w:bottom w:val="single" w:sz="4" w:space="0" w:color="CCCCCC"/>
              <w:right w:val="nil"/>
            </w:tcBorders>
            <w:shd w:val="clear" w:color="auto" w:fill="D9F2D0" w:themeFill="accent6" w:themeFillTint="33"/>
            <w:vAlign w:val="center"/>
            <w:hideMark/>
          </w:tcPr>
          <w:p w14:paraId="6A7DECC3"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7BF0E2E8"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3.54%</w:t>
            </w:r>
          </w:p>
        </w:tc>
        <w:tc>
          <w:tcPr>
            <w:tcW w:w="0" w:type="auto"/>
            <w:tcBorders>
              <w:top w:val="nil"/>
              <w:left w:val="nil"/>
              <w:bottom w:val="single" w:sz="4" w:space="0" w:color="CCCCCC"/>
              <w:right w:val="nil"/>
            </w:tcBorders>
            <w:shd w:val="clear" w:color="auto" w:fill="D9F2D0" w:themeFill="accent6" w:themeFillTint="33"/>
            <w:vAlign w:val="center"/>
            <w:hideMark/>
          </w:tcPr>
          <w:p w14:paraId="633DD7F7"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0.0206</w:t>
            </w:r>
          </w:p>
        </w:tc>
        <w:tc>
          <w:tcPr>
            <w:tcW w:w="0" w:type="auto"/>
            <w:tcBorders>
              <w:top w:val="nil"/>
              <w:left w:val="nil"/>
              <w:bottom w:val="single" w:sz="4" w:space="0" w:color="CCCCCC"/>
              <w:right w:val="nil"/>
            </w:tcBorders>
            <w:shd w:val="clear" w:color="auto" w:fill="D9F2D0" w:themeFill="accent6" w:themeFillTint="33"/>
            <w:vAlign w:val="center"/>
            <w:hideMark/>
          </w:tcPr>
          <w:p w14:paraId="5692F7F8"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0.2083</w:t>
            </w:r>
          </w:p>
        </w:tc>
        <w:tc>
          <w:tcPr>
            <w:tcW w:w="0" w:type="auto"/>
            <w:tcBorders>
              <w:top w:val="nil"/>
              <w:left w:val="nil"/>
              <w:bottom w:val="single" w:sz="4" w:space="0" w:color="CCCCCC"/>
              <w:right w:val="nil"/>
            </w:tcBorders>
            <w:shd w:val="clear" w:color="auto" w:fill="D9F2D0" w:themeFill="accent6" w:themeFillTint="33"/>
            <w:vAlign w:val="center"/>
            <w:hideMark/>
          </w:tcPr>
          <w:p w14:paraId="5F3FCBBE"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+0.1877</w:t>
            </w:r>
          </w:p>
        </w:tc>
        <w:tc>
          <w:tcPr>
            <w:tcW w:w="0" w:type="auto"/>
            <w:tcBorders>
              <w:top w:val="nil"/>
              <w:left w:val="nil"/>
              <w:bottom w:val="single" w:sz="4" w:space="0" w:color="CCCCCC"/>
              <w:right w:val="nil"/>
            </w:tcBorders>
            <w:shd w:val="clear" w:color="auto" w:fill="D9F2D0" w:themeFill="accent6" w:themeFillTint="33"/>
            <w:vAlign w:val="center"/>
            <w:hideMark/>
          </w:tcPr>
          <w:p w14:paraId="2D783262"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217B72AA"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2D5ACD24"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12</w:t>
            </w:r>
          </w:p>
        </w:tc>
        <w:tc>
          <w:tcPr>
            <w:tcW w:w="0" w:type="auto"/>
            <w:tcBorders>
              <w:top w:val="nil"/>
              <w:left w:val="nil"/>
              <w:bottom w:val="single" w:sz="4" w:space="0" w:color="CCCCCC"/>
              <w:right w:val="nil"/>
            </w:tcBorders>
            <w:shd w:val="clear" w:color="auto" w:fill="D9F2D0" w:themeFill="accent6" w:themeFillTint="33"/>
            <w:vAlign w:val="center"/>
            <w:hideMark/>
          </w:tcPr>
          <w:p w14:paraId="0F7CA1E4"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epoch_250_chunk_3</w:t>
            </w:r>
          </w:p>
        </w:tc>
        <w:tc>
          <w:tcPr>
            <w:tcW w:w="0" w:type="auto"/>
            <w:tcBorders>
              <w:top w:val="nil"/>
              <w:left w:val="nil"/>
              <w:bottom w:val="single" w:sz="4" w:space="0" w:color="CCCCCC"/>
              <w:right w:val="nil"/>
            </w:tcBorders>
            <w:shd w:val="clear" w:color="auto" w:fill="D9F2D0" w:themeFill="accent6" w:themeFillTint="33"/>
            <w:vAlign w:val="center"/>
            <w:hideMark/>
          </w:tcPr>
          <w:p w14:paraId="3B5B6A11"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epoch_250_chunk_4</w:t>
            </w:r>
          </w:p>
        </w:tc>
        <w:tc>
          <w:tcPr>
            <w:tcW w:w="0" w:type="auto"/>
            <w:tcBorders>
              <w:top w:val="nil"/>
              <w:left w:val="nil"/>
              <w:bottom w:val="single" w:sz="4" w:space="0" w:color="CCCCCC"/>
              <w:right w:val="nil"/>
            </w:tcBorders>
            <w:shd w:val="clear" w:color="auto" w:fill="D9F2D0" w:themeFill="accent6" w:themeFillTint="33"/>
            <w:vAlign w:val="center"/>
            <w:hideMark/>
          </w:tcPr>
          <w:p w14:paraId="3D00D788"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64594F93"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2.03%</w:t>
            </w:r>
          </w:p>
        </w:tc>
        <w:tc>
          <w:tcPr>
            <w:tcW w:w="0" w:type="auto"/>
            <w:tcBorders>
              <w:top w:val="nil"/>
              <w:left w:val="nil"/>
              <w:bottom w:val="single" w:sz="4" w:space="0" w:color="CCCCCC"/>
              <w:right w:val="nil"/>
            </w:tcBorders>
            <w:shd w:val="clear" w:color="auto" w:fill="D9F2D0" w:themeFill="accent6" w:themeFillTint="33"/>
            <w:vAlign w:val="center"/>
            <w:hideMark/>
          </w:tcPr>
          <w:p w14:paraId="514EAC11"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0.3381</w:t>
            </w:r>
          </w:p>
        </w:tc>
        <w:tc>
          <w:tcPr>
            <w:tcW w:w="0" w:type="auto"/>
            <w:tcBorders>
              <w:top w:val="nil"/>
              <w:left w:val="nil"/>
              <w:bottom w:val="single" w:sz="4" w:space="0" w:color="CCCCCC"/>
              <w:right w:val="nil"/>
            </w:tcBorders>
            <w:shd w:val="clear" w:color="auto" w:fill="D9F2D0" w:themeFill="accent6" w:themeFillTint="33"/>
            <w:vAlign w:val="center"/>
            <w:hideMark/>
          </w:tcPr>
          <w:p w14:paraId="522BF712"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0.3638</w:t>
            </w:r>
          </w:p>
        </w:tc>
        <w:tc>
          <w:tcPr>
            <w:tcW w:w="0" w:type="auto"/>
            <w:tcBorders>
              <w:top w:val="nil"/>
              <w:left w:val="nil"/>
              <w:bottom w:val="single" w:sz="4" w:space="0" w:color="CCCCCC"/>
              <w:right w:val="nil"/>
            </w:tcBorders>
            <w:shd w:val="clear" w:color="auto" w:fill="D9F2D0" w:themeFill="accent6" w:themeFillTint="33"/>
            <w:vAlign w:val="center"/>
            <w:hideMark/>
          </w:tcPr>
          <w:p w14:paraId="7BB240C8"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+0.0257</w:t>
            </w:r>
          </w:p>
        </w:tc>
        <w:tc>
          <w:tcPr>
            <w:tcW w:w="0" w:type="auto"/>
            <w:tcBorders>
              <w:top w:val="nil"/>
              <w:left w:val="nil"/>
              <w:bottom w:val="single" w:sz="4" w:space="0" w:color="CCCCCC"/>
              <w:right w:val="nil"/>
            </w:tcBorders>
            <w:shd w:val="clear" w:color="auto" w:fill="D9F2D0" w:themeFill="accent6" w:themeFillTint="33"/>
            <w:vAlign w:val="center"/>
            <w:hideMark/>
          </w:tcPr>
          <w:p w14:paraId="006C314C"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1EC57EFE"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17EAB2A9"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13</w:t>
            </w:r>
          </w:p>
        </w:tc>
        <w:tc>
          <w:tcPr>
            <w:tcW w:w="0" w:type="auto"/>
            <w:tcBorders>
              <w:top w:val="nil"/>
              <w:left w:val="nil"/>
              <w:bottom w:val="single" w:sz="4" w:space="0" w:color="CCCCCC"/>
              <w:right w:val="nil"/>
            </w:tcBorders>
            <w:shd w:val="clear" w:color="auto" w:fill="D9F2D0" w:themeFill="accent6" w:themeFillTint="33"/>
            <w:vAlign w:val="center"/>
            <w:hideMark/>
          </w:tcPr>
          <w:p w14:paraId="21D4BB23"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epoch_300_chunk_1</w:t>
            </w:r>
          </w:p>
        </w:tc>
        <w:tc>
          <w:tcPr>
            <w:tcW w:w="0" w:type="auto"/>
            <w:tcBorders>
              <w:top w:val="nil"/>
              <w:left w:val="nil"/>
              <w:bottom w:val="single" w:sz="4" w:space="0" w:color="CCCCCC"/>
              <w:right w:val="nil"/>
            </w:tcBorders>
            <w:shd w:val="clear" w:color="auto" w:fill="D9F2D0" w:themeFill="accent6" w:themeFillTint="33"/>
            <w:vAlign w:val="center"/>
            <w:hideMark/>
          </w:tcPr>
          <w:p w14:paraId="791BFAF6"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epoch_300_chunk_2</w:t>
            </w:r>
          </w:p>
        </w:tc>
        <w:tc>
          <w:tcPr>
            <w:tcW w:w="0" w:type="auto"/>
            <w:tcBorders>
              <w:top w:val="nil"/>
              <w:left w:val="nil"/>
              <w:bottom w:val="single" w:sz="4" w:space="0" w:color="CCCCCC"/>
              <w:right w:val="nil"/>
            </w:tcBorders>
            <w:shd w:val="clear" w:color="auto" w:fill="D9F2D0" w:themeFill="accent6" w:themeFillTint="33"/>
            <w:vAlign w:val="center"/>
            <w:hideMark/>
          </w:tcPr>
          <w:p w14:paraId="4177B9FC"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2926D3E3"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4.95%</w:t>
            </w:r>
          </w:p>
        </w:tc>
        <w:tc>
          <w:tcPr>
            <w:tcW w:w="0" w:type="auto"/>
            <w:tcBorders>
              <w:top w:val="nil"/>
              <w:left w:val="nil"/>
              <w:bottom w:val="single" w:sz="4" w:space="0" w:color="CCCCCC"/>
              <w:right w:val="nil"/>
            </w:tcBorders>
            <w:shd w:val="clear" w:color="auto" w:fill="D9F2D0" w:themeFill="accent6" w:themeFillTint="33"/>
            <w:vAlign w:val="center"/>
            <w:hideMark/>
          </w:tcPr>
          <w:p w14:paraId="519B6F0D"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0.0427</w:t>
            </w:r>
          </w:p>
        </w:tc>
        <w:tc>
          <w:tcPr>
            <w:tcW w:w="0" w:type="auto"/>
            <w:tcBorders>
              <w:top w:val="nil"/>
              <w:left w:val="nil"/>
              <w:bottom w:val="single" w:sz="4" w:space="0" w:color="CCCCCC"/>
              <w:right w:val="nil"/>
            </w:tcBorders>
            <w:shd w:val="clear" w:color="auto" w:fill="D9F2D0" w:themeFill="accent6" w:themeFillTint="33"/>
            <w:vAlign w:val="center"/>
            <w:hideMark/>
          </w:tcPr>
          <w:p w14:paraId="5300196B"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0.3550</w:t>
            </w:r>
          </w:p>
        </w:tc>
        <w:tc>
          <w:tcPr>
            <w:tcW w:w="0" w:type="auto"/>
            <w:tcBorders>
              <w:top w:val="nil"/>
              <w:left w:val="nil"/>
              <w:bottom w:val="single" w:sz="4" w:space="0" w:color="CCCCCC"/>
              <w:right w:val="nil"/>
            </w:tcBorders>
            <w:shd w:val="clear" w:color="auto" w:fill="D9F2D0" w:themeFill="accent6" w:themeFillTint="33"/>
            <w:vAlign w:val="center"/>
            <w:hideMark/>
          </w:tcPr>
          <w:p w14:paraId="45DBF397"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+0.3123</w:t>
            </w:r>
          </w:p>
        </w:tc>
        <w:tc>
          <w:tcPr>
            <w:tcW w:w="0" w:type="auto"/>
            <w:tcBorders>
              <w:top w:val="nil"/>
              <w:left w:val="nil"/>
              <w:bottom w:val="single" w:sz="4" w:space="0" w:color="CCCCCC"/>
              <w:right w:val="nil"/>
            </w:tcBorders>
            <w:shd w:val="clear" w:color="auto" w:fill="D9F2D0" w:themeFill="accent6" w:themeFillTint="33"/>
            <w:vAlign w:val="center"/>
            <w:hideMark/>
          </w:tcPr>
          <w:p w14:paraId="221CB9E7"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610A9238"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19A590A5"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14</w:t>
            </w:r>
          </w:p>
        </w:tc>
        <w:tc>
          <w:tcPr>
            <w:tcW w:w="0" w:type="auto"/>
            <w:tcBorders>
              <w:top w:val="nil"/>
              <w:left w:val="nil"/>
              <w:bottom w:val="single" w:sz="4" w:space="0" w:color="CCCCCC"/>
              <w:right w:val="nil"/>
            </w:tcBorders>
            <w:shd w:val="clear" w:color="auto" w:fill="D9F2D0" w:themeFill="accent6" w:themeFillTint="33"/>
            <w:vAlign w:val="center"/>
            <w:hideMark/>
          </w:tcPr>
          <w:p w14:paraId="7FAAD085"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epoch_350_chunk_0</w:t>
            </w:r>
          </w:p>
        </w:tc>
        <w:tc>
          <w:tcPr>
            <w:tcW w:w="0" w:type="auto"/>
            <w:tcBorders>
              <w:top w:val="nil"/>
              <w:left w:val="nil"/>
              <w:bottom w:val="single" w:sz="4" w:space="0" w:color="CCCCCC"/>
              <w:right w:val="nil"/>
            </w:tcBorders>
            <w:shd w:val="clear" w:color="auto" w:fill="D9F2D0" w:themeFill="accent6" w:themeFillTint="33"/>
            <w:vAlign w:val="center"/>
            <w:hideMark/>
          </w:tcPr>
          <w:p w14:paraId="570E8290"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epoch_350_chunk_1</w:t>
            </w:r>
          </w:p>
        </w:tc>
        <w:tc>
          <w:tcPr>
            <w:tcW w:w="0" w:type="auto"/>
            <w:tcBorders>
              <w:top w:val="nil"/>
              <w:left w:val="nil"/>
              <w:bottom w:val="single" w:sz="4" w:space="0" w:color="CCCCCC"/>
              <w:right w:val="nil"/>
            </w:tcBorders>
            <w:shd w:val="clear" w:color="auto" w:fill="D9F2D0" w:themeFill="accent6" w:themeFillTint="33"/>
            <w:vAlign w:val="center"/>
            <w:hideMark/>
          </w:tcPr>
          <w:p w14:paraId="62B3BF14"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24B64A45"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3.43%</w:t>
            </w:r>
          </w:p>
        </w:tc>
        <w:tc>
          <w:tcPr>
            <w:tcW w:w="0" w:type="auto"/>
            <w:tcBorders>
              <w:top w:val="nil"/>
              <w:left w:val="nil"/>
              <w:bottom w:val="single" w:sz="4" w:space="0" w:color="CCCCCC"/>
              <w:right w:val="nil"/>
            </w:tcBorders>
            <w:shd w:val="clear" w:color="auto" w:fill="D9F2D0" w:themeFill="accent6" w:themeFillTint="33"/>
            <w:vAlign w:val="center"/>
            <w:hideMark/>
          </w:tcPr>
          <w:p w14:paraId="004BF10B"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0.0430</w:t>
            </w:r>
          </w:p>
        </w:tc>
        <w:tc>
          <w:tcPr>
            <w:tcW w:w="0" w:type="auto"/>
            <w:tcBorders>
              <w:top w:val="nil"/>
              <w:left w:val="nil"/>
              <w:bottom w:val="single" w:sz="4" w:space="0" w:color="CCCCCC"/>
              <w:right w:val="nil"/>
            </w:tcBorders>
            <w:shd w:val="clear" w:color="auto" w:fill="D9F2D0" w:themeFill="accent6" w:themeFillTint="33"/>
            <w:vAlign w:val="center"/>
            <w:hideMark/>
          </w:tcPr>
          <w:p w14:paraId="7C6ADA68"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0.0903</w:t>
            </w:r>
          </w:p>
        </w:tc>
        <w:tc>
          <w:tcPr>
            <w:tcW w:w="0" w:type="auto"/>
            <w:tcBorders>
              <w:top w:val="nil"/>
              <w:left w:val="nil"/>
              <w:bottom w:val="single" w:sz="4" w:space="0" w:color="CCCCCC"/>
              <w:right w:val="nil"/>
            </w:tcBorders>
            <w:shd w:val="clear" w:color="auto" w:fill="D9F2D0" w:themeFill="accent6" w:themeFillTint="33"/>
            <w:vAlign w:val="center"/>
            <w:hideMark/>
          </w:tcPr>
          <w:p w14:paraId="2A49B674"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+0.0473</w:t>
            </w:r>
          </w:p>
        </w:tc>
        <w:tc>
          <w:tcPr>
            <w:tcW w:w="0" w:type="auto"/>
            <w:tcBorders>
              <w:top w:val="nil"/>
              <w:left w:val="nil"/>
              <w:bottom w:val="single" w:sz="4" w:space="0" w:color="CCCCCC"/>
              <w:right w:val="nil"/>
            </w:tcBorders>
            <w:shd w:val="clear" w:color="auto" w:fill="D9F2D0" w:themeFill="accent6" w:themeFillTint="33"/>
            <w:vAlign w:val="center"/>
            <w:hideMark/>
          </w:tcPr>
          <w:p w14:paraId="68E94CF1"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7E51C77E"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6D985F68"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15</w:t>
            </w:r>
          </w:p>
        </w:tc>
        <w:tc>
          <w:tcPr>
            <w:tcW w:w="0" w:type="auto"/>
            <w:tcBorders>
              <w:top w:val="nil"/>
              <w:left w:val="nil"/>
              <w:bottom w:val="single" w:sz="4" w:space="0" w:color="CCCCCC"/>
              <w:right w:val="nil"/>
            </w:tcBorders>
            <w:shd w:val="clear" w:color="auto" w:fill="D9F2D0" w:themeFill="accent6" w:themeFillTint="33"/>
            <w:vAlign w:val="center"/>
            <w:hideMark/>
          </w:tcPr>
          <w:p w14:paraId="09911CA9"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epoch_350_chunk_1</w:t>
            </w:r>
          </w:p>
        </w:tc>
        <w:tc>
          <w:tcPr>
            <w:tcW w:w="0" w:type="auto"/>
            <w:tcBorders>
              <w:top w:val="nil"/>
              <w:left w:val="nil"/>
              <w:bottom w:val="single" w:sz="4" w:space="0" w:color="CCCCCC"/>
              <w:right w:val="nil"/>
            </w:tcBorders>
            <w:shd w:val="clear" w:color="auto" w:fill="D9F2D0" w:themeFill="accent6" w:themeFillTint="33"/>
            <w:vAlign w:val="center"/>
            <w:hideMark/>
          </w:tcPr>
          <w:p w14:paraId="1F0526E2"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epoch_350_chunk_2</w:t>
            </w:r>
          </w:p>
        </w:tc>
        <w:tc>
          <w:tcPr>
            <w:tcW w:w="0" w:type="auto"/>
            <w:tcBorders>
              <w:top w:val="nil"/>
              <w:left w:val="nil"/>
              <w:bottom w:val="single" w:sz="4" w:space="0" w:color="CCCCCC"/>
              <w:right w:val="nil"/>
            </w:tcBorders>
            <w:shd w:val="clear" w:color="auto" w:fill="D9F2D0" w:themeFill="accent6" w:themeFillTint="33"/>
            <w:vAlign w:val="center"/>
            <w:hideMark/>
          </w:tcPr>
          <w:p w14:paraId="23B17B61"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6AD6F275"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3.76%</w:t>
            </w:r>
          </w:p>
        </w:tc>
        <w:tc>
          <w:tcPr>
            <w:tcW w:w="0" w:type="auto"/>
            <w:tcBorders>
              <w:top w:val="nil"/>
              <w:left w:val="nil"/>
              <w:bottom w:val="single" w:sz="4" w:space="0" w:color="CCCCCC"/>
              <w:right w:val="nil"/>
            </w:tcBorders>
            <w:shd w:val="clear" w:color="auto" w:fill="D9F2D0" w:themeFill="accent6" w:themeFillTint="33"/>
            <w:vAlign w:val="center"/>
            <w:hideMark/>
          </w:tcPr>
          <w:p w14:paraId="53205183"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0.0903</w:t>
            </w:r>
          </w:p>
        </w:tc>
        <w:tc>
          <w:tcPr>
            <w:tcW w:w="0" w:type="auto"/>
            <w:tcBorders>
              <w:top w:val="nil"/>
              <w:left w:val="nil"/>
              <w:bottom w:val="single" w:sz="4" w:space="0" w:color="CCCCCC"/>
              <w:right w:val="nil"/>
            </w:tcBorders>
            <w:shd w:val="clear" w:color="auto" w:fill="D9F2D0" w:themeFill="accent6" w:themeFillTint="33"/>
            <w:vAlign w:val="center"/>
            <w:hideMark/>
          </w:tcPr>
          <w:p w14:paraId="19E3F4B8"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0.3597</w:t>
            </w:r>
          </w:p>
        </w:tc>
        <w:tc>
          <w:tcPr>
            <w:tcW w:w="0" w:type="auto"/>
            <w:tcBorders>
              <w:top w:val="nil"/>
              <w:left w:val="nil"/>
              <w:bottom w:val="single" w:sz="4" w:space="0" w:color="CCCCCC"/>
              <w:right w:val="nil"/>
            </w:tcBorders>
            <w:shd w:val="clear" w:color="auto" w:fill="D9F2D0" w:themeFill="accent6" w:themeFillTint="33"/>
            <w:vAlign w:val="center"/>
            <w:hideMark/>
          </w:tcPr>
          <w:p w14:paraId="5930006C"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+0.2694</w:t>
            </w:r>
          </w:p>
        </w:tc>
        <w:tc>
          <w:tcPr>
            <w:tcW w:w="0" w:type="auto"/>
            <w:tcBorders>
              <w:top w:val="nil"/>
              <w:left w:val="nil"/>
              <w:bottom w:val="single" w:sz="4" w:space="0" w:color="CCCCCC"/>
              <w:right w:val="nil"/>
            </w:tcBorders>
            <w:shd w:val="clear" w:color="auto" w:fill="D9F2D0" w:themeFill="accent6" w:themeFillTint="33"/>
            <w:vAlign w:val="center"/>
            <w:hideMark/>
          </w:tcPr>
          <w:p w14:paraId="218D1750"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2A9C3B95"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225F3452"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16</w:t>
            </w:r>
          </w:p>
        </w:tc>
        <w:tc>
          <w:tcPr>
            <w:tcW w:w="0" w:type="auto"/>
            <w:tcBorders>
              <w:top w:val="nil"/>
              <w:left w:val="nil"/>
              <w:bottom w:val="single" w:sz="4" w:space="0" w:color="CCCCCC"/>
              <w:right w:val="nil"/>
            </w:tcBorders>
            <w:shd w:val="clear" w:color="auto" w:fill="D9F2D0" w:themeFill="accent6" w:themeFillTint="33"/>
            <w:vAlign w:val="center"/>
            <w:hideMark/>
          </w:tcPr>
          <w:p w14:paraId="3966F7E5"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epoch_400_chunk_1</w:t>
            </w:r>
          </w:p>
        </w:tc>
        <w:tc>
          <w:tcPr>
            <w:tcW w:w="0" w:type="auto"/>
            <w:tcBorders>
              <w:top w:val="nil"/>
              <w:left w:val="nil"/>
              <w:bottom w:val="single" w:sz="4" w:space="0" w:color="CCCCCC"/>
              <w:right w:val="nil"/>
            </w:tcBorders>
            <w:shd w:val="clear" w:color="auto" w:fill="D9F2D0" w:themeFill="accent6" w:themeFillTint="33"/>
            <w:vAlign w:val="center"/>
            <w:hideMark/>
          </w:tcPr>
          <w:p w14:paraId="3E40D852"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epoch_400_chunk_2</w:t>
            </w:r>
          </w:p>
        </w:tc>
        <w:tc>
          <w:tcPr>
            <w:tcW w:w="0" w:type="auto"/>
            <w:tcBorders>
              <w:top w:val="nil"/>
              <w:left w:val="nil"/>
              <w:bottom w:val="single" w:sz="4" w:space="0" w:color="CCCCCC"/>
              <w:right w:val="nil"/>
            </w:tcBorders>
            <w:shd w:val="clear" w:color="auto" w:fill="D9F2D0" w:themeFill="accent6" w:themeFillTint="33"/>
            <w:vAlign w:val="center"/>
            <w:hideMark/>
          </w:tcPr>
          <w:p w14:paraId="58B78A3E"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143F5F2B"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3.71%</w:t>
            </w:r>
          </w:p>
        </w:tc>
        <w:tc>
          <w:tcPr>
            <w:tcW w:w="0" w:type="auto"/>
            <w:tcBorders>
              <w:top w:val="nil"/>
              <w:left w:val="nil"/>
              <w:bottom w:val="single" w:sz="4" w:space="0" w:color="CCCCCC"/>
              <w:right w:val="nil"/>
            </w:tcBorders>
            <w:shd w:val="clear" w:color="auto" w:fill="D9F2D0" w:themeFill="accent6" w:themeFillTint="33"/>
            <w:vAlign w:val="center"/>
            <w:hideMark/>
          </w:tcPr>
          <w:p w14:paraId="5E32A4A6"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0.3924</w:t>
            </w:r>
          </w:p>
        </w:tc>
        <w:tc>
          <w:tcPr>
            <w:tcW w:w="0" w:type="auto"/>
            <w:tcBorders>
              <w:top w:val="nil"/>
              <w:left w:val="nil"/>
              <w:bottom w:val="single" w:sz="4" w:space="0" w:color="CCCCCC"/>
              <w:right w:val="nil"/>
            </w:tcBorders>
            <w:shd w:val="clear" w:color="auto" w:fill="D9F2D0" w:themeFill="accent6" w:themeFillTint="33"/>
            <w:vAlign w:val="center"/>
            <w:hideMark/>
          </w:tcPr>
          <w:p w14:paraId="57E35EB4"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0.4165</w:t>
            </w:r>
          </w:p>
        </w:tc>
        <w:tc>
          <w:tcPr>
            <w:tcW w:w="0" w:type="auto"/>
            <w:tcBorders>
              <w:top w:val="nil"/>
              <w:left w:val="nil"/>
              <w:bottom w:val="single" w:sz="4" w:space="0" w:color="CCCCCC"/>
              <w:right w:val="nil"/>
            </w:tcBorders>
            <w:shd w:val="clear" w:color="auto" w:fill="D9F2D0" w:themeFill="accent6" w:themeFillTint="33"/>
            <w:vAlign w:val="center"/>
            <w:hideMark/>
          </w:tcPr>
          <w:p w14:paraId="48B4F688"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+0.0241</w:t>
            </w:r>
          </w:p>
        </w:tc>
        <w:tc>
          <w:tcPr>
            <w:tcW w:w="0" w:type="auto"/>
            <w:tcBorders>
              <w:top w:val="nil"/>
              <w:left w:val="nil"/>
              <w:bottom w:val="single" w:sz="4" w:space="0" w:color="CCCCCC"/>
              <w:right w:val="nil"/>
            </w:tcBorders>
            <w:shd w:val="clear" w:color="auto" w:fill="D9F2D0" w:themeFill="accent6" w:themeFillTint="33"/>
            <w:vAlign w:val="center"/>
            <w:hideMark/>
          </w:tcPr>
          <w:p w14:paraId="6162A2C2"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5FD0E3FC"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46A69BFE"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17</w:t>
            </w:r>
          </w:p>
        </w:tc>
        <w:tc>
          <w:tcPr>
            <w:tcW w:w="0" w:type="auto"/>
            <w:tcBorders>
              <w:top w:val="nil"/>
              <w:left w:val="nil"/>
              <w:bottom w:val="single" w:sz="4" w:space="0" w:color="CCCCCC"/>
              <w:right w:val="nil"/>
            </w:tcBorders>
            <w:shd w:val="clear" w:color="auto" w:fill="D9F2D0" w:themeFill="accent6" w:themeFillTint="33"/>
            <w:vAlign w:val="center"/>
            <w:hideMark/>
          </w:tcPr>
          <w:p w14:paraId="00BB4973"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epoch_450_chunk_2</w:t>
            </w:r>
          </w:p>
        </w:tc>
        <w:tc>
          <w:tcPr>
            <w:tcW w:w="0" w:type="auto"/>
            <w:tcBorders>
              <w:top w:val="nil"/>
              <w:left w:val="nil"/>
              <w:bottom w:val="single" w:sz="4" w:space="0" w:color="CCCCCC"/>
              <w:right w:val="nil"/>
            </w:tcBorders>
            <w:shd w:val="clear" w:color="auto" w:fill="D9F2D0" w:themeFill="accent6" w:themeFillTint="33"/>
            <w:vAlign w:val="center"/>
            <w:hideMark/>
          </w:tcPr>
          <w:p w14:paraId="2BFD8304"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epoch_450_chunk_3</w:t>
            </w:r>
          </w:p>
        </w:tc>
        <w:tc>
          <w:tcPr>
            <w:tcW w:w="0" w:type="auto"/>
            <w:tcBorders>
              <w:top w:val="nil"/>
              <w:left w:val="nil"/>
              <w:bottom w:val="single" w:sz="4" w:space="0" w:color="CCCCCC"/>
              <w:right w:val="nil"/>
            </w:tcBorders>
            <w:shd w:val="clear" w:color="auto" w:fill="D9F2D0" w:themeFill="accent6" w:themeFillTint="33"/>
            <w:vAlign w:val="center"/>
            <w:hideMark/>
          </w:tcPr>
          <w:p w14:paraId="3797F9CF"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5C5758DF"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2.17%</w:t>
            </w:r>
          </w:p>
        </w:tc>
        <w:tc>
          <w:tcPr>
            <w:tcW w:w="0" w:type="auto"/>
            <w:tcBorders>
              <w:top w:val="nil"/>
              <w:left w:val="nil"/>
              <w:bottom w:val="single" w:sz="4" w:space="0" w:color="CCCCCC"/>
              <w:right w:val="nil"/>
            </w:tcBorders>
            <w:shd w:val="clear" w:color="auto" w:fill="D9F2D0" w:themeFill="accent6" w:themeFillTint="33"/>
            <w:vAlign w:val="center"/>
            <w:hideMark/>
          </w:tcPr>
          <w:p w14:paraId="1DF93CEE"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0.4190</w:t>
            </w:r>
          </w:p>
        </w:tc>
        <w:tc>
          <w:tcPr>
            <w:tcW w:w="0" w:type="auto"/>
            <w:tcBorders>
              <w:top w:val="nil"/>
              <w:left w:val="nil"/>
              <w:bottom w:val="single" w:sz="4" w:space="0" w:color="CCCCCC"/>
              <w:right w:val="nil"/>
            </w:tcBorders>
            <w:shd w:val="clear" w:color="auto" w:fill="D9F2D0" w:themeFill="accent6" w:themeFillTint="33"/>
            <w:vAlign w:val="center"/>
            <w:hideMark/>
          </w:tcPr>
          <w:p w14:paraId="7DA328BC"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0.4339</w:t>
            </w:r>
          </w:p>
        </w:tc>
        <w:tc>
          <w:tcPr>
            <w:tcW w:w="0" w:type="auto"/>
            <w:tcBorders>
              <w:top w:val="nil"/>
              <w:left w:val="nil"/>
              <w:bottom w:val="single" w:sz="4" w:space="0" w:color="CCCCCC"/>
              <w:right w:val="nil"/>
            </w:tcBorders>
            <w:shd w:val="clear" w:color="auto" w:fill="D9F2D0" w:themeFill="accent6" w:themeFillTint="33"/>
            <w:vAlign w:val="center"/>
            <w:hideMark/>
          </w:tcPr>
          <w:p w14:paraId="775EAFED"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+0.0149</w:t>
            </w:r>
          </w:p>
        </w:tc>
        <w:tc>
          <w:tcPr>
            <w:tcW w:w="0" w:type="auto"/>
            <w:tcBorders>
              <w:top w:val="nil"/>
              <w:left w:val="nil"/>
              <w:bottom w:val="single" w:sz="4" w:space="0" w:color="CCCCCC"/>
              <w:right w:val="nil"/>
            </w:tcBorders>
            <w:shd w:val="clear" w:color="auto" w:fill="D9F2D0" w:themeFill="accent6" w:themeFillTint="33"/>
            <w:vAlign w:val="center"/>
            <w:hideMark/>
          </w:tcPr>
          <w:p w14:paraId="06900C37"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7C66E490" w14:textId="77777777" w:rsidTr="0015526C">
        <w:trPr>
          <w:trHeight w:val="440"/>
          <w:jc w:val="center"/>
        </w:trPr>
        <w:tc>
          <w:tcPr>
            <w:tcW w:w="0" w:type="auto"/>
            <w:tcBorders>
              <w:top w:val="nil"/>
              <w:left w:val="single" w:sz="4" w:space="0" w:color="CCCCCC"/>
              <w:bottom w:val="single" w:sz="4" w:space="0" w:color="CCCCCC"/>
              <w:right w:val="nil"/>
            </w:tcBorders>
            <w:shd w:val="clear" w:color="auto" w:fill="FAE2D5" w:themeFill="accent2" w:themeFillTint="33"/>
            <w:vAlign w:val="center"/>
            <w:hideMark/>
          </w:tcPr>
          <w:p w14:paraId="6BC71D27"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18</w:t>
            </w:r>
          </w:p>
        </w:tc>
        <w:tc>
          <w:tcPr>
            <w:tcW w:w="0" w:type="auto"/>
            <w:tcBorders>
              <w:top w:val="nil"/>
              <w:left w:val="nil"/>
              <w:bottom w:val="single" w:sz="4" w:space="0" w:color="CCCCCC"/>
              <w:right w:val="nil"/>
            </w:tcBorders>
            <w:shd w:val="clear" w:color="auto" w:fill="FAE2D5" w:themeFill="accent2" w:themeFillTint="33"/>
            <w:vAlign w:val="center"/>
            <w:hideMark/>
          </w:tcPr>
          <w:p w14:paraId="50B647F8"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epoch_450_chunk_4</w:t>
            </w:r>
          </w:p>
        </w:tc>
        <w:tc>
          <w:tcPr>
            <w:tcW w:w="0" w:type="auto"/>
            <w:tcBorders>
              <w:top w:val="nil"/>
              <w:left w:val="nil"/>
              <w:bottom w:val="single" w:sz="4" w:space="0" w:color="CCCCCC"/>
              <w:right w:val="nil"/>
            </w:tcBorders>
            <w:shd w:val="clear" w:color="auto" w:fill="FAE2D5" w:themeFill="accent2" w:themeFillTint="33"/>
            <w:vAlign w:val="center"/>
            <w:hideMark/>
          </w:tcPr>
          <w:p w14:paraId="7BF3D706"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epoch_500_chunk_0</w:t>
            </w:r>
          </w:p>
        </w:tc>
        <w:tc>
          <w:tcPr>
            <w:tcW w:w="0" w:type="auto"/>
            <w:tcBorders>
              <w:top w:val="nil"/>
              <w:left w:val="nil"/>
              <w:bottom w:val="single" w:sz="4" w:space="0" w:color="CCCCCC"/>
              <w:right w:val="nil"/>
            </w:tcBorders>
            <w:shd w:val="clear" w:color="auto" w:fill="FAE2D5" w:themeFill="accent2" w:themeFillTint="33"/>
            <w:vAlign w:val="center"/>
            <w:hideMark/>
          </w:tcPr>
          <w:p w14:paraId="548CEA87"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FAE2D5" w:themeFill="accent2" w:themeFillTint="33"/>
            <w:vAlign w:val="center"/>
            <w:hideMark/>
          </w:tcPr>
          <w:p w14:paraId="3D0E25DE"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2.25%</w:t>
            </w:r>
          </w:p>
        </w:tc>
        <w:tc>
          <w:tcPr>
            <w:tcW w:w="0" w:type="auto"/>
            <w:tcBorders>
              <w:top w:val="nil"/>
              <w:left w:val="nil"/>
              <w:bottom w:val="single" w:sz="4" w:space="0" w:color="CCCCCC"/>
              <w:right w:val="nil"/>
            </w:tcBorders>
            <w:shd w:val="clear" w:color="auto" w:fill="FAE2D5" w:themeFill="accent2" w:themeFillTint="33"/>
            <w:vAlign w:val="center"/>
            <w:hideMark/>
          </w:tcPr>
          <w:p w14:paraId="62CF93E8"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0.2379</w:t>
            </w:r>
          </w:p>
        </w:tc>
        <w:tc>
          <w:tcPr>
            <w:tcW w:w="0" w:type="auto"/>
            <w:tcBorders>
              <w:top w:val="nil"/>
              <w:left w:val="nil"/>
              <w:bottom w:val="single" w:sz="4" w:space="0" w:color="CCCCCC"/>
              <w:right w:val="nil"/>
            </w:tcBorders>
            <w:shd w:val="clear" w:color="auto" w:fill="FAE2D5" w:themeFill="accent2" w:themeFillTint="33"/>
            <w:vAlign w:val="center"/>
            <w:hideMark/>
          </w:tcPr>
          <w:p w14:paraId="506A1873"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0.1602</w:t>
            </w:r>
          </w:p>
        </w:tc>
        <w:tc>
          <w:tcPr>
            <w:tcW w:w="0" w:type="auto"/>
            <w:tcBorders>
              <w:top w:val="nil"/>
              <w:left w:val="nil"/>
              <w:bottom w:val="single" w:sz="4" w:space="0" w:color="CCCCCC"/>
              <w:right w:val="nil"/>
            </w:tcBorders>
            <w:shd w:val="clear" w:color="auto" w:fill="FAE2D5" w:themeFill="accent2" w:themeFillTint="33"/>
            <w:vAlign w:val="center"/>
            <w:hideMark/>
          </w:tcPr>
          <w:p w14:paraId="1138E692" w14:textId="77777777" w:rsidR="0053755C" w:rsidRPr="0085275D" w:rsidRDefault="0053755C" w:rsidP="008D36D9">
            <w:pPr>
              <w:spacing w:after="0" w:line="240" w:lineRule="auto"/>
              <w:jc w:val="both"/>
              <w:rPr>
                <w:rFonts w:ascii="Arial" w:eastAsia="Times New Roman" w:hAnsi="Arial" w:cs="Arial"/>
                <w:b/>
                <w:bCs/>
                <w:color w:val="A93226"/>
                <w:sz w:val="18"/>
                <w:szCs w:val="18"/>
                <w:lang w:eastAsia="en-IN"/>
              </w:rPr>
            </w:pPr>
            <w:r w:rsidRPr="0085275D">
              <w:rPr>
                <w:rFonts w:ascii="Arial" w:eastAsia="Times New Roman" w:hAnsi="Arial" w:cs="Arial"/>
                <w:b/>
                <w:bCs/>
                <w:color w:val="A93226"/>
                <w:sz w:val="18"/>
                <w:szCs w:val="18"/>
                <w:lang w:eastAsia="en-IN"/>
              </w:rPr>
              <w:t>-0.0777</w:t>
            </w:r>
          </w:p>
        </w:tc>
        <w:tc>
          <w:tcPr>
            <w:tcW w:w="0" w:type="auto"/>
            <w:tcBorders>
              <w:top w:val="nil"/>
              <w:left w:val="nil"/>
              <w:bottom w:val="single" w:sz="4" w:space="0" w:color="CCCCCC"/>
              <w:right w:val="nil"/>
            </w:tcBorders>
            <w:shd w:val="clear" w:color="auto" w:fill="FAE2D5" w:themeFill="accent2" w:themeFillTint="33"/>
            <w:vAlign w:val="center"/>
            <w:hideMark/>
          </w:tcPr>
          <w:p w14:paraId="4EF22D01" w14:textId="77777777" w:rsidR="0053755C" w:rsidRPr="0085275D" w:rsidRDefault="0053755C" w:rsidP="008D36D9">
            <w:pPr>
              <w:spacing w:after="0" w:line="240" w:lineRule="auto"/>
              <w:jc w:val="both"/>
              <w:rPr>
                <w:rFonts w:ascii="Arial" w:eastAsia="Times New Roman" w:hAnsi="Arial" w:cs="Arial"/>
                <w:b/>
                <w:bCs/>
                <w:color w:val="A93226"/>
                <w:sz w:val="20"/>
                <w:szCs w:val="20"/>
                <w:lang w:eastAsia="en-IN"/>
              </w:rPr>
            </w:pPr>
            <w:r w:rsidRPr="0085275D">
              <w:rPr>
                <w:rFonts w:ascii="Arial" w:eastAsia="Times New Roman" w:hAnsi="Arial" w:cs="Arial"/>
                <w:b/>
                <w:bCs/>
                <w:color w:val="A93226"/>
                <w:sz w:val="20"/>
                <w:szCs w:val="20"/>
                <w:lang w:eastAsia="en-IN"/>
              </w:rPr>
              <w:t>NO</w:t>
            </w:r>
          </w:p>
        </w:tc>
      </w:tr>
      <w:tr w:rsidR="0053755C" w:rsidRPr="0085275D" w14:paraId="02F63FE8" w14:textId="77777777" w:rsidTr="0015526C">
        <w:trPr>
          <w:trHeight w:val="440"/>
          <w:jc w:val="center"/>
        </w:trPr>
        <w:tc>
          <w:tcPr>
            <w:tcW w:w="0" w:type="auto"/>
            <w:tcBorders>
              <w:top w:val="nil"/>
              <w:left w:val="single" w:sz="4" w:space="0" w:color="CCCCCC"/>
              <w:bottom w:val="single" w:sz="4" w:space="0" w:color="CCCCCC"/>
              <w:right w:val="nil"/>
            </w:tcBorders>
            <w:shd w:val="clear" w:color="auto" w:fill="FAE2D5" w:themeFill="accent2" w:themeFillTint="33"/>
            <w:vAlign w:val="center"/>
            <w:hideMark/>
          </w:tcPr>
          <w:p w14:paraId="125B6020"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19</w:t>
            </w:r>
          </w:p>
        </w:tc>
        <w:tc>
          <w:tcPr>
            <w:tcW w:w="0" w:type="auto"/>
            <w:tcBorders>
              <w:top w:val="nil"/>
              <w:left w:val="nil"/>
              <w:bottom w:val="single" w:sz="4" w:space="0" w:color="CCCCCC"/>
              <w:right w:val="nil"/>
            </w:tcBorders>
            <w:shd w:val="clear" w:color="auto" w:fill="FAE2D5" w:themeFill="accent2" w:themeFillTint="33"/>
            <w:vAlign w:val="center"/>
            <w:hideMark/>
          </w:tcPr>
          <w:p w14:paraId="5683702F"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epoch_650_chunk_1</w:t>
            </w:r>
          </w:p>
        </w:tc>
        <w:tc>
          <w:tcPr>
            <w:tcW w:w="0" w:type="auto"/>
            <w:tcBorders>
              <w:top w:val="nil"/>
              <w:left w:val="nil"/>
              <w:bottom w:val="single" w:sz="4" w:space="0" w:color="CCCCCC"/>
              <w:right w:val="nil"/>
            </w:tcBorders>
            <w:shd w:val="clear" w:color="auto" w:fill="FAE2D5" w:themeFill="accent2" w:themeFillTint="33"/>
            <w:vAlign w:val="center"/>
            <w:hideMark/>
          </w:tcPr>
          <w:p w14:paraId="0B739CA2"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epoch_650_chunk_2</w:t>
            </w:r>
          </w:p>
        </w:tc>
        <w:tc>
          <w:tcPr>
            <w:tcW w:w="0" w:type="auto"/>
            <w:tcBorders>
              <w:top w:val="nil"/>
              <w:left w:val="nil"/>
              <w:bottom w:val="single" w:sz="4" w:space="0" w:color="CCCCCC"/>
              <w:right w:val="nil"/>
            </w:tcBorders>
            <w:shd w:val="clear" w:color="auto" w:fill="FAE2D5" w:themeFill="accent2" w:themeFillTint="33"/>
            <w:vAlign w:val="center"/>
            <w:hideMark/>
          </w:tcPr>
          <w:p w14:paraId="6D4CB95B"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FAE2D5" w:themeFill="accent2" w:themeFillTint="33"/>
            <w:vAlign w:val="center"/>
            <w:hideMark/>
          </w:tcPr>
          <w:p w14:paraId="336FD557"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2.51%</w:t>
            </w:r>
          </w:p>
        </w:tc>
        <w:tc>
          <w:tcPr>
            <w:tcW w:w="0" w:type="auto"/>
            <w:tcBorders>
              <w:top w:val="nil"/>
              <w:left w:val="nil"/>
              <w:bottom w:val="single" w:sz="4" w:space="0" w:color="CCCCCC"/>
              <w:right w:val="nil"/>
            </w:tcBorders>
            <w:shd w:val="clear" w:color="auto" w:fill="FAE2D5" w:themeFill="accent2" w:themeFillTint="33"/>
            <w:vAlign w:val="center"/>
            <w:hideMark/>
          </w:tcPr>
          <w:p w14:paraId="6458390E"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0.4914</w:t>
            </w:r>
          </w:p>
        </w:tc>
        <w:tc>
          <w:tcPr>
            <w:tcW w:w="0" w:type="auto"/>
            <w:tcBorders>
              <w:top w:val="nil"/>
              <w:left w:val="nil"/>
              <w:bottom w:val="single" w:sz="4" w:space="0" w:color="CCCCCC"/>
              <w:right w:val="nil"/>
            </w:tcBorders>
            <w:shd w:val="clear" w:color="auto" w:fill="FAE2D5" w:themeFill="accent2" w:themeFillTint="33"/>
            <w:vAlign w:val="center"/>
            <w:hideMark/>
          </w:tcPr>
          <w:p w14:paraId="2791AEBF"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0.4882</w:t>
            </w:r>
          </w:p>
        </w:tc>
        <w:tc>
          <w:tcPr>
            <w:tcW w:w="0" w:type="auto"/>
            <w:tcBorders>
              <w:top w:val="nil"/>
              <w:left w:val="nil"/>
              <w:bottom w:val="single" w:sz="4" w:space="0" w:color="CCCCCC"/>
              <w:right w:val="nil"/>
            </w:tcBorders>
            <w:shd w:val="clear" w:color="auto" w:fill="FAE2D5" w:themeFill="accent2" w:themeFillTint="33"/>
            <w:vAlign w:val="center"/>
            <w:hideMark/>
          </w:tcPr>
          <w:p w14:paraId="1AE99501" w14:textId="77777777" w:rsidR="0053755C" w:rsidRPr="0085275D" w:rsidRDefault="0053755C" w:rsidP="008D36D9">
            <w:pPr>
              <w:spacing w:after="0" w:line="240" w:lineRule="auto"/>
              <w:jc w:val="both"/>
              <w:rPr>
                <w:rFonts w:ascii="Arial" w:eastAsia="Times New Roman" w:hAnsi="Arial" w:cs="Arial"/>
                <w:b/>
                <w:bCs/>
                <w:color w:val="A93226"/>
                <w:sz w:val="18"/>
                <w:szCs w:val="18"/>
                <w:lang w:eastAsia="en-IN"/>
              </w:rPr>
            </w:pPr>
            <w:r w:rsidRPr="0085275D">
              <w:rPr>
                <w:rFonts w:ascii="Arial" w:eastAsia="Times New Roman" w:hAnsi="Arial" w:cs="Arial"/>
                <w:b/>
                <w:bCs/>
                <w:color w:val="A93226"/>
                <w:sz w:val="18"/>
                <w:szCs w:val="18"/>
                <w:lang w:eastAsia="en-IN"/>
              </w:rPr>
              <w:t>-0.0032</w:t>
            </w:r>
          </w:p>
        </w:tc>
        <w:tc>
          <w:tcPr>
            <w:tcW w:w="0" w:type="auto"/>
            <w:tcBorders>
              <w:top w:val="nil"/>
              <w:left w:val="nil"/>
              <w:bottom w:val="single" w:sz="4" w:space="0" w:color="CCCCCC"/>
              <w:right w:val="nil"/>
            </w:tcBorders>
            <w:shd w:val="clear" w:color="auto" w:fill="FAE2D5" w:themeFill="accent2" w:themeFillTint="33"/>
            <w:vAlign w:val="center"/>
            <w:hideMark/>
          </w:tcPr>
          <w:p w14:paraId="0E060302" w14:textId="77777777" w:rsidR="0053755C" w:rsidRPr="0085275D" w:rsidRDefault="0053755C" w:rsidP="008D36D9">
            <w:pPr>
              <w:spacing w:after="0" w:line="240" w:lineRule="auto"/>
              <w:jc w:val="both"/>
              <w:rPr>
                <w:rFonts w:ascii="Arial" w:eastAsia="Times New Roman" w:hAnsi="Arial" w:cs="Arial"/>
                <w:b/>
                <w:bCs/>
                <w:color w:val="A93226"/>
                <w:sz w:val="20"/>
                <w:szCs w:val="20"/>
                <w:lang w:eastAsia="en-IN"/>
              </w:rPr>
            </w:pPr>
            <w:r w:rsidRPr="0085275D">
              <w:rPr>
                <w:rFonts w:ascii="Arial" w:eastAsia="Times New Roman" w:hAnsi="Arial" w:cs="Arial"/>
                <w:b/>
                <w:bCs/>
                <w:color w:val="A93226"/>
                <w:sz w:val="20"/>
                <w:szCs w:val="20"/>
                <w:lang w:eastAsia="en-IN"/>
              </w:rPr>
              <w:t>NO</w:t>
            </w:r>
          </w:p>
        </w:tc>
      </w:tr>
      <w:tr w:rsidR="0053755C" w:rsidRPr="0085275D" w14:paraId="447901D1"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3BFE4C72"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20</w:t>
            </w:r>
          </w:p>
        </w:tc>
        <w:tc>
          <w:tcPr>
            <w:tcW w:w="0" w:type="auto"/>
            <w:tcBorders>
              <w:top w:val="nil"/>
              <w:left w:val="nil"/>
              <w:bottom w:val="single" w:sz="4" w:space="0" w:color="CCCCCC"/>
              <w:right w:val="nil"/>
            </w:tcBorders>
            <w:shd w:val="clear" w:color="auto" w:fill="D9F2D0" w:themeFill="accent6" w:themeFillTint="33"/>
            <w:vAlign w:val="center"/>
            <w:hideMark/>
          </w:tcPr>
          <w:p w14:paraId="25C78EDB"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epoch_650_chunk_2</w:t>
            </w:r>
          </w:p>
        </w:tc>
        <w:tc>
          <w:tcPr>
            <w:tcW w:w="0" w:type="auto"/>
            <w:tcBorders>
              <w:top w:val="nil"/>
              <w:left w:val="nil"/>
              <w:bottom w:val="single" w:sz="4" w:space="0" w:color="CCCCCC"/>
              <w:right w:val="nil"/>
            </w:tcBorders>
            <w:shd w:val="clear" w:color="auto" w:fill="D9F2D0" w:themeFill="accent6" w:themeFillTint="33"/>
            <w:vAlign w:val="center"/>
            <w:hideMark/>
          </w:tcPr>
          <w:p w14:paraId="73C01F14"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epoch_650_chunk_3</w:t>
            </w:r>
          </w:p>
        </w:tc>
        <w:tc>
          <w:tcPr>
            <w:tcW w:w="0" w:type="auto"/>
            <w:tcBorders>
              <w:top w:val="nil"/>
              <w:left w:val="nil"/>
              <w:bottom w:val="single" w:sz="4" w:space="0" w:color="CCCCCC"/>
              <w:right w:val="nil"/>
            </w:tcBorders>
            <w:shd w:val="clear" w:color="auto" w:fill="D9F2D0" w:themeFill="accent6" w:themeFillTint="33"/>
            <w:vAlign w:val="center"/>
            <w:hideMark/>
          </w:tcPr>
          <w:p w14:paraId="2C7532F6"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2730C20A"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3.27%</w:t>
            </w:r>
          </w:p>
        </w:tc>
        <w:tc>
          <w:tcPr>
            <w:tcW w:w="0" w:type="auto"/>
            <w:tcBorders>
              <w:top w:val="nil"/>
              <w:left w:val="nil"/>
              <w:bottom w:val="single" w:sz="4" w:space="0" w:color="CCCCCC"/>
              <w:right w:val="nil"/>
            </w:tcBorders>
            <w:shd w:val="clear" w:color="auto" w:fill="D9F2D0" w:themeFill="accent6" w:themeFillTint="33"/>
            <w:vAlign w:val="center"/>
            <w:hideMark/>
          </w:tcPr>
          <w:p w14:paraId="1490B5BA"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0.4882</w:t>
            </w:r>
          </w:p>
        </w:tc>
        <w:tc>
          <w:tcPr>
            <w:tcW w:w="0" w:type="auto"/>
            <w:tcBorders>
              <w:top w:val="nil"/>
              <w:left w:val="nil"/>
              <w:bottom w:val="single" w:sz="4" w:space="0" w:color="CCCCCC"/>
              <w:right w:val="nil"/>
            </w:tcBorders>
            <w:shd w:val="clear" w:color="auto" w:fill="D9F2D0" w:themeFill="accent6" w:themeFillTint="33"/>
            <w:vAlign w:val="center"/>
            <w:hideMark/>
          </w:tcPr>
          <w:p w14:paraId="0E986DF9"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0.5088</w:t>
            </w:r>
          </w:p>
        </w:tc>
        <w:tc>
          <w:tcPr>
            <w:tcW w:w="0" w:type="auto"/>
            <w:tcBorders>
              <w:top w:val="nil"/>
              <w:left w:val="nil"/>
              <w:bottom w:val="single" w:sz="4" w:space="0" w:color="CCCCCC"/>
              <w:right w:val="nil"/>
            </w:tcBorders>
            <w:shd w:val="clear" w:color="auto" w:fill="D9F2D0" w:themeFill="accent6" w:themeFillTint="33"/>
            <w:vAlign w:val="center"/>
            <w:hideMark/>
          </w:tcPr>
          <w:p w14:paraId="08BFB54A"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+0.0206</w:t>
            </w:r>
          </w:p>
        </w:tc>
        <w:tc>
          <w:tcPr>
            <w:tcW w:w="0" w:type="auto"/>
            <w:tcBorders>
              <w:top w:val="nil"/>
              <w:left w:val="nil"/>
              <w:bottom w:val="single" w:sz="4" w:space="0" w:color="CCCCCC"/>
              <w:right w:val="nil"/>
            </w:tcBorders>
            <w:shd w:val="clear" w:color="auto" w:fill="D9F2D0" w:themeFill="accent6" w:themeFillTint="33"/>
            <w:vAlign w:val="center"/>
            <w:hideMark/>
          </w:tcPr>
          <w:p w14:paraId="3D9A8477"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01ADF432"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714792CD"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21</w:t>
            </w:r>
          </w:p>
        </w:tc>
        <w:tc>
          <w:tcPr>
            <w:tcW w:w="0" w:type="auto"/>
            <w:tcBorders>
              <w:top w:val="nil"/>
              <w:left w:val="nil"/>
              <w:bottom w:val="single" w:sz="4" w:space="0" w:color="CCCCCC"/>
              <w:right w:val="nil"/>
            </w:tcBorders>
            <w:shd w:val="clear" w:color="auto" w:fill="D9F2D0" w:themeFill="accent6" w:themeFillTint="33"/>
            <w:vAlign w:val="center"/>
            <w:hideMark/>
          </w:tcPr>
          <w:p w14:paraId="61D7C78B"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epoch_700_chunk_2</w:t>
            </w:r>
          </w:p>
        </w:tc>
        <w:tc>
          <w:tcPr>
            <w:tcW w:w="0" w:type="auto"/>
            <w:tcBorders>
              <w:top w:val="nil"/>
              <w:left w:val="nil"/>
              <w:bottom w:val="single" w:sz="4" w:space="0" w:color="CCCCCC"/>
              <w:right w:val="nil"/>
            </w:tcBorders>
            <w:shd w:val="clear" w:color="auto" w:fill="D9F2D0" w:themeFill="accent6" w:themeFillTint="33"/>
            <w:vAlign w:val="center"/>
            <w:hideMark/>
          </w:tcPr>
          <w:p w14:paraId="2E0F101D"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epoch_700_chunk_3</w:t>
            </w:r>
          </w:p>
        </w:tc>
        <w:tc>
          <w:tcPr>
            <w:tcW w:w="0" w:type="auto"/>
            <w:tcBorders>
              <w:top w:val="nil"/>
              <w:left w:val="nil"/>
              <w:bottom w:val="single" w:sz="4" w:space="0" w:color="CCCCCC"/>
              <w:right w:val="nil"/>
            </w:tcBorders>
            <w:shd w:val="clear" w:color="auto" w:fill="D9F2D0" w:themeFill="accent6" w:themeFillTint="33"/>
            <w:vAlign w:val="center"/>
            <w:hideMark/>
          </w:tcPr>
          <w:p w14:paraId="12EA029A"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36728E29"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2.31%</w:t>
            </w:r>
          </w:p>
        </w:tc>
        <w:tc>
          <w:tcPr>
            <w:tcW w:w="0" w:type="auto"/>
            <w:tcBorders>
              <w:top w:val="nil"/>
              <w:left w:val="nil"/>
              <w:bottom w:val="single" w:sz="4" w:space="0" w:color="CCCCCC"/>
              <w:right w:val="nil"/>
            </w:tcBorders>
            <w:shd w:val="clear" w:color="auto" w:fill="D9F2D0" w:themeFill="accent6" w:themeFillTint="33"/>
            <w:vAlign w:val="center"/>
            <w:hideMark/>
          </w:tcPr>
          <w:p w14:paraId="63C487EB"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0.3961</w:t>
            </w:r>
          </w:p>
        </w:tc>
        <w:tc>
          <w:tcPr>
            <w:tcW w:w="0" w:type="auto"/>
            <w:tcBorders>
              <w:top w:val="nil"/>
              <w:left w:val="nil"/>
              <w:bottom w:val="single" w:sz="4" w:space="0" w:color="CCCCCC"/>
              <w:right w:val="nil"/>
            </w:tcBorders>
            <w:shd w:val="clear" w:color="auto" w:fill="D9F2D0" w:themeFill="accent6" w:themeFillTint="33"/>
            <w:vAlign w:val="center"/>
            <w:hideMark/>
          </w:tcPr>
          <w:p w14:paraId="059F3816"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0.4235</w:t>
            </w:r>
          </w:p>
        </w:tc>
        <w:tc>
          <w:tcPr>
            <w:tcW w:w="0" w:type="auto"/>
            <w:tcBorders>
              <w:top w:val="nil"/>
              <w:left w:val="nil"/>
              <w:bottom w:val="single" w:sz="4" w:space="0" w:color="CCCCCC"/>
              <w:right w:val="nil"/>
            </w:tcBorders>
            <w:shd w:val="clear" w:color="auto" w:fill="D9F2D0" w:themeFill="accent6" w:themeFillTint="33"/>
            <w:vAlign w:val="center"/>
            <w:hideMark/>
          </w:tcPr>
          <w:p w14:paraId="4837652E"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+0.0274</w:t>
            </w:r>
          </w:p>
        </w:tc>
        <w:tc>
          <w:tcPr>
            <w:tcW w:w="0" w:type="auto"/>
            <w:tcBorders>
              <w:top w:val="nil"/>
              <w:left w:val="nil"/>
              <w:bottom w:val="single" w:sz="4" w:space="0" w:color="CCCCCC"/>
              <w:right w:val="nil"/>
            </w:tcBorders>
            <w:shd w:val="clear" w:color="auto" w:fill="D9F2D0" w:themeFill="accent6" w:themeFillTint="33"/>
            <w:vAlign w:val="center"/>
            <w:hideMark/>
          </w:tcPr>
          <w:p w14:paraId="1031709A"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r w:rsidR="0053755C" w:rsidRPr="0085275D" w14:paraId="3C4A3DAB" w14:textId="77777777" w:rsidTr="0015526C">
        <w:trPr>
          <w:trHeight w:val="440"/>
          <w:jc w:val="center"/>
        </w:trPr>
        <w:tc>
          <w:tcPr>
            <w:tcW w:w="0" w:type="auto"/>
            <w:tcBorders>
              <w:top w:val="nil"/>
              <w:left w:val="single" w:sz="4" w:space="0" w:color="CCCCCC"/>
              <w:bottom w:val="single" w:sz="4" w:space="0" w:color="CCCCCC"/>
              <w:right w:val="nil"/>
            </w:tcBorders>
            <w:shd w:val="clear" w:color="auto" w:fill="D9F2D0" w:themeFill="accent6" w:themeFillTint="33"/>
            <w:vAlign w:val="center"/>
            <w:hideMark/>
          </w:tcPr>
          <w:p w14:paraId="097DE2FB" w14:textId="77777777" w:rsidR="0053755C" w:rsidRPr="0085275D" w:rsidRDefault="0053755C" w:rsidP="008D36D9">
            <w:pPr>
              <w:spacing w:after="0" w:line="240" w:lineRule="auto"/>
              <w:jc w:val="both"/>
              <w:rPr>
                <w:rFonts w:ascii="Arial" w:eastAsia="Times New Roman" w:hAnsi="Arial" w:cs="Arial"/>
                <w:b/>
                <w:bCs/>
                <w:color w:val="1A3A5C"/>
                <w:sz w:val="18"/>
                <w:szCs w:val="18"/>
                <w:lang w:eastAsia="en-IN"/>
              </w:rPr>
            </w:pPr>
            <w:r w:rsidRPr="0085275D">
              <w:rPr>
                <w:rFonts w:ascii="Arial" w:eastAsia="Times New Roman" w:hAnsi="Arial" w:cs="Arial"/>
                <w:b/>
                <w:bCs/>
                <w:color w:val="1A3A5C"/>
                <w:sz w:val="18"/>
                <w:szCs w:val="18"/>
                <w:lang w:eastAsia="en-IN"/>
              </w:rPr>
              <w:t>22</w:t>
            </w:r>
          </w:p>
        </w:tc>
        <w:tc>
          <w:tcPr>
            <w:tcW w:w="0" w:type="auto"/>
            <w:tcBorders>
              <w:top w:val="nil"/>
              <w:left w:val="nil"/>
              <w:bottom w:val="single" w:sz="4" w:space="0" w:color="CCCCCC"/>
              <w:right w:val="nil"/>
            </w:tcBorders>
            <w:shd w:val="clear" w:color="auto" w:fill="D9F2D0" w:themeFill="accent6" w:themeFillTint="33"/>
            <w:vAlign w:val="center"/>
            <w:hideMark/>
          </w:tcPr>
          <w:p w14:paraId="3D796F3C"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epoch_750_chunk_1</w:t>
            </w:r>
          </w:p>
        </w:tc>
        <w:tc>
          <w:tcPr>
            <w:tcW w:w="0" w:type="auto"/>
            <w:tcBorders>
              <w:top w:val="nil"/>
              <w:left w:val="nil"/>
              <w:bottom w:val="single" w:sz="4" w:space="0" w:color="CCCCCC"/>
              <w:right w:val="nil"/>
            </w:tcBorders>
            <w:shd w:val="clear" w:color="auto" w:fill="D9F2D0" w:themeFill="accent6" w:themeFillTint="33"/>
            <w:vAlign w:val="center"/>
            <w:hideMark/>
          </w:tcPr>
          <w:p w14:paraId="76AD162B"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epoch_750_chunk_2</w:t>
            </w:r>
          </w:p>
        </w:tc>
        <w:tc>
          <w:tcPr>
            <w:tcW w:w="0" w:type="auto"/>
            <w:tcBorders>
              <w:top w:val="nil"/>
              <w:left w:val="nil"/>
              <w:bottom w:val="single" w:sz="4" w:space="0" w:color="CCCCCC"/>
              <w:right w:val="nil"/>
            </w:tcBorders>
            <w:shd w:val="clear" w:color="auto" w:fill="D9F2D0" w:themeFill="accent6" w:themeFillTint="33"/>
            <w:vAlign w:val="center"/>
            <w:hideMark/>
          </w:tcPr>
          <w:p w14:paraId="6938682E" w14:textId="77777777" w:rsidR="0053755C" w:rsidRPr="0085275D" w:rsidRDefault="0053755C" w:rsidP="008D36D9">
            <w:pPr>
              <w:spacing w:after="0" w:line="240" w:lineRule="auto"/>
              <w:jc w:val="both"/>
              <w:rPr>
                <w:rFonts w:ascii="Arial" w:eastAsia="Times New Roman" w:hAnsi="Arial" w:cs="Arial"/>
                <w:color w:val="2C3E50"/>
                <w:sz w:val="18"/>
                <w:szCs w:val="18"/>
                <w:lang w:eastAsia="en-IN"/>
              </w:rPr>
            </w:pPr>
            <w:r w:rsidRPr="0085275D">
              <w:rPr>
                <w:rFonts w:ascii="Arial" w:eastAsia="Times New Roman" w:hAnsi="Arial" w:cs="Arial"/>
                <w:color w:val="2C3E50"/>
                <w:sz w:val="18"/>
                <w:szCs w:val="18"/>
                <w:lang w:eastAsia="en-IN"/>
              </w:rPr>
              <w:t xml:space="preserve">Neg </w:t>
            </w:r>
            <w:proofErr w:type="spellStart"/>
            <w:r w:rsidRPr="0085275D">
              <w:rPr>
                <w:rFonts w:ascii="Arial" w:eastAsia="Times New Roman" w:hAnsi="Arial" w:cs="Arial"/>
                <w:color w:val="2C3E50"/>
                <w:sz w:val="18"/>
                <w:szCs w:val="18"/>
                <w:lang w:eastAsia="en-IN"/>
              </w:rPr>
              <w:t>BootstrapFewShot</w:t>
            </w:r>
            <w:proofErr w:type="spellEnd"/>
          </w:p>
        </w:tc>
        <w:tc>
          <w:tcPr>
            <w:tcW w:w="0" w:type="auto"/>
            <w:tcBorders>
              <w:top w:val="nil"/>
              <w:left w:val="nil"/>
              <w:bottom w:val="single" w:sz="4" w:space="0" w:color="CCCCCC"/>
              <w:right w:val="nil"/>
            </w:tcBorders>
            <w:shd w:val="clear" w:color="auto" w:fill="D9F2D0" w:themeFill="accent6" w:themeFillTint="33"/>
            <w:vAlign w:val="center"/>
            <w:hideMark/>
          </w:tcPr>
          <w:p w14:paraId="34019097" w14:textId="77777777" w:rsidR="0053755C" w:rsidRPr="0085275D" w:rsidRDefault="0053755C" w:rsidP="008D36D9">
            <w:pPr>
              <w:spacing w:after="0" w:line="240" w:lineRule="auto"/>
              <w:jc w:val="both"/>
              <w:rPr>
                <w:rFonts w:ascii="Arial" w:eastAsia="Times New Roman" w:hAnsi="Arial" w:cs="Arial"/>
                <w:b/>
                <w:bCs/>
                <w:color w:val="854F0B"/>
                <w:sz w:val="18"/>
                <w:szCs w:val="18"/>
                <w:lang w:eastAsia="en-IN"/>
              </w:rPr>
            </w:pPr>
            <w:r w:rsidRPr="0085275D">
              <w:rPr>
                <w:rFonts w:ascii="Arial" w:eastAsia="Times New Roman" w:hAnsi="Arial" w:cs="Arial"/>
                <w:b/>
                <w:bCs/>
                <w:color w:val="854F0B"/>
                <w:sz w:val="18"/>
                <w:szCs w:val="18"/>
                <w:lang w:eastAsia="en-IN"/>
              </w:rPr>
              <w:t>2.81%</w:t>
            </w:r>
          </w:p>
        </w:tc>
        <w:tc>
          <w:tcPr>
            <w:tcW w:w="0" w:type="auto"/>
            <w:tcBorders>
              <w:top w:val="nil"/>
              <w:left w:val="nil"/>
              <w:bottom w:val="single" w:sz="4" w:space="0" w:color="CCCCCC"/>
              <w:right w:val="nil"/>
            </w:tcBorders>
            <w:shd w:val="clear" w:color="auto" w:fill="D9F2D0" w:themeFill="accent6" w:themeFillTint="33"/>
            <w:vAlign w:val="center"/>
            <w:hideMark/>
          </w:tcPr>
          <w:p w14:paraId="3B14CF91"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0.3223</w:t>
            </w:r>
          </w:p>
        </w:tc>
        <w:tc>
          <w:tcPr>
            <w:tcW w:w="0" w:type="auto"/>
            <w:tcBorders>
              <w:top w:val="nil"/>
              <w:left w:val="nil"/>
              <w:bottom w:val="single" w:sz="4" w:space="0" w:color="CCCCCC"/>
              <w:right w:val="nil"/>
            </w:tcBorders>
            <w:shd w:val="clear" w:color="auto" w:fill="D9F2D0" w:themeFill="accent6" w:themeFillTint="33"/>
            <w:vAlign w:val="center"/>
            <w:hideMark/>
          </w:tcPr>
          <w:p w14:paraId="286BB7EE" w14:textId="77777777" w:rsidR="0053755C" w:rsidRPr="0085275D" w:rsidRDefault="0053755C" w:rsidP="008D36D9">
            <w:pPr>
              <w:spacing w:after="0" w:line="240" w:lineRule="auto"/>
              <w:jc w:val="both"/>
              <w:rPr>
                <w:rFonts w:ascii="Arial" w:eastAsia="Times New Roman" w:hAnsi="Arial" w:cs="Arial"/>
                <w:b/>
                <w:bCs/>
                <w:color w:val="534AB7"/>
                <w:sz w:val="18"/>
                <w:szCs w:val="18"/>
                <w:lang w:eastAsia="en-IN"/>
              </w:rPr>
            </w:pPr>
            <w:r w:rsidRPr="0085275D">
              <w:rPr>
                <w:rFonts w:ascii="Arial" w:eastAsia="Times New Roman" w:hAnsi="Arial" w:cs="Arial"/>
                <w:b/>
                <w:bCs/>
                <w:color w:val="534AB7"/>
                <w:sz w:val="18"/>
                <w:szCs w:val="18"/>
                <w:lang w:eastAsia="en-IN"/>
              </w:rPr>
              <w:t>0.5286</w:t>
            </w:r>
          </w:p>
        </w:tc>
        <w:tc>
          <w:tcPr>
            <w:tcW w:w="0" w:type="auto"/>
            <w:tcBorders>
              <w:top w:val="nil"/>
              <w:left w:val="nil"/>
              <w:bottom w:val="single" w:sz="4" w:space="0" w:color="CCCCCC"/>
              <w:right w:val="nil"/>
            </w:tcBorders>
            <w:shd w:val="clear" w:color="auto" w:fill="D9F2D0" w:themeFill="accent6" w:themeFillTint="33"/>
            <w:vAlign w:val="center"/>
            <w:hideMark/>
          </w:tcPr>
          <w:p w14:paraId="477BFF86" w14:textId="77777777" w:rsidR="0053755C" w:rsidRPr="0085275D" w:rsidRDefault="0053755C" w:rsidP="008D36D9">
            <w:pPr>
              <w:spacing w:after="0" w:line="240" w:lineRule="auto"/>
              <w:jc w:val="both"/>
              <w:rPr>
                <w:rFonts w:ascii="Arial" w:eastAsia="Times New Roman" w:hAnsi="Arial" w:cs="Arial"/>
                <w:b/>
                <w:bCs/>
                <w:color w:val="1D6B3A"/>
                <w:sz w:val="18"/>
                <w:szCs w:val="18"/>
                <w:lang w:eastAsia="en-IN"/>
              </w:rPr>
            </w:pPr>
            <w:r w:rsidRPr="0085275D">
              <w:rPr>
                <w:rFonts w:ascii="Arial" w:eastAsia="Times New Roman" w:hAnsi="Arial" w:cs="Arial"/>
                <w:b/>
                <w:bCs/>
                <w:color w:val="1D6B3A"/>
                <w:sz w:val="18"/>
                <w:szCs w:val="18"/>
                <w:lang w:eastAsia="en-IN"/>
              </w:rPr>
              <w:t>+0.2062</w:t>
            </w:r>
          </w:p>
        </w:tc>
        <w:tc>
          <w:tcPr>
            <w:tcW w:w="0" w:type="auto"/>
            <w:tcBorders>
              <w:top w:val="nil"/>
              <w:left w:val="nil"/>
              <w:bottom w:val="single" w:sz="4" w:space="0" w:color="CCCCCC"/>
              <w:right w:val="nil"/>
            </w:tcBorders>
            <w:shd w:val="clear" w:color="auto" w:fill="D9F2D0" w:themeFill="accent6" w:themeFillTint="33"/>
            <w:vAlign w:val="center"/>
            <w:hideMark/>
          </w:tcPr>
          <w:p w14:paraId="7B069E41" w14:textId="77777777" w:rsidR="0053755C" w:rsidRPr="0085275D" w:rsidRDefault="0053755C" w:rsidP="008D36D9">
            <w:pPr>
              <w:spacing w:after="0" w:line="240" w:lineRule="auto"/>
              <w:jc w:val="both"/>
              <w:rPr>
                <w:rFonts w:ascii="Arial" w:eastAsia="Times New Roman" w:hAnsi="Arial" w:cs="Arial"/>
                <w:b/>
                <w:bCs/>
                <w:color w:val="1D6B3A"/>
                <w:sz w:val="20"/>
                <w:szCs w:val="20"/>
                <w:lang w:eastAsia="en-IN"/>
              </w:rPr>
            </w:pPr>
            <w:r w:rsidRPr="0085275D">
              <w:rPr>
                <w:rFonts w:ascii="Arial" w:eastAsia="Times New Roman" w:hAnsi="Arial" w:cs="Arial"/>
                <w:b/>
                <w:bCs/>
                <w:color w:val="1D6B3A"/>
                <w:sz w:val="20"/>
                <w:szCs w:val="20"/>
                <w:lang w:eastAsia="en-IN"/>
              </w:rPr>
              <w:t>YES</w:t>
            </w:r>
          </w:p>
        </w:tc>
      </w:tr>
    </w:tbl>
    <w:p w14:paraId="30F22998" w14:textId="083878A6" w:rsidR="00F43076" w:rsidRDefault="00F43076" w:rsidP="008D36D9">
      <w:pPr>
        <w:jc w:val="both"/>
      </w:pPr>
    </w:p>
    <w:p w14:paraId="1EA0570E" w14:textId="77777777" w:rsidR="0085275D" w:rsidRDefault="0085275D" w:rsidP="008D36D9">
      <w:pPr>
        <w:jc w:val="both"/>
      </w:pPr>
    </w:p>
    <w:p w14:paraId="27128DBC" w14:textId="75A934CB" w:rsidR="00B21AC3" w:rsidRPr="00B21AC3" w:rsidRDefault="00B21AC3" w:rsidP="008D36D9">
      <w:pPr>
        <w:jc w:val="both"/>
      </w:pPr>
      <w:r w:rsidRPr="00B21AC3">
        <w:t>Across all 2</w:t>
      </w:r>
      <w:r w:rsidR="0053755C">
        <w:t>1</w:t>
      </w:r>
      <w:r w:rsidRPr="00B21AC3">
        <w:t xml:space="preserve"> Negative </w:t>
      </w:r>
      <w:proofErr w:type="spellStart"/>
      <w:r w:rsidRPr="00B21AC3">
        <w:t>BootstrapFewShot</w:t>
      </w:r>
      <w:proofErr w:type="spellEnd"/>
      <w:r w:rsidRPr="00B21AC3">
        <w:t xml:space="preserve"> triggers, performance improved in the following window in 1</w:t>
      </w:r>
      <w:r w:rsidR="0053755C">
        <w:t>6</w:t>
      </w:r>
      <w:r w:rsidRPr="00B21AC3">
        <w:t xml:space="preserve"> out of 2</w:t>
      </w:r>
      <w:r w:rsidR="0053755C">
        <w:t>1</w:t>
      </w:r>
      <w:r w:rsidRPr="00B21AC3">
        <w:t xml:space="preserve"> cases, representing an improvement rate of </w:t>
      </w:r>
      <w:r w:rsidR="0053755C">
        <w:t xml:space="preserve">approx. </w:t>
      </w:r>
      <w:r w:rsidRPr="00B21AC3">
        <w:t>7</w:t>
      </w:r>
      <w:r w:rsidR="0053755C">
        <w:t>6</w:t>
      </w:r>
      <w:r w:rsidRPr="00B21AC3">
        <w:t>%. This is a strong result and provides clear quantitative evidence that the feedback loop mechanism was genuinely effective at helping the system self-correct following periods of elevated drawdown.</w:t>
      </w:r>
    </w:p>
    <w:p w14:paraId="00BD5C99" w14:textId="77777777" w:rsidR="0053755C" w:rsidRDefault="00B21AC3" w:rsidP="008D36D9">
      <w:pPr>
        <w:jc w:val="both"/>
        <w:sectPr w:rsidR="0053755C" w:rsidSect="008D36D9">
          <w:pgSz w:w="16838" w:h="11906" w:orient="landscape"/>
          <w:pgMar w:top="1440" w:right="1440" w:bottom="1440" w:left="1440" w:header="709" w:footer="709" w:gutter="0"/>
          <w:cols w:space="708"/>
          <w:docGrid w:linePitch="360"/>
        </w:sectPr>
      </w:pPr>
      <w:r w:rsidRPr="00B21AC3">
        <w:t xml:space="preserve">The composite reward score showed a clear upward trend across the full 80 windows of Phase 1, rising from 0.3192 at the first window to a peak of 0.5555 at epoch 750 chunk 3, which represented the point at which the cumulative return had reached 90.39%. The final window reward of 0.2253 was lower than the peak, </w:t>
      </w:r>
      <w:r w:rsidR="0053755C">
        <w:t xml:space="preserve">which shows that there was little pullback </w:t>
      </w:r>
      <w:r w:rsidRPr="00B21AC3">
        <w:t xml:space="preserve">portfolio experienced in the final weeks of Phase 1 as the broader market </w:t>
      </w:r>
    </w:p>
    <w:p w14:paraId="4080D712" w14:textId="7AD2A2C8" w:rsidR="0053755C" w:rsidRDefault="00B21AC3" w:rsidP="008D36D9">
      <w:pPr>
        <w:jc w:val="both"/>
      </w:pPr>
      <w:r w:rsidRPr="00B21AC3">
        <w:lastRenderedPageBreak/>
        <w:t xml:space="preserve">entered its early 2018 correction. Looking at the individual reward components, the returns component showed the most dramatic improvement, growing from 0.0088 at the first window to 0.8476 at the last, directly reflecting the portfolio's strong cumulative return of 84.76% over the full phase. </w:t>
      </w:r>
    </w:p>
    <w:p w14:paraId="49432E63" w14:textId="44E57CB5" w:rsidR="00012768" w:rsidRDefault="0053755C" w:rsidP="008D36D9">
      <w:pPr>
        <w:jc w:val="both"/>
      </w:pPr>
      <w:r>
        <w:t xml:space="preserve">Phase1 detailed analysis has been completed now going to do deep down analysis of Phase 3 which is going to be interesting, reason being that it is the Phase where major crash </w:t>
      </w:r>
      <w:r w:rsidR="00EC2FB1">
        <w:t>happens</w:t>
      </w:r>
      <w:r>
        <w:t xml:space="preserve"> due to covid. </w:t>
      </w:r>
      <w:r w:rsidR="00EC2FB1">
        <w:t xml:space="preserve"> </w:t>
      </w:r>
      <w:r w:rsidR="00012768">
        <w:t xml:space="preserve"> Results will be interesting to watch because of frameworks nature which can do Short as well as Buy too.</w:t>
      </w:r>
    </w:p>
    <w:p w14:paraId="709B86EA" w14:textId="77777777" w:rsidR="00E55D0F" w:rsidRDefault="00E55D0F" w:rsidP="008D36D9">
      <w:pPr>
        <w:jc w:val="both"/>
      </w:pPr>
    </w:p>
    <w:p w14:paraId="367E5382" w14:textId="0DDDC629" w:rsidR="00012768" w:rsidRDefault="00012768" w:rsidP="008D36D9">
      <w:pPr>
        <w:pStyle w:val="Heading3"/>
        <w:jc w:val="both"/>
      </w:pPr>
      <w:bookmarkStart w:id="73" w:name="_Toc228577635"/>
      <w:r>
        <w:t>4.2 Phase 3</w:t>
      </w:r>
      <w:bookmarkEnd w:id="73"/>
    </w:p>
    <w:p w14:paraId="6B3A08BB" w14:textId="77777777" w:rsidR="00263CE2" w:rsidRDefault="00263CE2" w:rsidP="008D36D9">
      <w:pPr>
        <w:jc w:val="both"/>
      </w:pPr>
    </w:p>
    <w:p w14:paraId="5BC7B64B" w14:textId="503315CD" w:rsidR="00012768" w:rsidRDefault="00263CE2" w:rsidP="008D36D9">
      <w:pPr>
        <w:jc w:val="both"/>
      </w:pPr>
      <w:r w:rsidRPr="00263CE2">
        <w:t xml:space="preserve">Phase 3 results </w:t>
      </w:r>
      <w:r>
        <w:t xml:space="preserve">cover </w:t>
      </w:r>
      <w:r w:rsidRPr="00263CE2">
        <w:t>the period from July 2019 to December 2020</w:t>
      </w:r>
      <w:r>
        <w:t xml:space="preserve">. In this section we are going to </w:t>
      </w:r>
      <w:r w:rsidR="00CB2397">
        <w:t xml:space="preserve">discuss about overall </w:t>
      </w:r>
      <w:r w:rsidRPr="00263CE2">
        <w:t xml:space="preserve">portfolio performance, trade analysis, signal behaviour, and the effectiveness of the dynamic prompt optimisation mechanism across 370 trading days. Phase 3 represents the most challenging evaluation environment </w:t>
      </w:r>
      <w:r w:rsidR="00CB2397">
        <w:t xml:space="preserve">out </w:t>
      </w:r>
      <w:r w:rsidRPr="00263CE2">
        <w:t xml:space="preserve">of the two phases, </w:t>
      </w:r>
      <w:r w:rsidR="00CB2397">
        <w:t xml:space="preserve">consisting of </w:t>
      </w:r>
      <w:r w:rsidRPr="00263CE2">
        <w:t xml:space="preserve">three different market </w:t>
      </w:r>
      <w:r w:rsidR="00CB2397">
        <w:t xml:space="preserve">condition </w:t>
      </w:r>
      <w:r w:rsidRPr="00263CE2">
        <w:t xml:space="preserve">within a single 18-month </w:t>
      </w:r>
      <w:r w:rsidR="00CB2397" w:rsidRPr="00263CE2">
        <w:t>window</w:t>
      </w:r>
      <w:r w:rsidR="00CB2397">
        <w:t xml:space="preserve">, </w:t>
      </w:r>
      <w:r w:rsidR="00CB2397" w:rsidRPr="00263CE2">
        <w:t>the</w:t>
      </w:r>
      <w:r w:rsidRPr="00263CE2">
        <w:t xml:space="preserve"> pre-COVID bull market expansion of late 2019, the fastest market crash in modern history triggered by the COVID-19 pandemic in February and March 2020, and the remarkable recovery </w:t>
      </w:r>
      <w:r w:rsidR="00CB2397">
        <w:t>after covid crash.</w:t>
      </w:r>
    </w:p>
    <w:p w14:paraId="2C5FC871" w14:textId="77777777" w:rsidR="00DF0C2B" w:rsidRDefault="00DF0C2B" w:rsidP="008D36D9">
      <w:pPr>
        <w:jc w:val="both"/>
      </w:pPr>
    </w:p>
    <w:p w14:paraId="244806A0" w14:textId="54912774" w:rsidR="00DF0C2B" w:rsidRPr="00DF0C2B" w:rsidRDefault="00DF0C2B" w:rsidP="008D36D9">
      <w:pPr>
        <w:jc w:val="both"/>
        <w:rPr>
          <w:b/>
          <w:bCs/>
        </w:rPr>
      </w:pPr>
      <w:r w:rsidRPr="00DF0C2B">
        <w:rPr>
          <w:b/>
          <w:bCs/>
        </w:rPr>
        <w:t xml:space="preserve">IMP: </w:t>
      </w:r>
      <w:r w:rsidRPr="00DF0C2B">
        <w:t xml:space="preserve">Here we have used best optimised prompt that we got from phase1 run, so </w:t>
      </w:r>
      <w:proofErr w:type="spellStart"/>
      <w:r w:rsidRPr="00DF0C2B">
        <w:t>bedstone</w:t>
      </w:r>
      <w:proofErr w:type="spellEnd"/>
      <w:r w:rsidRPr="00DF0C2B">
        <w:t xml:space="preserve"> prompt for this run were the optimised prompt present in phase1</w:t>
      </w:r>
    </w:p>
    <w:p w14:paraId="4C324A5A" w14:textId="77777777" w:rsidR="00CB2397" w:rsidRDefault="00CB2397" w:rsidP="008D36D9">
      <w:pPr>
        <w:jc w:val="both"/>
      </w:pPr>
    </w:p>
    <w:p w14:paraId="744F00F0" w14:textId="09A84E02" w:rsidR="00012768" w:rsidRPr="00E55D0F" w:rsidRDefault="00012768" w:rsidP="008D36D9">
      <w:pPr>
        <w:pStyle w:val="Heading4"/>
        <w:jc w:val="both"/>
      </w:pPr>
      <w:r w:rsidRPr="00E55D0F">
        <w:t>4.2.</w:t>
      </w:r>
      <w:r w:rsidR="00263CE2" w:rsidRPr="00E55D0F">
        <w:t>1</w:t>
      </w:r>
      <w:r w:rsidRPr="00E55D0F">
        <w:t xml:space="preserve"> Portfolio Performance  </w:t>
      </w:r>
    </w:p>
    <w:p w14:paraId="23946C8E" w14:textId="77777777" w:rsidR="00A150BB" w:rsidRDefault="00A150BB" w:rsidP="008D36D9">
      <w:pPr>
        <w:jc w:val="both"/>
      </w:pPr>
    </w:p>
    <w:p w14:paraId="1888D536" w14:textId="77777777" w:rsidR="005A7FC4" w:rsidRPr="005A7FC4" w:rsidRDefault="005A7FC4" w:rsidP="005A7FC4">
      <w:pPr>
        <w:jc w:val="both"/>
      </w:pPr>
      <w:r w:rsidRPr="005A7FC4">
        <w:t>Phase 3 contains 370 trading days from July 2019 to December 2020, with the portfolio starting at $100,000 same as phase 1. By the end of the phase, the portfolio had grown to $185,399, delivering a total return of 85.40%. In the context of the SPY buy-and-hold benchmark, which returned approximately 27% over the same period. Results show that the proposed framework is able to generate more than three times the passive market return during one of the most unpredictable market environments in modern history.  </w:t>
      </w:r>
    </w:p>
    <w:p w14:paraId="7D468A64" w14:textId="77777777" w:rsidR="008601EE" w:rsidRDefault="008601EE" w:rsidP="008D36D9">
      <w:pPr>
        <w:jc w:val="both"/>
      </w:pPr>
    </w:p>
    <w:p w14:paraId="5BF6CC06" w14:textId="77777777" w:rsidR="008601EE" w:rsidRDefault="008601EE" w:rsidP="008D36D9">
      <w:pPr>
        <w:keepNext/>
        <w:jc w:val="both"/>
      </w:pPr>
      <w:r w:rsidRPr="008601EE">
        <w:rPr>
          <w:noProof/>
        </w:rPr>
        <w:lastRenderedPageBreak/>
        <w:drawing>
          <wp:inline distT="0" distB="0" distL="0" distR="0" wp14:anchorId="721F121F" wp14:editId="43C49F79">
            <wp:extent cx="5731510" cy="2853055"/>
            <wp:effectExtent l="0" t="0" r="2540" b="4445"/>
            <wp:docPr id="800715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15072" name=""/>
                    <pic:cNvPicPr/>
                  </pic:nvPicPr>
                  <pic:blipFill>
                    <a:blip r:embed="rId45"/>
                    <a:stretch>
                      <a:fillRect/>
                    </a:stretch>
                  </pic:blipFill>
                  <pic:spPr>
                    <a:xfrm>
                      <a:off x="0" y="0"/>
                      <a:ext cx="5731510" cy="2853055"/>
                    </a:xfrm>
                    <a:prstGeom prst="rect">
                      <a:avLst/>
                    </a:prstGeom>
                  </pic:spPr>
                </pic:pic>
              </a:graphicData>
            </a:graphic>
          </wp:inline>
        </w:drawing>
      </w:r>
    </w:p>
    <w:p w14:paraId="040BE128" w14:textId="0ECA79C5" w:rsidR="008601EE" w:rsidRDefault="008601EE" w:rsidP="008D36D9">
      <w:pPr>
        <w:pStyle w:val="Caption"/>
        <w:ind w:left="720" w:firstLine="720"/>
        <w:jc w:val="both"/>
      </w:pPr>
      <w:bookmarkStart w:id="74" w:name="_Toc228816078"/>
      <w:r>
        <w:t xml:space="preserve">Figure </w:t>
      </w:r>
      <w:fldSimple w:instr=" SEQ Figure \* ARABIC ">
        <w:r w:rsidR="006C3897">
          <w:rPr>
            <w:noProof/>
          </w:rPr>
          <w:t>33</w:t>
        </w:r>
      </w:fldSimple>
      <w:r>
        <w:t xml:space="preserve">: </w:t>
      </w:r>
      <w:r w:rsidRPr="00F443A7">
        <w:t>Portfolio Value Over Time vs SPY Benchmark, Phase 1 (July 2019 - Jan 2021)</w:t>
      </w:r>
      <w:bookmarkEnd w:id="74"/>
    </w:p>
    <w:p w14:paraId="7F2E40C2" w14:textId="77777777" w:rsidR="00A150BB" w:rsidRPr="00A150BB" w:rsidRDefault="00A150BB" w:rsidP="008D36D9">
      <w:pPr>
        <w:jc w:val="both"/>
      </w:pPr>
    </w:p>
    <w:p w14:paraId="7D4D4307" w14:textId="15B2BCD8" w:rsidR="008601EE" w:rsidRDefault="005A7FC4" w:rsidP="008D36D9">
      <w:pPr>
        <w:jc w:val="both"/>
      </w:pPr>
      <w:r w:rsidRPr="005A7FC4">
        <w:t>Unlike Phase 1 which has majority of period was having upward trajectories but Phase 3 has three different market condition which has tested the framework's ability to adapt in real time. The portfolio began strongly, climbing steadily from $100,000 through the pre-COVID bull market of late 2019 and reaching $134,493 by 19 February 2020 as investor sentiment remained positive and the analytical agents generated consistent bullish signals across the technology-heavy portfolio. However, as the COVID-19 pandemic triggered one of the fastest market crashes in history, the portfolio dropped hugely from its February peak to a low of $111,347 by 3 April 2020, representing a peak to rock bottom decline of 17.21%. This was also the worst single drawdown that has been registered across the entire Phase 3 simulation and represents the maximum drawdown figure of 17.21%.</w:t>
      </w:r>
    </w:p>
    <w:p w14:paraId="6BCDAEE1" w14:textId="77777777" w:rsidR="005A7FC4" w:rsidRDefault="005A7FC4" w:rsidP="008D36D9">
      <w:pPr>
        <w:jc w:val="both"/>
      </w:pPr>
    </w:p>
    <w:p w14:paraId="6C71BC0C" w14:textId="21D98456" w:rsidR="008601EE" w:rsidRPr="00A150BB" w:rsidRDefault="008601EE" w:rsidP="008D36D9">
      <w:pPr>
        <w:jc w:val="both"/>
      </w:pPr>
      <w:r w:rsidRPr="008601EE">
        <w:rPr>
          <w:noProof/>
        </w:rPr>
        <w:drawing>
          <wp:inline distT="0" distB="0" distL="0" distR="0" wp14:anchorId="30B6A2D9" wp14:editId="15E9A93A">
            <wp:extent cx="5731510" cy="2853055"/>
            <wp:effectExtent l="0" t="0" r="2540" b="4445"/>
            <wp:docPr id="2097333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333553" name=""/>
                    <pic:cNvPicPr/>
                  </pic:nvPicPr>
                  <pic:blipFill>
                    <a:blip r:embed="rId46"/>
                    <a:stretch>
                      <a:fillRect/>
                    </a:stretch>
                  </pic:blipFill>
                  <pic:spPr>
                    <a:xfrm>
                      <a:off x="0" y="0"/>
                      <a:ext cx="5731510" cy="2853055"/>
                    </a:xfrm>
                    <a:prstGeom prst="rect">
                      <a:avLst/>
                    </a:prstGeom>
                  </pic:spPr>
                </pic:pic>
              </a:graphicData>
            </a:graphic>
          </wp:inline>
        </w:drawing>
      </w:r>
    </w:p>
    <w:p w14:paraId="6C093CD4" w14:textId="77777777" w:rsidR="005A7FC4" w:rsidRPr="005A7FC4" w:rsidRDefault="005A7FC4" w:rsidP="005A7FC4">
      <w:pPr>
        <w:jc w:val="both"/>
      </w:pPr>
      <w:r w:rsidRPr="005A7FC4">
        <w:lastRenderedPageBreak/>
        <w:t>What makes these results particularly impressive is not the crash itself but what happened afterwards. Rather than just sitting, as other active strategies do, which leaves them in severe drawdown, the portfolio recovered with remarkable speed. By July 2020, the portfolio had already surpassed its pre-COVID peak and continued climbing strongly through the second half of 2020. Showing extraordinary performance of technology stocks during the pandemic recovery period. The portfolio reached its all-time peak of $187,376 on 17 December 2020 before closing the phase at $185,399 just two weeks later.</w:t>
      </w:r>
    </w:p>
    <w:p w14:paraId="50ECBD62" w14:textId="77777777" w:rsidR="005A7FC4" w:rsidRPr="005A7FC4" w:rsidRDefault="005A7FC4" w:rsidP="005A7FC4">
      <w:pPr>
        <w:jc w:val="both"/>
      </w:pPr>
      <w:r w:rsidRPr="005A7FC4">
        <w:t>Despite going through a global pandemic, a historic market crash, and a rapid recovery all within a single 18-month window, the framework maintained an annualised Sharpe ratio of 1.79, which is notably higher than the 1.52 recorded in Phase 1. This improvement in risk-adjusted performance during the volatile period is one of the most amazing findings of the entire study, suggesting that the dynamic prompt optimisation and feedback loop mechanisms were genuinely helping the system to change its behaviour in response to the extreme market conditions it encountered rather than simply being carried upward by the broader market recovery.</w:t>
      </w:r>
    </w:p>
    <w:p w14:paraId="252A373D" w14:textId="77777777" w:rsidR="005A7FC4" w:rsidRPr="005A7FC4" w:rsidRDefault="005A7FC4" w:rsidP="005A7FC4">
      <w:pPr>
        <w:jc w:val="both"/>
      </w:pPr>
      <w:r w:rsidRPr="005A7FC4">
        <w:rPr>
          <w:b/>
          <w:bCs/>
        </w:rPr>
        <w:t>IMP:</w:t>
      </w:r>
      <w:r w:rsidRPr="005A7FC4">
        <w:t xml:space="preserve"> Here, we haven’t used the same mechanism that we have used, like the whole data was partwise, and then in partwise data, it is going to run for a 10-day window for the feedback look mechanism, whereas in this, we have loaded the whole data as one chunk and then used a 10-day sliding window protocol on it.  </w:t>
      </w:r>
    </w:p>
    <w:p w14:paraId="110ED401" w14:textId="77777777" w:rsidR="00DF0C2B" w:rsidRPr="00CB2397" w:rsidRDefault="00DF0C2B" w:rsidP="008D36D9">
      <w:pPr>
        <w:jc w:val="both"/>
      </w:pPr>
    </w:p>
    <w:p w14:paraId="5CCA06ED" w14:textId="5ADC5F57" w:rsidR="00263CE2" w:rsidRDefault="00012768" w:rsidP="008D36D9">
      <w:pPr>
        <w:pStyle w:val="Heading4"/>
        <w:jc w:val="both"/>
      </w:pPr>
      <w:r>
        <w:t>4.2.</w:t>
      </w:r>
      <w:r w:rsidR="00263CE2">
        <w:t xml:space="preserve">2 Trade Analysis  </w:t>
      </w:r>
    </w:p>
    <w:p w14:paraId="3A8BEDA9" w14:textId="77777777" w:rsidR="00DF0C2B" w:rsidRDefault="00DF0C2B" w:rsidP="008D36D9">
      <w:pPr>
        <w:jc w:val="both"/>
      </w:pPr>
    </w:p>
    <w:p w14:paraId="404E634A" w14:textId="4A927D17" w:rsidR="00DF0C2B" w:rsidRDefault="00DF0C2B" w:rsidP="008D36D9">
      <w:pPr>
        <w:jc w:val="both"/>
      </w:pPr>
      <w:r w:rsidRPr="00DF0C2B">
        <w:t xml:space="preserve">Across Phase 3 the system executed a total of 358 trades, comprising 248 buy orders representing 69.3% of all trades, 52 short positions representing 14.5%, 33 sell orders representing 9.2%, and 25 cover orders representing 7.0%. </w:t>
      </w:r>
      <w:r w:rsidR="00B80559">
        <w:t xml:space="preserve">This phase contains higher proportion of </w:t>
      </w:r>
      <w:r w:rsidRPr="00DF0C2B">
        <w:t xml:space="preserve">buy </w:t>
      </w:r>
      <w:r w:rsidR="00B80559" w:rsidRPr="00DF0C2B">
        <w:t>orders</w:t>
      </w:r>
      <w:r w:rsidR="00B80559">
        <w:t xml:space="preserve"> (in % of total buy not exact number)</w:t>
      </w:r>
      <w:r w:rsidRPr="00DF0C2B">
        <w:t xml:space="preserve"> compared to Phase 1 </w:t>
      </w:r>
      <w:r w:rsidR="00B80559">
        <w:t xml:space="preserve">shows </w:t>
      </w:r>
      <w:r w:rsidRPr="00DF0C2B">
        <w:t>broadly positive market</w:t>
      </w:r>
      <w:r w:rsidR="000707B5">
        <w:t xml:space="preserve"> sentiment were prevailing across Phase 3</w:t>
      </w:r>
      <w:r w:rsidRPr="00DF0C2B">
        <w:t xml:space="preserve">, particularly during the strong pre-COVID expansion of late 2019 and the equally strong technology-driven recovery of mid to late 2020. </w:t>
      </w:r>
      <w:r w:rsidR="000707B5">
        <w:t>M</w:t>
      </w:r>
      <w:r w:rsidRPr="00DF0C2B">
        <w:t xml:space="preserve">ost actively traded securities were AAPL with 47 trades, AMD with 46, and GOOGL with 45, </w:t>
      </w:r>
      <w:r w:rsidR="000707B5">
        <w:t xml:space="preserve">it is showing </w:t>
      </w:r>
      <w:r w:rsidRPr="00DF0C2B">
        <w:t xml:space="preserve">the system's </w:t>
      </w:r>
      <w:r w:rsidR="000707B5">
        <w:t>focuses</w:t>
      </w:r>
      <w:r w:rsidRPr="00DF0C2B">
        <w:t xml:space="preserve"> </w:t>
      </w:r>
      <w:r w:rsidR="000707B5">
        <w:t xml:space="preserve">on </w:t>
      </w:r>
      <w:r w:rsidRPr="00DF0C2B">
        <w:t>heavily covered and data-rich securities in the portfolio</w:t>
      </w:r>
      <w:r w:rsidR="000707B5">
        <w:t>.</w:t>
      </w:r>
    </w:p>
    <w:p w14:paraId="145A4BAD" w14:textId="77777777" w:rsidR="00A67C9F" w:rsidRDefault="00A67C9F" w:rsidP="008D36D9">
      <w:pPr>
        <w:keepNext/>
        <w:ind w:left="1440"/>
        <w:jc w:val="both"/>
      </w:pPr>
      <w:r w:rsidRPr="00A67C9F">
        <w:rPr>
          <w:noProof/>
        </w:rPr>
        <w:lastRenderedPageBreak/>
        <w:drawing>
          <wp:inline distT="0" distB="0" distL="0" distR="0" wp14:anchorId="0B7C30C0" wp14:editId="3AC1960B">
            <wp:extent cx="3804776" cy="3467686"/>
            <wp:effectExtent l="0" t="0" r="5715" b="0"/>
            <wp:docPr id="1342724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724853" name=""/>
                    <pic:cNvPicPr/>
                  </pic:nvPicPr>
                  <pic:blipFill>
                    <a:blip r:embed="rId47"/>
                    <a:stretch>
                      <a:fillRect/>
                    </a:stretch>
                  </pic:blipFill>
                  <pic:spPr>
                    <a:xfrm>
                      <a:off x="0" y="0"/>
                      <a:ext cx="3877066" cy="3533571"/>
                    </a:xfrm>
                    <a:prstGeom prst="rect">
                      <a:avLst/>
                    </a:prstGeom>
                  </pic:spPr>
                </pic:pic>
              </a:graphicData>
            </a:graphic>
          </wp:inline>
        </w:drawing>
      </w:r>
    </w:p>
    <w:p w14:paraId="207904EC" w14:textId="24C92264" w:rsidR="00A67C9F" w:rsidRDefault="00A67C9F" w:rsidP="008D36D9">
      <w:pPr>
        <w:pStyle w:val="Caption"/>
        <w:ind w:left="2880"/>
        <w:jc w:val="both"/>
      </w:pPr>
      <w:bookmarkStart w:id="75" w:name="_Toc228816079"/>
      <w:r>
        <w:t xml:space="preserve">Figure </w:t>
      </w:r>
      <w:fldSimple w:instr=" SEQ Figure \* ARABIC ">
        <w:r w:rsidR="006C3897">
          <w:rPr>
            <w:noProof/>
          </w:rPr>
          <w:t>34</w:t>
        </w:r>
      </w:fldSimple>
      <w:r>
        <w:t xml:space="preserve">: </w:t>
      </w:r>
      <w:r w:rsidRPr="00A11D1E">
        <w:t>trade_breakdown_phase</w:t>
      </w:r>
      <w:r>
        <w:t>3</w:t>
      </w:r>
      <w:bookmarkEnd w:id="75"/>
    </w:p>
    <w:p w14:paraId="299ABEDB" w14:textId="77777777" w:rsidR="008459EC" w:rsidRPr="00DF0C2B" w:rsidRDefault="008459EC" w:rsidP="008D36D9">
      <w:pPr>
        <w:jc w:val="both"/>
      </w:pPr>
    </w:p>
    <w:p w14:paraId="18F8D8FC" w14:textId="782B3C11" w:rsidR="003C36F0" w:rsidRDefault="003C36F0" w:rsidP="008D36D9">
      <w:pPr>
        <w:jc w:val="both"/>
      </w:pPr>
      <w:r>
        <w:t>Out of</w:t>
      </w:r>
      <w:r w:rsidR="00DF0C2B" w:rsidRPr="00DF0C2B">
        <w:t xml:space="preserve"> 358 </w:t>
      </w:r>
      <w:r>
        <w:t>executed trades</w:t>
      </w:r>
      <w:r w:rsidR="00DF0C2B" w:rsidRPr="00DF0C2B">
        <w:t xml:space="preserve">, 33 long positions were fully closed during Phase 3. </w:t>
      </w:r>
      <w:r>
        <w:t>Out of these</w:t>
      </w:r>
      <w:r w:rsidR="00DF0C2B" w:rsidRPr="00DF0C2B">
        <w:t xml:space="preserve">, 27 resulted in a profit and 6 resulted in a loss, giving a long win rate of 81.8%. </w:t>
      </w:r>
      <w:r>
        <w:t xml:space="preserve">It shows </w:t>
      </w:r>
      <w:r w:rsidR="00DF0C2B" w:rsidRPr="00DF0C2B">
        <w:t>significant improvement over the Phase 1 long win rate of 67.6%</w:t>
      </w:r>
      <w:r>
        <w:t xml:space="preserve"> and it is one of encouraging finding of the Phase 3 analysis.  </w:t>
      </w:r>
      <w:r w:rsidR="00DF0C2B" w:rsidRPr="00DF0C2B">
        <w:t xml:space="preserve">When system </w:t>
      </w:r>
      <w:r>
        <w:t xml:space="preserve">was on </w:t>
      </w:r>
      <w:r w:rsidR="00DF0C2B" w:rsidRPr="00DF0C2B">
        <w:t xml:space="preserve">long trade it </w:t>
      </w:r>
      <w:r>
        <w:t xml:space="preserve">was able to </w:t>
      </w:r>
      <w:r w:rsidR="00DF0C2B" w:rsidRPr="00DF0C2B">
        <w:t xml:space="preserve">generated </w:t>
      </w:r>
      <w:r>
        <w:t xml:space="preserve">on </w:t>
      </w:r>
      <w:r w:rsidR="00DF0C2B" w:rsidRPr="00DF0C2B">
        <w:t xml:space="preserve">an average return of 38.96% on the invested capital, and when it was </w:t>
      </w:r>
      <w:r w:rsidRPr="00DF0C2B">
        <w:t>wrong,</w:t>
      </w:r>
      <w:r w:rsidR="00DF0C2B" w:rsidRPr="00DF0C2B">
        <w:t xml:space="preserve"> it only lost an average of 6.21%. </w:t>
      </w:r>
      <w:r>
        <w:t xml:space="preserve">It gives approximately </w:t>
      </w:r>
      <w:r w:rsidR="00DF0C2B" w:rsidRPr="00DF0C2B">
        <w:t>6.3 to 1</w:t>
      </w:r>
      <w:r w:rsidR="00CB13CB">
        <w:t xml:space="preserve"> (profit to loss ratio)</w:t>
      </w:r>
      <w:r w:rsidR="00DF0C2B" w:rsidRPr="00DF0C2B">
        <w:t xml:space="preserve">, which is </w:t>
      </w:r>
      <w:r w:rsidR="00CB13CB" w:rsidRPr="00DF0C2B">
        <w:t>even better</w:t>
      </w:r>
      <w:r w:rsidR="00CB13CB">
        <w:t xml:space="preserve"> </w:t>
      </w:r>
      <w:r w:rsidR="00DF0C2B" w:rsidRPr="00DF0C2B">
        <w:t xml:space="preserve">than the 4.5 to 1 ratio observed in Phase </w:t>
      </w:r>
      <w:r w:rsidR="00CB13CB" w:rsidRPr="00DF0C2B">
        <w:t>1.</w:t>
      </w:r>
      <w:r w:rsidR="00CB13CB">
        <w:t xml:space="preserve"> Reason being when market got crashed, it started to recover </w:t>
      </w:r>
      <w:r w:rsidR="00934643">
        <w:t>from</w:t>
      </w:r>
      <w:r w:rsidR="00CB13CB">
        <w:t xml:space="preserve"> April 2020 and then it got good run in upward direction. From this we can say that system was able to capture the right time to do investment after covid crash.</w:t>
      </w:r>
    </w:p>
    <w:p w14:paraId="502F88EF" w14:textId="77777777" w:rsidR="00D02042" w:rsidRDefault="00D02042" w:rsidP="008D36D9">
      <w:pPr>
        <w:jc w:val="both"/>
      </w:pPr>
    </w:p>
    <w:p w14:paraId="1A43E567" w14:textId="0D2A5200" w:rsidR="00DF0C2B" w:rsidRDefault="003C36F0" w:rsidP="008D36D9">
      <w:pPr>
        <w:jc w:val="both"/>
      </w:pPr>
      <w:r>
        <w:t xml:space="preserve">Best </w:t>
      </w:r>
      <w:r w:rsidR="00DF0C2B" w:rsidRPr="00DF0C2B">
        <w:t xml:space="preserve">single trade of Phase 3 was a long position in NVDA which returned 181.67% over a </w:t>
      </w:r>
      <w:r w:rsidR="00CB13CB" w:rsidRPr="00DF0C2B">
        <w:t>334-day</w:t>
      </w:r>
      <w:r w:rsidR="00DF0C2B" w:rsidRPr="00DF0C2B">
        <w:t xml:space="preserve"> holding period from September 2019 to August 2020, capturing the extraordinary rise of NVIDIA's share price during the pandemic period. The worst single trade was an AMZN position which lost 10.77% and was cut after just 22 days, </w:t>
      </w:r>
      <w:r w:rsidR="00CB13CB">
        <w:t xml:space="preserve">which shows that </w:t>
      </w:r>
      <w:r w:rsidR="00DF0C2B" w:rsidRPr="00DF0C2B">
        <w:t xml:space="preserve">the trailing stop-loss mechanism working exactly as intended by closing losing positions quickly before they could deteriorate further. </w:t>
      </w:r>
      <w:r w:rsidR="00CB13CB">
        <w:t>It is important to note that all 6 l</w:t>
      </w:r>
      <w:r w:rsidR="00DF0C2B" w:rsidRPr="00DF0C2B">
        <w:t xml:space="preserve">osing long trades were closed within 66 calendar days, confirming that the risk management mechanism was consistently preventing losses from being held for </w:t>
      </w:r>
      <w:r w:rsidR="00CB13CB">
        <w:t xml:space="preserve">long </w:t>
      </w:r>
      <w:r w:rsidR="00DF0C2B" w:rsidRPr="00DF0C2B">
        <w:t>periods.</w:t>
      </w:r>
    </w:p>
    <w:p w14:paraId="71908694" w14:textId="77777777" w:rsidR="006F327B" w:rsidRDefault="006F327B" w:rsidP="008D36D9">
      <w:pPr>
        <w:jc w:val="both"/>
      </w:pPr>
    </w:p>
    <w:p w14:paraId="4C1E7D0F" w14:textId="77777777" w:rsidR="00152499" w:rsidRDefault="00152499" w:rsidP="008D36D9">
      <w:pPr>
        <w:keepNext/>
        <w:ind w:left="1440"/>
        <w:jc w:val="both"/>
      </w:pPr>
      <w:r w:rsidRPr="00152499">
        <w:rPr>
          <w:noProof/>
        </w:rPr>
        <w:lastRenderedPageBreak/>
        <w:drawing>
          <wp:inline distT="0" distB="0" distL="0" distR="0" wp14:anchorId="2253028D" wp14:editId="24ADF936">
            <wp:extent cx="4288389" cy="2825750"/>
            <wp:effectExtent l="0" t="0" r="0" b="0"/>
            <wp:docPr id="1267190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190061" name=""/>
                    <pic:cNvPicPr/>
                  </pic:nvPicPr>
                  <pic:blipFill>
                    <a:blip r:embed="rId48"/>
                    <a:stretch>
                      <a:fillRect/>
                    </a:stretch>
                  </pic:blipFill>
                  <pic:spPr>
                    <a:xfrm>
                      <a:off x="0" y="0"/>
                      <a:ext cx="4299730" cy="2833223"/>
                    </a:xfrm>
                    <a:prstGeom prst="rect">
                      <a:avLst/>
                    </a:prstGeom>
                  </pic:spPr>
                </pic:pic>
              </a:graphicData>
            </a:graphic>
          </wp:inline>
        </w:drawing>
      </w:r>
    </w:p>
    <w:p w14:paraId="4F26E029" w14:textId="6A511F0E" w:rsidR="00D02042" w:rsidRPr="00D02042" w:rsidRDefault="00152499" w:rsidP="008D36D9">
      <w:pPr>
        <w:pStyle w:val="Caption"/>
        <w:ind w:left="2880" w:firstLine="720"/>
        <w:jc w:val="both"/>
      </w:pPr>
      <w:bookmarkStart w:id="76" w:name="_Toc228816080"/>
      <w:r>
        <w:t xml:space="preserve">Figure </w:t>
      </w:r>
      <w:fldSimple w:instr=" SEQ Figure \* ARABIC ">
        <w:r w:rsidR="006C3897">
          <w:rPr>
            <w:noProof/>
          </w:rPr>
          <w:t>35</w:t>
        </w:r>
      </w:fldSimple>
      <w:r>
        <w:t xml:space="preserve">: </w:t>
      </w:r>
      <w:r w:rsidRPr="00D65A35">
        <w:t>win rate bar phase</w:t>
      </w:r>
      <w:r w:rsidR="00D02042">
        <w:t xml:space="preserve"> </w:t>
      </w:r>
      <w:r>
        <w:t>3</w:t>
      </w:r>
      <w:bookmarkEnd w:id="76"/>
    </w:p>
    <w:p w14:paraId="698250D2" w14:textId="77777777" w:rsidR="00D02042" w:rsidRDefault="00D02042" w:rsidP="008D36D9">
      <w:pPr>
        <w:jc w:val="both"/>
      </w:pPr>
    </w:p>
    <w:p w14:paraId="4F7846F4" w14:textId="5BF35D5A" w:rsidR="00D02042" w:rsidRPr="00D02042" w:rsidRDefault="00D02042" w:rsidP="008D36D9">
      <w:pPr>
        <w:jc w:val="both"/>
      </w:pPr>
    </w:p>
    <w:p w14:paraId="2E802DFA" w14:textId="77777777" w:rsidR="00D02042" w:rsidRDefault="00D02042" w:rsidP="008D36D9">
      <w:pPr>
        <w:keepNext/>
        <w:jc w:val="both"/>
      </w:pPr>
      <w:r w:rsidRPr="00D02042">
        <w:rPr>
          <w:noProof/>
        </w:rPr>
        <w:drawing>
          <wp:inline distT="0" distB="0" distL="0" distR="0" wp14:anchorId="308D84FD" wp14:editId="74D69A13">
            <wp:extent cx="5730605" cy="4004779"/>
            <wp:effectExtent l="0" t="0" r="3810" b="0"/>
            <wp:docPr id="1623809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809849" name=""/>
                    <pic:cNvPicPr/>
                  </pic:nvPicPr>
                  <pic:blipFill>
                    <a:blip r:embed="rId49"/>
                    <a:stretch>
                      <a:fillRect/>
                    </a:stretch>
                  </pic:blipFill>
                  <pic:spPr>
                    <a:xfrm>
                      <a:off x="0" y="0"/>
                      <a:ext cx="5737914" cy="4009887"/>
                    </a:xfrm>
                    <a:prstGeom prst="rect">
                      <a:avLst/>
                    </a:prstGeom>
                  </pic:spPr>
                </pic:pic>
              </a:graphicData>
            </a:graphic>
          </wp:inline>
        </w:drawing>
      </w:r>
    </w:p>
    <w:p w14:paraId="55025C65" w14:textId="3160A862" w:rsidR="00152499" w:rsidRDefault="00D02042" w:rsidP="008D36D9">
      <w:pPr>
        <w:pStyle w:val="Caption"/>
        <w:ind w:left="2160" w:firstLine="720"/>
        <w:jc w:val="both"/>
      </w:pPr>
      <w:bookmarkStart w:id="77" w:name="_Toc228816081"/>
      <w:r>
        <w:t xml:space="preserve">Figure </w:t>
      </w:r>
      <w:fldSimple w:instr=" SEQ Figure \* ARABIC ">
        <w:r w:rsidR="006C3897">
          <w:rPr>
            <w:noProof/>
          </w:rPr>
          <w:t>36</w:t>
        </w:r>
      </w:fldSimple>
      <w:r>
        <w:t xml:space="preserve">: </w:t>
      </w:r>
      <w:r w:rsidRPr="00125910">
        <w:t>Holding Period Statistics</w:t>
      </w:r>
      <w:r>
        <w:t xml:space="preserve"> for Phase 3</w:t>
      </w:r>
      <w:bookmarkEnd w:id="77"/>
    </w:p>
    <w:p w14:paraId="6E7EA9FE" w14:textId="77777777" w:rsidR="00D02042" w:rsidRDefault="00D02042" w:rsidP="008D36D9">
      <w:pPr>
        <w:jc w:val="both"/>
      </w:pPr>
    </w:p>
    <w:p w14:paraId="3B2CF2C0" w14:textId="53570BE1" w:rsidR="0039122D" w:rsidRDefault="0039122D" w:rsidP="008D36D9">
      <w:pPr>
        <w:jc w:val="both"/>
      </w:pPr>
      <w:r w:rsidRPr="0039122D">
        <w:t xml:space="preserve">Short positions </w:t>
      </w:r>
      <w:r>
        <w:t xml:space="preserve">were the again were not able to pull good result </w:t>
      </w:r>
      <w:r w:rsidRPr="0039122D">
        <w:t xml:space="preserve">during Phase 3, with only 9 of 25 closed short trades being profitable, </w:t>
      </w:r>
      <w:r>
        <w:t xml:space="preserve">only 36%-win rate. Figure </w:t>
      </w:r>
      <w:r w:rsidRPr="0039122D">
        <w:t xml:space="preserve">is almost identical to the 36.6% </w:t>
      </w:r>
      <w:r w:rsidRPr="0039122D">
        <w:lastRenderedPageBreak/>
        <w:t>short win rate recorded in Phase</w:t>
      </w:r>
      <w:r>
        <w:t xml:space="preserve">. </w:t>
      </w:r>
      <w:r w:rsidRPr="0039122D">
        <w:t>Despite the COVID crash of early 2020</w:t>
      </w:r>
      <w:r>
        <w:t>(Feb 2020 – April 2020)</w:t>
      </w:r>
      <w:r w:rsidRPr="0039122D">
        <w:t xml:space="preserve"> providing </w:t>
      </w:r>
      <w:r>
        <w:t>good amount</w:t>
      </w:r>
      <w:r w:rsidRPr="0039122D">
        <w:t xml:space="preserve"> of opportunity for bearish positions, the market was </w:t>
      </w:r>
      <w:r>
        <w:t xml:space="preserve">mostly having rising condition in </w:t>
      </w:r>
      <w:r w:rsidRPr="0039122D">
        <w:t>Phase 3 as a whole, making short selling genuinely difficult regardless of how sophisticated the signal generation was. The system was essentially swimming against the tide for much of the phase when it came to short positions, and the 36%-win rate honestly reflects that reality.</w:t>
      </w:r>
    </w:p>
    <w:p w14:paraId="52716C15" w14:textId="31D7525C" w:rsidR="000A48FF" w:rsidRDefault="0008375E" w:rsidP="008D36D9">
      <w:pPr>
        <w:jc w:val="both"/>
      </w:pPr>
      <w:r>
        <w:t>However,</w:t>
      </w:r>
      <w:r w:rsidR="000A48FF">
        <w:t xml:space="preserve"> while doing in-depth analysis, by dividing the covid phase into 3 sections: </w:t>
      </w:r>
      <w:r w:rsidR="000A48FF" w:rsidRPr="000A48FF">
        <w:t>Pre-</w:t>
      </w:r>
      <w:r w:rsidRPr="000A48FF">
        <w:t>COVID</w:t>
      </w:r>
      <w:r>
        <w:t>, during</w:t>
      </w:r>
      <w:r w:rsidR="000A48FF">
        <w:t xml:space="preserve"> COVID, Post-COVID</w:t>
      </w:r>
      <w:r>
        <w:t xml:space="preserve">. In pre-COVID period of </w:t>
      </w:r>
      <w:r w:rsidRPr="0008375E">
        <w:t xml:space="preserve">July to December 2019 the system opened 16 short positions and won only 4 of them, giving a win rate of just 25%. However, during the COVID crash period of January to June 2020 the short win rate more than doubled to 55.6%, with 5 of 9 short positions </w:t>
      </w:r>
      <w:r>
        <w:t>were in profitable position</w:t>
      </w:r>
      <w:r w:rsidRPr="0008375E">
        <w:t xml:space="preserve">. </w:t>
      </w:r>
      <w:r>
        <w:t xml:space="preserve">From this insight we can confirm that </w:t>
      </w:r>
      <w:r w:rsidRPr="0008375E">
        <w:t xml:space="preserve">analytical agents were correctly identifying genuine bearish opportunities during the crash rather than simply generating random short signals. </w:t>
      </w:r>
      <w:r>
        <w:t xml:space="preserve">System were particularly </w:t>
      </w:r>
      <w:r w:rsidRPr="0008375E">
        <w:t xml:space="preserve">successful were the short positions in AMC which returned 51.78% and 22.79% respectively, and a META short which returned 15.97% over just 22 days. </w:t>
      </w:r>
      <w:r>
        <w:t xml:space="preserve">It is important to note that </w:t>
      </w:r>
      <w:r w:rsidRPr="0008375E">
        <w:t xml:space="preserve">system placed no short trades after June 2020, </w:t>
      </w:r>
      <w:r>
        <w:t xml:space="preserve">which shows that </w:t>
      </w:r>
      <w:r w:rsidRPr="0008375E">
        <w:t>Orchestrator correctly recognised the market had entered a sustained recovery and stopped betting against stocks entirely.</w:t>
      </w:r>
    </w:p>
    <w:p w14:paraId="7771A911" w14:textId="77777777" w:rsidR="00EF6937" w:rsidRDefault="00EF6937" w:rsidP="008D36D9">
      <w:pPr>
        <w:jc w:val="both"/>
      </w:pPr>
    </w:p>
    <w:p w14:paraId="137C6381" w14:textId="448D02DB" w:rsidR="00EF6937" w:rsidRDefault="00E55D0F" w:rsidP="008D36D9">
      <w:pPr>
        <w:keepNext/>
        <w:jc w:val="both"/>
      </w:pPr>
      <w:r w:rsidRPr="00E55D0F">
        <w:rPr>
          <w:noProof/>
        </w:rPr>
        <w:drawing>
          <wp:inline distT="0" distB="0" distL="0" distR="0" wp14:anchorId="70B36997" wp14:editId="2032FF9A">
            <wp:extent cx="5731510" cy="3544570"/>
            <wp:effectExtent l="0" t="0" r="2540" b="0"/>
            <wp:docPr id="1574719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9604" name=""/>
                    <pic:cNvPicPr/>
                  </pic:nvPicPr>
                  <pic:blipFill>
                    <a:blip r:embed="rId50"/>
                    <a:stretch>
                      <a:fillRect/>
                    </a:stretch>
                  </pic:blipFill>
                  <pic:spPr>
                    <a:xfrm>
                      <a:off x="0" y="0"/>
                      <a:ext cx="5731510" cy="3544570"/>
                    </a:xfrm>
                    <a:prstGeom prst="rect">
                      <a:avLst/>
                    </a:prstGeom>
                  </pic:spPr>
                </pic:pic>
              </a:graphicData>
            </a:graphic>
          </wp:inline>
        </w:drawing>
      </w:r>
    </w:p>
    <w:p w14:paraId="7C960A6F" w14:textId="717577EE" w:rsidR="00EF6937" w:rsidRDefault="00EF6937" w:rsidP="008D36D9">
      <w:pPr>
        <w:pStyle w:val="Caption"/>
        <w:jc w:val="both"/>
      </w:pPr>
      <w:r>
        <w:t xml:space="preserve">                                                                               </w:t>
      </w:r>
      <w:bookmarkStart w:id="78" w:name="_Toc228816082"/>
      <w:r>
        <w:t xml:space="preserve">Figure </w:t>
      </w:r>
      <w:fldSimple w:instr=" SEQ Figure \* ARABIC ">
        <w:r w:rsidR="006C3897">
          <w:rPr>
            <w:noProof/>
          </w:rPr>
          <w:t>37</w:t>
        </w:r>
      </w:fldSimple>
      <w:r>
        <w:t>: Short position deep analysis during covid</w:t>
      </w:r>
      <w:bookmarkEnd w:id="78"/>
    </w:p>
    <w:p w14:paraId="03C61371" w14:textId="77777777" w:rsidR="00EF6937" w:rsidRPr="00EF6937" w:rsidRDefault="00EF6937" w:rsidP="008D36D9">
      <w:pPr>
        <w:jc w:val="both"/>
      </w:pPr>
    </w:p>
    <w:p w14:paraId="2C0E9D5D" w14:textId="4E8A85A8" w:rsidR="0008375E" w:rsidRPr="00DF0C2B" w:rsidRDefault="0008375E" w:rsidP="008D36D9">
      <w:pPr>
        <w:jc w:val="both"/>
      </w:pPr>
      <w:r>
        <w:t>The biggest loses on short side came from TSLA position that were opened during that crash but hold too long that it got recovered after the crash</w:t>
      </w:r>
      <w:r w:rsidR="00475747">
        <w:t xml:space="preserve">. </w:t>
      </w:r>
      <w:r w:rsidR="00475747" w:rsidRPr="00475747">
        <w:t>After the crash TSLA's share price more than doubled, rising by over 162%, which meant that both short positions ended up losing a significant amount of money despite looking like sensible trades when they were first opened.</w:t>
      </w:r>
    </w:p>
    <w:p w14:paraId="3823C50C" w14:textId="377F5ABA" w:rsidR="009D7989" w:rsidRDefault="003C36F0" w:rsidP="008D36D9">
      <w:pPr>
        <w:jc w:val="both"/>
      </w:pPr>
      <w:r w:rsidRPr="00445996">
        <w:rPr>
          <w:b/>
          <w:bCs/>
        </w:rPr>
        <w:lastRenderedPageBreak/>
        <w:t>IMP:</w:t>
      </w:r>
      <w:r>
        <w:t xml:space="preserve"> Holding period is calculated by pairing buy and sell trade events sequentially (FIFO by event count). Partial position closures and quantity mismatches mean reported holding periods are approximate; true lot-level tracking was not implemented.  </w:t>
      </w:r>
      <w:r w:rsidR="00D02042">
        <w:t xml:space="preserve">One more important thing this is that fully closed trade means that we got the pair of buy-sold in sequence for any securities. But total number of buy and sold can be different. </w:t>
      </w:r>
    </w:p>
    <w:p w14:paraId="7F053C24" w14:textId="77777777" w:rsidR="000A48FF" w:rsidRPr="00DF0C2B" w:rsidRDefault="000A48FF" w:rsidP="008D36D9">
      <w:pPr>
        <w:jc w:val="both"/>
      </w:pPr>
    </w:p>
    <w:p w14:paraId="0BF6DAF5" w14:textId="030B9B74" w:rsidR="00D02042" w:rsidRDefault="00263CE2" w:rsidP="008D36D9">
      <w:pPr>
        <w:pStyle w:val="Heading4"/>
        <w:jc w:val="both"/>
      </w:pPr>
      <w:r w:rsidRPr="00657571">
        <w:t xml:space="preserve">4.2.3 Signal Analysis </w:t>
      </w:r>
    </w:p>
    <w:p w14:paraId="03AB1662" w14:textId="77777777" w:rsidR="00B44708" w:rsidRPr="00B44708" w:rsidRDefault="00B44708" w:rsidP="008D36D9">
      <w:pPr>
        <w:jc w:val="both"/>
      </w:pPr>
    </w:p>
    <w:p w14:paraId="2AC109E9" w14:textId="77777777" w:rsidR="005704A6" w:rsidRPr="005704A6" w:rsidRDefault="005704A6" w:rsidP="005704A6">
      <w:pPr>
        <w:jc w:val="both"/>
      </w:pPr>
      <w:r w:rsidRPr="005704A6">
        <w:t xml:space="preserve">Across the 370 trading days of Phase 3, the Stock Picker generated 4,810 signals in total. Out of these, 2,121 were </w:t>
      </w:r>
      <w:proofErr w:type="spellStart"/>
      <w:r w:rsidRPr="005704A6">
        <w:t>buy</w:t>
      </w:r>
      <w:proofErr w:type="spellEnd"/>
      <w:r w:rsidRPr="005704A6">
        <w:t xml:space="preserve"> signals representing 44.1%, 1,777 were hold signals representing 36.9%, and 909 were short signals representing 18.9%. Compared to Phase 1, where buy and short signals are very evenly spread. Phase 3 shows a clear lean towards buying rather than shorting, which makes sense given that the market was broadly rising for most of the phase outside of the COVID crash window. But by looking at the number of short signals, it cannot be wrong to say that agents were able to get a sense of the COVID-19 phase.</w:t>
      </w:r>
    </w:p>
    <w:p w14:paraId="4037225B" w14:textId="4F937FB1" w:rsidR="00B44708" w:rsidRDefault="00B44708" w:rsidP="008D36D9">
      <w:pPr>
        <w:jc w:val="both"/>
      </w:pPr>
    </w:p>
    <w:p w14:paraId="4D9F072F" w14:textId="77777777" w:rsidR="00A81D24" w:rsidRDefault="00A81D24" w:rsidP="00B44708"/>
    <w:p w14:paraId="31CA9A67" w14:textId="77777777" w:rsidR="00A81D24" w:rsidRDefault="00A81D24" w:rsidP="00A81D24">
      <w:pPr>
        <w:keepNext/>
        <w:jc w:val="center"/>
      </w:pPr>
      <w:r w:rsidRPr="00A81D24">
        <w:rPr>
          <w:noProof/>
        </w:rPr>
        <w:drawing>
          <wp:inline distT="0" distB="0" distL="0" distR="0" wp14:anchorId="34F8FA39" wp14:editId="768D8E67">
            <wp:extent cx="4971327" cy="3431540"/>
            <wp:effectExtent l="0" t="0" r="1270" b="0"/>
            <wp:docPr id="691633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633727" name=""/>
                    <pic:cNvPicPr/>
                  </pic:nvPicPr>
                  <pic:blipFill>
                    <a:blip r:embed="rId51"/>
                    <a:stretch>
                      <a:fillRect/>
                    </a:stretch>
                  </pic:blipFill>
                  <pic:spPr>
                    <a:xfrm>
                      <a:off x="0" y="0"/>
                      <a:ext cx="4993768" cy="3447031"/>
                    </a:xfrm>
                    <a:prstGeom prst="rect">
                      <a:avLst/>
                    </a:prstGeom>
                  </pic:spPr>
                </pic:pic>
              </a:graphicData>
            </a:graphic>
          </wp:inline>
        </w:drawing>
      </w:r>
    </w:p>
    <w:p w14:paraId="777D1EDC" w14:textId="58C981DC" w:rsidR="00A81D24" w:rsidRPr="00B44708" w:rsidRDefault="00A81D24" w:rsidP="00A81D24">
      <w:pPr>
        <w:pStyle w:val="Caption"/>
        <w:jc w:val="center"/>
      </w:pPr>
      <w:bookmarkStart w:id="79" w:name="_Toc228816083"/>
      <w:r>
        <w:t xml:space="preserve">Figure </w:t>
      </w:r>
      <w:fldSimple w:instr=" SEQ Figure \* ARABIC ">
        <w:r w:rsidR="006C3897">
          <w:rPr>
            <w:noProof/>
          </w:rPr>
          <w:t>38</w:t>
        </w:r>
      </w:fldSimple>
      <w:r>
        <w:t>: Signal execution rate for Phase 3</w:t>
      </w:r>
      <w:bookmarkEnd w:id="79"/>
    </w:p>
    <w:p w14:paraId="3F05600C" w14:textId="77777777" w:rsidR="00A81D24" w:rsidRDefault="00A81D24" w:rsidP="00B44708"/>
    <w:p w14:paraId="4BFE5328" w14:textId="77777777" w:rsidR="00DB6E0E" w:rsidRPr="00DB6E0E" w:rsidRDefault="00DB6E0E" w:rsidP="00DB6E0E">
      <w:pPr>
        <w:jc w:val="both"/>
      </w:pPr>
      <w:r w:rsidRPr="00DB6E0E">
        <w:t>Not every signal was acted upon. Out of 2121 buy signals generated, the Orchestrator converted 227 into actual trades. It gives a buy execution rate of 10.7%. Out of 909 short signals, only 45 were executed, giving a short execution rate of 5.0%. As with Phase 1, these relatively low execution rates confirm that the Orchestrator was being highly selective, only placing trades when the broader portfolio picture gave it enough confidence to commit capital.</w:t>
      </w:r>
    </w:p>
    <w:p w14:paraId="1AFEEE66" w14:textId="651FA5D4" w:rsidR="00DB6E0E" w:rsidRPr="00DB6E0E" w:rsidRDefault="00DB6E0E" w:rsidP="00DB6E0E">
      <w:pPr>
        <w:jc w:val="both"/>
      </w:pPr>
      <w:r w:rsidRPr="00DB6E0E">
        <w:lastRenderedPageBreak/>
        <w:t>Looking at what each agent gives during Phase 3 gives a picture of it. The Technical Analyst was noticeably more bullish than in Phase 1; that’s the reason it is bullish signals 43.9% of the time compared to just 22.8% in Phase 1, which reflects the strong price momentum of the technology stocks in the portfolio during the COVID recovery. The Fundamental Analyst was fairly evenly split between bullish at 47.8% and bearish at 42.1%, suggesting it was finding clear directional views in the company's financial statements rather than sitting on the fence. The Sentiment Analyst was mostly giving positive overall, with 34.9% bullish and 26.0% mildly bullish signals, reflecting the broadly favourable news coverage of technology companies across the period.</w:t>
      </w:r>
    </w:p>
    <w:p w14:paraId="7F306973" w14:textId="77777777" w:rsidR="00A81D24" w:rsidRDefault="00A81D24" w:rsidP="00934643">
      <w:pPr>
        <w:jc w:val="both"/>
      </w:pPr>
    </w:p>
    <w:p w14:paraId="2DC0FCE5" w14:textId="77777777" w:rsidR="00A81D24" w:rsidRDefault="00A81D24" w:rsidP="00934643">
      <w:pPr>
        <w:keepNext/>
        <w:jc w:val="both"/>
      </w:pPr>
      <w:r w:rsidRPr="00A81D24">
        <w:rPr>
          <w:noProof/>
        </w:rPr>
        <w:drawing>
          <wp:inline distT="0" distB="0" distL="0" distR="0" wp14:anchorId="0FB2955C" wp14:editId="4D6D4729">
            <wp:extent cx="5731510" cy="3938270"/>
            <wp:effectExtent l="0" t="0" r="2540" b="5080"/>
            <wp:docPr id="1525739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39200" name=""/>
                    <pic:cNvPicPr/>
                  </pic:nvPicPr>
                  <pic:blipFill>
                    <a:blip r:embed="rId52"/>
                    <a:stretch>
                      <a:fillRect/>
                    </a:stretch>
                  </pic:blipFill>
                  <pic:spPr>
                    <a:xfrm>
                      <a:off x="0" y="0"/>
                      <a:ext cx="5731510" cy="3938270"/>
                    </a:xfrm>
                    <a:prstGeom prst="rect">
                      <a:avLst/>
                    </a:prstGeom>
                  </pic:spPr>
                </pic:pic>
              </a:graphicData>
            </a:graphic>
          </wp:inline>
        </w:drawing>
      </w:r>
    </w:p>
    <w:p w14:paraId="6590D6D2" w14:textId="3292293F" w:rsidR="00A81D24" w:rsidRDefault="00A81D24" w:rsidP="00934643">
      <w:pPr>
        <w:pStyle w:val="Caption"/>
        <w:ind w:left="2160" w:firstLine="720"/>
        <w:jc w:val="both"/>
      </w:pPr>
      <w:bookmarkStart w:id="80" w:name="_Ref227542976"/>
      <w:bookmarkStart w:id="81" w:name="_Ref227542969"/>
      <w:bookmarkStart w:id="82" w:name="_Toc228816084"/>
      <w:r>
        <w:t xml:space="preserve">Figure </w:t>
      </w:r>
      <w:fldSimple w:instr=" SEQ Figure \* ARABIC ">
        <w:r w:rsidR="006C3897">
          <w:rPr>
            <w:noProof/>
          </w:rPr>
          <w:t>39</w:t>
        </w:r>
      </w:fldSimple>
      <w:bookmarkEnd w:id="80"/>
      <w:r>
        <w:t>: Agent signal distribution for phase3</w:t>
      </w:r>
      <w:bookmarkEnd w:id="81"/>
      <w:bookmarkEnd w:id="82"/>
    </w:p>
    <w:p w14:paraId="0E4A48BB" w14:textId="77777777" w:rsidR="00A81D24" w:rsidRPr="00B44708" w:rsidRDefault="00A81D24" w:rsidP="00934643">
      <w:pPr>
        <w:jc w:val="both"/>
      </w:pPr>
    </w:p>
    <w:p w14:paraId="2DA374EF" w14:textId="77777777" w:rsidR="00DB6E0E" w:rsidRPr="00DB6E0E" w:rsidRDefault="00DB6E0E" w:rsidP="00DB6E0E">
      <w:pPr>
        <w:jc w:val="both"/>
      </w:pPr>
      <w:r w:rsidRPr="00DB6E0E">
        <w:t>The most interesting findings were from the Macro Analyst, which mostly gave bearish signals throughout Phase 3, producing bearish signals 54.9% of the time. This is entirely understandable given the COVID-era economic backdrop of rising unemployment, supply chain disruption, and deep uncertainty about the global economy. What makes this interesting is that despite the Macro Analyst showing a gloomy picture for much of the phase, the portfolio was still able to deliver a total return of 85.40%. From this, we can conclude that the Stock Picker and Fundamental Analyst were successfully identifying individual stocks with strong enough momentum and financial health to overcome the broader macroeconomic concerns, which is one of the genuine strengths of having multiple specialised agents rather than relying on a single view of the market.</w:t>
      </w:r>
    </w:p>
    <w:p w14:paraId="573417E2" w14:textId="77777777" w:rsidR="00657571" w:rsidRDefault="00657571" w:rsidP="00934643">
      <w:pPr>
        <w:jc w:val="both"/>
      </w:pPr>
    </w:p>
    <w:p w14:paraId="44E61B31" w14:textId="125DD26B" w:rsidR="00A81D24" w:rsidRPr="00A81D24" w:rsidRDefault="00A81D24" w:rsidP="00934643">
      <w:pPr>
        <w:jc w:val="both"/>
      </w:pPr>
      <w:r w:rsidRPr="00A81D24">
        <w:rPr>
          <w:b/>
          <w:bCs/>
        </w:rPr>
        <w:lastRenderedPageBreak/>
        <w:t xml:space="preserve">IMP: </w:t>
      </w:r>
      <w:r>
        <w:t>Please note tha</w:t>
      </w:r>
      <w:r w:rsidR="00975A45">
        <w:t xml:space="preserve">t some of the agent have variety of signal like </w:t>
      </w:r>
      <w:r w:rsidR="00A65ED6" w:rsidRPr="00A65ED6">
        <w:t xml:space="preserve">Sentiment Analyst produces seven signal categories rather than three, ranging from strongly bullish through to strongly bearish. For simplicity these have been grouped into three broader categories in </w:t>
      </w:r>
      <w:r w:rsidR="00A65ED6">
        <w:fldChar w:fldCharType="begin"/>
      </w:r>
      <w:r w:rsidR="00A65ED6">
        <w:instrText xml:space="preserve"> REF _Ref227542976 \h </w:instrText>
      </w:r>
      <w:r w:rsidR="00934643">
        <w:instrText xml:space="preserve"> \* MERGEFORMAT </w:instrText>
      </w:r>
      <w:r w:rsidR="00A65ED6">
        <w:fldChar w:fldCharType="separate"/>
      </w:r>
      <w:r w:rsidR="00934643">
        <w:t xml:space="preserve">Figure </w:t>
      </w:r>
      <w:r w:rsidR="00934643">
        <w:rPr>
          <w:noProof/>
        </w:rPr>
        <w:t>39</w:t>
      </w:r>
      <w:r w:rsidR="00A65ED6">
        <w:fldChar w:fldCharType="end"/>
      </w:r>
      <w:r w:rsidR="00A65ED6" w:rsidRPr="00A65ED6">
        <w:t>, combining the bullish variants together and the bearish variants together.</w:t>
      </w:r>
    </w:p>
    <w:p w14:paraId="417FB2F4" w14:textId="77777777" w:rsidR="009D7989" w:rsidRPr="009D7989" w:rsidRDefault="009D7989" w:rsidP="00934643">
      <w:pPr>
        <w:jc w:val="both"/>
      </w:pPr>
    </w:p>
    <w:p w14:paraId="7A2C5247" w14:textId="77777777" w:rsidR="00263CE2" w:rsidRDefault="00263CE2" w:rsidP="00934643">
      <w:pPr>
        <w:pStyle w:val="Heading4"/>
        <w:jc w:val="both"/>
      </w:pPr>
      <w:r>
        <w:t xml:space="preserve">4.2.4 Optimisation Trigger analysis  </w:t>
      </w:r>
    </w:p>
    <w:p w14:paraId="1BD92D75" w14:textId="77777777" w:rsidR="00BB2641" w:rsidRPr="00BB2641" w:rsidRDefault="00BB2641" w:rsidP="00BB2641"/>
    <w:p w14:paraId="2BC2F3E7" w14:textId="3B6CE487" w:rsidR="00BB2641" w:rsidRPr="00BB2641" w:rsidRDefault="00BB2641" w:rsidP="00BB2641">
      <w:r w:rsidRPr="00BB2641">
        <w:t xml:space="preserve">Phase 3 has called several times more optimisation mechanisms than it has in Phase 1. Reason being extreme market volatility of the COVID-19 pandemic. Across the 16 chunks of Phase 3, only 2 required no optimisation as the portfolio drawdown remained below the 2% threshold. While 11 triggered the Negative </w:t>
      </w:r>
      <w:proofErr w:type="spellStart"/>
      <w:r w:rsidRPr="00BB2641">
        <w:t>BootstrapFewShot</w:t>
      </w:r>
      <w:proofErr w:type="spellEnd"/>
      <w:r w:rsidRPr="00BB2641">
        <w:t xml:space="preserve"> procedure and 3 triggered Emergency MIPROv2, making Phase 3 the most difficult phase out of the two phases from an optimisation perspective. Please </w:t>
      </w:r>
      <w:r>
        <w:t xml:space="preserve">refer to </w:t>
      </w:r>
      <w:r>
        <w:fldChar w:fldCharType="begin"/>
      </w:r>
      <w:r>
        <w:instrText xml:space="preserve"> REF _Ref228644068 \h </w:instrText>
      </w:r>
      <w:r>
        <w:fldChar w:fldCharType="separate"/>
      </w:r>
      <w:r>
        <w:t xml:space="preserve">Table </w:t>
      </w:r>
      <w:r>
        <w:rPr>
          <w:noProof/>
        </w:rPr>
        <w:t>5</w:t>
      </w:r>
      <w:r>
        <w:fldChar w:fldCharType="end"/>
      </w:r>
      <w:r>
        <w:t>.</w:t>
      </w:r>
    </w:p>
    <w:p w14:paraId="7113AA73" w14:textId="77777777" w:rsidR="00BB2641" w:rsidRPr="00BB2641" w:rsidRDefault="00BB2641" w:rsidP="00BB2641">
      <w:r w:rsidRPr="00BB2641">
        <w:t>The three Emergency MIPROv2 triggers are particularly noteworthy as they directly correspond to the most severe market dislocations of the evaluation period. The first trigger occurred at chunk 6, covering January to March 2020, when the portfolio recorded a drawdown of 12.04% as the COVID-19 pandemic triggered one of the fastest market crashes in history. The second trigger followed immediately at chunk 7, covering March to April 2020, with the drawdown remaining elevated at 9.47% as markets continued to fall before stabilising. The third trigger occurred at chunk 12 covering August to September 2020, when the portfolio recorded its largest single chunk drawdown of 15.92% during the sharp technology fell selloff September 2020. Important to note that the system triggered its most aggressive optimisation response three times across Phase 3, which shows that the feedback loop was functioning correctly; it adapts itself according to the market environment to tackle major market fluctuation.</w:t>
      </w:r>
    </w:p>
    <w:p w14:paraId="335E77F5" w14:textId="77777777" w:rsidR="00BB2641" w:rsidRPr="00BB2641" w:rsidRDefault="00BB2641" w:rsidP="00BB2641"/>
    <w:p w14:paraId="46017C06" w14:textId="77777777" w:rsidR="00E55D0F" w:rsidRDefault="00E55D0F" w:rsidP="00934643">
      <w:pPr>
        <w:jc w:val="both"/>
      </w:pPr>
    </w:p>
    <w:p w14:paraId="16F0D0F5" w14:textId="77777777" w:rsidR="000B0446" w:rsidRDefault="000B0446" w:rsidP="00934643">
      <w:pPr>
        <w:spacing w:after="0" w:line="240" w:lineRule="auto"/>
        <w:jc w:val="both"/>
      </w:pPr>
    </w:p>
    <w:p w14:paraId="47BA8184" w14:textId="77777777" w:rsidR="00BB2641" w:rsidRDefault="00BB2641" w:rsidP="00934643">
      <w:pPr>
        <w:spacing w:after="0" w:line="240" w:lineRule="auto"/>
        <w:jc w:val="both"/>
        <w:rPr>
          <w:rFonts w:ascii="Arial" w:eastAsia="Times New Roman" w:hAnsi="Arial" w:cs="Arial"/>
          <w:b/>
          <w:bCs/>
          <w:color w:val="FFFFFF"/>
          <w:sz w:val="18"/>
          <w:szCs w:val="18"/>
          <w:lang w:eastAsia="en-IN"/>
        </w:rPr>
        <w:sectPr w:rsidR="00BB2641" w:rsidSect="0053755C">
          <w:pgSz w:w="11906" w:h="16838"/>
          <w:pgMar w:top="1440" w:right="1440" w:bottom="1440" w:left="1440" w:header="709" w:footer="709" w:gutter="0"/>
          <w:cols w:space="708"/>
          <w:docGrid w:linePitch="360"/>
        </w:sectPr>
      </w:pPr>
    </w:p>
    <w:p w14:paraId="64E00A7A" w14:textId="648058BC" w:rsidR="00BB2641" w:rsidRDefault="00BB2641" w:rsidP="00BB2641">
      <w:pPr>
        <w:pStyle w:val="Caption"/>
        <w:keepNext/>
        <w:ind w:left="4320"/>
      </w:pPr>
      <w:bookmarkStart w:id="83" w:name="_Ref228644068"/>
      <w:bookmarkStart w:id="84" w:name="_Toc228815979"/>
      <w:r>
        <w:lastRenderedPageBreak/>
        <w:t xml:space="preserve">Table </w:t>
      </w:r>
      <w:fldSimple w:instr=" SEQ Table \* ARABIC ">
        <w:r>
          <w:rPr>
            <w:noProof/>
          </w:rPr>
          <w:t>5</w:t>
        </w:r>
      </w:fldSimple>
      <w:bookmarkEnd w:id="83"/>
      <w:r>
        <w:t xml:space="preserve">: </w:t>
      </w:r>
      <w:r w:rsidRPr="00D146A6">
        <w:t>Optimisation Trigger: Before vs After Analysis for phase 3</w:t>
      </w:r>
      <w:bookmarkEnd w:id="84"/>
    </w:p>
    <w:tbl>
      <w:tblPr>
        <w:tblW w:w="13540" w:type="dxa"/>
        <w:tblLook w:val="04A0" w:firstRow="1" w:lastRow="0" w:firstColumn="1" w:lastColumn="0" w:noHBand="0" w:noVBand="1"/>
      </w:tblPr>
      <w:tblGrid>
        <w:gridCol w:w="558"/>
        <w:gridCol w:w="1972"/>
        <w:gridCol w:w="1972"/>
        <w:gridCol w:w="2633"/>
        <w:gridCol w:w="1319"/>
        <w:gridCol w:w="1316"/>
        <w:gridCol w:w="1316"/>
        <w:gridCol w:w="1317"/>
        <w:gridCol w:w="1137"/>
      </w:tblGrid>
      <w:tr w:rsidR="000B0446" w:rsidRPr="000B0446" w14:paraId="3754B069" w14:textId="77777777" w:rsidTr="000B0446">
        <w:trPr>
          <w:trHeight w:val="400"/>
        </w:trPr>
        <w:tc>
          <w:tcPr>
            <w:tcW w:w="8480" w:type="dxa"/>
            <w:gridSpan w:val="5"/>
            <w:tcBorders>
              <w:top w:val="single" w:sz="4" w:space="0" w:color="CCCCCC"/>
              <w:left w:val="single" w:sz="4" w:space="0" w:color="CCCCCC"/>
              <w:bottom w:val="single" w:sz="4" w:space="0" w:color="CCCCCC"/>
              <w:right w:val="nil"/>
            </w:tcBorders>
            <w:shd w:val="clear" w:color="2C3E50" w:fill="2C3E50"/>
            <w:vAlign w:val="center"/>
            <w:hideMark/>
          </w:tcPr>
          <w:p w14:paraId="467573F7"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Event details</w:t>
            </w:r>
          </w:p>
        </w:tc>
        <w:tc>
          <w:tcPr>
            <w:tcW w:w="5060" w:type="dxa"/>
            <w:gridSpan w:val="4"/>
            <w:tcBorders>
              <w:top w:val="single" w:sz="4" w:space="0" w:color="CCCCCC"/>
              <w:left w:val="nil"/>
              <w:bottom w:val="single" w:sz="4" w:space="0" w:color="CCCCCC"/>
              <w:right w:val="single" w:sz="4" w:space="0" w:color="CCCCCC"/>
            </w:tcBorders>
            <w:shd w:val="clear" w:color="534AB7" w:fill="534AB7"/>
            <w:vAlign w:val="center"/>
            <w:hideMark/>
          </w:tcPr>
          <w:p w14:paraId="22EE9EF4"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Composite reward</w:t>
            </w:r>
          </w:p>
        </w:tc>
      </w:tr>
      <w:tr w:rsidR="000B0446" w:rsidRPr="000B0446" w14:paraId="3C80D6BC" w14:textId="77777777" w:rsidTr="000B0446">
        <w:trPr>
          <w:trHeight w:val="560"/>
        </w:trPr>
        <w:tc>
          <w:tcPr>
            <w:tcW w:w="560" w:type="dxa"/>
            <w:tcBorders>
              <w:top w:val="single" w:sz="8" w:space="0" w:color="444444"/>
              <w:left w:val="single" w:sz="8" w:space="0" w:color="444444"/>
              <w:bottom w:val="single" w:sz="8" w:space="0" w:color="444444"/>
              <w:right w:val="nil"/>
            </w:tcBorders>
            <w:shd w:val="clear" w:color="2C3E50" w:fill="2C3E50"/>
            <w:vAlign w:val="center"/>
            <w:hideMark/>
          </w:tcPr>
          <w:p w14:paraId="470087B5"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w:t>
            </w:r>
          </w:p>
        </w:tc>
        <w:tc>
          <w:tcPr>
            <w:tcW w:w="1980" w:type="dxa"/>
            <w:tcBorders>
              <w:top w:val="single" w:sz="4" w:space="0" w:color="CCCCCC"/>
              <w:left w:val="nil"/>
              <w:bottom w:val="single" w:sz="4" w:space="0" w:color="CCCCCC"/>
              <w:right w:val="nil"/>
            </w:tcBorders>
            <w:shd w:val="clear" w:color="2C3E50" w:fill="2C3E50"/>
            <w:vAlign w:val="center"/>
            <w:hideMark/>
          </w:tcPr>
          <w:p w14:paraId="7A63033E"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Window before</w:t>
            </w:r>
          </w:p>
        </w:tc>
        <w:tc>
          <w:tcPr>
            <w:tcW w:w="1980" w:type="dxa"/>
            <w:tcBorders>
              <w:top w:val="single" w:sz="4" w:space="0" w:color="CCCCCC"/>
              <w:left w:val="nil"/>
              <w:bottom w:val="single" w:sz="4" w:space="0" w:color="CCCCCC"/>
              <w:right w:val="nil"/>
            </w:tcBorders>
            <w:shd w:val="clear" w:color="2C3E50" w:fill="2C3E50"/>
            <w:vAlign w:val="center"/>
            <w:hideMark/>
          </w:tcPr>
          <w:p w14:paraId="43804F38"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Window after</w:t>
            </w:r>
          </w:p>
        </w:tc>
        <w:tc>
          <w:tcPr>
            <w:tcW w:w="2640" w:type="dxa"/>
            <w:tcBorders>
              <w:top w:val="single" w:sz="4" w:space="0" w:color="CCCCCC"/>
              <w:left w:val="nil"/>
              <w:bottom w:val="single" w:sz="4" w:space="0" w:color="CCCCCC"/>
              <w:right w:val="nil"/>
            </w:tcBorders>
            <w:shd w:val="clear" w:color="2C3E50" w:fill="2C3E50"/>
            <w:vAlign w:val="center"/>
            <w:hideMark/>
          </w:tcPr>
          <w:p w14:paraId="2C6BEE30"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Trigger type</w:t>
            </w:r>
          </w:p>
        </w:tc>
        <w:tc>
          <w:tcPr>
            <w:tcW w:w="1320" w:type="dxa"/>
            <w:tcBorders>
              <w:top w:val="single" w:sz="4" w:space="0" w:color="CCCCCC"/>
              <w:left w:val="nil"/>
              <w:bottom w:val="single" w:sz="4" w:space="0" w:color="CCCCCC"/>
              <w:right w:val="nil"/>
            </w:tcBorders>
            <w:shd w:val="clear" w:color="2C3E50" w:fill="2C3E50"/>
            <w:vAlign w:val="center"/>
            <w:hideMark/>
          </w:tcPr>
          <w:p w14:paraId="439D6EEB"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Drawdown %</w:t>
            </w:r>
          </w:p>
        </w:tc>
        <w:tc>
          <w:tcPr>
            <w:tcW w:w="1320" w:type="dxa"/>
            <w:tcBorders>
              <w:top w:val="single" w:sz="4" w:space="0" w:color="CCCCCC"/>
              <w:left w:val="nil"/>
              <w:bottom w:val="single" w:sz="4" w:space="0" w:color="CCCCCC"/>
              <w:right w:val="nil"/>
            </w:tcBorders>
            <w:shd w:val="clear" w:color="534AB7" w:fill="534AB7"/>
            <w:vAlign w:val="center"/>
            <w:hideMark/>
          </w:tcPr>
          <w:p w14:paraId="09B51227"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Before</w:t>
            </w:r>
          </w:p>
        </w:tc>
        <w:tc>
          <w:tcPr>
            <w:tcW w:w="1320" w:type="dxa"/>
            <w:tcBorders>
              <w:top w:val="single" w:sz="4" w:space="0" w:color="CCCCCC"/>
              <w:left w:val="nil"/>
              <w:bottom w:val="single" w:sz="4" w:space="0" w:color="CCCCCC"/>
              <w:right w:val="nil"/>
            </w:tcBorders>
            <w:shd w:val="clear" w:color="534AB7" w:fill="534AB7"/>
            <w:vAlign w:val="center"/>
            <w:hideMark/>
          </w:tcPr>
          <w:p w14:paraId="02862169"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After</w:t>
            </w:r>
          </w:p>
        </w:tc>
        <w:tc>
          <w:tcPr>
            <w:tcW w:w="1320" w:type="dxa"/>
            <w:tcBorders>
              <w:top w:val="single" w:sz="4" w:space="0" w:color="CCCCCC"/>
              <w:left w:val="nil"/>
              <w:bottom w:val="single" w:sz="4" w:space="0" w:color="CCCCCC"/>
              <w:right w:val="nil"/>
            </w:tcBorders>
            <w:shd w:val="clear" w:color="534AB7" w:fill="534AB7"/>
            <w:vAlign w:val="center"/>
            <w:hideMark/>
          </w:tcPr>
          <w:p w14:paraId="6EBC784E"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Change</w:t>
            </w:r>
          </w:p>
        </w:tc>
        <w:tc>
          <w:tcPr>
            <w:tcW w:w="1100" w:type="dxa"/>
            <w:tcBorders>
              <w:top w:val="single" w:sz="8" w:space="0" w:color="444444"/>
              <w:left w:val="nil"/>
              <w:bottom w:val="single" w:sz="8" w:space="0" w:color="444444"/>
              <w:right w:val="single" w:sz="8" w:space="0" w:color="444444"/>
            </w:tcBorders>
            <w:shd w:val="clear" w:color="534AB7" w:fill="534AB7"/>
            <w:vAlign w:val="center"/>
            <w:hideMark/>
          </w:tcPr>
          <w:p w14:paraId="4F604D43" w14:textId="77777777" w:rsidR="000B0446" w:rsidRPr="000B0446" w:rsidRDefault="000B0446" w:rsidP="00934643">
            <w:pPr>
              <w:spacing w:after="0" w:line="240" w:lineRule="auto"/>
              <w:jc w:val="both"/>
              <w:rPr>
                <w:rFonts w:ascii="Arial" w:eastAsia="Times New Roman" w:hAnsi="Arial" w:cs="Arial"/>
                <w:b/>
                <w:bCs/>
                <w:color w:val="FFFFFF"/>
                <w:sz w:val="18"/>
                <w:szCs w:val="18"/>
                <w:lang w:eastAsia="en-IN"/>
              </w:rPr>
            </w:pPr>
            <w:r w:rsidRPr="000B0446">
              <w:rPr>
                <w:rFonts w:ascii="Arial" w:eastAsia="Times New Roman" w:hAnsi="Arial" w:cs="Arial"/>
                <w:b/>
                <w:bCs/>
                <w:color w:val="FFFFFF"/>
                <w:sz w:val="18"/>
                <w:szCs w:val="18"/>
                <w:lang w:eastAsia="en-IN"/>
              </w:rPr>
              <w:t>Improved?</w:t>
            </w:r>
          </w:p>
        </w:tc>
      </w:tr>
      <w:tr w:rsidR="000B0446" w:rsidRPr="000B0446" w14:paraId="0B8BEECB" w14:textId="77777777" w:rsidTr="000B0446">
        <w:trPr>
          <w:trHeight w:val="440"/>
        </w:trPr>
        <w:tc>
          <w:tcPr>
            <w:tcW w:w="560" w:type="dxa"/>
            <w:tcBorders>
              <w:top w:val="nil"/>
              <w:left w:val="single" w:sz="4" w:space="0" w:color="CCCCCC"/>
              <w:bottom w:val="single" w:sz="4" w:space="0" w:color="CCCCCC"/>
              <w:right w:val="nil"/>
            </w:tcBorders>
            <w:shd w:val="clear" w:color="F0FFF4" w:fill="F0FFF4"/>
            <w:vAlign w:val="center"/>
            <w:hideMark/>
          </w:tcPr>
          <w:p w14:paraId="35BACA81"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1</w:t>
            </w:r>
          </w:p>
        </w:tc>
        <w:tc>
          <w:tcPr>
            <w:tcW w:w="1980" w:type="dxa"/>
            <w:tcBorders>
              <w:top w:val="nil"/>
              <w:left w:val="nil"/>
              <w:bottom w:val="single" w:sz="4" w:space="0" w:color="CCCCCC"/>
              <w:right w:val="nil"/>
            </w:tcBorders>
            <w:shd w:val="clear" w:color="F0FFF4" w:fill="F0FFF4"/>
            <w:vAlign w:val="center"/>
            <w:hideMark/>
          </w:tcPr>
          <w:p w14:paraId="59F79965"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chunk_0</w:t>
            </w:r>
          </w:p>
        </w:tc>
        <w:tc>
          <w:tcPr>
            <w:tcW w:w="1980" w:type="dxa"/>
            <w:tcBorders>
              <w:top w:val="nil"/>
              <w:left w:val="nil"/>
              <w:bottom w:val="single" w:sz="4" w:space="0" w:color="CCCCCC"/>
              <w:right w:val="nil"/>
            </w:tcBorders>
            <w:shd w:val="clear" w:color="F0FFF4" w:fill="F0FFF4"/>
            <w:vAlign w:val="center"/>
            <w:hideMark/>
          </w:tcPr>
          <w:p w14:paraId="0AC48C10"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w:t>
            </w:r>
          </w:p>
        </w:tc>
        <w:tc>
          <w:tcPr>
            <w:tcW w:w="2640" w:type="dxa"/>
            <w:tcBorders>
              <w:top w:val="nil"/>
              <w:left w:val="nil"/>
              <w:bottom w:val="single" w:sz="4" w:space="0" w:color="CCCCCC"/>
              <w:right w:val="nil"/>
            </w:tcBorders>
            <w:shd w:val="clear" w:color="F0FFF4" w:fill="F0FFF4"/>
            <w:vAlign w:val="center"/>
            <w:hideMark/>
          </w:tcPr>
          <w:p w14:paraId="313E0985"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0FFF4" w:fill="F0FFF4"/>
            <w:vAlign w:val="center"/>
            <w:hideMark/>
          </w:tcPr>
          <w:p w14:paraId="340006A3"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6.20%</w:t>
            </w:r>
          </w:p>
        </w:tc>
        <w:tc>
          <w:tcPr>
            <w:tcW w:w="1320" w:type="dxa"/>
            <w:tcBorders>
              <w:top w:val="nil"/>
              <w:left w:val="nil"/>
              <w:bottom w:val="single" w:sz="4" w:space="0" w:color="CCCCCC"/>
              <w:right w:val="nil"/>
            </w:tcBorders>
            <w:shd w:val="clear" w:color="F0FFF4" w:fill="F0FFF4"/>
            <w:vAlign w:val="center"/>
            <w:hideMark/>
          </w:tcPr>
          <w:p w14:paraId="000B7475"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0.0000</w:t>
            </w:r>
          </w:p>
        </w:tc>
        <w:tc>
          <w:tcPr>
            <w:tcW w:w="1320" w:type="dxa"/>
            <w:tcBorders>
              <w:top w:val="nil"/>
              <w:left w:val="nil"/>
              <w:bottom w:val="single" w:sz="4" w:space="0" w:color="CCCCCC"/>
              <w:right w:val="nil"/>
            </w:tcBorders>
            <w:shd w:val="clear" w:color="F0FFF4" w:fill="F0FFF4"/>
            <w:vAlign w:val="center"/>
            <w:hideMark/>
          </w:tcPr>
          <w:p w14:paraId="527F6CCB"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0.2134</w:t>
            </w:r>
          </w:p>
        </w:tc>
        <w:tc>
          <w:tcPr>
            <w:tcW w:w="1320" w:type="dxa"/>
            <w:tcBorders>
              <w:top w:val="nil"/>
              <w:left w:val="nil"/>
              <w:bottom w:val="single" w:sz="4" w:space="0" w:color="CCCCCC"/>
              <w:right w:val="nil"/>
            </w:tcBorders>
            <w:shd w:val="clear" w:color="F0FFF4" w:fill="F0FFF4"/>
            <w:vAlign w:val="center"/>
            <w:hideMark/>
          </w:tcPr>
          <w:p w14:paraId="7D7D7BBD" w14:textId="77777777" w:rsidR="000B0446" w:rsidRPr="000B0446" w:rsidRDefault="000B0446" w:rsidP="00934643">
            <w:pPr>
              <w:spacing w:after="0" w:line="240" w:lineRule="auto"/>
              <w:jc w:val="both"/>
              <w:rPr>
                <w:rFonts w:ascii="Arial" w:eastAsia="Times New Roman" w:hAnsi="Arial" w:cs="Arial"/>
                <w:b/>
                <w:bCs/>
                <w:color w:val="1D6B3A"/>
                <w:sz w:val="18"/>
                <w:szCs w:val="18"/>
                <w:lang w:eastAsia="en-IN"/>
              </w:rPr>
            </w:pPr>
            <w:r w:rsidRPr="000B0446">
              <w:rPr>
                <w:rFonts w:ascii="Arial" w:eastAsia="Times New Roman" w:hAnsi="Arial" w:cs="Arial"/>
                <w:b/>
                <w:bCs/>
                <w:color w:val="1D6B3A"/>
                <w:sz w:val="18"/>
                <w:szCs w:val="18"/>
                <w:lang w:eastAsia="en-IN"/>
              </w:rPr>
              <w:t>+0.2134</w:t>
            </w:r>
          </w:p>
        </w:tc>
        <w:tc>
          <w:tcPr>
            <w:tcW w:w="1100" w:type="dxa"/>
            <w:tcBorders>
              <w:top w:val="nil"/>
              <w:left w:val="nil"/>
              <w:bottom w:val="single" w:sz="4" w:space="0" w:color="CCCCCC"/>
              <w:right w:val="single" w:sz="4" w:space="0" w:color="CCCCCC"/>
            </w:tcBorders>
            <w:shd w:val="clear" w:color="F0FFF4" w:fill="F0FFF4"/>
            <w:vAlign w:val="center"/>
            <w:hideMark/>
          </w:tcPr>
          <w:p w14:paraId="520100E3" w14:textId="77777777" w:rsidR="000B0446" w:rsidRPr="000B0446" w:rsidRDefault="000B0446" w:rsidP="00934643">
            <w:pPr>
              <w:spacing w:after="0" w:line="240" w:lineRule="auto"/>
              <w:jc w:val="both"/>
              <w:rPr>
                <w:rFonts w:ascii="Arial" w:eastAsia="Times New Roman" w:hAnsi="Arial" w:cs="Arial"/>
                <w:b/>
                <w:bCs/>
                <w:color w:val="1D6B3A"/>
                <w:sz w:val="20"/>
                <w:szCs w:val="20"/>
                <w:lang w:eastAsia="en-IN"/>
              </w:rPr>
            </w:pPr>
            <w:r w:rsidRPr="000B0446">
              <w:rPr>
                <w:rFonts w:ascii="Arial" w:eastAsia="Times New Roman" w:hAnsi="Arial" w:cs="Arial"/>
                <w:b/>
                <w:bCs/>
                <w:color w:val="1D6B3A"/>
                <w:sz w:val="20"/>
                <w:szCs w:val="20"/>
                <w:lang w:eastAsia="en-IN"/>
              </w:rPr>
              <w:t>YES</w:t>
            </w:r>
          </w:p>
        </w:tc>
      </w:tr>
      <w:tr w:rsidR="000B0446" w:rsidRPr="000B0446" w14:paraId="4D76002E" w14:textId="77777777" w:rsidTr="000B0446">
        <w:trPr>
          <w:trHeight w:val="440"/>
        </w:trPr>
        <w:tc>
          <w:tcPr>
            <w:tcW w:w="560" w:type="dxa"/>
            <w:tcBorders>
              <w:top w:val="nil"/>
              <w:left w:val="single" w:sz="4" w:space="0" w:color="CCCCCC"/>
              <w:bottom w:val="single" w:sz="4" w:space="0" w:color="CCCCCC"/>
              <w:right w:val="nil"/>
            </w:tcBorders>
            <w:shd w:val="clear" w:color="F0FFF4" w:fill="F0FFF4"/>
            <w:vAlign w:val="center"/>
            <w:hideMark/>
          </w:tcPr>
          <w:p w14:paraId="12548B8F"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2</w:t>
            </w:r>
          </w:p>
        </w:tc>
        <w:tc>
          <w:tcPr>
            <w:tcW w:w="1980" w:type="dxa"/>
            <w:tcBorders>
              <w:top w:val="nil"/>
              <w:left w:val="nil"/>
              <w:bottom w:val="single" w:sz="4" w:space="0" w:color="CCCCCC"/>
              <w:right w:val="nil"/>
            </w:tcBorders>
            <w:shd w:val="clear" w:color="F0FFF4" w:fill="F0FFF4"/>
            <w:vAlign w:val="center"/>
            <w:hideMark/>
          </w:tcPr>
          <w:p w14:paraId="507AAE10"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w:t>
            </w:r>
          </w:p>
        </w:tc>
        <w:tc>
          <w:tcPr>
            <w:tcW w:w="1980" w:type="dxa"/>
            <w:tcBorders>
              <w:top w:val="nil"/>
              <w:left w:val="nil"/>
              <w:bottom w:val="single" w:sz="4" w:space="0" w:color="CCCCCC"/>
              <w:right w:val="nil"/>
            </w:tcBorders>
            <w:shd w:val="clear" w:color="F0FFF4" w:fill="F0FFF4"/>
            <w:vAlign w:val="center"/>
            <w:hideMark/>
          </w:tcPr>
          <w:p w14:paraId="0D746FBC"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chunk_2</w:t>
            </w:r>
          </w:p>
        </w:tc>
        <w:tc>
          <w:tcPr>
            <w:tcW w:w="2640" w:type="dxa"/>
            <w:tcBorders>
              <w:top w:val="nil"/>
              <w:left w:val="nil"/>
              <w:bottom w:val="single" w:sz="4" w:space="0" w:color="CCCCCC"/>
              <w:right w:val="nil"/>
            </w:tcBorders>
            <w:shd w:val="clear" w:color="F0FFF4" w:fill="F0FFF4"/>
            <w:vAlign w:val="center"/>
            <w:hideMark/>
          </w:tcPr>
          <w:p w14:paraId="46EF438E"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0FFF4" w:fill="F0FFF4"/>
            <w:vAlign w:val="center"/>
            <w:hideMark/>
          </w:tcPr>
          <w:p w14:paraId="63FF8AA1"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2.08%</w:t>
            </w:r>
          </w:p>
        </w:tc>
        <w:tc>
          <w:tcPr>
            <w:tcW w:w="1320" w:type="dxa"/>
            <w:tcBorders>
              <w:top w:val="nil"/>
              <w:left w:val="nil"/>
              <w:bottom w:val="single" w:sz="4" w:space="0" w:color="CCCCCC"/>
              <w:right w:val="nil"/>
            </w:tcBorders>
            <w:shd w:val="clear" w:color="F0FFF4" w:fill="F0FFF4"/>
            <w:vAlign w:val="center"/>
            <w:hideMark/>
          </w:tcPr>
          <w:p w14:paraId="5D763FD8"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0.2134</w:t>
            </w:r>
          </w:p>
        </w:tc>
        <w:tc>
          <w:tcPr>
            <w:tcW w:w="1320" w:type="dxa"/>
            <w:tcBorders>
              <w:top w:val="nil"/>
              <w:left w:val="nil"/>
              <w:bottom w:val="single" w:sz="4" w:space="0" w:color="CCCCCC"/>
              <w:right w:val="nil"/>
            </w:tcBorders>
            <w:shd w:val="clear" w:color="F0FFF4" w:fill="F0FFF4"/>
            <w:vAlign w:val="center"/>
            <w:hideMark/>
          </w:tcPr>
          <w:p w14:paraId="1C7C16E4"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0.3043</w:t>
            </w:r>
          </w:p>
        </w:tc>
        <w:tc>
          <w:tcPr>
            <w:tcW w:w="1320" w:type="dxa"/>
            <w:tcBorders>
              <w:top w:val="nil"/>
              <w:left w:val="nil"/>
              <w:bottom w:val="single" w:sz="4" w:space="0" w:color="CCCCCC"/>
              <w:right w:val="nil"/>
            </w:tcBorders>
            <w:shd w:val="clear" w:color="F0FFF4" w:fill="F0FFF4"/>
            <w:vAlign w:val="center"/>
            <w:hideMark/>
          </w:tcPr>
          <w:p w14:paraId="5F86DF00" w14:textId="77777777" w:rsidR="000B0446" w:rsidRPr="000B0446" w:rsidRDefault="000B0446" w:rsidP="00934643">
            <w:pPr>
              <w:spacing w:after="0" w:line="240" w:lineRule="auto"/>
              <w:jc w:val="both"/>
              <w:rPr>
                <w:rFonts w:ascii="Arial" w:eastAsia="Times New Roman" w:hAnsi="Arial" w:cs="Arial"/>
                <w:b/>
                <w:bCs/>
                <w:color w:val="1D6B3A"/>
                <w:sz w:val="18"/>
                <w:szCs w:val="18"/>
                <w:lang w:eastAsia="en-IN"/>
              </w:rPr>
            </w:pPr>
            <w:r w:rsidRPr="000B0446">
              <w:rPr>
                <w:rFonts w:ascii="Arial" w:eastAsia="Times New Roman" w:hAnsi="Arial" w:cs="Arial"/>
                <w:b/>
                <w:bCs/>
                <w:color w:val="1D6B3A"/>
                <w:sz w:val="18"/>
                <w:szCs w:val="18"/>
                <w:lang w:eastAsia="en-IN"/>
              </w:rPr>
              <w:t>+0.0909</w:t>
            </w:r>
          </w:p>
        </w:tc>
        <w:tc>
          <w:tcPr>
            <w:tcW w:w="1100" w:type="dxa"/>
            <w:tcBorders>
              <w:top w:val="nil"/>
              <w:left w:val="nil"/>
              <w:bottom w:val="single" w:sz="4" w:space="0" w:color="CCCCCC"/>
              <w:right w:val="single" w:sz="4" w:space="0" w:color="CCCCCC"/>
            </w:tcBorders>
            <w:shd w:val="clear" w:color="F0FFF4" w:fill="F0FFF4"/>
            <w:vAlign w:val="center"/>
            <w:hideMark/>
          </w:tcPr>
          <w:p w14:paraId="5425E95A" w14:textId="77777777" w:rsidR="000B0446" w:rsidRPr="000B0446" w:rsidRDefault="000B0446" w:rsidP="00934643">
            <w:pPr>
              <w:spacing w:after="0" w:line="240" w:lineRule="auto"/>
              <w:jc w:val="both"/>
              <w:rPr>
                <w:rFonts w:ascii="Arial" w:eastAsia="Times New Roman" w:hAnsi="Arial" w:cs="Arial"/>
                <w:b/>
                <w:bCs/>
                <w:color w:val="1D6B3A"/>
                <w:sz w:val="20"/>
                <w:szCs w:val="20"/>
                <w:lang w:eastAsia="en-IN"/>
              </w:rPr>
            </w:pPr>
            <w:r w:rsidRPr="000B0446">
              <w:rPr>
                <w:rFonts w:ascii="Arial" w:eastAsia="Times New Roman" w:hAnsi="Arial" w:cs="Arial"/>
                <w:b/>
                <w:bCs/>
                <w:color w:val="1D6B3A"/>
                <w:sz w:val="20"/>
                <w:szCs w:val="20"/>
                <w:lang w:eastAsia="en-IN"/>
              </w:rPr>
              <w:t>YES</w:t>
            </w:r>
          </w:p>
        </w:tc>
      </w:tr>
      <w:tr w:rsidR="000B0446" w:rsidRPr="000B0446" w14:paraId="4EA7642E" w14:textId="77777777" w:rsidTr="000B0446">
        <w:trPr>
          <w:trHeight w:val="440"/>
        </w:trPr>
        <w:tc>
          <w:tcPr>
            <w:tcW w:w="560" w:type="dxa"/>
            <w:tcBorders>
              <w:top w:val="nil"/>
              <w:left w:val="single" w:sz="4" w:space="0" w:color="CCCCCC"/>
              <w:bottom w:val="single" w:sz="4" w:space="0" w:color="CCCCCC"/>
              <w:right w:val="nil"/>
            </w:tcBorders>
            <w:shd w:val="clear" w:color="FFF0F0" w:fill="FFF0F0"/>
            <w:vAlign w:val="center"/>
            <w:hideMark/>
          </w:tcPr>
          <w:p w14:paraId="42F1C06C"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3</w:t>
            </w:r>
          </w:p>
        </w:tc>
        <w:tc>
          <w:tcPr>
            <w:tcW w:w="1980" w:type="dxa"/>
            <w:tcBorders>
              <w:top w:val="nil"/>
              <w:left w:val="nil"/>
              <w:bottom w:val="single" w:sz="4" w:space="0" w:color="CCCCCC"/>
              <w:right w:val="nil"/>
            </w:tcBorders>
            <w:shd w:val="clear" w:color="FFF0F0" w:fill="FFF0F0"/>
            <w:vAlign w:val="center"/>
            <w:hideMark/>
          </w:tcPr>
          <w:p w14:paraId="4F6FD5A9"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chunk_2</w:t>
            </w:r>
          </w:p>
        </w:tc>
        <w:tc>
          <w:tcPr>
            <w:tcW w:w="1980" w:type="dxa"/>
            <w:tcBorders>
              <w:top w:val="nil"/>
              <w:left w:val="nil"/>
              <w:bottom w:val="single" w:sz="4" w:space="0" w:color="CCCCCC"/>
              <w:right w:val="nil"/>
            </w:tcBorders>
            <w:shd w:val="clear" w:color="FFF0F0" w:fill="FFF0F0"/>
            <w:vAlign w:val="center"/>
            <w:hideMark/>
          </w:tcPr>
          <w:p w14:paraId="106499DA"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chunk_3</w:t>
            </w:r>
          </w:p>
        </w:tc>
        <w:tc>
          <w:tcPr>
            <w:tcW w:w="2640" w:type="dxa"/>
            <w:tcBorders>
              <w:top w:val="nil"/>
              <w:left w:val="nil"/>
              <w:bottom w:val="single" w:sz="4" w:space="0" w:color="CCCCCC"/>
              <w:right w:val="nil"/>
            </w:tcBorders>
            <w:shd w:val="clear" w:color="FFF0F0" w:fill="FFF0F0"/>
            <w:vAlign w:val="center"/>
            <w:hideMark/>
          </w:tcPr>
          <w:p w14:paraId="7E6EF16B"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FF0F0" w:fill="FFF0F0"/>
            <w:vAlign w:val="center"/>
            <w:hideMark/>
          </w:tcPr>
          <w:p w14:paraId="0130A30A"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2.63%</w:t>
            </w:r>
          </w:p>
        </w:tc>
        <w:tc>
          <w:tcPr>
            <w:tcW w:w="1320" w:type="dxa"/>
            <w:tcBorders>
              <w:top w:val="nil"/>
              <w:left w:val="nil"/>
              <w:bottom w:val="single" w:sz="4" w:space="0" w:color="CCCCCC"/>
              <w:right w:val="nil"/>
            </w:tcBorders>
            <w:shd w:val="clear" w:color="FFF0F0" w:fill="FFF0F0"/>
            <w:vAlign w:val="center"/>
            <w:hideMark/>
          </w:tcPr>
          <w:p w14:paraId="41EB7233"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0.3043</w:t>
            </w:r>
          </w:p>
        </w:tc>
        <w:tc>
          <w:tcPr>
            <w:tcW w:w="1320" w:type="dxa"/>
            <w:tcBorders>
              <w:top w:val="nil"/>
              <w:left w:val="nil"/>
              <w:bottom w:val="single" w:sz="4" w:space="0" w:color="CCCCCC"/>
              <w:right w:val="nil"/>
            </w:tcBorders>
            <w:shd w:val="clear" w:color="FFF0F0" w:fill="FFF0F0"/>
            <w:vAlign w:val="center"/>
            <w:hideMark/>
          </w:tcPr>
          <w:p w14:paraId="0088F7E2"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0.1328</w:t>
            </w:r>
          </w:p>
        </w:tc>
        <w:tc>
          <w:tcPr>
            <w:tcW w:w="1320" w:type="dxa"/>
            <w:tcBorders>
              <w:top w:val="nil"/>
              <w:left w:val="nil"/>
              <w:bottom w:val="single" w:sz="4" w:space="0" w:color="CCCCCC"/>
              <w:right w:val="nil"/>
            </w:tcBorders>
            <w:shd w:val="clear" w:color="FFF0F0" w:fill="FFF0F0"/>
            <w:vAlign w:val="center"/>
            <w:hideMark/>
          </w:tcPr>
          <w:p w14:paraId="219A4084" w14:textId="77777777" w:rsidR="000B0446" w:rsidRPr="000B0446" w:rsidRDefault="000B0446" w:rsidP="00934643">
            <w:pPr>
              <w:spacing w:after="0" w:line="240" w:lineRule="auto"/>
              <w:jc w:val="both"/>
              <w:rPr>
                <w:rFonts w:ascii="Arial" w:eastAsia="Times New Roman" w:hAnsi="Arial" w:cs="Arial"/>
                <w:b/>
                <w:bCs/>
                <w:color w:val="A93226"/>
                <w:sz w:val="18"/>
                <w:szCs w:val="18"/>
                <w:lang w:eastAsia="en-IN"/>
              </w:rPr>
            </w:pPr>
            <w:r w:rsidRPr="000B0446">
              <w:rPr>
                <w:rFonts w:ascii="Arial" w:eastAsia="Times New Roman" w:hAnsi="Arial" w:cs="Arial"/>
                <w:b/>
                <w:bCs/>
                <w:color w:val="A93226"/>
                <w:sz w:val="18"/>
                <w:szCs w:val="18"/>
                <w:lang w:eastAsia="en-IN"/>
              </w:rPr>
              <w:t>-0.1715</w:t>
            </w:r>
          </w:p>
        </w:tc>
        <w:tc>
          <w:tcPr>
            <w:tcW w:w="1100" w:type="dxa"/>
            <w:tcBorders>
              <w:top w:val="nil"/>
              <w:left w:val="nil"/>
              <w:bottom w:val="single" w:sz="4" w:space="0" w:color="CCCCCC"/>
              <w:right w:val="single" w:sz="4" w:space="0" w:color="CCCCCC"/>
            </w:tcBorders>
            <w:shd w:val="clear" w:color="FFF0F0" w:fill="FFF0F0"/>
            <w:vAlign w:val="center"/>
            <w:hideMark/>
          </w:tcPr>
          <w:p w14:paraId="35A9D043" w14:textId="77777777" w:rsidR="000B0446" w:rsidRPr="000B0446" w:rsidRDefault="000B0446" w:rsidP="00934643">
            <w:pPr>
              <w:spacing w:after="0" w:line="240" w:lineRule="auto"/>
              <w:jc w:val="both"/>
              <w:rPr>
                <w:rFonts w:ascii="Arial" w:eastAsia="Times New Roman" w:hAnsi="Arial" w:cs="Arial"/>
                <w:b/>
                <w:bCs/>
                <w:color w:val="A93226"/>
                <w:sz w:val="20"/>
                <w:szCs w:val="20"/>
                <w:lang w:eastAsia="en-IN"/>
              </w:rPr>
            </w:pPr>
            <w:r w:rsidRPr="000B0446">
              <w:rPr>
                <w:rFonts w:ascii="Arial" w:eastAsia="Times New Roman" w:hAnsi="Arial" w:cs="Arial"/>
                <w:b/>
                <w:bCs/>
                <w:color w:val="A93226"/>
                <w:sz w:val="20"/>
                <w:szCs w:val="20"/>
                <w:lang w:eastAsia="en-IN"/>
              </w:rPr>
              <w:t>NO</w:t>
            </w:r>
          </w:p>
        </w:tc>
      </w:tr>
      <w:tr w:rsidR="000B0446" w:rsidRPr="000B0446" w14:paraId="6CA8FACD" w14:textId="77777777" w:rsidTr="000B0446">
        <w:trPr>
          <w:trHeight w:val="440"/>
        </w:trPr>
        <w:tc>
          <w:tcPr>
            <w:tcW w:w="560" w:type="dxa"/>
            <w:tcBorders>
              <w:top w:val="nil"/>
              <w:left w:val="single" w:sz="4" w:space="0" w:color="CCCCCC"/>
              <w:bottom w:val="single" w:sz="4" w:space="0" w:color="CCCCCC"/>
              <w:right w:val="nil"/>
            </w:tcBorders>
            <w:shd w:val="clear" w:color="FFF0F0" w:fill="FFF0F0"/>
            <w:vAlign w:val="center"/>
            <w:hideMark/>
          </w:tcPr>
          <w:p w14:paraId="06BB25F6"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4</w:t>
            </w:r>
          </w:p>
        </w:tc>
        <w:tc>
          <w:tcPr>
            <w:tcW w:w="1980" w:type="dxa"/>
            <w:tcBorders>
              <w:top w:val="nil"/>
              <w:left w:val="nil"/>
              <w:bottom w:val="single" w:sz="4" w:space="0" w:color="CCCCCC"/>
              <w:right w:val="nil"/>
            </w:tcBorders>
            <w:shd w:val="clear" w:color="FFF0F0" w:fill="FFF0F0"/>
            <w:vAlign w:val="center"/>
            <w:hideMark/>
          </w:tcPr>
          <w:p w14:paraId="54ABFB66"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chunk_5</w:t>
            </w:r>
          </w:p>
        </w:tc>
        <w:tc>
          <w:tcPr>
            <w:tcW w:w="1980" w:type="dxa"/>
            <w:tcBorders>
              <w:top w:val="nil"/>
              <w:left w:val="nil"/>
              <w:bottom w:val="single" w:sz="4" w:space="0" w:color="CCCCCC"/>
              <w:right w:val="nil"/>
            </w:tcBorders>
            <w:shd w:val="clear" w:color="FFF0F0" w:fill="FFF0F0"/>
            <w:vAlign w:val="center"/>
            <w:hideMark/>
          </w:tcPr>
          <w:p w14:paraId="64D85843"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chunk_6</w:t>
            </w:r>
          </w:p>
        </w:tc>
        <w:tc>
          <w:tcPr>
            <w:tcW w:w="2640" w:type="dxa"/>
            <w:tcBorders>
              <w:top w:val="nil"/>
              <w:left w:val="nil"/>
              <w:bottom w:val="single" w:sz="4" w:space="0" w:color="CCCCCC"/>
              <w:right w:val="nil"/>
            </w:tcBorders>
            <w:shd w:val="clear" w:color="FFF0F0" w:fill="FFF0F0"/>
            <w:vAlign w:val="center"/>
            <w:hideMark/>
          </w:tcPr>
          <w:p w14:paraId="5ABEE4DF"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FF0F0" w:fill="FFF0F0"/>
            <w:vAlign w:val="center"/>
            <w:hideMark/>
          </w:tcPr>
          <w:p w14:paraId="685F1361"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2.28%</w:t>
            </w:r>
          </w:p>
        </w:tc>
        <w:tc>
          <w:tcPr>
            <w:tcW w:w="1320" w:type="dxa"/>
            <w:tcBorders>
              <w:top w:val="nil"/>
              <w:left w:val="nil"/>
              <w:bottom w:val="single" w:sz="4" w:space="0" w:color="CCCCCC"/>
              <w:right w:val="nil"/>
            </w:tcBorders>
            <w:shd w:val="clear" w:color="FFF0F0" w:fill="FFF0F0"/>
            <w:vAlign w:val="center"/>
            <w:hideMark/>
          </w:tcPr>
          <w:p w14:paraId="22775E4F"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0.2537</w:t>
            </w:r>
          </w:p>
        </w:tc>
        <w:tc>
          <w:tcPr>
            <w:tcW w:w="1320" w:type="dxa"/>
            <w:tcBorders>
              <w:top w:val="nil"/>
              <w:left w:val="nil"/>
              <w:bottom w:val="single" w:sz="4" w:space="0" w:color="CCCCCC"/>
              <w:right w:val="nil"/>
            </w:tcBorders>
            <w:shd w:val="clear" w:color="FFF0F0" w:fill="FFF0F0"/>
            <w:vAlign w:val="center"/>
            <w:hideMark/>
          </w:tcPr>
          <w:p w14:paraId="5869D005"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0.0469</w:t>
            </w:r>
          </w:p>
        </w:tc>
        <w:tc>
          <w:tcPr>
            <w:tcW w:w="1320" w:type="dxa"/>
            <w:tcBorders>
              <w:top w:val="nil"/>
              <w:left w:val="nil"/>
              <w:bottom w:val="single" w:sz="4" w:space="0" w:color="CCCCCC"/>
              <w:right w:val="nil"/>
            </w:tcBorders>
            <w:shd w:val="clear" w:color="FFF0F0" w:fill="FFF0F0"/>
            <w:vAlign w:val="center"/>
            <w:hideMark/>
          </w:tcPr>
          <w:p w14:paraId="6E5E290E" w14:textId="77777777" w:rsidR="000B0446" w:rsidRPr="000B0446" w:rsidRDefault="000B0446" w:rsidP="00934643">
            <w:pPr>
              <w:spacing w:after="0" w:line="240" w:lineRule="auto"/>
              <w:jc w:val="both"/>
              <w:rPr>
                <w:rFonts w:ascii="Arial" w:eastAsia="Times New Roman" w:hAnsi="Arial" w:cs="Arial"/>
                <w:b/>
                <w:bCs/>
                <w:color w:val="A93226"/>
                <w:sz w:val="18"/>
                <w:szCs w:val="18"/>
                <w:lang w:eastAsia="en-IN"/>
              </w:rPr>
            </w:pPr>
            <w:r w:rsidRPr="000B0446">
              <w:rPr>
                <w:rFonts w:ascii="Arial" w:eastAsia="Times New Roman" w:hAnsi="Arial" w:cs="Arial"/>
                <w:b/>
                <w:bCs/>
                <w:color w:val="A93226"/>
                <w:sz w:val="18"/>
                <w:szCs w:val="18"/>
                <w:lang w:eastAsia="en-IN"/>
              </w:rPr>
              <w:t>-0.2068</w:t>
            </w:r>
          </w:p>
        </w:tc>
        <w:tc>
          <w:tcPr>
            <w:tcW w:w="1100" w:type="dxa"/>
            <w:tcBorders>
              <w:top w:val="nil"/>
              <w:left w:val="nil"/>
              <w:bottom w:val="single" w:sz="4" w:space="0" w:color="CCCCCC"/>
              <w:right w:val="single" w:sz="4" w:space="0" w:color="CCCCCC"/>
            </w:tcBorders>
            <w:shd w:val="clear" w:color="FFF0F0" w:fill="FFF0F0"/>
            <w:vAlign w:val="center"/>
            <w:hideMark/>
          </w:tcPr>
          <w:p w14:paraId="2D59E4BD" w14:textId="77777777" w:rsidR="000B0446" w:rsidRPr="000B0446" w:rsidRDefault="000B0446" w:rsidP="00934643">
            <w:pPr>
              <w:spacing w:after="0" w:line="240" w:lineRule="auto"/>
              <w:jc w:val="both"/>
              <w:rPr>
                <w:rFonts w:ascii="Arial" w:eastAsia="Times New Roman" w:hAnsi="Arial" w:cs="Arial"/>
                <w:b/>
                <w:bCs/>
                <w:color w:val="A93226"/>
                <w:sz w:val="20"/>
                <w:szCs w:val="20"/>
                <w:lang w:eastAsia="en-IN"/>
              </w:rPr>
            </w:pPr>
            <w:r w:rsidRPr="000B0446">
              <w:rPr>
                <w:rFonts w:ascii="Arial" w:eastAsia="Times New Roman" w:hAnsi="Arial" w:cs="Arial"/>
                <w:b/>
                <w:bCs/>
                <w:color w:val="A93226"/>
                <w:sz w:val="20"/>
                <w:szCs w:val="20"/>
                <w:lang w:eastAsia="en-IN"/>
              </w:rPr>
              <w:t>NO</w:t>
            </w:r>
          </w:p>
        </w:tc>
      </w:tr>
      <w:tr w:rsidR="000B0446" w:rsidRPr="000B0446" w14:paraId="7B4FA15E" w14:textId="77777777" w:rsidTr="000B0446">
        <w:trPr>
          <w:trHeight w:val="440"/>
        </w:trPr>
        <w:tc>
          <w:tcPr>
            <w:tcW w:w="560" w:type="dxa"/>
            <w:tcBorders>
              <w:top w:val="nil"/>
              <w:left w:val="single" w:sz="4" w:space="0" w:color="CCCCCC"/>
              <w:bottom w:val="single" w:sz="4" w:space="0" w:color="CCCCCC"/>
              <w:right w:val="nil"/>
            </w:tcBorders>
            <w:shd w:val="clear" w:color="FFF8E7" w:fill="FFF8E7"/>
            <w:vAlign w:val="center"/>
            <w:hideMark/>
          </w:tcPr>
          <w:p w14:paraId="29AA8A01"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5</w:t>
            </w:r>
          </w:p>
        </w:tc>
        <w:tc>
          <w:tcPr>
            <w:tcW w:w="1980" w:type="dxa"/>
            <w:tcBorders>
              <w:top w:val="nil"/>
              <w:left w:val="nil"/>
              <w:bottom w:val="single" w:sz="4" w:space="0" w:color="CCCCCC"/>
              <w:right w:val="nil"/>
            </w:tcBorders>
            <w:shd w:val="clear" w:color="FFF8E7" w:fill="FFF8E7"/>
            <w:vAlign w:val="center"/>
            <w:hideMark/>
          </w:tcPr>
          <w:p w14:paraId="0E7D01D6"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chunk_6</w:t>
            </w:r>
          </w:p>
        </w:tc>
        <w:tc>
          <w:tcPr>
            <w:tcW w:w="1980" w:type="dxa"/>
            <w:tcBorders>
              <w:top w:val="nil"/>
              <w:left w:val="nil"/>
              <w:bottom w:val="single" w:sz="4" w:space="0" w:color="CCCCCC"/>
              <w:right w:val="nil"/>
            </w:tcBorders>
            <w:shd w:val="clear" w:color="FFF8E7" w:fill="FFF8E7"/>
            <w:vAlign w:val="center"/>
            <w:hideMark/>
          </w:tcPr>
          <w:p w14:paraId="6CBC2E6E"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chunk_7</w:t>
            </w:r>
          </w:p>
        </w:tc>
        <w:tc>
          <w:tcPr>
            <w:tcW w:w="2640" w:type="dxa"/>
            <w:tcBorders>
              <w:top w:val="nil"/>
              <w:left w:val="nil"/>
              <w:bottom w:val="single" w:sz="4" w:space="0" w:color="CCCCCC"/>
              <w:right w:val="nil"/>
            </w:tcBorders>
            <w:shd w:val="clear" w:color="FFF8E7" w:fill="FFF8E7"/>
            <w:vAlign w:val="center"/>
            <w:hideMark/>
          </w:tcPr>
          <w:p w14:paraId="0A4E1AF0" w14:textId="77777777" w:rsidR="000B0446" w:rsidRPr="000B0446" w:rsidRDefault="000B0446" w:rsidP="00934643">
            <w:pPr>
              <w:spacing w:after="0" w:line="240" w:lineRule="auto"/>
              <w:jc w:val="both"/>
              <w:rPr>
                <w:rFonts w:ascii="Arial" w:eastAsia="Times New Roman" w:hAnsi="Arial" w:cs="Arial"/>
                <w:b/>
                <w:bCs/>
                <w:color w:val="993C1D"/>
                <w:sz w:val="18"/>
                <w:szCs w:val="18"/>
                <w:lang w:eastAsia="en-IN"/>
              </w:rPr>
            </w:pPr>
            <w:r w:rsidRPr="000B0446">
              <w:rPr>
                <w:rFonts w:ascii="Arial" w:eastAsia="Times New Roman" w:hAnsi="Arial" w:cs="Arial"/>
                <w:b/>
                <w:bCs/>
                <w:color w:val="993C1D"/>
                <w:sz w:val="18"/>
                <w:szCs w:val="18"/>
                <w:lang w:eastAsia="en-IN"/>
              </w:rPr>
              <w:t>Emergency MIPROv2</w:t>
            </w:r>
          </w:p>
        </w:tc>
        <w:tc>
          <w:tcPr>
            <w:tcW w:w="1320" w:type="dxa"/>
            <w:tcBorders>
              <w:top w:val="nil"/>
              <w:left w:val="nil"/>
              <w:bottom w:val="single" w:sz="4" w:space="0" w:color="CCCCCC"/>
              <w:right w:val="nil"/>
            </w:tcBorders>
            <w:shd w:val="clear" w:color="FFF8E7" w:fill="FFF8E7"/>
            <w:vAlign w:val="center"/>
            <w:hideMark/>
          </w:tcPr>
          <w:p w14:paraId="716C2F18" w14:textId="77777777" w:rsidR="000B0446" w:rsidRPr="000B0446" w:rsidRDefault="000B0446" w:rsidP="00934643">
            <w:pPr>
              <w:spacing w:after="0" w:line="240" w:lineRule="auto"/>
              <w:jc w:val="both"/>
              <w:rPr>
                <w:rFonts w:ascii="Arial" w:eastAsia="Times New Roman" w:hAnsi="Arial" w:cs="Arial"/>
                <w:b/>
                <w:bCs/>
                <w:color w:val="A93226"/>
                <w:sz w:val="18"/>
                <w:szCs w:val="18"/>
                <w:lang w:eastAsia="en-IN"/>
              </w:rPr>
            </w:pPr>
            <w:r w:rsidRPr="000B0446">
              <w:rPr>
                <w:rFonts w:ascii="Arial" w:eastAsia="Times New Roman" w:hAnsi="Arial" w:cs="Arial"/>
                <w:b/>
                <w:bCs/>
                <w:color w:val="A93226"/>
                <w:sz w:val="18"/>
                <w:szCs w:val="18"/>
                <w:lang w:eastAsia="en-IN"/>
              </w:rPr>
              <w:t>12.04%</w:t>
            </w:r>
          </w:p>
        </w:tc>
        <w:tc>
          <w:tcPr>
            <w:tcW w:w="1320" w:type="dxa"/>
            <w:tcBorders>
              <w:top w:val="nil"/>
              <w:left w:val="nil"/>
              <w:bottom w:val="single" w:sz="4" w:space="0" w:color="CCCCCC"/>
              <w:right w:val="nil"/>
            </w:tcBorders>
            <w:shd w:val="clear" w:color="FFF8E7" w:fill="FFF8E7"/>
            <w:vAlign w:val="center"/>
            <w:hideMark/>
          </w:tcPr>
          <w:p w14:paraId="5E57979D"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0.0469</w:t>
            </w:r>
          </w:p>
        </w:tc>
        <w:tc>
          <w:tcPr>
            <w:tcW w:w="1320" w:type="dxa"/>
            <w:tcBorders>
              <w:top w:val="nil"/>
              <w:left w:val="nil"/>
              <w:bottom w:val="single" w:sz="4" w:space="0" w:color="CCCCCC"/>
              <w:right w:val="nil"/>
            </w:tcBorders>
            <w:shd w:val="clear" w:color="FFF8E7" w:fill="FFF8E7"/>
            <w:vAlign w:val="center"/>
            <w:hideMark/>
          </w:tcPr>
          <w:p w14:paraId="61605174"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0.0000</w:t>
            </w:r>
          </w:p>
        </w:tc>
        <w:tc>
          <w:tcPr>
            <w:tcW w:w="1320" w:type="dxa"/>
            <w:tcBorders>
              <w:top w:val="nil"/>
              <w:left w:val="nil"/>
              <w:bottom w:val="single" w:sz="4" w:space="0" w:color="CCCCCC"/>
              <w:right w:val="nil"/>
            </w:tcBorders>
            <w:shd w:val="clear" w:color="FFF8E7" w:fill="FFF8E7"/>
            <w:vAlign w:val="center"/>
            <w:hideMark/>
          </w:tcPr>
          <w:p w14:paraId="4721ACCD" w14:textId="77777777" w:rsidR="000B0446" w:rsidRPr="000B0446" w:rsidRDefault="000B0446" w:rsidP="00934643">
            <w:pPr>
              <w:spacing w:after="0" w:line="240" w:lineRule="auto"/>
              <w:jc w:val="both"/>
              <w:rPr>
                <w:rFonts w:ascii="Arial" w:eastAsia="Times New Roman" w:hAnsi="Arial" w:cs="Arial"/>
                <w:b/>
                <w:bCs/>
                <w:color w:val="A93226"/>
                <w:sz w:val="18"/>
                <w:szCs w:val="18"/>
                <w:lang w:eastAsia="en-IN"/>
              </w:rPr>
            </w:pPr>
            <w:r w:rsidRPr="000B0446">
              <w:rPr>
                <w:rFonts w:ascii="Arial" w:eastAsia="Times New Roman" w:hAnsi="Arial" w:cs="Arial"/>
                <w:b/>
                <w:bCs/>
                <w:color w:val="A93226"/>
                <w:sz w:val="18"/>
                <w:szCs w:val="18"/>
                <w:lang w:eastAsia="en-IN"/>
              </w:rPr>
              <w:t>-0.0469</w:t>
            </w:r>
          </w:p>
        </w:tc>
        <w:tc>
          <w:tcPr>
            <w:tcW w:w="1100" w:type="dxa"/>
            <w:tcBorders>
              <w:top w:val="nil"/>
              <w:left w:val="nil"/>
              <w:bottom w:val="single" w:sz="4" w:space="0" w:color="CCCCCC"/>
              <w:right w:val="single" w:sz="4" w:space="0" w:color="CCCCCC"/>
            </w:tcBorders>
            <w:shd w:val="clear" w:color="FFF8E7" w:fill="FFF8E7"/>
            <w:vAlign w:val="center"/>
            <w:hideMark/>
          </w:tcPr>
          <w:p w14:paraId="71EF1042" w14:textId="77777777" w:rsidR="000B0446" w:rsidRPr="000B0446" w:rsidRDefault="000B0446" w:rsidP="00934643">
            <w:pPr>
              <w:spacing w:after="0" w:line="240" w:lineRule="auto"/>
              <w:jc w:val="both"/>
              <w:rPr>
                <w:rFonts w:ascii="Arial" w:eastAsia="Times New Roman" w:hAnsi="Arial" w:cs="Arial"/>
                <w:b/>
                <w:bCs/>
                <w:color w:val="A93226"/>
                <w:sz w:val="20"/>
                <w:szCs w:val="20"/>
                <w:lang w:eastAsia="en-IN"/>
              </w:rPr>
            </w:pPr>
            <w:r w:rsidRPr="000B0446">
              <w:rPr>
                <w:rFonts w:ascii="Arial" w:eastAsia="Times New Roman" w:hAnsi="Arial" w:cs="Arial"/>
                <w:b/>
                <w:bCs/>
                <w:color w:val="A93226"/>
                <w:sz w:val="20"/>
                <w:szCs w:val="20"/>
                <w:lang w:eastAsia="en-IN"/>
              </w:rPr>
              <w:t>NO</w:t>
            </w:r>
          </w:p>
        </w:tc>
      </w:tr>
      <w:tr w:rsidR="000B0446" w:rsidRPr="000B0446" w14:paraId="6716BFDD" w14:textId="77777777" w:rsidTr="000B0446">
        <w:trPr>
          <w:trHeight w:val="440"/>
        </w:trPr>
        <w:tc>
          <w:tcPr>
            <w:tcW w:w="560" w:type="dxa"/>
            <w:tcBorders>
              <w:top w:val="nil"/>
              <w:left w:val="single" w:sz="4" w:space="0" w:color="CCCCCC"/>
              <w:bottom w:val="single" w:sz="4" w:space="0" w:color="CCCCCC"/>
              <w:right w:val="nil"/>
            </w:tcBorders>
            <w:shd w:val="clear" w:color="FFF8E7" w:fill="FFF8E7"/>
            <w:vAlign w:val="center"/>
            <w:hideMark/>
          </w:tcPr>
          <w:p w14:paraId="38EE9AD8"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6</w:t>
            </w:r>
          </w:p>
        </w:tc>
        <w:tc>
          <w:tcPr>
            <w:tcW w:w="1980" w:type="dxa"/>
            <w:tcBorders>
              <w:top w:val="nil"/>
              <w:left w:val="nil"/>
              <w:bottom w:val="single" w:sz="4" w:space="0" w:color="CCCCCC"/>
              <w:right w:val="nil"/>
            </w:tcBorders>
            <w:shd w:val="clear" w:color="FFF8E7" w:fill="FFF8E7"/>
            <w:vAlign w:val="center"/>
            <w:hideMark/>
          </w:tcPr>
          <w:p w14:paraId="34B72883"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chunk_7</w:t>
            </w:r>
          </w:p>
        </w:tc>
        <w:tc>
          <w:tcPr>
            <w:tcW w:w="1980" w:type="dxa"/>
            <w:tcBorders>
              <w:top w:val="nil"/>
              <w:left w:val="nil"/>
              <w:bottom w:val="single" w:sz="4" w:space="0" w:color="CCCCCC"/>
              <w:right w:val="nil"/>
            </w:tcBorders>
            <w:shd w:val="clear" w:color="FFF8E7" w:fill="FFF8E7"/>
            <w:vAlign w:val="center"/>
            <w:hideMark/>
          </w:tcPr>
          <w:p w14:paraId="7199ED79"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chunk_8</w:t>
            </w:r>
          </w:p>
        </w:tc>
        <w:tc>
          <w:tcPr>
            <w:tcW w:w="2640" w:type="dxa"/>
            <w:tcBorders>
              <w:top w:val="nil"/>
              <w:left w:val="nil"/>
              <w:bottom w:val="single" w:sz="4" w:space="0" w:color="CCCCCC"/>
              <w:right w:val="nil"/>
            </w:tcBorders>
            <w:shd w:val="clear" w:color="FFF8E7" w:fill="FFF8E7"/>
            <w:vAlign w:val="center"/>
            <w:hideMark/>
          </w:tcPr>
          <w:p w14:paraId="39382A87" w14:textId="77777777" w:rsidR="000B0446" w:rsidRPr="000B0446" w:rsidRDefault="000B0446" w:rsidP="00934643">
            <w:pPr>
              <w:spacing w:after="0" w:line="240" w:lineRule="auto"/>
              <w:jc w:val="both"/>
              <w:rPr>
                <w:rFonts w:ascii="Arial" w:eastAsia="Times New Roman" w:hAnsi="Arial" w:cs="Arial"/>
                <w:b/>
                <w:bCs/>
                <w:color w:val="993C1D"/>
                <w:sz w:val="18"/>
                <w:szCs w:val="18"/>
                <w:lang w:eastAsia="en-IN"/>
              </w:rPr>
            </w:pPr>
            <w:r w:rsidRPr="000B0446">
              <w:rPr>
                <w:rFonts w:ascii="Arial" w:eastAsia="Times New Roman" w:hAnsi="Arial" w:cs="Arial"/>
                <w:b/>
                <w:bCs/>
                <w:color w:val="993C1D"/>
                <w:sz w:val="18"/>
                <w:szCs w:val="18"/>
                <w:lang w:eastAsia="en-IN"/>
              </w:rPr>
              <w:t>Emergency MIPROv2</w:t>
            </w:r>
          </w:p>
        </w:tc>
        <w:tc>
          <w:tcPr>
            <w:tcW w:w="1320" w:type="dxa"/>
            <w:tcBorders>
              <w:top w:val="nil"/>
              <w:left w:val="nil"/>
              <w:bottom w:val="single" w:sz="4" w:space="0" w:color="CCCCCC"/>
              <w:right w:val="nil"/>
            </w:tcBorders>
            <w:shd w:val="clear" w:color="FFF8E7" w:fill="FFF8E7"/>
            <w:vAlign w:val="center"/>
            <w:hideMark/>
          </w:tcPr>
          <w:p w14:paraId="3AC4425A" w14:textId="77777777" w:rsidR="000B0446" w:rsidRPr="000B0446" w:rsidRDefault="000B0446" w:rsidP="00934643">
            <w:pPr>
              <w:spacing w:after="0" w:line="240" w:lineRule="auto"/>
              <w:jc w:val="both"/>
              <w:rPr>
                <w:rFonts w:ascii="Arial" w:eastAsia="Times New Roman" w:hAnsi="Arial" w:cs="Arial"/>
                <w:b/>
                <w:bCs/>
                <w:color w:val="A93226"/>
                <w:sz w:val="18"/>
                <w:szCs w:val="18"/>
                <w:lang w:eastAsia="en-IN"/>
              </w:rPr>
            </w:pPr>
            <w:r w:rsidRPr="000B0446">
              <w:rPr>
                <w:rFonts w:ascii="Arial" w:eastAsia="Times New Roman" w:hAnsi="Arial" w:cs="Arial"/>
                <w:b/>
                <w:bCs/>
                <w:color w:val="A93226"/>
                <w:sz w:val="18"/>
                <w:szCs w:val="18"/>
                <w:lang w:eastAsia="en-IN"/>
              </w:rPr>
              <w:t>9.47%</w:t>
            </w:r>
          </w:p>
        </w:tc>
        <w:tc>
          <w:tcPr>
            <w:tcW w:w="1320" w:type="dxa"/>
            <w:tcBorders>
              <w:top w:val="nil"/>
              <w:left w:val="nil"/>
              <w:bottom w:val="single" w:sz="4" w:space="0" w:color="CCCCCC"/>
              <w:right w:val="nil"/>
            </w:tcBorders>
            <w:shd w:val="clear" w:color="FFF8E7" w:fill="FFF8E7"/>
            <w:vAlign w:val="center"/>
            <w:hideMark/>
          </w:tcPr>
          <w:p w14:paraId="16325136"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0.0000</w:t>
            </w:r>
          </w:p>
        </w:tc>
        <w:tc>
          <w:tcPr>
            <w:tcW w:w="1320" w:type="dxa"/>
            <w:tcBorders>
              <w:top w:val="nil"/>
              <w:left w:val="nil"/>
              <w:bottom w:val="single" w:sz="4" w:space="0" w:color="CCCCCC"/>
              <w:right w:val="nil"/>
            </w:tcBorders>
            <w:shd w:val="clear" w:color="FFF8E7" w:fill="FFF8E7"/>
            <w:vAlign w:val="center"/>
            <w:hideMark/>
          </w:tcPr>
          <w:p w14:paraId="23624848"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0.2369</w:t>
            </w:r>
          </w:p>
        </w:tc>
        <w:tc>
          <w:tcPr>
            <w:tcW w:w="1320" w:type="dxa"/>
            <w:tcBorders>
              <w:top w:val="nil"/>
              <w:left w:val="nil"/>
              <w:bottom w:val="single" w:sz="4" w:space="0" w:color="CCCCCC"/>
              <w:right w:val="nil"/>
            </w:tcBorders>
            <w:shd w:val="clear" w:color="FFF8E7" w:fill="FFF8E7"/>
            <w:vAlign w:val="center"/>
            <w:hideMark/>
          </w:tcPr>
          <w:p w14:paraId="0C7BA676" w14:textId="77777777" w:rsidR="000B0446" w:rsidRPr="000B0446" w:rsidRDefault="000B0446" w:rsidP="00934643">
            <w:pPr>
              <w:spacing w:after="0" w:line="240" w:lineRule="auto"/>
              <w:jc w:val="both"/>
              <w:rPr>
                <w:rFonts w:ascii="Arial" w:eastAsia="Times New Roman" w:hAnsi="Arial" w:cs="Arial"/>
                <w:b/>
                <w:bCs/>
                <w:color w:val="1D6B3A"/>
                <w:sz w:val="18"/>
                <w:szCs w:val="18"/>
                <w:lang w:eastAsia="en-IN"/>
              </w:rPr>
            </w:pPr>
            <w:r w:rsidRPr="000B0446">
              <w:rPr>
                <w:rFonts w:ascii="Arial" w:eastAsia="Times New Roman" w:hAnsi="Arial" w:cs="Arial"/>
                <w:b/>
                <w:bCs/>
                <w:color w:val="1D6B3A"/>
                <w:sz w:val="18"/>
                <w:szCs w:val="18"/>
                <w:lang w:eastAsia="en-IN"/>
              </w:rPr>
              <w:t>+0.2369</w:t>
            </w:r>
          </w:p>
        </w:tc>
        <w:tc>
          <w:tcPr>
            <w:tcW w:w="1100" w:type="dxa"/>
            <w:tcBorders>
              <w:top w:val="nil"/>
              <w:left w:val="nil"/>
              <w:bottom w:val="single" w:sz="4" w:space="0" w:color="CCCCCC"/>
              <w:right w:val="single" w:sz="4" w:space="0" w:color="CCCCCC"/>
            </w:tcBorders>
            <w:shd w:val="clear" w:color="FFF8E7" w:fill="FFF8E7"/>
            <w:vAlign w:val="center"/>
            <w:hideMark/>
          </w:tcPr>
          <w:p w14:paraId="7EADA819" w14:textId="77777777" w:rsidR="000B0446" w:rsidRPr="000B0446" w:rsidRDefault="000B0446" w:rsidP="00934643">
            <w:pPr>
              <w:spacing w:after="0" w:line="240" w:lineRule="auto"/>
              <w:jc w:val="both"/>
              <w:rPr>
                <w:rFonts w:ascii="Arial" w:eastAsia="Times New Roman" w:hAnsi="Arial" w:cs="Arial"/>
                <w:b/>
                <w:bCs/>
                <w:color w:val="1D6B3A"/>
                <w:sz w:val="20"/>
                <w:szCs w:val="20"/>
                <w:lang w:eastAsia="en-IN"/>
              </w:rPr>
            </w:pPr>
            <w:r w:rsidRPr="000B0446">
              <w:rPr>
                <w:rFonts w:ascii="Arial" w:eastAsia="Times New Roman" w:hAnsi="Arial" w:cs="Arial"/>
                <w:b/>
                <w:bCs/>
                <w:color w:val="1D6B3A"/>
                <w:sz w:val="20"/>
                <w:szCs w:val="20"/>
                <w:lang w:eastAsia="en-IN"/>
              </w:rPr>
              <w:t>YES</w:t>
            </w:r>
          </w:p>
        </w:tc>
      </w:tr>
      <w:tr w:rsidR="000B0446" w:rsidRPr="000B0446" w14:paraId="33C14104" w14:textId="77777777" w:rsidTr="000B0446">
        <w:trPr>
          <w:trHeight w:val="440"/>
        </w:trPr>
        <w:tc>
          <w:tcPr>
            <w:tcW w:w="560" w:type="dxa"/>
            <w:tcBorders>
              <w:top w:val="nil"/>
              <w:left w:val="single" w:sz="4" w:space="0" w:color="CCCCCC"/>
              <w:bottom w:val="single" w:sz="4" w:space="0" w:color="CCCCCC"/>
              <w:right w:val="nil"/>
            </w:tcBorders>
            <w:shd w:val="clear" w:color="F0FFF4" w:fill="F0FFF4"/>
            <w:vAlign w:val="center"/>
            <w:hideMark/>
          </w:tcPr>
          <w:p w14:paraId="6ECB79FE"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7</w:t>
            </w:r>
          </w:p>
        </w:tc>
        <w:tc>
          <w:tcPr>
            <w:tcW w:w="1980" w:type="dxa"/>
            <w:tcBorders>
              <w:top w:val="nil"/>
              <w:left w:val="nil"/>
              <w:bottom w:val="single" w:sz="4" w:space="0" w:color="CCCCCC"/>
              <w:right w:val="nil"/>
            </w:tcBorders>
            <w:shd w:val="clear" w:color="F0FFF4" w:fill="F0FFF4"/>
            <w:vAlign w:val="center"/>
            <w:hideMark/>
          </w:tcPr>
          <w:p w14:paraId="0F13F705"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chunk_8</w:t>
            </w:r>
          </w:p>
        </w:tc>
        <w:tc>
          <w:tcPr>
            <w:tcW w:w="1980" w:type="dxa"/>
            <w:tcBorders>
              <w:top w:val="nil"/>
              <w:left w:val="nil"/>
              <w:bottom w:val="single" w:sz="4" w:space="0" w:color="CCCCCC"/>
              <w:right w:val="nil"/>
            </w:tcBorders>
            <w:shd w:val="clear" w:color="F0FFF4" w:fill="F0FFF4"/>
            <w:vAlign w:val="center"/>
            <w:hideMark/>
          </w:tcPr>
          <w:p w14:paraId="0BF8241B"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chunk_9</w:t>
            </w:r>
          </w:p>
        </w:tc>
        <w:tc>
          <w:tcPr>
            <w:tcW w:w="2640" w:type="dxa"/>
            <w:tcBorders>
              <w:top w:val="nil"/>
              <w:left w:val="nil"/>
              <w:bottom w:val="single" w:sz="4" w:space="0" w:color="CCCCCC"/>
              <w:right w:val="nil"/>
            </w:tcBorders>
            <w:shd w:val="clear" w:color="F0FFF4" w:fill="F0FFF4"/>
            <w:vAlign w:val="center"/>
            <w:hideMark/>
          </w:tcPr>
          <w:p w14:paraId="498DD682"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0FFF4" w:fill="F0FFF4"/>
            <w:vAlign w:val="center"/>
            <w:hideMark/>
          </w:tcPr>
          <w:p w14:paraId="616B03A1"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5.00%</w:t>
            </w:r>
          </w:p>
        </w:tc>
        <w:tc>
          <w:tcPr>
            <w:tcW w:w="1320" w:type="dxa"/>
            <w:tcBorders>
              <w:top w:val="nil"/>
              <w:left w:val="nil"/>
              <w:bottom w:val="single" w:sz="4" w:space="0" w:color="CCCCCC"/>
              <w:right w:val="nil"/>
            </w:tcBorders>
            <w:shd w:val="clear" w:color="F0FFF4" w:fill="F0FFF4"/>
            <w:vAlign w:val="center"/>
            <w:hideMark/>
          </w:tcPr>
          <w:p w14:paraId="61771F7D"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0.2369</w:t>
            </w:r>
          </w:p>
        </w:tc>
        <w:tc>
          <w:tcPr>
            <w:tcW w:w="1320" w:type="dxa"/>
            <w:tcBorders>
              <w:top w:val="nil"/>
              <w:left w:val="nil"/>
              <w:bottom w:val="single" w:sz="4" w:space="0" w:color="CCCCCC"/>
              <w:right w:val="nil"/>
            </w:tcBorders>
            <w:shd w:val="clear" w:color="F0FFF4" w:fill="F0FFF4"/>
            <w:vAlign w:val="center"/>
            <w:hideMark/>
          </w:tcPr>
          <w:p w14:paraId="31FFDCBF"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0.3439</w:t>
            </w:r>
          </w:p>
        </w:tc>
        <w:tc>
          <w:tcPr>
            <w:tcW w:w="1320" w:type="dxa"/>
            <w:tcBorders>
              <w:top w:val="nil"/>
              <w:left w:val="nil"/>
              <w:bottom w:val="single" w:sz="4" w:space="0" w:color="CCCCCC"/>
              <w:right w:val="nil"/>
            </w:tcBorders>
            <w:shd w:val="clear" w:color="F0FFF4" w:fill="F0FFF4"/>
            <w:vAlign w:val="center"/>
            <w:hideMark/>
          </w:tcPr>
          <w:p w14:paraId="3FC4592A" w14:textId="77777777" w:rsidR="000B0446" w:rsidRPr="000B0446" w:rsidRDefault="000B0446" w:rsidP="00934643">
            <w:pPr>
              <w:spacing w:after="0" w:line="240" w:lineRule="auto"/>
              <w:jc w:val="both"/>
              <w:rPr>
                <w:rFonts w:ascii="Arial" w:eastAsia="Times New Roman" w:hAnsi="Arial" w:cs="Arial"/>
                <w:b/>
                <w:bCs/>
                <w:color w:val="1D6B3A"/>
                <w:sz w:val="18"/>
                <w:szCs w:val="18"/>
                <w:lang w:eastAsia="en-IN"/>
              </w:rPr>
            </w:pPr>
            <w:r w:rsidRPr="000B0446">
              <w:rPr>
                <w:rFonts w:ascii="Arial" w:eastAsia="Times New Roman" w:hAnsi="Arial" w:cs="Arial"/>
                <w:b/>
                <w:bCs/>
                <w:color w:val="1D6B3A"/>
                <w:sz w:val="18"/>
                <w:szCs w:val="18"/>
                <w:lang w:eastAsia="en-IN"/>
              </w:rPr>
              <w:t>+0.1070</w:t>
            </w:r>
          </w:p>
        </w:tc>
        <w:tc>
          <w:tcPr>
            <w:tcW w:w="1100" w:type="dxa"/>
            <w:tcBorders>
              <w:top w:val="nil"/>
              <w:left w:val="nil"/>
              <w:bottom w:val="single" w:sz="4" w:space="0" w:color="CCCCCC"/>
              <w:right w:val="single" w:sz="4" w:space="0" w:color="CCCCCC"/>
            </w:tcBorders>
            <w:shd w:val="clear" w:color="F0FFF4" w:fill="F0FFF4"/>
            <w:vAlign w:val="center"/>
            <w:hideMark/>
          </w:tcPr>
          <w:p w14:paraId="6A9D6890" w14:textId="77777777" w:rsidR="000B0446" w:rsidRPr="000B0446" w:rsidRDefault="000B0446" w:rsidP="00934643">
            <w:pPr>
              <w:spacing w:after="0" w:line="240" w:lineRule="auto"/>
              <w:jc w:val="both"/>
              <w:rPr>
                <w:rFonts w:ascii="Arial" w:eastAsia="Times New Roman" w:hAnsi="Arial" w:cs="Arial"/>
                <w:b/>
                <w:bCs/>
                <w:color w:val="1D6B3A"/>
                <w:sz w:val="20"/>
                <w:szCs w:val="20"/>
                <w:lang w:eastAsia="en-IN"/>
              </w:rPr>
            </w:pPr>
            <w:r w:rsidRPr="000B0446">
              <w:rPr>
                <w:rFonts w:ascii="Arial" w:eastAsia="Times New Roman" w:hAnsi="Arial" w:cs="Arial"/>
                <w:b/>
                <w:bCs/>
                <w:color w:val="1D6B3A"/>
                <w:sz w:val="20"/>
                <w:szCs w:val="20"/>
                <w:lang w:eastAsia="en-IN"/>
              </w:rPr>
              <w:t>YES</w:t>
            </w:r>
          </w:p>
        </w:tc>
      </w:tr>
      <w:tr w:rsidR="000B0446" w:rsidRPr="000B0446" w14:paraId="3986EFB9" w14:textId="77777777" w:rsidTr="000B0446">
        <w:trPr>
          <w:trHeight w:val="440"/>
        </w:trPr>
        <w:tc>
          <w:tcPr>
            <w:tcW w:w="560" w:type="dxa"/>
            <w:tcBorders>
              <w:top w:val="nil"/>
              <w:left w:val="single" w:sz="4" w:space="0" w:color="CCCCCC"/>
              <w:bottom w:val="single" w:sz="4" w:space="0" w:color="CCCCCC"/>
              <w:right w:val="nil"/>
            </w:tcBorders>
            <w:shd w:val="clear" w:color="F0FFF4" w:fill="F0FFF4"/>
            <w:vAlign w:val="center"/>
            <w:hideMark/>
          </w:tcPr>
          <w:p w14:paraId="17E81517"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8</w:t>
            </w:r>
          </w:p>
        </w:tc>
        <w:tc>
          <w:tcPr>
            <w:tcW w:w="1980" w:type="dxa"/>
            <w:tcBorders>
              <w:top w:val="nil"/>
              <w:left w:val="nil"/>
              <w:bottom w:val="single" w:sz="4" w:space="0" w:color="CCCCCC"/>
              <w:right w:val="nil"/>
            </w:tcBorders>
            <w:shd w:val="clear" w:color="F0FFF4" w:fill="F0FFF4"/>
            <w:vAlign w:val="center"/>
            <w:hideMark/>
          </w:tcPr>
          <w:p w14:paraId="3D7DD6A4"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chunk_9</w:t>
            </w:r>
          </w:p>
        </w:tc>
        <w:tc>
          <w:tcPr>
            <w:tcW w:w="1980" w:type="dxa"/>
            <w:tcBorders>
              <w:top w:val="nil"/>
              <w:left w:val="nil"/>
              <w:bottom w:val="single" w:sz="4" w:space="0" w:color="CCCCCC"/>
              <w:right w:val="nil"/>
            </w:tcBorders>
            <w:shd w:val="clear" w:color="F0FFF4" w:fill="F0FFF4"/>
            <w:vAlign w:val="center"/>
            <w:hideMark/>
          </w:tcPr>
          <w:p w14:paraId="1FA02FC4"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chunk_10</w:t>
            </w:r>
          </w:p>
        </w:tc>
        <w:tc>
          <w:tcPr>
            <w:tcW w:w="2640" w:type="dxa"/>
            <w:tcBorders>
              <w:top w:val="nil"/>
              <w:left w:val="nil"/>
              <w:bottom w:val="single" w:sz="4" w:space="0" w:color="CCCCCC"/>
              <w:right w:val="nil"/>
            </w:tcBorders>
            <w:shd w:val="clear" w:color="F0FFF4" w:fill="F0FFF4"/>
            <w:vAlign w:val="center"/>
            <w:hideMark/>
          </w:tcPr>
          <w:p w14:paraId="5F55320A"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0FFF4" w:fill="F0FFF4"/>
            <w:vAlign w:val="center"/>
            <w:hideMark/>
          </w:tcPr>
          <w:p w14:paraId="626DA08B"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3.89%</w:t>
            </w:r>
          </w:p>
        </w:tc>
        <w:tc>
          <w:tcPr>
            <w:tcW w:w="1320" w:type="dxa"/>
            <w:tcBorders>
              <w:top w:val="nil"/>
              <w:left w:val="nil"/>
              <w:bottom w:val="single" w:sz="4" w:space="0" w:color="CCCCCC"/>
              <w:right w:val="nil"/>
            </w:tcBorders>
            <w:shd w:val="clear" w:color="F0FFF4" w:fill="F0FFF4"/>
            <w:vAlign w:val="center"/>
            <w:hideMark/>
          </w:tcPr>
          <w:p w14:paraId="22B4D874"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0.3439</w:t>
            </w:r>
          </w:p>
        </w:tc>
        <w:tc>
          <w:tcPr>
            <w:tcW w:w="1320" w:type="dxa"/>
            <w:tcBorders>
              <w:top w:val="nil"/>
              <w:left w:val="nil"/>
              <w:bottom w:val="single" w:sz="4" w:space="0" w:color="CCCCCC"/>
              <w:right w:val="nil"/>
            </w:tcBorders>
            <w:shd w:val="clear" w:color="F0FFF4" w:fill="F0FFF4"/>
            <w:vAlign w:val="center"/>
            <w:hideMark/>
          </w:tcPr>
          <w:p w14:paraId="0EE09975"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0.3464</w:t>
            </w:r>
          </w:p>
        </w:tc>
        <w:tc>
          <w:tcPr>
            <w:tcW w:w="1320" w:type="dxa"/>
            <w:tcBorders>
              <w:top w:val="nil"/>
              <w:left w:val="nil"/>
              <w:bottom w:val="single" w:sz="4" w:space="0" w:color="CCCCCC"/>
              <w:right w:val="nil"/>
            </w:tcBorders>
            <w:shd w:val="clear" w:color="F0FFF4" w:fill="F0FFF4"/>
            <w:vAlign w:val="center"/>
            <w:hideMark/>
          </w:tcPr>
          <w:p w14:paraId="596BE3A3" w14:textId="77777777" w:rsidR="000B0446" w:rsidRPr="000B0446" w:rsidRDefault="000B0446" w:rsidP="00934643">
            <w:pPr>
              <w:spacing w:after="0" w:line="240" w:lineRule="auto"/>
              <w:jc w:val="both"/>
              <w:rPr>
                <w:rFonts w:ascii="Arial" w:eastAsia="Times New Roman" w:hAnsi="Arial" w:cs="Arial"/>
                <w:b/>
                <w:bCs/>
                <w:color w:val="1D6B3A"/>
                <w:sz w:val="18"/>
                <w:szCs w:val="18"/>
                <w:lang w:eastAsia="en-IN"/>
              </w:rPr>
            </w:pPr>
            <w:r w:rsidRPr="000B0446">
              <w:rPr>
                <w:rFonts w:ascii="Arial" w:eastAsia="Times New Roman" w:hAnsi="Arial" w:cs="Arial"/>
                <w:b/>
                <w:bCs/>
                <w:color w:val="1D6B3A"/>
                <w:sz w:val="18"/>
                <w:szCs w:val="18"/>
                <w:lang w:eastAsia="en-IN"/>
              </w:rPr>
              <w:t>+0.0025</w:t>
            </w:r>
          </w:p>
        </w:tc>
        <w:tc>
          <w:tcPr>
            <w:tcW w:w="1100" w:type="dxa"/>
            <w:tcBorders>
              <w:top w:val="nil"/>
              <w:left w:val="nil"/>
              <w:bottom w:val="single" w:sz="4" w:space="0" w:color="CCCCCC"/>
              <w:right w:val="single" w:sz="4" w:space="0" w:color="CCCCCC"/>
            </w:tcBorders>
            <w:shd w:val="clear" w:color="F0FFF4" w:fill="F0FFF4"/>
            <w:vAlign w:val="center"/>
            <w:hideMark/>
          </w:tcPr>
          <w:p w14:paraId="1B08BEA8" w14:textId="77777777" w:rsidR="000B0446" w:rsidRPr="000B0446" w:rsidRDefault="000B0446" w:rsidP="00934643">
            <w:pPr>
              <w:spacing w:after="0" w:line="240" w:lineRule="auto"/>
              <w:jc w:val="both"/>
              <w:rPr>
                <w:rFonts w:ascii="Arial" w:eastAsia="Times New Roman" w:hAnsi="Arial" w:cs="Arial"/>
                <w:b/>
                <w:bCs/>
                <w:color w:val="1D6B3A"/>
                <w:sz w:val="20"/>
                <w:szCs w:val="20"/>
                <w:lang w:eastAsia="en-IN"/>
              </w:rPr>
            </w:pPr>
            <w:r w:rsidRPr="000B0446">
              <w:rPr>
                <w:rFonts w:ascii="Arial" w:eastAsia="Times New Roman" w:hAnsi="Arial" w:cs="Arial"/>
                <w:b/>
                <w:bCs/>
                <w:color w:val="1D6B3A"/>
                <w:sz w:val="20"/>
                <w:szCs w:val="20"/>
                <w:lang w:eastAsia="en-IN"/>
              </w:rPr>
              <w:t>YES</w:t>
            </w:r>
          </w:p>
        </w:tc>
      </w:tr>
      <w:tr w:rsidR="000B0446" w:rsidRPr="000B0446" w14:paraId="22A0FFEA" w14:textId="77777777" w:rsidTr="000B0446">
        <w:trPr>
          <w:trHeight w:val="440"/>
        </w:trPr>
        <w:tc>
          <w:tcPr>
            <w:tcW w:w="560" w:type="dxa"/>
            <w:tcBorders>
              <w:top w:val="nil"/>
              <w:left w:val="single" w:sz="4" w:space="0" w:color="CCCCCC"/>
              <w:bottom w:val="single" w:sz="4" w:space="0" w:color="CCCCCC"/>
              <w:right w:val="nil"/>
            </w:tcBorders>
            <w:shd w:val="clear" w:color="FFF0F0" w:fill="FFF0F0"/>
            <w:vAlign w:val="center"/>
            <w:hideMark/>
          </w:tcPr>
          <w:p w14:paraId="08A76AFF"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9</w:t>
            </w:r>
          </w:p>
        </w:tc>
        <w:tc>
          <w:tcPr>
            <w:tcW w:w="1980" w:type="dxa"/>
            <w:tcBorders>
              <w:top w:val="nil"/>
              <w:left w:val="nil"/>
              <w:bottom w:val="single" w:sz="4" w:space="0" w:color="CCCCCC"/>
              <w:right w:val="nil"/>
            </w:tcBorders>
            <w:shd w:val="clear" w:color="FFF0F0" w:fill="FFF0F0"/>
            <w:vAlign w:val="center"/>
            <w:hideMark/>
          </w:tcPr>
          <w:p w14:paraId="19C06380"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chunk_10</w:t>
            </w:r>
          </w:p>
        </w:tc>
        <w:tc>
          <w:tcPr>
            <w:tcW w:w="1980" w:type="dxa"/>
            <w:tcBorders>
              <w:top w:val="nil"/>
              <w:left w:val="nil"/>
              <w:bottom w:val="single" w:sz="4" w:space="0" w:color="CCCCCC"/>
              <w:right w:val="nil"/>
            </w:tcBorders>
            <w:shd w:val="clear" w:color="FFF0F0" w:fill="FFF0F0"/>
            <w:vAlign w:val="center"/>
            <w:hideMark/>
          </w:tcPr>
          <w:p w14:paraId="04B5D515"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chunk_11</w:t>
            </w:r>
          </w:p>
        </w:tc>
        <w:tc>
          <w:tcPr>
            <w:tcW w:w="2640" w:type="dxa"/>
            <w:tcBorders>
              <w:top w:val="nil"/>
              <w:left w:val="nil"/>
              <w:bottom w:val="single" w:sz="4" w:space="0" w:color="CCCCCC"/>
              <w:right w:val="nil"/>
            </w:tcBorders>
            <w:shd w:val="clear" w:color="FFF0F0" w:fill="FFF0F0"/>
            <w:vAlign w:val="center"/>
            <w:hideMark/>
          </w:tcPr>
          <w:p w14:paraId="4EBC4737"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FF0F0" w:fill="FFF0F0"/>
            <w:vAlign w:val="center"/>
            <w:hideMark/>
          </w:tcPr>
          <w:p w14:paraId="2804F8DA"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3.87%</w:t>
            </w:r>
          </w:p>
        </w:tc>
        <w:tc>
          <w:tcPr>
            <w:tcW w:w="1320" w:type="dxa"/>
            <w:tcBorders>
              <w:top w:val="nil"/>
              <w:left w:val="nil"/>
              <w:bottom w:val="single" w:sz="4" w:space="0" w:color="CCCCCC"/>
              <w:right w:val="nil"/>
            </w:tcBorders>
            <w:shd w:val="clear" w:color="FFF0F0" w:fill="FFF0F0"/>
            <w:vAlign w:val="center"/>
            <w:hideMark/>
          </w:tcPr>
          <w:p w14:paraId="61CB7DF0"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0.3464</w:t>
            </w:r>
          </w:p>
        </w:tc>
        <w:tc>
          <w:tcPr>
            <w:tcW w:w="1320" w:type="dxa"/>
            <w:tcBorders>
              <w:top w:val="nil"/>
              <w:left w:val="nil"/>
              <w:bottom w:val="single" w:sz="4" w:space="0" w:color="CCCCCC"/>
              <w:right w:val="nil"/>
            </w:tcBorders>
            <w:shd w:val="clear" w:color="FFF0F0" w:fill="FFF0F0"/>
            <w:vAlign w:val="center"/>
            <w:hideMark/>
          </w:tcPr>
          <w:p w14:paraId="56AB499C"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0.0538</w:t>
            </w:r>
          </w:p>
        </w:tc>
        <w:tc>
          <w:tcPr>
            <w:tcW w:w="1320" w:type="dxa"/>
            <w:tcBorders>
              <w:top w:val="nil"/>
              <w:left w:val="nil"/>
              <w:bottom w:val="single" w:sz="4" w:space="0" w:color="CCCCCC"/>
              <w:right w:val="nil"/>
            </w:tcBorders>
            <w:shd w:val="clear" w:color="FFF0F0" w:fill="FFF0F0"/>
            <w:vAlign w:val="center"/>
            <w:hideMark/>
          </w:tcPr>
          <w:p w14:paraId="0433D552" w14:textId="77777777" w:rsidR="000B0446" w:rsidRPr="000B0446" w:rsidRDefault="000B0446" w:rsidP="00934643">
            <w:pPr>
              <w:spacing w:after="0" w:line="240" w:lineRule="auto"/>
              <w:jc w:val="both"/>
              <w:rPr>
                <w:rFonts w:ascii="Arial" w:eastAsia="Times New Roman" w:hAnsi="Arial" w:cs="Arial"/>
                <w:b/>
                <w:bCs/>
                <w:color w:val="A93226"/>
                <w:sz w:val="18"/>
                <w:szCs w:val="18"/>
                <w:lang w:eastAsia="en-IN"/>
              </w:rPr>
            </w:pPr>
            <w:r w:rsidRPr="000B0446">
              <w:rPr>
                <w:rFonts w:ascii="Arial" w:eastAsia="Times New Roman" w:hAnsi="Arial" w:cs="Arial"/>
                <w:b/>
                <w:bCs/>
                <w:color w:val="A93226"/>
                <w:sz w:val="18"/>
                <w:szCs w:val="18"/>
                <w:lang w:eastAsia="en-IN"/>
              </w:rPr>
              <w:t>-0.2926</w:t>
            </w:r>
          </w:p>
        </w:tc>
        <w:tc>
          <w:tcPr>
            <w:tcW w:w="1100" w:type="dxa"/>
            <w:tcBorders>
              <w:top w:val="nil"/>
              <w:left w:val="nil"/>
              <w:bottom w:val="single" w:sz="4" w:space="0" w:color="CCCCCC"/>
              <w:right w:val="single" w:sz="4" w:space="0" w:color="CCCCCC"/>
            </w:tcBorders>
            <w:shd w:val="clear" w:color="FFF0F0" w:fill="FFF0F0"/>
            <w:vAlign w:val="center"/>
            <w:hideMark/>
          </w:tcPr>
          <w:p w14:paraId="538B50A1" w14:textId="77777777" w:rsidR="000B0446" w:rsidRPr="000B0446" w:rsidRDefault="000B0446" w:rsidP="00934643">
            <w:pPr>
              <w:spacing w:after="0" w:line="240" w:lineRule="auto"/>
              <w:jc w:val="both"/>
              <w:rPr>
                <w:rFonts w:ascii="Arial" w:eastAsia="Times New Roman" w:hAnsi="Arial" w:cs="Arial"/>
                <w:b/>
                <w:bCs/>
                <w:color w:val="A93226"/>
                <w:sz w:val="20"/>
                <w:szCs w:val="20"/>
                <w:lang w:eastAsia="en-IN"/>
              </w:rPr>
            </w:pPr>
            <w:r w:rsidRPr="000B0446">
              <w:rPr>
                <w:rFonts w:ascii="Arial" w:eastAsia="Times New Roman" w:hAnsi="Arial" w:cs="Arial"/>
                <w:b/>
                <w:bCs/>
                <w:color w:val="A93226"/>
                <w:sz w:val="20"/>
                <w:szCs w:val="20"/>
                <w:lang w:eastAsia="en-IN"/>
              </w:rPr>
              <w:t>NO</w:t>
            </w:r>
          </w:p>
        </w:tc>
      </w:tr>
      <w:tr w:rsidR="000B0446" w:rsidRPr="000B0446" w14:paraId="591DC6CE" w14:textId="77777777" w:rsidTr="000B0446">
        <w:trPr>
          <w:trHeight w:val="440"/>
        </w:trPr>
        <w:tc>
          <w:tcPr>
            <w:tcW w:w="560" w:type="dxa"/>
            <w:tcBorders>
              <w:top w:val="nil"/>
              <w:left w:val="single" w:sz="4" w:space="0" w:color="CCCCCC"/>
              <w:bottom w:val="single" w:sz="4" w:space="0" w:color="CCCCCC"/>
              <w:right w:val="nil"/>
            </w:tcBorders>
            <w:shd w:val="clear" w:color="FFF0F0" w:fill="FFF0F0"/>
            <w:vAlign w:val="center"/>
            <w:hideMark/>
          </w:tcPr>
          <w:p w14:paraId="15867C2B"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10</w:t>
            </w:r>
          </w:p>
        </w:tc>
        <w:tc>
          <w:tcPr>
            <w:tcW w:w="1980" w:type="dxa"/>
            <w:tcBorders>
              <w:top w:val="nil"/>
              <w:left w:val="nil"/>
              <w:bottom w:val="single" w:sz="4" w:space="0" w:color="CCCCCC"/>
              <w:right w:val="nil"/>
            </w:tcBorders>
            <w:shd w:val="clear" w:color="FFF0F0" w:fill="FFF0F0"/>
            <w:vAlign w:val="center"/>
            <w:hideMark/>
          </w:tcPr>
          <w:p w14:paraId="63562E06"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chunk_11</w:t>
            </w:r>
          </w:p>
        </w:tc>
        <w:tc>
          <w:tcPr>
            <w:tcW w:w="1980" w:type="dxa"/>
            <w:tcBorders>
              <w:top w:val="nil"/>
              <w:left w:val="nil"/>
              <w:bottom w:val="single" w:sz="4" w:space="0" w:color="CCCCCC"/>
              <w:right w:val="nil"/>
            </w:tcBorders>
            <w:shd w:val="clear" w:color="FFF0F0" w:fill="FFF0F0"/>
            <w:vAlign w:val="center"/>
            <w:hideMark/>
          </w:tcPr>
          <w:p w14:paraId="7C30830E"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chunk_12</w:t>
            </w:r>
          </w:p>
        </w:tc>
        <w:tc>
          <w:tcPr>
            <w:tcW w:w="2640" w:type="dxa"/>
            <w:tcBorders>
              <w:top w:val="nil"/>
              <w:left w:val="nil"/>
              <w:bottom w:val="single" w:sz="4" w:space="0" w:color="CCCCCC"/>
              <w:right w:val="nil"/>
            </w:tcBorders>
            <w:shd w:val="clear" w:color="FFF0F0" w:fill="FFF0F0"/>
            <w:vAlign w:val="center"/>
            <w:hideMark/>
          </w:tcPr>
          <w:p w14:paraId="6C2098FC"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FF0F0" w:fill="FFF0F0"/>
            <w:vAlign w:val="center"/>
            <w:hideMark/>
          </w:tcPr>
          <w:p w14:paraId="3999E0C7"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5.23%</w:t>
            </w:r>
          </w:p>
        </w:tc>
        <w:tc>
          <w:tcPr>
            <w:tcW w:w="1320" w:type="dxa"/>
            <w:tcBorders>
              <w:top w:val="nil"/>
              <w:left w:val="nil"/>
              <w:bottom w:val="single" w:sz="4" w:space="0" w:color="CCCCCC"/>
              <w:right w:val="nil"/>
            </w:tcBorders>
            <w:shd w:val="clear" w:color="FFF0F0" w:fill="FFF0F0"/>
            <w:vAlign w:val="center"/>
            <w:hideMark/>
          </w:tcPr>
          <w:p w14:paraId="5F50F50D"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0.0538</w:t>
            </w:r>
          </w:p>
        </w:tc>
        <w:tc>
          <w:tcPr>
            <w:tcW w:w="1320" w:type="dxa"/>
            <w:tcBorders>
              <w:top w:val="nil"/>
              <w:left w:val="nil"/>
              <w:bottom w:val="single" w:sz="4" w:space="0" w:color="CCCCCC"/>
              <w:right w:val="nil"/>
            </w:tcBorders>
            <w:shd w:val="clear" w:color="FFF0F0" w:fill="FFF0F0"/>
            <w:vAlign w:val="center"/>
            <w:hideMark/>
          </w:tcPr>
          <w:p w14:paraId="3FD5EDDB"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0.0514</w:t>
            </w:r>
          </w:p>
        </w:tc>
        <w:tc>
          <w:tcPr>
            <w:tcW w:w="1320" w:type="dxa"/>
            <w:tcBorders>
              <w:top w:val="nil"/>
              <w:left w:val="nil"/>
              <w:bottom w:val="single" w:sz="4" w:space="0" w:color="CCCCCC"/>
              <w:right w:val="nil"/>
            </w:tcBorders>
            <w:shd w:val="clear" w:color="FFF0F0" w:fill="FFF0F0"/>
            <w:vAlign w:val="center"/>
            <w:hideMark/>
          </w:tcPr>
          <w:p w14:paraId="0D12C740" w14:textId="77777777" w:rsidR="000B0446" w:rsidRPr="000B0446" w:rsidRDefault="000B0446" w:rsidP="00934643">
            <w:pPr>
              <w:spacing w:after="0" w:line="240" w:lineRule="auto"/>
              <w:jc w:val="both"/>
              <w:rPr>
                <w:rFonts w:ascii="Arial" w:eastAsia="Times New Roman" w:hAnsi="Arial" w:cs="Arial"/>
                <w:b/>
                <w:bCs/>
                <w:color w:val="A93226"/>
                <w:sz w:val="18"/>
                <w:szCs w:val="18"/>
                <w:lang w:eastAsia="en-IN"/>
              </w:rPr>
            </w:pPr>
            <w:r w:rsidRPr="000B0446">
              <w:rPr>
                <w:rFonts w:ascii="Arial" w:eastAsia="Times New Roman" w:hAnsi="Arial" w:cs="Arial"/>
                <w:b/>
                <w:bCs/>
                <w:color w:val="A93226"/>
                <w:sz w:val="18"/>
                <w:szCs w:val="18"/>
                <w:lang w:eastAsia="en-IN"/>
              </w:rPr>
              <w:t>-0.0024</w:t>
            </w:r>
          </w:p>
        </w:tc>
        <w:tc>
          <w:tcPr>
            <w:tcW w:w="1100" w:type="dxa"/>
            <w:tcBorders>
              <w:top w:val="nil"/>
              <w:left w:val="nil"/>
              <w:bottom w:val="single" w:sz="4" w:space="0" w:color="CCCCCC"/>
              <w:right w:val="single" w:sz="4" w:space="0" w:color="CCCCCC"/>
            </w:tcBorders>
            <w:shd w:val="clear" w:color="FFF0F0" w:fill="FFF0F0"/>
            <w:vAlign w:val="center"/>
            <w:hideMark/>
          </w:tcPr>
          <w:p w14:paraId="247289D0" w14:textId="77777777" w:rsidR="000B0446" w:rsidRPr="000B0446" w:rsidRDefault="000B0446" w:rsidP="00934643">
            <w:pPr>
              <w:spacing w:after="0" w:line="240" w:lineRule="auto"/>
              <w:jc w:val="both"/>
              <w:rPr>
                <w:rFonts w:ascii="Arial" w:eastAsia="Times New Roman" w:hAnsi="Arial" w:cs="Arial"/>
                <w:b/>
                <w:bCs/>
                <w:color w:val="A93226"/>
                <w:sz w:val="20"/>
                <w:szCs w:val="20"/>
                <w:lang w:eastAsia="en-IN"/>
              </w:rPr>
            </w:pPr>
            <w:r w:rsidRPr="000B0446">
              <w:rPr>
                <w:rFonts w:ascii="Arial" w:eastAsia="Times New Roman" w:hAnsi="Arial" w:cs="Arial"/>
                <w:b/>
                <w:bCs/>
                <w:color w:val="A93226"/>
                <w:sz w:val="20"/>
                <w:szCs w:val="20"/>
                <w:lang w:eastAsia="en-IN"/>
              </w:rPr>
              <w:t>NO</w:t>
            </w:r>
          </w:p>
        </w:tc>
      </w:tr>
      <w:tr w:rsidR="000B0446" w:rsidRPr="000B0446" w14:paraId="258543A9" w14:textId="77777777" w:rsidTr="000B0446">
        <w:trPr>
          <w:trHeight w:val="440"/>
        </w:trPr>
        <w:tc>
          <w:tcPr>
            <w:tcW w:w="560" w:type="dxa"/>
            <w:tcBorders>
              <w:top w:val="nil"/>
              <w:left w:val="single" w:sz="4" w:space="0" w:color="CCCCCC"/>
              <w:bottom w:val="single" w:sz="4" w:space="0" w:color="CCCCCC"/>
              <w:right w:val="nil"/>
            </w:tcBorders>
            <w:shd w:val="clear" w:color="FFF8E7" w:fill="FFF8E7"/>
            <w:vAlign w:val="center"/>
            <w:hideMark/>
          </w:tcPr>
          <w:p w14:paraId="6660A94C"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11</w:t>
            </w:r>
          </w:p>
        </w:tc>
        <w:tc>
          <w:tcPr>
            <w:tcW w:w="1980" w:type="dxa"/>
            <w:tcBorders>
              <w:top w:val="nil"/>
              <w:left w:val="nil"/>
              <w:bottom w:val="single" w:sz="4" w:space="0" w:color="CCCCCC"/>
              <w:right w:val="nil"/>
            </w:tcBorders>
            <w:shd w:val="clear" w:color="FFF8E7" w:fill="FFF8E7"/>
            <w:vAlign w:val="center"/>
            <w:hideMark/>
          </w:tcPr>
          <w:p w14:paraId="254BA7FF"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chunk_12</w:t>
            </w:r>
          </w:p>
        </w:tc>
        <w:tc>
          <w:tcPr>
            <w:tcW w:w="1980" w:type="dxa"/>
            <w:tcBorders>
              <w:top w:val="nil"/>
              <w:left w:val="nil"/>
              <w:bottom w:val="single" w:sz="4" w:space="0" w:color="CCCCCC"/>
              <w:right w:val="nil"/>
            </w:tcBorders>
            <w:shd w:val="clear" w:color="FFF8E7" w:fill="FFF8E7"/>
            <w:vAlign w:val="center"/>
            <w:hideMark/>
          </w:tcPr>
          <w:p w14:paraId="62789DE1"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chunk_13</w:t>
            </w:r>
          </w:p>
        </w:tc>
        <w:tc>
          <w:tcPr>
            <w:tcW w:w="2640" w:type="dxa"/>
            <w:tcBorders>
              <w:top w:val="nil"/>
              <w:left w:val="nil"/>
              <w:bottom w:val="single" w:sz="4" w:space="0" w:color="CCCCCC"/>
              <w:right w:val="nil"/>
            </w:tcBorders>
            <w:shd w:val="clear" w:color="FFF8E7" w:fill="FFF8E7"/>
            <w:vAlign w:val="center"/>
            <w:hideMark/>
          </w:tcPr>
          <w:p w14:paraId="484D9C13" w14:textId="77777777" w:rsidR="000B0446" w:rsidRPr="000B0446" w:rsidRDefault="000B0446" w:rsidP="00934643">
            <w:pPr>
              <w:spacing w:after="0" w:line="240" w:lineRule="auto"/>
              <w:jc w:val="both"/>
              <w:rPr>
                <w:rFonts w:ascii="Arial" w:eastAsia="Times New Roman" w:hAnsi="Arial" w:cs="Arial"/>
                <w:b/>
                <w:bCs/>
                <w:color w:val="993C1D"/>
                <w:sz w:val="18"/>
                <w:szCs w:val="18"/>
                <w:lang w:eastAsia="en-IN"/>
              </w:rPr>
            </w:pPr>
            <w:r w:rsidRPr="000B0446">
              <w:rPr>
                <w:rFonts w:ascii="Arial" w:eastAsia="Times New Roman" w:hAnsi="Arial" w:cs="Arial"/>
                <w:b/>
                <w:bCs/>
                <w:color w:val="993C1D"/>
                <w:sz w:val="18"/>
                <w:szCs w:val="18"/>
                <w:lang w:eastAsia="en-IN"/>
              </w:rPr>
              <w:t>Emergency MIPROv2</w:t>
            </w:r>
          </w:p>
        </w:tc>
        <w:tc>
          <w:tcPr>
            <w:tcW w:w="1320" w:type="dxa"/>
            <w:tcBorders>
              <w:top w:val="nil"/>
              <w:left w:val="nil"/>
              <w:bottom w:val="single" w:sz="4" w:space="0" w:color="CCCCCC"/>
              <w:right w:val="nil"/>
            </w:tcBorders>
            <w:shd w:val="clear" w:color="FFF8E7" w:fill="FFF8E7"/>
            <w:vAlign w:val="center"/>
            <w:hideMark/>
          </w:tcPr>
          <w:p w14:paraId="64696ED9" w14:textId="77777777" w:rsidR="000B0446" w:rsidRPr="000B0446" w:rsidRDefault="000B0446" w:rsidP="00934643">
            <w:pPr>
              <w:spacing w:after="0" w:line="240" w:lineRule="auto"/>
              <w:jc w:val="both"/>
              <w:rPr>
                <w:rFonts w:ascii="Arial" w:eastAsia="Times New Roman" w:hAnsi="Arial" w:cs="Arial"/>
                <w:b/>
                <w:bCs/>
                <w:color w:val="A93226"/>
                <w:sz w:val="18"/>
                <w:szCs w:val="18"/>
                <w:lang w:eastAsia="en-IN"/>
              </w:rPr>
            </w:pPr>
            <w:r w:rsidRPr="000B0446">
              <w:rPr>
                <w:rFonts w:ascii="Arial" w:eastAsia="Times New Roman" w:hAnsi="Arial" w:cs="Arial"/>
                <w:b/>
                <w:bCs/>
                <w:color w:val="A93226"/>
                <w:sz w:val="18"/>
                <w:szCs w:val="18"/>
                <w:lang w:eastAsia="en-IN"/>
              </w:rPr>
              <w:t>15.92%</w:t>
            </w:r>
          </w:p>
        </w:tc>
        <w:tc>
          <w:tcPr>
            <w:tcW w:w="1320" w:type="dxa"/>
            <w:tcBorders>
              <w:top w:val="nil"/>
              <w:left w:val="nil"/>
              <w:bottom w:val="single" w:sz="4" w:space="0" w:color="CCCCCC"/>
              <w:right w:val="nil"/>
            </w:tcBorders>
            <w:shd w:val="clear" w:color="FFF8E7" w:fill="FFF8E7"/>
            <w:vAlign w:val="center"/>
            <w:hideMark/>
          </w:tcPr>
          <w:p w14:paraId="3BCE74E4"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0.0514</w:t>
            </w:r>
          </w:p>
        </w:tc>
        <w:tc>
          <w:tcPr>
            <w:tcW w:w="1320" w:type="dxa"/>
            <w:tcBorders>
              <w:top w:val="nil"/>
              <w:left w:val="nil"/>
              <w:bottom w:val="single" w:sz="4" w:space="0" w:color="CCCCCC"/>
              <w:right w:val="nil"/>
            </w:tcBorders>
            <w:shd w:val="clear" w:color="FFF8E7" w:fill="FFF8E7"/>
            <w:vAlign w:val="center"/>
            <w:hideMark/>
          </w:tcPr>
          <w:p w14:paraId="7A67248B"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0.2276</w:t>
            </w:r>
          </w:p>
        </w:tc>
        <w:tc>
          <w:tcPr>
            <w:tcW w:w="1320" w:type="dxa"/>
            <w:tcBorders>
              <w:top w:val="nil"/>
              <w:left w:val="nil"/>
              <w:bottom w:val="single" w:sz="4" w:space="0" w:color="CCCCCC"/>
              <w:right w:val="nil"/>
            </w:tcBorders>
            <w:shd w:val="clear" w:color="FFF8E7" w:fill="FFF8E7"/>
            <w:vAlign w:val="center"/>
            <w:hideMark/>
          </w:tcPr>
          <w:p w14:paraId="61F1E0E7" w14:textId="77777777" w:rsidR="000B0446" w:rsidRPr="000B0446" w:rsidRDefault="000B0446" w:rsidP="00934643">
            <w:pPr>
              <w:spacing w:after="0" w:line="240" w:lineRule="auto"/>
              <w:jc w:val="both"/>
              <w:rPr>
                <w:rFonts w:ascii="Arial" w:eastAsia="Times New Roman" w:hAnsi="Arial" w:cs="Arial"/>
                <w:b/>
                <w:bCs/>
                <w:color w:val="1D6B3A"/>
                <w:sz w:val="18"/>
                <w:szCs w:val="18"/>
                <w:lang w:eastAsia="en-IN"/>
              </w:rPr>
            </w:pPr>
            <w:r w:rsidRPr="000B0446">
              <w:rPr>
                <w:rFonts w:ascii="Arial" w:eastAsia="Times New Roman" w:hAnsi="Arial" w:cs="Arial"/>
                <w:b/>
                <w:bCs/>
                <w:color w:val="1D6B3A"/>
                <w:sz w:val="18"/>
                <w:szCs w:val="18"/>
                <w:lang w:eastAsia="en-IN"/>
              </w:rPr>
              <w:t>+0.1762</w:t>
            </w:r>
          </w:p>
        </w:tc>
        <w:tc>
          <w:tcPr>
            <w:tcW w:w="1100" w:type="dxa"/>
            <w:tcBorders>
              <w:top w:val="nil"/>
              <w:left w:val="nil"/>
              <w:bottom w:val="single" w:sz="4" w:space="0" w:color="CCCCCC"/>
              <w:right w:val="single" w:sz="4" w:space="0" w:color="CCCCCC"/>
            </w:tcBorders>
            <w:shd w:val="clear" w:color="FFF8E7" w:fill="FFF8E7"/>
            <w:vAlign w:val="center"/>
            <w:hideMark/>
          </w:tcPr>
          <w:p w14:paraId="174DFA3A" w14:textId="77777777" w:rsidR="000B0446" w:rsidRPr="000B0446" w:rsidRDefault="000B0446" w:rsidP="00934643">
            <w:pPr>
              <w:spacing w:after="0" w:line="240" w:lineRule="auto"/>
              <w:jc w:val="both"/>
              <w:rPr>
                <w:rFonts w:ascii="Arial" w:eastAsia="Times New Roman" w:hAnsi="Arial" w:cs="Arial"/>
                <w:b/>
                <w:bCs/>
                <w:color w:val="1D6B3A"/>
                <w:sz w:val="20"/>
                <w:szCs w:val="20"/>
                <w:lang w:eastAsia="en-IN"/>
              </w:rPr>
            </w:pPr>
            <w:r w:rsidRPr="000B0446">
              <w:rPr>
                <w:rFonts w:ascii="Arial" w:eastAsia="Times New Roman" w:hAnsi="Arial" w:cs="Arial"/>
                <w:b/>
                <w:bCs/>
                <w:color w:val="1D6B3A"/>
                <w:sz w:val="20"/>
                <w:szCs w:val="20"/>
                <w:lang w:eastAsia="en-IN"/>
              </w:rPr>
              <w:t>YES</w:t>
            </w:r>
          </w:p>
        </w:tc>
      </w:tr>
      <w:tr w:rsidR="000B0446" w:rsidRPr="000B0446" w14:paraId="39C26965" w14:textId="77777777" w:rsidTr="000B0446">
        <w:trPr>
          <w:trHeight w:val="440"/>
        </w:trPr>
        <w:tc>
          <w:tcPr>
            <w:tcW w:w="560" w:type="dxa"/>
            <w:tcBorders>
              <w:top w:val="nil"/>
              <w:left w:val="single" w:sz="4" w:space="0" w:color="CCCCCC"/>
              <w:bottom w:val="single" w:sz="4" w:space="0" w:color="CCCCCC"/>
              <w:right w:val="nil"/>
            </w:tcBorders>
            <w:shd w:val="clear" w:color="FFF0F0" w:fill="FFF0F0"/>
            <w:vAlign w:val="center"/>
            <w:hideMark/>
          </w:tcPr>
          <w:p w14:paraId="048173E7"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12</w:t>
            </w:r>
          </w:p>
        </w:tc>
        <w:tc>
          <w:tcPr>
            <w:tcW w:w="1980" w:type="dxa"/>
            <w:tcBorders>
              <w:top w:val="nil"/>
              <w:left w:val="nil"/>
              <w:bottom w:val="single" w:sz="4" w:space="0" w:color="CCCCCC"/>
              <w:right w:val="nil"/>
            </w:tcBorders>
            <w:shd w:val="clear" w:color="FFF0F0" w:fill="FFF0F0"/>
            <w:vAlign w:val="center"/>
            <w:hideMark/>
          </w:tcPr>
          <w:p w14:paraId="75481FA9"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chunk_13</w:t>
            </w:r>
          </w:p>
        </w:tc>
        <w:tc>
          <w:tcPr>
            <w:tcW w:w="1980" w:type="dxa"/>
            <w:tcBorders>
              <w:top w:val="nil"/>
              <w:left w:val="nil"/>
              <w:bottom w:val="single" w:sz="4" w:space="0" w:color="CCCCCC"/>
              <w:right w:val="nil"/>
            </w:tcBorders>
            <w:shd w:val="clear" w:color="FFF0F0" w:fill="FFF0F0"/>
            <w:vAlign w:val="center"/>
            <w:hideMark/>
          </w:tcPr>
          <w:p w14:paraId="6AF37FD1"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chunk_14</w:t>
            </w:r>
          </w:p>
        </w:tc>
        <w:tc>
          <w:tcPr>
            <w:tcW w:w="2640" w:type="dxa"/>
            <w:tcBorders>
              <w:top w:val="nil"/>
              <w:left w:val="nil"/>
              <w:bottom w:val="single" w:sz="4" w:space="0" w:color="CCCCCC"/>
              <w:right w:val="nil"/>
            </w:tcBorders>
            <w:shd w:val="clear" w:color="FFF0F0" w:fill="FFF0F0"/>
            <w:vAlign w:val="center"/>
            <w:hideMark/>
          </w:tcPr>
          <w:p w14:paraId="1A7B64A6"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FF0F0" w:fill="FFF0F0"/>
            <w:vAlign w:val="center"/>
            <w:hideMark/>
          </w:tcPr>
          <w:p w14:paraId="0AD0E131"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5.54%</w:t>
            </w:r>
          </w:p>
        </w:tc>
        <w:tc>
          <w:tcPr>
            <w:tcW w:w="1320" w:type="dxa"/>
            <w:tcBorders>
              <w:top w:val="nil"/>
              <w:left w:val="nil"/>
              <w:bottom w:val="single" w:sz="4" w:space="0" w:color="CCCCCC"/>
              <w:right w:val="nil"/>
            </w:tcBorders>
            <w:shd w:val="clear" w:color="FFF0F0" w:fill="FFF0F0"/>
            <w:vAlign w:val="center"/>
            <w:hideMark/>
          </w:tcPr>
          <w:p w14:paraId="0A5BC0B6"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0.2276</w:t>
            </w:r>
          </w:p>
        </w:tc>
        <w:tc>
          <w:tcPr>
            <w:tcW w:w="1320" w:type="dxa"/>
            <w:tcBorders>
              <w:top w:val="nil"/>
              <w:left w:val="nil"/>
              <w:bottom w:val="single" w:sz="4" w:space="0" w:color="CCCCCC"/>
              <w:right w:val="nil"/>
            </w:tcBorders>
            <w:shd w:val="clear" w:color="FFF0F0" w:fill="FFF0F0"/>
            <w:vAlign w:val="center"/>
            <w:hideMark/>
          </w:tcPr>
          <w:p w14:paraId="7CFCCA86"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0.1676</w:t>
            </w:r>
          </w:p>
        </w:tc>
        <w:tc>
          <w:tcPr>
            <w:tcW w:w="1320" w:type="dxa"/>
            <w:tcBorders>
              <w:top w:val="nil"/>
              <w:left w:val="nil"/>
              <w:bottom w:val="single" w:sz="4" w:space="0" w:color="CCCCCC"/>
              <w:right w:val="nil"/>
            </w:tcBorders>
            <w:shd w:val="clear" w:color="FFF0F0" w:fill="FFF0F0"/>
            <w:vAlign w:val="center"/>
            <w:hideMark/>
          </w:tcPr>
          <w:p w14:paraId="08F270AB" w14:textId="77777777" w:rsidR="000B0446" w:rsidRPr="000B0446" w:rsidRDefault="000B0446" w:rsidP="00934643">
            <w:pPr>
              <w:spacing w:after="0" w:line="240" w:lineRule="auto"/>
              <w:jc w:val="both"/>
              <w:rPr>
                <w:rFonts w:ascii="Arial" w:eastAsia="Times New Roman" w:hAnsi="Arial" w:cs="Arial"/>
                <w:b/>
                <w:bCs/>
                <w:color w:val="A93226"/>
                <w:sz w:val="18"/>
                <w:szCs w:val="18"/>
                <w:lang w:eastAsia="en-IN"/>
              </w:rPr>
            </w:pPr>
            <w:r w:rsidRPr="000B0446">
              <w:rPr>
                <w:rFonts w:ascii="Arial" w:eastAsia="Times New Roman" w:hAnsi="Arial" w:cs="Arial"/>
                <w:b/>
                <w:bCs/>
                <w:color w:val="A93226"/>
                <w:sz w:val="18"/>
                <w:szCs w:val="18"/>
                <w:lang w:eastAsia="en-IN"/>
              </w:rPr>
              <w:t>-0.0600</w:t>
            </w:r>
          </w:p>
        </w:tc>
        <w:tc>
          <w:tcPr>
            <w:tcW w:w="1100" w:type="dxa"/>
            <w:tcBorders>
              <w:top w:val="nil"/>
              <w:left w:val="nil"/>
              <w:bottom w:val="single" w:sz="4" w:space="0" w:color="CCCCCC"/>
              <w:right w:val="single" w:sz="4" w:space="0" w:color="CCCCCC"/>
            </w:tcBorders>
            <w:shd w:val="clear" w:color="FFF0F0" w:fill="FFF0F0"/>
            <w:vAlign w:val="center"/>
            <w:hideMark/>
          </w:tcPr>
          <w:p w14:paraId="57D8F882" w14:textId="77777777" w:rsidR="000B0446" w:rsidRPr="000B0446" w:rsidRDefault="000B0446" w:rsidP="00934643">
            <w:pPr>
              <w:spacing w:after="0" w:line="240" w:lineRule="auto"/>
              <w:jc w:val="both"/>
              <w:rPr>
                <w:rFonts w:ascii="Arial" w:eastAsia="Times New Roman" w:hAnsi="Arial" w:cs="Arial"/>
                <w:b/>
                <w:bCs/>
                <w:color w:val="A93226"/>
                <w:sz w:val="20"/>
                <w:szCs w:val="20"/>
                <w:lang w:eastAsia="en-IN"/>
              </w:rPr>
            </w:pPr>
            <w:r w:rsidRPr="000B0446">
              <w:rPr>
                <w:rFonts w:ascii="Arial" w:eastAsia="Times New Roman" w:hAnsi="Arial" w:cs="Arial"/>
                <w:b/>
                <w:bCs/>
                <w:color w:val="A93226"/>
                <w:sz w:val="20"/>
                <w:szCs w:val="20"/>
                <w:lang w:eastAsia="en-IN"/>
              </w:rPr>
              <w:t>NO</w:t>
            </w:r>
          </w:p>
        </w:tc>
      </w:tr>
      <w:tr w:rsidR="000B0446" w:rsidRPr="000B0446" w14:paraId="77275178" w14:textId="77777777" w:rsidTr="000B0446">
        <w:trPr>
          <w:trHeight w:val="440"/>
        </w:trPr>
        <w:tc>
          <w:tcPr>
            <w:tcW w:w="560" w:type="dxa"/>
            <w:tcBorders>
              <w:top w:val="nil"/>
              <w:left w:val="single" w:sz="4" w:space="0" w:color="CCCCCC"/>
              <w:bottom w:val="single" w:sz="4" w:space="0" w:color="CCCCCC"/>
              <w:right w:val="nil"/>
            </w:tcBorders>
            <w:shd w:val="clear" w:color="F0FFF4" w:fill="F0FFF4"/>
            <w:vAlign w:val="center"/>
            <w:hideMark/>
          </w:tcPr>
          <w:p w14:paraId="72521D2F"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13</w:t>
            </w:r>
          </w:p>
        </w:tc>
        <w:tc>
          <w:tcPr>
            <w:tcW w:w="1980" w:type="dxa"/>
            <w:tcBorders>
              <w:top w:val="nil"/>
              <w:left w:val="nil"/>
              <w:bottom w:val="single" w:sz="4" w:space="0" w:color="CCCCCC"/>
              <w:right w:val="nil"/>
            </w:tcBorders>
            <w:shd w:val="clear" w:color="F0FFF4" w:fill="F0FFF4"/>
            <w:vAlign w:val="center"/>
            <w:hideMark/>
          </w:tcPr>
          <w:p w14:paraId="53367794"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chunk_14</w:t>
            </w:r>
          </w:p>
        </w:tc>
        <w:tc>
          <w:tcPr>
            <w:tcW w:w="1980" w:type="dxa"/>
            <w:tcBorders>
              <w:top w:val="nil"/>
              <w:left w:val="nil"/>
              <w:bottom w:val="single" w:sz="4" w:space="0" w:color="CCCCCC"/>
              <w:right w:val="nil"/>
            </w:tcBorders>
            <w:shd w:val="clear" w:color="F0FFF4" w:fill="F0FFF4"/>
            <w:vAlign w:val="center"/>
            <w:hideMark/>
          </w:tcPr>
          <w:p w14:paraId="6B964AFF"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chunk_15</w:t>
            </w:r>
          </w:p>
        </w:tc>
        <w:tc>
          <w:tcPr>
            <w:tcW w:w="2640" w:type="dxa"/>
            <w:tcBorders>
              <w:top w:val="nil"/>
              <w:left w:val="nil"/>
              <w:bottom w:val="single" w:sz="4" w:space="0" w:color="CCCCCC"/>
              <w:right w:val="nil"/>
            </w:tcBorders>
            <w:shd w:val="clear" w:color="F0FFF4" w:fill="F0FFF4"/>
            <w:vAlign w:val="center"/>
            <w:hideMark/>
          </w:tcPr>
          <w:p w14:paraId="7FC7F77E"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0FFF4" w:fill="F0FFF4"/>
            <w:vAlign w:val="center"/>
            <w:hideMark/>
          </w:tcPr>
          <w:p w14:paraId="356E9B7A"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6.07%</w:t>
            </w:r>
          </w:p>
        </w:tc>
        <w:tc>
          <w:tcPr>
            <w:tcW w:w="1320" w:type="dxa"/>
            <w:tcBorders>
              <w:top w:val="nil"/>
              <w:left w:val="nil"/>
              <w:bottom w:val="single" w:sz="4" w:space="0" w:color="CCCCCC"/>
              <w:right w:val="nil"/>
            </w:tcBorders>
            <w:shd w:val="clear" w:color="F0FFF4" w:fill="F0FFF4"/>
            <w:vAlign w:val="center"/>
            <w:hideMark/>
          </w:tcPr>
          <w:p w14:paraId="6F4F7727"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0.1676</w:t>
            </w:r>
          </w:p>
        </w:tc>
        <w:tc>
          <w:tcPr>
            <w:tcW w:w="1320" w:type="dxa"/>
            <w:tcBorders>
              <w:top w:val="nil"/>
              <w:left w:val="nil"/>
              <w:bottom w:val="single" w:sz="4" w:space="0" w:color="CCCCCC"/>
              <w:right w:val="nil"/>
            </w:tcBorders>
            <w:shd w:val="clear" w:color="F0FFF4" w:fill="F0FFF4"/>
            <w:vAlign w:val="center"/>
            <w:hideMark/>
          </w:tcPr>
          <w:p w14:paraId="569AF938"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0.2917</w:t>
            </w:r>
          </w:p>
        </w:tc>
        <w:tc>
          <w:tcPr>
            <w:tcW w:w="1320" w:type="dxa"/>
            <w:tcBorders>
              <w:top w:val="nil"/>
              <w:left w:val="nil"/>
              <w:bottom w:val="single" w:sz="4" w:space="0" w:color="CCCCCC"/>
              <w:right w:val="nil"/>
            </w:tcBorders>
            <w:shd w:val="clear" w:color="F0FFF4" w:fill="F0FFF4"/>
            <w:vAlign w:val="center"/>
            <w:hideMark/>
          </w:tcPr>
          <w:p w14:paraId="1257C279" w14:textId="77777777" w:rsidR="000B0446" w:rsidRPr="000B0446" w:rsidRDefault="000B0446" w:rsidP="00934643">
            <w:pPr>
              <w:spacing w:after="0" w:line="240" w:lineRule="auto"/>
              <w:jc w:val="both"/>
              <w:rPr>
                <w:rFonts w:ascii="Arial" w:eastAsia="Times New Roman" w:hAnsi="Arial" w:cs="Arial"/>
                <w:b/>
                <w:bCs/>
                <w:color w:val="1D6B3A"/>
                <w:sz w:val="18"/>
                <w:szCs w:val="18"/>
                <w:lang w:eastAsia="en-IN"/>
              </w:rPr>
            </w:pPr>
            <w:r w:rsidRPr="000B0446">
              <w:rPr>
                <w:rFonts w:ascii="Arial" w:eastAsia="Times New Roman" w:hAnsi="Arial" w:cs="Arial"/>
                <w:b/>
                <w:bCs/>
                <w:color w:val="1D6B3A"/>
                <w:sz w:val="18"/>
                <w:szCs w:val="18"/>
                <w:lang w:eastAsia="en-IN"/>
              </w:rPr>
              <w:t>+0.1241</w:t>
            </w:r>
          </w:p>
        </w:tc>
        <w:tc>
          <w:tcPr>
            <w:tcW w:w="1100" w:type="dxa"/>
            <w:tcBorders>
              <w:top w:val="nil"/>
              <w:left w:val="nil"/>
              <w:bottom w:val="single" w:sz="4" w:space="0" w:color="CCCCCC"/>
              <w:right w:val="single" w:sz="4" w:space="0" w:color="CCCCCC"/>
            </w:tcBorders>
            <w:shd w:val="clear" w:color="F0FFF4" w:fill="F0FFF4"/>
            <w:vAlign w:val="center"/>
            <w:hideMark/>
          </w:tcPr>
          <w:p w14:paraId="4BCC495D" w14:textId="77777777" w:rsidR="000B0446" w:rsidRPr="000B0446" w:rsidRDefault="000B0446" w:rsidP="00934643">
            <w:pPr>
              <w:spacing w:after="0" w:line="240" w:lineRule="auto"/>
              <w:jc w:val="both"/>
              <w:rPr>
                <w:rFonts w:ascii="Arial" w:eastAsia="Times New Roman" w:hAnsi="Arial" w:cs="Arial"/>
                <w:b/>
                <w:bCs/>
                <w:color w:val="1D6B3A"/>
                <w:sz w:val="20"/>
                <w:szCs w:val="20"/>
                <w:lang w:eastAsia="en-IN"/>
              </w:rPr>
            </w:pPr>
            <w:r w:rsidRPr="000B0446">
              <w:rPr>
                <w:rFonts w:ascii="Arial" w:eastAsia="Times New Roman" w:hAnsi="Arial" w:cs="Arial"/>
                <w:b/>
                <w:bCs/>
                <w:color w:val="1D6B3A"/>
                <w:sz w:val="20"/>
                <w:szCs w:val="20"/>
                <w:lang w:eastAsia="en-IN"/>
              </w:rPr>
              <w:t>YES</w:t>
            </w:r>
          </w:p>
        </w:tc>
      </w:tr>
      <w:tr w:rsidR="000B0446" w:rsidRPr="000B0446" w14:paraId="6C03A0B1" w14:textId="77777777" w:rsidTr="000B0446">
        <w:trPr>
          <w:trHeight w:val="440"/>
        </w:trPr>
        <w:tc>
          <w:tcPr>
            <w:tcW w:w="560" w:type="dxa"/>
            <w:tcBorders>
              <w:top w:val="nil"/>
              <w:left w:val="single" w:sz="4" w:space="0" w:color="CCCCCC"/>
              <w:bottom w:val="single" w:sz="4" w:space="0" w:color="CCCCCC"/>
              <w:right w:val="nil"/>
            </w:tcBorders>
            <w:shd w:val="clear" w:color="F8F8F8" w:fill="F8F8F8"/>
            <w:vAlign w:val="center"/>
            <w:hideMark/>
          </w:tcPr>
          <w:p w14:paraId="3A6D5CE2" w14:textId="77777777" w:rsidR="000B0446" w:rsidRPr="000B0446" w:rsidRDefault="000B0446" w:rsidP="00934643">
            <w:pPr>
              <w:spacing w:after="0" w:line="240" w:lineRule="auto"/>
              <w:jc w:val="both"/>
              <w:rPr>
                <w:rFonts w:ascii="Arial" w:eastAsia="Times New Roman" w:hAnsi="Arial" w:cs="Arial"/>
                <w:b/>
                <w:bCs/>
                <w:color w:val="1A3A5C"/>
                <w:sz w:val="18"/>
                <w:szCs w:val="18"/>
                <w:lang w:eastAsia="en-IN"/>
              </w:rPr>
            </w:pPr>
            <w:r w:rsidRPr="000B0446">
              <w:rPr>
                <w:rFonts w:ascii="Arial" w:eastAsia="Times New Roman" w:hAnsi="Arial" w:cs="Arial"/>
                <w:b/>
                <w:bCs/>
                <w:color w:val="1A3A5C"/>
                <w:sz w:val="18"/>
                <w:szCs w:val="18"/>
                <w:lang w:eastAsia="en-IN"/>
              </w:rPr>
              <w:t>14</w:t>
            </w:r>
          </w:p>
        </w:tc>
        <w:tc>
          <w:tcPr>
            <w:tcW w:w="1980" w:type="dxa"/>
            <w:tcBorders>
              <w:top w:val="nil"/>
              <w:left w:val="nil"/>
              <w:bottom w:val="single" w:sz="4" w:space="0" w:color="CCCCCC"/>
              <w:right w:val="nil"/>
            </w:tcBorders>
            <w:shd w:val="clear" w:color="F8F8F8" w:fill="F8F8F8"/>
            <w:vAlign w:val="center"/>
            <w:hideMark/>
          </w:tcPr>
          <w:p w14:paraId="10912059"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chunk_15</w:t>
            </w:r>
          </w:p>
        </w:tc>
        <w:tc>
          <w:tcPr>
            <w:tcW w:w="1980" w:type="dxa"/>
            <w:tcBorders>
              <w:top w:val="nil"/>
              <w:left w:val="nil"/>
              <w:bottom w:val="single" w:sz="4" w:space="0" w:color="CCCCCC"/>
              <w:right w:val="nil"/>
            </w:tcBorders>
            <w:shd w:val="clear" w:color="F8F8F8" w:fill="F8F8F8"/>
            <w:vAlign w:val="center"/>
            <w:hideMark/>
          </w:tcPr>
          <w:p w14:paraId="2A92AC6F" w14:textId="77777777" w:rsidR="000B0446" w:rsidRPr="000B0446" w:rsidRDefault="000B0446" w:rsidP="00934643">
            <w:pPr>
              <w:spacing w:after="0" w:line="240" w:lineRule="auto"/>
              <w:jc w:val="both"/>
              <w:rPr>
                <w:rFonts w:ascii="Arial" w:eastAsia="Times New Roman" w:hAnsi="Arial" w:cs="Arial"/>
                <w:color w:val="2C3E50"/>
                <w:sz w:val="18"/>
                <w:szCs w:val="18"/>
                <w:lang w:eastAsia="en-IN"/>
              </w:rPr>
            </w:pPr>
            <w:r w:rsidRPr="000B0446">
              <w:rPr>
                <w:rFonts w:ascii="Arial" w:eastAsia="Times New Roman" w:hAnsi="Arial" w:cs="Arial"/>
                <w:color w:val="2C3E50"/>
                <w:sz w:val="18"/>
                <w:szCs w:val="18"/>
                <w:lang w:eastAsia="en-IN"/>
              </w:rPr>
              <w:t>N/A</w:t>
            </w:r>
          </w:p>
        </w:tc>
        <w:tc>
          <w:tcPr>
            <w:tcW w:w="2640" w:type="dxa"/>
            <w:tcBorders>
              <w:top w:val="nil"/>
              <w:left w:val="nil"/>
              <w:bottom w:val="single" w:sz="4" w:space="0" w:color="CCCCCC"/>
              <w:right w:val="nil"/>
            </w:tcBorders>
            <w:shd w:val="clear" w:color="F8F8F8" w:fill="F8F8F8"/>
            <w:vAlign w:val="center"/>
            <w:hideMark/>
          </w:tcPr>
          <w:p w14:paraId="57EDD758" w14:textId="77777777" w:rsidR="000B0446" w:rsidRPr="000B0446" w:rsidRDefault="000B0446" w:rsidP="00934643">
            <w:pPr>
              <w:spacing w:after="0" w:line="240" w:lineRule="auto"/>
              <w:jc w:val="both"/>
              <w:rPr>
                <w:rFonts w:ascii="Arial" w:eastAsia="Times New Roman" w:hAnsi="Arial" w:cs="Arial"/>
                <w:color w:val="854F0B"/>
                <w:sz w:val="18"/>
                <w:szCs w:val="18"/>
                <w:lang w:eastAsia="en-IN"/>
              </w:rPr>
            </w:pPr>
            <w:r w:rsidRPr="000B0446">
              <w:rPr>
                <w:rFonts w:ascii="Arial" w:eastAsia="Times New Roman" w:hAnsi="Arial" w:cs="Arial"/>
                <w:color w:val="854F0B"/>
                <w:sz w:val="18"/>
                <w:szCs w:val="18"/>
                <w:lang w:eastAsia="en-IN"/>
              </w:rPr>
              <w:t xml:space="preserve">Neg </w:t>
            </w:r>
            <w:proofErr w:type="spellStart"/>
            <w:r w:rsidRPr="000B0446">
              <w:rPr>
                <w:rFonts w:ascii="Arial" w:eastAsia="Times New Roman" w:hAnsi="Arial" w:cs="Arial"/>
                <w:color w:val="854F0B"/>
                <w:sz w:val="18"/>
                <w:szCs w:val="18"/>
                <w:lang w:eastAsia="en-IN"/>
              </w:rPr>
              <w:t>BootstrapFewShot</w:t>
            </w:r>
            <w:proofErr w:type="spellEnd"/>
          </w:p>
        </w:tc>
        <w:tc>
          <w:tcPr>
            <w:tcW w:w="1320" w:type="dxa"/>
            <w:tcBorders>
              <w:top w:val="nil"/>
              <w:left w:val="nil"/>
              <w:bottom w:val="single" w:sz="4" w:space="0" w:color="CCCCCC"/>
              <w:right w:val="nil"/>
            </w:tcBorders>
            <w:shd w:val="clear" w:color="F8F8F8" w:fill="F8F8F8"/>
            <w:vAlign w:val="center"/>
            <w:hideMark/>
          </w:tcPr>
          <w:p w14:paraId="5A6B2D93" w14:textId="77777777" w:rsidR="000B0446" w:rsidRPr="000B0446" w:rsidRDefault="000B0446" w:rsidP="00934643">
            <w:pPr>
              <w:spacing w:after="0" w:line="240" w:lineRule="auto"/>
              <w:jc w:val="both"/>
              <w:rPr>
                <w:rFonts w:ascii="Arial" w:eastAsia="Times New Roman" w:hAnsi="Arial" w:cs="Arial"/>
                <w:b/>
                <w:bCs/>
                <w:color w:val="854F0B"/>
                <w:sz w:val="18"/>
                <w:szCs w:val="18"/>
                <w:lang w:eastAsia="en-IN"/>
              </w:rPr>
            </w:pPr>
            <w:r w:rsidRPr="000B0446">
              <w:rPr>
                <w:rFonts w:ascii="Arial" w:eastAsia="Times New Roman" w:hAnsi="Arial" w:cs="Arial"/>
                <w:b/>
                <w:bCs/>
                <w:color w:val="854F0B"/>
                <w:sz w:val="18"/>
                <w:szCs w:val="18"/>
                <w:lang w:eastAsia="en-IN"/>
              </w:rPr>
              <w:t>2.95%</w:t>
            </w:r>
          </w:p>
        </w:tc>
        <w:tc>
          <w:tcPr>
            <w:tcW w:w="1320" w:type="dxa"/>
            <w:tcBorders>
              <w:top w:val="nil"/>
              <w:left w:val="nil"/>
              <w:bottom w:val="single" w:sz="4" w:space="0" w:color="CCCCCC"/>
              <w:right w:val="nil"/>
            </w:tcBorders>
            <w:shd w:val="clear" w:color="F8F8F8" w:fill="F8F8F8"/>
            <w:vAlign w:val="center"/>
            <w:hideMark/>
          </w:tcPr>
          <w:p w14:paraId="5CC03BBD"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0.2917</w:t>
            </w:r>
          </w:p>
        </w:tc>
        <w:tc>
          <w:tcPr>
            <w:tcW w:w="1320" w:type="dxa"/>
            <w:tcBorders>
              <w:top w:val="nil"/>
              <w:left w:val="nil"/>
              <w:bottom w:val="single" w:sz="4" w:space="0" w:color="CCCCCC"/>
              <w:right w:val="nil"/>
            </w:tcBorders>
            <w:shd w:val="clear" w:color="F8F8F8" w:fill="F8F8F8"/>
            <w:vAlign w:val="center"/>
            <w:hideMark/>
          </w:tcPr>
          <w:p w14:paraId="55C0AB9C" w14:textId="77777777" w:rsidR="000B0446" w:rsidRPr="000B0446" w:rsidRDefault="000B0446" w:rsidP="00934643">
            <w:pPr>
              <w:spacing w:after="0" w:line="240" w:lineRule="auto"/>
              <w:jc w:val="both"/>
              <w:rPr>
                <w:rFonts w:ascii="Arial" w:eastAsia="Times New Roman" w:hAnsi="Arial" w:cs="Arial"/>
                <w:b/>
                <w:bCs/>
                <w:color w:val="534AB7"/>
                <w:sz w:val="18"/>
                <w:szCs w:val="18"/>
                <w:lang w:eastAsia="en-IN"/>
              </w:rPr>
            </w:pPr>
            <w:r w:rsidRPr="000B0446">
              <w:rPr>
                <w:rFonts w:ascii="Arial" w:eastAsia="Times New Roman" w:hAnsi="Arial" w:cs="Arial"/>
                <w:b/>
                <w:bCs/>
                <w:color w:val="534AB7"/>
                <w:sz w:val="18"/>
                <w:szCs w:val="18"/>
                <w:lang w:eastAsia="en-IN"/>
              </w:rPr>
              <w:t> </w:t>
            </w:r>
          </w:p>
        </w:tc>
        <w:tc>
          <w:tcPr>
            <w:tcW w:w="1320" w:type="dxa"/>
            <w:tcBorders>
              <w:top w:val="nil"/>
              <w:left w:val="nil"/>
              <w:bottom w:val="single" w:sz="4" w:space="0" w:color="CCCCCC"/>
              <w:right w:val="nil"/>
            </w:tcBorders>
            <w:shd w:val="clear" w:color="F8F8F8" w:fill="F8F8F8"/>
            <w:vAlign w:val="center"/>
            <w:hideMark/>
          </w:tcPr>
          <w:p w14:paraId="5B84535E" w14:textId="77777777" w:rsidR="000B0446" w:rsidRPr="000B0446" w:rsidRDefault="000B0446" w:rsidP="00934643">
            <w:pPr>
              <w:spacing w:after="0" w:line="240" w:lineRule="auto"/>
              <w:jc w:val="both"/>
              <w:rPr>
                <w:rFonts w:ascii="Arial" w:eastAsia="Times New Roman" w:hAnsi="Arial" w:cs="Arial"/>
                <w:color w:val="888888"/>
                <w:sz w:val="18"/>
                <w:szCs w:val="18"/>
                <w:lang w:eastAsia="en-IN"/>
              </w:rPr>
            </w:pPr>
            <w:r w:rsidRPr="000B0446">
              <w:rPr>
                <w:rFonts w:ascii="Arial" w:eastAsia="Times New Roman" w:hAnsi="Arial" w:cs="Arial"/>
                <w:color w:val="888888"/>
                <w:sz w:val="18"/>
                <w:szCs w:val="18"/>
                <w:lang w:eastAsia="en-IN"/>
              </w:rPr>
              <w:t>N/A</w:t>
            </w:r>
          </w:p>
        </w:tc>
        <w:tc>
          <w:tcPr>
            <w:tcW w:w="1100" w:type="dxa"/>
            <w:tcBorders>
              <w:top w:val="nil"/>
              <w:left w:val="nil"/>
              <w:bottom w:val="single" w:sz="4" w:space="0" w:color="CCCCCC"/>
              <w:right w:val="single" w:sz="4" w:space="0" w:color="CCCCCC"/>
            </w:tcBorders>
            <w:shd w:val="clear" w:color="F8F8F8" w:fill="F8F8F8"/>
            <w:vAlign w:val="center"/>
            <w:hideMark/>
          </w:tcPr>
          <w:p w14:paraId="7E7F12DD" w14:textId="77777777" w:rsidR="000B0446" w:rsidRPr="000B0446" w:rsidRDefault="000B0446" w:rsidP="00934643">
            <w:pPr>
              <w:keepNext/>
              <w:spacing w:after="0" w:line="240" w:lineRule="auto"/>
              <w:jc w:val="both"/>
              <w:rPr>
                <w:rFonts w:ascii="Arial" w:eastAsia="Times New Roman" w:hAnsi="Arial" w:cs="Arial"/>
                <w:color w:val="888888"/>
                <w:sz w:val="18"/>
                <w:szCs w:val="18"/>
                <w:lang w:eastAsia="en-IN"/>
              </w:rPr>
            </w:pPr>
            <w:r w:rsidRPr="000B0446">
              <w:rPr>
                <w:rFonts w:ascii="Arial" w:eastAsia="Times New Roman" w:hAnsi="Arial" w:cs="Arial"/>
                <w:color w:val="888888"/>
                <w:sz w:val="18"/>
                <w:szCs w:val="18"/>
                <w:lang w:eastAsia="en-IN"/>
              </w:rPr>
              <w:t>N/A</w:t>
            </w:r>
          </w:p>
        </w:tc>
      </w:tr>
    </w:tbl>
    <w:p w14:paraId="59077EDE" w14:textId="0B0512E8" w:rsidR="000B0446" w:rsidRDefault="000B0446" w:rsidP="00BB2641">
      <w:pPr>
        <w:pStyle w:val="Caption"/>
        <w:jc w:val="both"/>
        <w:sectPr w:rsidR="000B0446" w:rsidSect="000B0446">
          <w:pgSz w:w="16838" w:h="11906" w:orient="landscape"/>
          <w:pgMar w:top="1440" w:right="1440" w:bottom="1440" w:left="1440" w:header="709" w:footer="709" w:gutter="0"/>
          <w:cols w:space="708"/>
          <w:docGrid w:linePitch="360"/>
        </w:sectPr>
      </w:pPr>
    </w:p>
    <w:p w14:paraId="4FF83D7D" w14:textId="77777777" w:rsidR="00175169" w:rsidRDefault="00965486" w:rsidP="00934643">
      <w:pPr>
        <w:jc w:val="both"/>
      </w:pPr>
      <w:r w:rsidRPr="00965486">
        <w:lastRenderedPageBreak/>
        <w:t xml:space="preserve">Of the 13 triggers with a measurable before and after comparison in Phase 3, performance improved in 7 out of 13 cases, representing an improvement rate of 53.8%. </w:t>
      </w:r>
      <w:r w:rsidR="00175169">
        <w:t xml:space="preserve">We can see that it is lower </w:t>
      </w:r>
      <w:r w:rsidRPr="00965486">
        <w:t xml:space="preserve">than the 77% improvement rate observed in Phase 1, it is important to consider the context. Phase 3 contained some of the most extreme and unpredictable market conditions in modern history, and the fact that the optimisation mechanism improved performance in more than half of all trigger events under those conditions is still a meaningful result. </w:t>
      </w:r>
    </w:p>
    <w:p w14:paraId="15C09267" w14:textId="11074B8C" w:rsidR="00965486" w:rsidRDefault="00175169" w:rsidP="00934643">
      <w:pPr>
        <w:jc w:val="both"/>
      </w:pPr>
      <w:r>
        <w:t xml:space="preserve">Strong improvement has been seen in the chunk </w:t>
      </w:r>
      <w:r w:rsidR="00965486" w:rsidRPr="00965486">
        <w:t>across the phase, rising from 0.0000 at chunk 0 to 0.2917 at the final chunk, with the best single chunk reward of 0.3464 recorded at chunk 10 during the strong market recovery of June and July 2020. All reward components improved between the first and last chunk of Phase 3, including accuracy, returns, Sharpe ratio, drawdown, and turnover, suggesting the system was genuinely learning and adapting throughout the phase rather than simply benefiting from favourable market conditions.</w:t>
      </w:r>
    </w:p>
    <w:p w14:paraId="544B0EB8" w14:textId="77777777" w:rsidR="00E55D0F" w:rsidRDefault="00E55D0F" w:rsidP="00934643">
      <w:pPr>
        <w:jc w:val="both"/>
      </w:pPr>
    </w:p>
    <w:p w14:paraId="4D557463" w14:textId="77777777" w:rsidR="00E55D0F" w:rsidRDefault="00E55D0F" w:rsidP="00934643">
      <w:pPr>
        <w:pStyle w:val="Heading3"/>
        <w:jc w:val="both"/>
      </w:pPr>
      <w:bookmarkStart w:id="85" w:name="_Toc228577636"/>
      <w:r>
        <w:t>4.3 Comparative analysis</w:t>
      </w:r>
      <w:bookmarkEnd w:id="85"/>
    </w:p>
    <w:p w14:paraId="1CE5C410" w14:textId="77777777" w:rsidR="004B452B" w:rsidRDefault="004B452B" w:rsidP="00934643">
      <w:pPr>
        <w:jc w:val="both"/>
      </w:pPr>
    </w:p>
    <w:p w14:paraId="6AE68595" w14:textId="77777777" w:rsidR="00A705E0" w:rsidRPr="00A705E0" w:rsidRDefault="00A705E0" w:rsidP="00A705E0">
      <w:pPr>
        <w:jc w:val="both"/>
      </w:pPr>
      <w:r w:rsidRPr="00A705E0">
        <w:t>This section brings the two phases together to directly compare performance across all key dimensions in two unique market conditions.</w:t>
      </w:r>
    </w:p>
    <w:p w14:paraId="289F91DA" w14:textId="77777777" w:rsidR="00A705E0" w:rsidRPr="00A705E0" w:rsidRDefault="00A705E0" w:rsidP="00A705E0">
      <w:pPr>
        <w:jc w:val="both"/>
      </w:pPr>
      <w:r w:rsidRPr="00A705E0">
        <w:t>Overall portfolio performance was consistent across both phases. System delivered a total return of 84.76% with a Sharpe ratio of 1.52 in Phase 1. While in Phase 3, it delivered a total return of 85.40% with an improved Sharpe ratio of 1.79. Almost similar returns across two very different market conditions. One of the most important findings of the entire study is framework's adaptive mechanisms were genuinely helping. It maintains consistent performance rather than simplifying a favourable market trend. Both phases also recorded a maximum drawdown of nearly 17%, which confirms that the risk management mechanism was operating consistently across both evaluation environments.</w:t>
      </w:r>
    </w:p>
    <w:p w14:paraId="0CAB2141" w14:textId="77777777" w:rsidR="00A705E0" w:rsidRPr="00A705E0" w:rsidRDefault="00A705E0" w:rsidP="00A705E0">
      <w:pPr>
        <w:jc w:val="both"/>
      </w:pPr>
      <w:r w:rsidRPr="00A705E0">
        <w:t>One of the important things to check is that the Sharpe ratios of 1.52 in Phase 1 to 1.79 in Phase 3 need to be given particular attention. A higher Sharpe ratio during a more volatile period shows that the framework was able to generate better risk-adjusted returns. When market conditions were harder, which is the opposite of what you would expect from a system that was simply benefiting from market momentum. The most reasonable explanation is that the dynamic prompt optimisation mechanism played a more active role during Phase 3. With three Emergency MIPROv2 triggers fired compared to just one in Phase 1. It helps the agents to adapt more aggressively to the rapidly changing conditions of the COVID crash and recovery.</w:t>
      </w:r>
    </w:p>
    <w:p w14:paraId="1C2771EA" w14:textId="77777777" w:rsidR="00A705E0" w:rsidRPr="00A705E0" w:rsidRDefault="00A705E0" w:rsidP="00A705E0">
      <w:pPr>
        <w:jc w:val="both"/>
      </w:pPr>
      <w:r w:rsidRPr="00A705E0">
        <w:t xml:space="preserve">Total return was almost identical at 84.76% in Phase 1 and 85.40% in Phase 3. Despite Phase 3, the global pandemic, and one of the fastest market crashes in history. Trade quality improved meaningfully between the phases, with the long win rate rising from 67.6% to 81.8% and the average loss shrinking from 15.58% to just 6.21%. It is giving a better profit-to-loss ratio of 6.3 to 1 in Phase 3 compared to 4.5 to 1 in Phase 1. The Sharpe ratio also improved from 1.52 to 1.79, confirming that Phase 3 returns were generated more efficiently relative to the risk taken. The optimisation mechanism was considerably more active during Phase 3. It got activated on 87.5% of all chunks compared to 28.75% in Phase 1. It shows that greater volatility of the COVID period, and shows the feedback loop was responding appropriately to more severe market conditions. </w:t>
      </w:r>
      <w:r w:rsidRPr="00A705E0">
        <w:lastRenderedPageBreak/>
        <w:t xml:space="preserve">Taken together, these findings suggest the framework was genuinely adapting to different market environments rather than simply benefiting from favourable </w:t>
      </w:r>
    </w:p>
    <w:p w14:paraId="2BC9BD9E" w14:textId="77777777" w:rsidR="00CF6AAE" w:rsidRDefault="00CF6AAE" w:rsidP="00934643">
      <w:pPr>
        <w:jc w:val="both"/>
      </w:pPr>
    </w:p>
    <w:p w14:paraId="635E7270" w14:textId="23E3E827" w:rsidR="00CF6AAE" w:rsidRDefault="00B92591" w:rsidP="00934643">
      <w:pPr>
        <w:pStyle w:val="Heading2"/>
        <w:jc w:val="both"/>
      </w:pPr>
      <w:bookmarkStart w:id="86" w:name="_Toc228577637"/>
      <w:r>
        <w:t xml:space="preserve">5. </w:t>
      </w:r>
      <w:r w:rsidR="00CF6AAE">
        <w:t>Discussion</w:t>
      </w:r>
      <w:bookmarkEnd w:id="86"/>
    </w:p>
    <w:p w14:paraId="0BCA5FBF" w14:textId="77777777" w:rsidR="000756B0" w:rsidRPr="000756B0" w:rsidRDefault="000756B0" w:rsidP="000756B0"/>
    <w:p w14:paraId="4F25EDD0" w14:textId="77777777" w:rsidR="000756B0" w:rsidRPr="000756B0" w:rsidRDefault="000756B0" w:rsidP="000756B0">
      <w:r w:rsidRPr="000756B0">
        <w:t>The results ask an important question about how a system built on a relatively small 8 billion parameter language model, running sequentially on a minimal compute budget, managed to deliver such good performance across two drastically different market environments. The answer lies in the different analytical perspectives the multi-agent architecture provides. On any given day the four analytical agents frequently contradict each other, and it is the Stock Picker's role to weigh all views and arrive at a balanced recommendation. A purely technical system will not understand fundamental deterioration detected throughout Phase 1, while a purely sentiment-driven system would have been overwhelmed by the noise of the COVID crash. The combination of all four perspectives is what makes the system robust.</w:t>
      </w:r>
    </w:p>
    <w:p w14:paraId="7D211568" w14:textId="77777777" w:rsidR="000756B0" w:rsidRPr="000756B0" w:rsidRDefault="000756B0" w:rsidP="000756B0">
      <w:r w:rsidRPr="000756B0">
        <w:t>The feedback loop also proved to be more than a theoretical contribution. The optimisation mechanism triggered on 87.5% of all Phase 3 chunks and still delivered a 53.8% improvement rate under COVID-level volatility, suggesting genuine self-correction rather than a fixed strategy. The reward function is a composite of the Sharpe ratio at 30%. It tells the system to focus on steady risk-adjusted returns rather than chasing maximum gains. Because of that, the portfolio recovered quickly after periods of loss rather than making increasingly risky bets.</w:t>
      </w:r>
    </w:p>
    <w:p w14:paraId="793F369B" w14:textId="77777777" w:rsidR="000756B0" w:rsidRPr="000756B0" w:rsidRDefault="000756B0" w:rsidP="000756B0">
      <w:r w:rsidRPr="000756B0">
        <w:t xml:space="preserve">However, it is important to be honest about what these results do and do not prove. All findings are based on </w:t>
      </w:r>
      <w:proofErr w:type="spellStart"/>
      <w:r w:rsidRPr="000756B0">
        <w:t>backtesting</w:t>
      </w:r>
      <w:proofErr w:type="spellEnd"/>
      <w:r w:rsidRPr="000756B0">
        <w:t xml:space="preserve"> rather than live trading. Strategies that perform well historically do not always translate to real markets where price slippage, market impact, and changing dynamics come into play. There is also the question of temporal leakage, as Llama 3.1 8B was pretrained on internet data that may include financial information from the study period. However, if the model truly had precise knowledge of historical prices the results would look very different as the portfolio would have avoided every crash and generated far more returns than 85%. The fact that it experienced drawdowns, made losing trades, and struggled with short selling during rising markets suggests the model was genuinely reasoning from the data provided each day rather than drawing on memorised price outcomes.</w:t>
      </w:r>
    </w:p>
    <w:p w14:paraId="3577E6A6" w14:textId="77777777" w:rsidR="00ED4ABA" w:rsidRPr="00ED4ABA" w:rsidRDefault="00ED4ABA" w:rsidP="00ED4ABA"/>
    <w:p w14:paraId="760FF7EE" w14:textId="655CF9B3" w:rsidR="00D57387" w:rsidRDefault="0084313B" w:rsidP="00934643">
      <w:pPr>
        <w:pStyle w:val="Heading2"/>
        <w:jc w:val="both"/>
      </w:pPr>
      <w:bookmarkStart w:id="87" w:name="_Toc228577638"/>
      <w:r>
        <w:t>6. Conclusion</w:t>
      </w:r>
      <w:bookmarkEnd w:id="87"/>
      <w:r>
        <w:t xml:space="preserve"> </w:t>
      </w:r>
    </w:p>
    <w:p w14:paraId="06DE27E8" w14:textId="77777777" w:rsidR="0084313B" w:rsidRDefault="0084313B" w:rsidP="00934643">
      <w:pPr>
        <w:jc w:val="both"/>
      </w:pPr>
    </w:p>
    <w:p w14:paraId="095AA65B" w14:textId="66875CB3" w:rsidR="0084313B" w:rsidRDefault="0084313B" w:rsidP="00934643">
      <w:pPr>
        <w:jc w:val="both"/>
      </w:pPr>
      <w:r>
        <w:t xml:space="preserve">In this research we have proposed </w:t>
      </w:r>
      <w:r w:rsidRPr="0084313B">
        <w:t xml:space="preserve">fully autonomous multi-agent portfolio management framework that combines the reasoning capabilities of Large Language Models with dynamic prompt optimisation and a self-correcting feedback loop to manage investment portfolios without any human intervention. </w:t>
      </w:r>
      <w:r>
        <w:t xml:space="preserve">This framework makes </w:t>
      </w:r>
      <w:r w:rsidRPr="0084313B">
        <w:t>investment decision-making process across seven specialised agents</w:t>
      </w:r>
      <w:r w:rsidR="001F595D">
        <w:t>. E</w:t>
      </w:r>
      <w:r w:rsidRPr="0084313B">
        <w:t>ach</w:t>
      </w:r>
      <w:r w:rsidR="001F595D">
        <w:t xml:space="preserve"> </w:t>
      </w:r>
      <w:r w:rsidR="004010E8">
        <w:t>agent</w:t>
      </w:r>
      <w:r w:rsidR="001F595D">
        <w:t xml:space="preserve"> </w:t>
      </w:r>
      <w:r w:rsidR="004010E8">
        <w:t>is</w:t>
      </w:r>
      <w:r w:rsidR="001F595D">
        <w:t xml:space="preserve"> </w:t>
      </w:r>
      <w:r w:rsidRPr="0084313B">
        <w:t>responsible for a distinct aspect of financial analysis</w:t>
      </w:r>
      <w:r w:rsidR="004010E8">
        <w:t>. It</w:t>
      </w:r>
      <w:r w:rsidRPr="0084313B">
        <w:t xml:space="preserve"> uses the </w:t>
      </w:r>
      <w:proofErr w:type="spellStart"/>
      <w:r w:rsidRPr="0084313B">
        <w:t>DSPy</w:t>
      </w:r>
      <w:proofErr w:type="spellEnd"/>
      <w:r w:rsidRPr="0084313B">
        <w:t xml:space="preserve"> framework to automatically </w:t>
      </w:r>
      <w:r>
        <w:t xml:space="preserve">adjust </w:t>
      </w:r>
      <w:r w:rsidRPr="0084313B">
        <w:t>agent instructions based on real portfolio performance rather than relying on fixed manually crafted prompts.</w:t>
      </w:r>
      <w:r>
        <w:t xml:space="preserve">        </w:t>
      </w:r>
    </w:p>
    <w:p w14:paraId="3CF19F59" w14:textId="1A2AE2EB" w:rsidR="0084313B" w:rsidRDefault="0084313B" w:rsidP="00934643">
      <w:pPr>
        <w:jc w:val="both"/>
      </w:pPr>
      <w:proofErr w:type="spellStart"/>
      <w:r>
        <w:lastRenderedPageBreak/>
        <w:t>Backtesting</w:t>
      </w:r>
      <w:proofErr w:type="spellEnd"/>
      <w:r>
        <w:t xml:space="preserve"> has been </w:t>
      </w:r>
      <w:r w:rsidR="00E465BB">
        <w:t xml:space="preserve">done </w:t>
      </w:r>
      <w:r>
        <w:t>on two different phases of dataset</w:t>
      </w:r>
      <w:r w:rsidR="00E465BB">
        <w:t>. R</w:t>
      </w:r>
      <w:r>
        <w:t xml:space="preserve">esults are </w:t>
      </w:r>
      <w:r w:rsidRPr="0084313B">
        <w:t>strong and consistent returns across genuinely different market environments. In Phase 1 covering January 2015 to March 2018 the portfolio grew from £100,000 to £184,761, delivering a total return of 84.76% and an annualised Sharpe ratio of 1.52</w:t>
      </w:r>
      <w:r w:rsidR="004010E8">
        <w:t>.</w:t>
      </w:r>
      <w:r w:rsidRPr="0084313B">
        <w:t xml:space="preserve"> </w:t>
      </w:r>
      <w:r w:rsidR="004010E8">
        <w:t>C</w:t>
      </w:r>
      <w:r w:rsidRPr="0084313B">
        <w:t>ompared to an approximate 38% return for the SPY buy-and-hold benchmark over the same period. In Phase 3 covering July 2019 to December 2020 the portfolio grew from £100,000 to £185,399, delivering a total return of 85.40% and an improved Sharpe ratio of 1.79</w:t>
      </w:r>
      <w:r w:rsidR="004010E8">
        <w:t>. D</w:t>
      </w:r>
      <w:r w:rsidRPr="0084313B">
        <w:t>espite the phase</w:t>
      </w:r>
      <w:r w:rsidR="004010E8">
        <w:t>-3</w:t>
      </w:r>
      <w:r w:rsidRPr="0084313B">
        <w:t xml:space="preserve"> </w:t>
      </w:r>
      <w:r>
        <w:t xml:space="preserve">containing </w:t>
      </w:r>
      <w:r w:rsidRPr="0084313B">
        <w:t xml:space="preserve">the COVID-19 market crash of early 2020 which represented one of the fastest and most severe market </w:t>
      </w:r>
      <w:r>
        <w:t xml:space="preserve">crash </w:t>
      </w:r>
      <w:r w:rsidRPr="0084313B">
        <w:t>in modern history. The framework's ability to recover quickly from the COVID crash, surpassing its pre-crash peak by July 2020</w:t>
      </w:r>
      <w:r w:rsidR="004010E8">
        <w:t xml:space="preserve">. It is </w:t>
      </w:r>
      <w:r w:rsidRPr="0084313B">
        <w:t>reaching an all-time high of £187,376 by December 2020</w:t>
      </w:r>
      <w:r w:rsidR="004010E8">
        <w:t xml:space="preserve"> which </w:t>
      </w:r>
      <w:r w:rsidRPr="0084313B">
        <w:t xml:space="preserve">provide particularly </w:t>
      </w:r>
      <w:r>
        <w:t xml:space="preserve">strong </w:t>
      </w:r>
      <w:r w:rsidRPr="0084313B">
        <w:t xml:space="preserve">evidence of the system's </w:t>
      </w:r>
      <w:r>
        <w:t xml:space="preserve">capability to adapt itself to the market environment.  </w:t>
      </w:r>
    </w:p>
    <w:p w14:paraId="6101701F" w14:textId="144AFBF2" w:rsidR="007E0973" w:rsidRDefault="0084313B" w:rsidP="00934643">
      <w:pPr>
        <w:jc w:val="both"/>
      </w:pPr>
      <w:r>
        <w:t xml:space="preserve">Some of the highlighting performance of the framework is </w:t>
      </w:r>
      <w:r w:rsidR="007E0973">
        <w:t>the combination of dynamic prompt optimisation mechanism with feedback loop triggering in 87.5% Phase 3 chunks</w:t>
      </w:r>
      <w:r w:rsidR="00E465BB">
        <w:t>.</w:t>
      </w:r>
      <w:r w:rsidR="007E0973">
        <w:t xml:space="preserve"> </w:t>
      </w:r>
      <w:r w:rsidR="00E465BB">
        <w:t>O</w:t>
      </w:r>
      <w:r w:rsidR="007E0973">
        <w:t xml:space="preserve">ut of those total trigger it was able to achieve 53.8% improvement rate in portfolio performance following those triggers under extreme market condition. </w:t>
      </w:r>
      <w:r w:rsidR="007E0973" w:rsidRPr="007E0973">
        <w:t>The multi-agent architecture proved more robust than a single agent approach would have been</w:t>
      </w:r>
      <w:r w:rsidR="00E465BB">
        <w:t>. W</w:t>
      </w:r>
      <w:r w:rsidR="007E0973">
        <w:t xml:space="preserve">ith different agent providing different capability and complimenting each other to produce overall best result.  </w:t>
      </w:r>
      <w:r w:rsidR="007E0973" w:rsidRPr="007E0973">
        <w:t>The dynamic trailing stop-loss mechanism successfully protected accumulated gains during periods of market stress whil</w:t>
      </w:r>
      <w:r w:rsidR="00E465BB">
        <w:t xml:space="preserve">e </w:t>
      </w:r>
      <w:r w:rsidR="007E0973" w:rsidRPr="007E0973">
        <w:t>allowing winning positions to run for as long as momentum continued, contributing to a profit to loss ratio of 4.5 to 1 in Phase 1 and an improved 6.3 to 1 in Phase 3.</w:t>
      </w:r>
    </w:p>
    <w:p w14:paraId="00C9FF41" w14:textId="0A96BE99" w:rsidR="00934643" w:rsidRDefault="007E0973" w:rsidP="00934643">
      <w:pPr>
        <w:jc w:val="both"/>
      </w:pPr>
      <w:r w:rsidRPr="007E0973">
        <w:t>This research makes several contributions to the growing literature on LLM-based financial systems. It demonstrates that a small and cost-efficient language model can deliver competitive portfolio management performance when embedded within a well-designed multi-agent architecture with appropriate feedback and optimisation mechanisms. It introduces dynamic prompt optimisation as a practical alternative to static agent instructions in financial applications, and it provides empirical evidence that multi-agent collaboration across diverse analytical perspectives produces more robust trading decisions than single-agent approaches in volatile market conditions.</w:t>
      </w:r>
    </w:p>
    <w:p w14:paraId="20399D16" w14:textId="77777777" w:rsidR="00ED4ABA" w:rsidRDefault="00ED4ABA" w:rsidP="00934643">
      <w:pPr>
        <w:jc w:val="both"/>
      </w:pPr>
    </w:p>
    <w:p w14:paraId="4F64F4E7" w14:textId="68B05AF6" w:rsidR="007E0973" w:rsidRDefault="007E0973" w:rsidP="00934643">
      <w:pPr>
        <w:pStyle w:val="Heading2"/>
        <w:jc w:val="both"/>
      </w:pPr>
      <w:bookmarkStart w:id="88" w:name="_Toc228577639"/>
      <w:r>
        <w:t xml:space="preserve">7. </w:t>
      </w:r>
      <w:r w:rsidR="00ED4ABA">
        <w:t>Reflection</w:t>
      </w:r>
      <w:bookmarkEnd w:id="88"/>
    </w:p>
    <w:p w14:paraId="2C62C40E" w14:textId="77777777" w:rsidR="001F09A6" w:rsidRDefault="001F09A6" w:rsidP="00934643">
      <w:pPr>
        <w:jc w:val="both"/>
      </w:pPr>
    </w:p>
    <w:p w14:paraId="5C7088ED" w14:textId="6EBE860F" w:rsidR="00B36670" w:rsidRDefault="00B36670" w:rsidP="00ED4ABA">
      <w:pPr>
        <w:jc w:val="both"/>
      </w:pPr>
      <w:r>
        <w:t xml:space="preserve">This </w:t>
      </w:r>
      <w:r w:rsidRPr="00B36670">
        <w:t>research</w:t>
      </w:r>
      <w:r>
        <w:t xml:space="preserve"> </w:t>
      </w:r>
      <w:r w:rsidRPr="00B36670">
        <w:t xml:space="preserve">has been both technically demanding and intellectually rewarding, </w:t>
      </w:r>
      <w:r>
        <w:t xml:space="preserve">it helped me for </w:t>
      </w:r>
      <w:r w:rsidRPr="00B36670">
        <w:t>developing my understanding of how artificial intelligence can be applied to real-world financial problems.</w:t>
      </w:r>
    </w:p>
    <w:p w14:paraId="46B7B236" w14:textId="58AC9564" w:rsidR="00B36670" w:rsidRDefault="00B36670" w:rsidP="00ED4ABA">
      <w:pPr>
        <w:jc w:val="both"/>
      </w:pPr>
      <w:r>
        <w:t xml:space="preserve">Biggest </w:t>
      </w:r>
      <w:r w:rsidRPr="00B36670">
        <w:t xml:space="preserve">practical challenge was the tension between the theoretical framework design and real-world infrastructure constraints. The decision to execute agents sequentially rather than in parallel was not part of the original design but became necessary due to </w:t>
      </w:r>
      <w:proofErr w:type="spellStart"/>
      <w:r w:rsidRPr="00B36670">
        <w:t>Groq</w:t>
      </w:r>
      <w:proofErr w:type="spellEnd"/>
      <w:r w:rsidRPr="00B36670">
        <w:t xml:space="preserve"> API rate limits. Whil</w:t>
      </w:r>
      <w:r>
        <w:t xml:space="preserve">e </w:t>
      </w:r>
      <w:r w:rsidRPr="00B36670">
        <w:t>this increased simulation time it ultimately simplified the data flow and did not compromise result quality, teaching me that building robust AI systems requires the ability to adapt designs pragmatically when real-world constraints arise.</w:t>
      </w:r>
    </w:p>
    <w:p w14:paraId="3CD87BE6" w14:textId="3AB216C9" w:rsidR="00ED4ABA" w:rsidRPr="00ED4ABA" w:rsidRDefault="00ED4ABA" w:rsidP="00ED4ABA">
      <w:pPr>
        <w:jc w:val="both"/>
      </w:pPr>
      <w:r w:rsidRPr="00ED4ABA">
        <w:t xml:space="preserve">The data collection process </w:t>
      </w:r>
      <w:r w:rsidR="00B36670">
        <w:t xml:space="preserve">comes with its own </w:t>
      </w:r>
      <w:r w:rsidRPr="00ED4ABA">
        <w:t>challenge</w:t>
      </w:r>
      <w:r w:rsidR="00B36670">
        <w:t xml:space="preserve">. Getting the sentiment data was one of the biggest hurdles because now most of social platform have close the door of free API service to collect data. Later on, I tried to collect data related to X then I was not able to collect the data </w:t>
      </w:r>
      <w:r w:rsidR="00B36670">
        <w:lastRenderedPageBreak/>
        <w:t xml:space="preserve">for </w:t>
      </w:r>
      <w:proofErr w:type="spellStart"/>
      <w:r w:rsidR="00B36670">
        <w:t>Reditt</w:t>
      </w:r>
      <w:proofErr w:type="spellEnd"/>
      <w:r w:rsidR="00B36670">
        <w:t xml:space="preserve"> for the same span of time, so it was struggle to find dataset for both platform falling in the same span of year.</w:t>
      </w:r>
    </w:p>
    <w:p w14:paraId="63056ADE" w14:textId="77777777" w:rsidR="00B36670" w:rsidRPr="00B36670" w:rsidRDefault="00B36670" w:rsidP="00B36670">
      <w:pPr>
        <w:jc w:val="both"/>
      </w:pPr>
      <w:r w:rsidRPr="00B36670">
        <w:t>Several results genuinely surprised me. I expected the Sharpe ratio to be lower in Phase 3 given the COVID-19 crash, but the system delivered 1.79 compared to 1.52 in Phase 1. The finding that the Macro Analyst was predominantly bearish throughout Phase 3 yet the portfolio still returned 85.40% also highlighted the genuine strength of the multi-agent architecture in balancing contradictory signals.</w:t>
      </w:r>
    </w:p>
    <w:p w14:paraId="61E1B431" w14:textId="77777777" w:rsidR="00B36670" w:rsidRPr="00B36670" w:rsidRDefault="00B36670" w:rsidP="00B36670">
      <w:pPr>
        <w:jc w:val="both"/>
      </w:pPr>
      <w:r w:rsidRPr="00B36670">
        <w:t xml:space="preserve">From a technical perspective this project significantly developed my ability to work with LLM APIs, design multi-agent pipelines, manage large financial datasets, and apply </w:t>
      </w:r>
      <w:proofErr w:type="spellStart"/>
      <w:r w:rsidRPr="00B36670">
        <w:t>DSPy</w:t>
      </w:r>
      <w:proofErr w:type="spellEnd"/>
      <w:r w:rsidRPr="00B36670">
        <w:t xml:space="preserve"> for automatic prompt optimisation, skills I had little prior experience with and which I believe will be highly valuable in my future career.</w:t>
      </w:r>
    </w:p>
    <w:p w14:paraId="2ACAAB12" w14:textId="77777777" w:rsidR="00B36670" w:rsidRPr="00B36670" w:rsidRDefault="00B36670" w:rsidP="00B36670">
      <w:pPr>
        <w:jc w:val="both"/>
      </w:pPr>
      <w:r w:rsidRPr="00B36670">
        <w:t>If I were to continue this research the most important next step would be evaluating the framework in a live paper trading environment. I would also explore whether larger language models such as Llama 3.1 70B produce meaningfully better trading decisions and whether more comprehensive social media data improves performance during volatile periods.</w:t>
      </w:r>
    </w:p>
    <w:p w14:paraId="3C11A143" w14:textId="0E455F6F" w:rsidR="00B36670" w:rsidRDefault="00B36670" w:rsidP="00B36670">
      <w:pPr>
        <w:jc w:val="both"/>
      </w:pPr>
      <w:r w:rsidRPr="00B36670">
        <w:t>Overall, this research has reinforced my belief that combining multi-agent collaboration with dynamic prompt optimisation and self-correcting feedback loops represents a genuinely promising direction for autonomous portfolio management.</w:t>
      </w:r>
    </w:p>
    <w:p w14:paraId="77DB9FBF" w14:textId="77777777" w:rsidR="00285324" w:rsidRDefault="00285324" w:rsidP="00B36670">
      <w:pPr>
        <w:jc w:val="both"/>
      </w:pPr>
    </w:p>
    <w:p w14:paraId="58EDDCBE" w14:textId="5AB10968" w:rsidR="00285324" w:rsidRDefault="00285324" w:rsidP="00285324">
      <w:pPr>
        <w:pStyle w:val="Heading2"/>
      </w:pPr>
      <w:bookmarkStart w:id="89" w:name="_Toc228577640"/>
      <w:r>
        <w:t>8. Gantt Chart</w:t>
      </w:r>
      <w:bookmarkEnd w:id="89"/>
    </w:p>
    <w:p w14:paraId="504F7EA0" w14:textId="26DB896A" w:rsidR="00285324" w:rsidRDefault="00285324" w:rsidP="00285324"/>
    <w:p w14:paraId="04D3B212" w14:textId="00D4D920" w:rsidR="00285324" w:rsidRDefault="00285324" w:rsidP="00285324">
      <w:r>
        <w:t>Below chart shows the timeline of each component that I have been</w:t>
      </w:r>
      <w:r w:rsidR="00A543C8">
        <w:t xml:space="preserve"> working during this </w:t>
      </w:r>
    </w:p>
    <w:p w14:paraId="31CFADD3" w14:textId="77777777" w:rsidR="00285324" w:rsidRPr="00285324" w:rsidRDefault="00285324" w:rsidP="00285324"/>
    <w:p w14:paraId="2E6D8BBE" w14:textId="17392C24" w:rsidR="00285324" w:rsidRPr="00B36670" w:rsidRDefault="00285324" w:rsidP="00B36670">
      <w:pPr>
        <w:jc w:val="both"/>
      </w:pPr>
      <w:r w:rsidRPr="00285324">
        <w:rPr>
          <w:noProof/>
        </w:rPr>
        <w:drawing>
          <wp:inline distT="0" distB="0" distL="0" distR="0" wp14:anchorId="075F1D53" wp14:editId="2E1F03F8">
            <wp:extent cx="5731510" cy="1930400"/>
            <wp:effectExtent l="0" t="0" r="2540" b="0"/>
            <wp:docPr id="361410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410787" name=""/>
                    <pic:cNvPicPr/>
                  </pic:nvPicPr>
                  <pic:blipFill>
                    <a:blip r:embed="rId53"/>
                    <a:stretch>
                      <a:fillRect/>
                    </a:stretch>
                  </pic:blipFill>
                  <pic:spPr>
                    <a:xfrm>
                      <a:off x="0" y="0"/>
                      <a:ext cx="5732784" cy="1930829"/>
                    </a:xfrm>
                    <a:prstGeom prst="rect">
                      <a:avLst/>
                    </a:prstGeom>
                  </pic:spPr>
                </pic:pic>
              </a:graphicData>
            </a:graphic>
          </wp:inline>
        </w:drawing>
      </w:r>
    </w:p>
    <w:p w14:paraId="4A1E678F" w14:textId="77777777" w:rsidR="00ED4ABA" w:rsidRDefault="00ED4ABA" w:rsidP="00ED4ABA">
      <w:pPr>
        <w:jc w:val="both"/>
      </w:pPr>
    </w:p>
    <w:p w14:paraId="297061AB" w14:textId="77777777" w:rsidR="00ED4ABA" w:rsidRDefault="00ED4ABA" w:rsidP="00ED4ABA">
      <w:pPr>
        <w:jc w:val="both"/>
      </w:pPr>
    </w:p>
    <w:p w14:paraId="6792C857" w14:textId="77777777" w:rsidR="00ED4ABA" w:rsidRDefault="00ED4ABA" w:rsidP="00ED4ABA">
      <w:pPr>
        <w:jc w:val="both"/>
      </w:pPr>
    </w:p>
    <w:p w14:paraId="56845A38" w14:textId="77777777" w:rsidR="00ED4ABA" w:rsidRDefault="00ED4ABA" w:rsidP="00ED4ABA">
      <w:pPr>
        <w:jc w:val="both"/>
      </w:pPr>
    </w:p>
    <w:p w14:paraId="190B904A" w14:textId="77777777" w:rsidR="00ED4ABA" w:rsidRDefault="00ED4ABA" w:rsidP="00ED4ABA">
      <w:pPr>
        <w:jc w:val="both"/>
      </w:pPr>
    </w:p>
    <w:p w14:paraId="6B9E5EB7" w14:textId="541F4C88" w:rsidR="00A07274" w:rsidRDefault="00662F35" w:rsidP="00A07274">
      <w:pPr>
        <w:pStyle w:val="Heading2"/>
      </w:pPr>
      <w:bookmarkStart w:id="90" w:name="_Toc228577641"/>
      <w:r>
        <w:lastRenderedPageBreak/>
        <w:t>References</w:t>
      </w:r>
      <w:bookmarkEnd w:id="90"/>
    </w:p>
    <w:p w14:paraId="6B1A4298" w14:textId="294588D0" w:rsidR="00F333EA" w:rsidRDefault="00662F35" w:rsidP="00BB1836">
      <w:r>
        <w:t xml:space="preserve">    </w:t>
      </w:r>
    </w:p>
    <w:p w14:paraId="5C51B738" w14:textId="77777777" w:rsidR="00501E03" w:rsidRDefault="009D1D66" w:rsidP="00501E03">
      <w:pPr>
        <w:pStyle w:val="Bibliography"/>
      </w:pPr>
      <w:r>
        <w:fldChar w:fldCharType="begin"/>
      </w:r>
      <w:r w:rsidR="00A07274">
        <w:instrText xml:space="preserve"> ADDIN ZOTERO_BIBL {"uncited":[],"omitted":[],"custom":[]} CSL_BIBLIOGRAPHY </w:instrText>
      </w:r>
      <w:r>
        <w:fldChar w:fldCharType="separate"/>
      </w:r>
      <w:r w:rsidR="00501E03">
        <w:t>[1]</w:t>
      </w:r>
      <w:r w:rsidR="00501E03">
        <w:tab/>
        <w:t xml:space="preserve"> shamik mehta, “(Part 2): AI-powered GRC in Banking and Financial Services - Hitachi Digital Services.” Accessed: Apr. 22, 2026. [Online]. Available: https://www.hitachids.com/insight/ai-powered-grc-in-banking-and-financial-services/</w:t>
      </w:r>
    </w:p>
    <w:p w14:paraId="45EECD7D" w14:textId="77777777" w:rsidR="00501E03" w:rsidRDefault="00501E03" w:rsidP="00501E03">
      <w:pPr>
        <w:pStyle w:val="Bibliography"/>
      </w:pPr>
      <w:r>
        <w:t>[2]</w:t>
      </w:r>
      <w:r>
        <w:tab/>
        <w:t xml:space="preserve">A. Vaswani </w:t>
      </w:r>
      <w:r>
        <w:rPr>
          <w:i/>
          <w:iCs/>
        </w:rPr>
        <w:t>et al.</w:t>
      </w:r>
      <w:r>
        <w:t xml:space="preserve">, “Attention Is All You Need,” Aug. 02, 2023, </w:t>
      </w:r>
      <w:r>
        <w:rPr>
          <w:i/>
          <w:iCs/>
        </w:rPr>
        <w:t>arXiv</w:t>
      </w:r>
      <w:r>
        <w:t>: arXiv:1706.03762. doi: 10.48550/arXiv.1706.03762.</w:t>
      </w:r>
    </w:p>
    <w:p w14:paraId="754E0EB2" w14:textId="77777777" w:rsidR="00501E03" w:rsidRDefault="00501E03" w:rsidP="00501E03">
      <w:pPr>
        <w:pStyle w:val="Bibliography"/>
      </w:pPr>
      <w:r>
        <w:t>[3]</w:t>
      </w:r>
      <w:r>
        <w:tab/>
        <w:t xml:space="preserve">A. Grattafiori </w:t>
      </w:r>
      <w:r>
        <w:rPr>
          <w:i/>
          <w:iCs/>
        </w:rPr>
        <w:t>et al.</w:t>
      </w:r>
      <w:r>
        <w:t xml:space="preserve">, “The Llama 3 Herd of Models,” Nov. 23, 2024, </w:t>
      </w:r>
      <w:r>
        <w:rPr>
          <w:i/>
          <w:iCs/>
        </w:rPr>
        <w:t>arXiv</w:t>
      </w:r>
      <w:r>
        <w:t>: arXiv:2407.21783. doi: 10.48550/arXiv.2407.21783.</w:t>
      </w:r>
    </w:p>
    <w:p w14:paraId="4E96BE25" w14:textId="77777777" w:rsidR="00501E03" w:rsidRDefault="00501E03" w:rsidP="00501E03">
      <w:pPr>
        <w:pStyle w:val="Bibliography"/>
      </w:pPr>
      <w:r>
        <w:t>[4]</w:t>
      </w:r>
      <w:r>
        <w:tab/>
        <w:t xml:space="preserve">Y. Yu </w:t>
      </w:r>
      <w:r>
        <w:rPr>
          <w:i/>
          <w:iCs/>
        </w:rPr>
        <w:t>et al.</w:t>
      </w:r>
      <w:r>
        <w:t xml:space="preserve">, “FinMem: A Performance-Enhanced LLM Trading Agent with Layered Memory and Character Design,” Dec. 03, 2023, </w:t>
      </w:r>
      <w:r>
        <w:rPr>
          <w:i/>
          <w:iCs/>
        </w:rPr>
        <w:t>arXiv</w:t>
      </w:r>
      <w:r>
        <w:t>: arXiv:2311.13743. doi: 10.48550/arXiv.2311.13743.</w:t>
      </w:r>
    </w:p>
    <w:p w14:paraId="08097879" w14:textId="77777777" w:rsidR="00501E03" w:rsidRDefault="00501E03" w:rsidP="00501E03">
      <w:pPr>
        <w:pStyle w:val="Bibliography"/>
      </w:pPr>
      <w:r>
        <w:t>[5]</w:t>
      </w:r>
      <w:r>
        <w:tab/>
        <w:t xml:space="preserve">Y. Xiao, E. Sun, D. Luo, and W. Wang, “TradingAgents: Multi-Agents LLM Financial Trading Framework,” Jun. 03, 2025, </w:t>
      </w:r>
      <w:r>
        <w:rPr>
          <w:i/>
          <w:iCs/>
        </w:rPr>
        <w:t>arXiv</w:t>
      </w:r>
      <w:r>
        <w:t>: arXiv:2412.20138. doi: 10.48550/arXiv.2412.20138.</w:t>
      </w:r>
    </w:p>
    <w:p w14:paraId="6E5F6410" w14:textId="77777777" w:rsidR="00501E03" w:rsidRDefault="00501E03" w:rsidP="00501E03">
      <w:pPr>
        <w:pStyle w:val="Bibliography"/>
      </w:pPr>
      <w:r>
        <w:t>[6]</w:t>
      </w:r>
      <w:r>
        <w:tab/>
        <w:t xml:space="preserve">Y. Yu </w:t>
      </w:r>
      <w:r>
        <w:rPr>
          <w:i/>
          <w:iCs/>
        </w:rPr>
        <w:t>et al.</w:t>
      </w:r>
      <w:r>
        <w:t xml:space="preserve">, “FinCon: A Synthesized LLM Multi-Agent System with Conceptual Verbal Reinforcement for Enhanced Financial Decision Making,” Nov. 07, 2024, </w:t>
      </w:r>
      <w:r>
        <w:rPr>
          <w:i/>
          <w:iCs/>
        </w:rPr>
        <w:t>arXiv</w:t>
      </w:r>
      <w:r>
        <w:t>: arXiv:2407.06567. doi: 10.48550/arXiv.2407.06567.</w:t>
      </w:r>
    </w:p>
    <w:p w14:paraId="5C8EBD29" w14:textId="77777777" w:rsidR="00501E03" w:rsidRDefault="00501E03" w:rsidP="00501E03">
      <w:pPr>
        <w:pStyle w:val="Bibliography"/>
      </w:pPr>
      <w:r>
        <w:t>[7]</w:t>
      </w:r>
      <w:r>
        <w:tab/>
        <w:t xml:space="preserve">H. Hong </w:t>
      </w:r>
      <w:r>
        <w:rPr>
          <w:i/>
          <w:iCs/>
        </w:rPr>
        <w:t>et al.</w:t>
      </w:r>
      <w:r>
        <w:t xml:space="preserve">, “Multi-Agent Deep Research: Training Multi-Agent Systems with M-GRPO,” Nov. 18, 2025, </w:t>
      </w:r>
      <w:r>
        <w:rPr>
          <w:i/>
          <w:iCs/>
        </w:rPr>
        <w:t>arXiv</w:t>
      </w:r>
      <w:r>
        <w:t>: arXiv:2511.13288. doi: 10.48550/arXiv.2511.13288.</w:t>
      </w:r>
    </w:p>
    <w:p w14:paraId="6AFBB7C4" w14:textId="77777777" w:rsidR="00501E03" w:rsidRDefault="00501E03" w:rsidP="00501E03">
      <w:pPr>
        <w:pStyle w:val="Bibliography"/>
      </w:pPr>
      <w:r>
        <w:t>[8]</w:t>
      </w:r>
      <w:r>
        <w:tab/>
        <w:t xml:space="preserve">T. Zhou, P. Wang, Y. Wu, and H. Yang, “FinRobot: AI Agent for Equity Research and Valuation with Large Language Models,” Nov. 13, 2024, </w:t>
      </w:r>
      <w:r>
        <w:rPr>
          <w:i/>
          <w:iCs/>
        </w:rPr>
        <w:t>arXiv</w:t>
      </w:r>
      <w:r>
        <w:t>: arXiv:2411.08804. doi: 10.48550/arXiv.2411.08804.</w:t>
      </w:r>
    </w:p>
    <w:p w14:paraId="55C5CD4B" w14:textId="77777777" w:rsidR="00501E03" w:rsidRDefault="00501E03" w:rsidP="00501E03">
      <w:pPr>
        <w:pStyle w:val="Bibliography"/>
      </w:pPr>
      <w:r>
        <w:t>[9]</w:t>
      </w:r>
      <w:r>
        <w:tab/>
        <w:t xml:space="preserve">S. Wang, H. Yuan, L. M. Ni, and J. Guo, “QuantAgent: Seeking Holy Grail in Trading by Self-Improving Large Language Model,” Feb. 06, 2024, </w:t>
      </w:r>
      <w:r>
        <w:rPr>
          <w:i/>
          <w:iCs/>
        </w:rPr>
        <w:t>arXiv</w:t>
      </w:r>
      <w:r>
        <w:t>: arXiv:2402.03755. doi: 10.48550/arXiv.2402.03755.</w:t>
      </w:r>
    </w:p>
    <w:p w14:paraId="20619016" w14:textId="77777777" w:rsidR="00501E03" w:rsidRDefault="00501E03" w:rsidP="00501E03">
      <w:pPr>
        <w:pStyle w:val="Bibliography"/>
      </w:pPr>
      <w:r>
        <w:t>[10]</w:t>
      </w:r>
      <w:r>
        <w:tab/>
        <w:t xml:space="preserve">A. Nair, A. Banerjee, L. Mombaerts, M. Hagen, and T. Borogovac, “Tournament of Prompts: Evolving LLM Instructions Through Structured Debates and Elo Ratings,” Jul. 22, 2025, </w:t>
      </w:r>
      <w:r>
        <w:rPr>
          <w:i/>
          <w:iCs/>
        </w:rPr>
        <w:t>arXiv</w:t>
      </w:r>
      <w:r>
        <w:t>: arXiv:2506.00178. doi: 10.48550/arXiv.2506.00178.</w:t>
      </w:r>
    </w:p>
    <w:p w14:paraId="59E16DAA" w14:textId="77777777" w:rsidR="00501E03" w:rsidRDefault="00501E03" w:rsidP="00501E03">
      <w:pPr>
        <w:pStyle w:val="Bibliography"/>
      </w:pPr>
      <w:r>
        <w:t>[11]</w:t>
      </w:r>
      <w:r>
        <w:tab/>
        <w:t xml:space="preserve">O. Khattab </w:t>
      </w:r>
      <w:r>
        <w:rPr>
          <w:i/>
          <w:iCs/>
        </w:rPr>
        <w:t>et al.</w:t>
      </w:r>
      <w:r>
        <w:t xml:space="preserve">, “DSPy: Compiling Declarative Language Model Calls into Self-Improving Pipelines,” Oct. 05, 2023, </w:t>
      </w:r>
      <w:r>
        <w:rPr>
          <w:i/>
          <w:iCs/>
        </w:rPr>
        <w:t>arXiv</w:t>
      </w:r>
      <w:r>
        <w:t>: arXiv:2310.03714. doi: 10.48550/arXiv.2310.03714.</w:t>
      </w:r>
    </w:p>
    <w:p w14:paraId="3838EC26" w14:textId="77777777" w:rsidR="00501E03" w:rsidRDefault="00501E03" w:rsidP="00501E03">
      <w:pPr>
        <w:pStyle w:val="Bibliography"/>
      </w:pPr>
      <w:r>
        <w:t>[12]</w:t>
      </w:r>
      <w:r>
        <w:tab/>
        <w:t xml:space="preserve">K. Opsahl-Ong </w:t>
      </w:r>
      <w:r>
        <w:rPr>
          <w:i/>
          <w:iCs/>
        </w:rPr>
        <w:t>et al.</w:t>
      </w:r>
      <w:r>
        <w:t xml:space="preserve">, “Optimizing Instructions and Demonstrations for Multi-Stage Language Model Programs,” Oct. 06, 2024, </w:t>
      </w:r>
      <w:r>
        <w:rPr>
          <w:i/>
          <w:iCs/>
        </w:rPr>
        <w:t>arXiv</w:t>
      </w:r>
      <w:r>
        <w:t>: arXiv:2406.11695. doi: 10.48550/arXiv.2406.11695.</w:t>
      </w:r>
    </w:p>
    <w:p w14:paraId="7AC83C07" w14:textId="77777777" w:rsidR="00501E03" w:rsidRDefault="00501E03" w:rsidP="00501E03">
      <w:pPr>
        <w:pStyle w:val="Bibliography"/>
      </w:pPr>
      <w:r>
        <w:t>[13]</w:t>
      </w:r>
      <w:r>
        <w:tab/>
        <w:t>J. Bergstra, R. Bardenet, Y. Bengio, and B. Kegl, “Algorithms for Hyper-Parameter Optimization,” 2011.</w:t>
      </w:r>
    </w:p>
    <w:p w14:paraId="6EB3CAA8" w14:textId="77777777" w:rsidR="00501E03" w:rsidRDefault="00501E03" w:rsidP="00501E03">
      <w:pPr>
        <w:pStyle w:val="Bibliography"/>
      </w:pPr>
      <w:r>
        <w:t>[14]</w:t>
      </w:r>
      <w:r>
        <w:tab/>
        <w:t xml:space="preserve">A. Singhvi </w:t>
      </w:r>
      <w:r>
        <w:rPr>
          <w:i/>
          <w:iCs/>
        </w:rPr>
        <w:t>et al.</w:t>
      </w:r>
      <w:r>
        <w:t xml:space="preserve">, “DSPy Assertions: Computational Constraints for Self-Refining Language Model Pipelines,” Feb. 02, 2024, </w:t>
      </w:r>
      <w:r>
        <w:rPr>
          <w:i/>
          <w:iCs/>
        </w:rPr>
        <w:t>arXiv</w:t>
      </w:r>
      <w:r>
        <w:t>: arXiv:2312.13382. doi: 10.48550/arXiv.2312.13382.</w:t>
      </w:r>
    </w:p>
    <w:p w14:paraId="02728173" w14:textId="77777777" w:rsidR="00501E03" w:rsidRDefault="00501E03" w:rsidP="00501E03">
      <w:pPr>
        <w:pStyle w:val="Bibliography"/>
      </w:pPr>
      <w:r>
        <w:t>[15]</w:t>
      </w:r>
      <w:r>
        <w:tab/>
        <w:t xml:space="preserve">R. Pryzant, D. Iter, J. Li, Y. T. Lee, C. Zhu, and M. Zeng, “Automatic Prompt Optimization with ‘Gradient Descent’ and Beam Search,” Oct. 19, 2023, </w:t>
      </w:r>
      <w:r>
        <w:rPr>
          <w:i/>
          <w:iCs/>
        </w:rPr>
        <w:t>arXiv</w:t>
      </w:r>
      <w:r>
        <w:t>: arXiv:2305.03495. doi: 10.48550/arXiv.2305.03495.</w:t>
      </w:r>
    </w:p>
    <w:p w14:paraId="7DDCDA56" w14:textId="77777777" w:rsidR="00501E03" w:rsidRDefault="00501E03" w:rsidP="00501E03">
      <w:pPr>
        <w:pStyle w:val="Bibliography"/>
      </w:pPr>
      <w:r>
        <w:t>[16]</w:t>
      </w:r>
      <w:r>
        <w:tab/>
        <w:t xml:space="preserve">L. A. Agrawal </w:t>
      </w:r>
      <w:r>
        <w:rPr>
          <w:i/>
          <w:iCs/>
        </w:rPr>
        <w:t>et al.</w:t>
      </w:r>
      <w:r>
        <w:t xml:space="preserve">, “GEPA: Reflective Prompt Evolution Can Outperform Reinforcement Learning,” Feb. 14, 2026, </w:t>
      </w:r>
      <w:r>
        <w:rPr>
          <w:i/>
          <w:iCs/>
        </w:rPr>
        <w:t>arXiv</w:t>
      </w:r>
      <w:r>
        <w:t>: arXiv:2507.19457. doi: 10.48550/arXiv.2507.19457.</w:t>
      </w:r>
    </w:p>
    <w:p w14:paraId="1CB112FA" w14:textId="77777777" w:rsidR="00501E03" w:rsidRDefault="00501E03" w:rsidP="00501E03">
      <w:pPr>
        <w:pStyle w:val="Bibliography"/>
      </w:pPr>
      <w:r>
        <w:t>[17]</w:t>
      </w:r>
      <w:r>
        <w:tab/>
        <w:t xml:space="preserve">L. Siyan, V. C. Raghuram, O. Khattab, J. Hirschberg, and Z. Yu, “PAPILLON: Privacy Preservation from Internet-based and Local Language Model Ensembles,” Mar. 25, 2025, </w:t>
      </w:r>
      <w:r>
        <w:rPr>
          <w:i/>
          <w:iCs/>
        </w:rPr>
        <w:t>arXiv</w:t>
      </w:r>
      <w:r>
        <w:t>: arXiv:2410.17127. doi: 10.48550/arXiv.2410.17127.</w:t>
      </w:r>
    </w:p>
    <w:p w14:paraId="5031C36E" w14:textId="77777777" w:rsidR="00501E03" w:rsidRDefault="00501E03" w:rsidP="00501E03">
      <w:pPr>
        <w:pStyle w:val="Bibliography"/>
      </w:pPr>
      <w:r>
        <w:t>[18]</w:t>
      </w:r>
      <w:r>
        <w:tab/>
        <w:t xml:space="preserve">D. Soylu, C. Potts, and O. Khattab, “Fine-Tuning and Prompt Optimization: Two Great Steps that Work Better Together,” Oct. 07, 2024, </w:t>
      </w:r>
      <w:r>
        <w:rPr>
          <w:i/>
          <w:iCs/>
        </w:rPr>
        <w:t>arXiv</w:t>
      </w:r>
      <w:r>
        <w:t>: arXiv:2407.10930. doi: 10.48550/arXiv.2407.10930.</w:t>
      </w:r>
    </w:p>
    <w:p w14:paraId="20233F29" w14:textId="77777777" w:rsidR="00501E03" w:rsidRDefault="00501E03" w:rsidP="00501E03">
      <w:pPr>
        <w:pStyle w:val="Bibliography"/>
      </w:pPr>
      <w:r>
        <w:t>[19]</w:t>
      </w:r>
      <w:r>
        <w:tab/>
        <w:t xml:space="preserve">Z. Yang </w:t>
      </w:r>
      <w:r>
        <w:rPr>
          <w:i/>
          <w:iCs/>
        </w:rPr>
        <w:t>et al.</w:t>
      </w:r>
      <w:r>
        <w:t xml:space="preserve">, “HotpotQA: A Dataset for Diverse, Explainable Multi-hop Question Answering,” in </w:t>
      </w:r>
      <w:r>
        <w:rPr>
          <w:i/>
          <w:iCs/>
        </w:rPr>
        <w:t xml:space="preserve">Proceedings of the 2018 Conference on Empirical Methods in Natural </w:t>
      </w:r>
      <w:r>
        <w:rPr>
          <w:i/>
          <w:iCs/>
        </w:rPr>
        <w:lastRenderedPageBreak/>
        <w:t>Language Processing</w:t>
      </w:r>
      <w:r>
        <w:t>, Brussels, Belgium: Association for Computational Linguistics, 2018, pp. 2369–2380. doi: 10.18653/v1/D18-1259.</w:t>
      </w:r>
    </w:p>
    <w:p w14:paraId="033AC677" w14:textId="77777777" w:rsidR="00501E03" w:rsidRDefault="00501E03" w:rsidP="00501E03">
      <w:pPr>
        <w:pStyle w:val="Bibliography"/>
      </w:pPr>
      <w:r>
        <w:t>[20]</w:t>
      </w:r>
      <w:r>
        <w:tab/>
        <w:t xml:space="preserve">K. Cobbe </w:t>
      </w:r>
      <w:r>
        <w:rPr>
          <w:i/>
          <w:iCs/>
        </w:rPr>
        <w:t>et al.</w:t>
      </w:r>
      <w:r>
        <w:t>, “Training Veriﬁers to Solve Math Word Problems”.</w:t>
      </w:r>
    </w:p>
    <w:p w14:paraId="00DC6A0C" w14:textId="77777777" w:rsidR="00501E03" w:rsidRDefault="00501E03" w:rsidP="00501E03">
      <w:pPr>
        <w:pStyle w:val="Bibliography"/>
      </w:pPr>
      <w:r>
        <w:t>[21]</w:t>
      </w:r>
      <w:r>
        <w:tab/>
        <w:t>G. Huang, X. Zhou, and Q. Song, “A Deep Reinforcement Learning Framework for Dynamic Portfolio Optimization: Evidence from China’s Stock Market”.</w:t>
      </w:r>
    </w:p>
    <w:p w14:paraId="22DD0549" w14:textId="77777777" w:rsidR="00501E03" w:rsidRDefault="00501E03" w:rsidP="00501E03">
      <w:pPr>
        <w:pStyle w:val="Bibliography"/>
      </w:pPr>
      <w:r>
        <w:t>[22]</w:t>
      </w:r>
      <w:r>
        <w:tab/>
        <w:t xml:space="preserve">F. Gu, Z. Jiang, Á. F. García-Fernández, A. Stefanidis, J. Su, and H. Li, “MTS: A Deep Reinforcement Learning Portfolio Management Framework with Time-Awareness and Short-Selling,” Mar. 06, 2025, </w:t>
      </w:r>
      <w:r>
        <w:rPr>
          <w:i/>
          <w:iCs/>
        </w:rPr>
        <w:t>arXiv</w:t>
      </w:r>
      <w:r>
        <w:t>: arXiv:2503.04143. doi: 10.48550/arXiv.2503.04143.</w:t>
      </w:r>
    </w:p>
    <w:p w14:paraId="14209177" w14:textId="77777777" w:rsidR="00501E03" w:rsidRDefault="00501E03" w:rsidP="00501E03">
      <w:pPr>
        <w:pStyle w:val="Bibliography"/>
      </w:pPr>
      <w:r>
        <w:t>[23]</w:t>
      </w:r>
      <w:r>
        <w:tab/>
        <w:t xml:space="preserve">X.-Y. Liu </w:t>
      </w:r>
      <w:r>
        <w:rPr>
          <w:i/>
          <w:iCs/>
        </w:rPr>
        <w:t>et al.</w:t>
      </w:r>
      <w:r>
        <w:t xml:space="preserve">, “FinRL: A Deep Reinforcement Learning Library for Automated Stock Trading in Quantitative Finance,” Mar. 02, 2022, </w:t>
      </w:r>
      <w:r>
        <w:rPr>
          <w:i/>
          <w:iCs/>
        </w:rPr>
        <w:t>arXiv</w:t>
      </w:r>
      <w:r>
        <w:t>: arXiv:2011.09607. doi: 10.48550/arXiv.2011.09607.</w:t>
      </w:r>
    </w:p>
    <w:p w14:paraId="407941A8" w14:textId="77777777" w:rsidR="00501E03" w:rsidRDefault="00501E03" w:rsidP="00501E03">
      <w:pPr>
        <w:pStyle w:val="Bibliography"/>
      </w:pPr>
      <w:r>
        <w:t>[24]</w:t>
      </w:r>
      <w:r>
        <w:tab/>
        <w:t xml:space="preserve">X.-Y. Liu, H. Yang, J. Gao, and C. D. Wang, “FinRL: Deep Reinforcement Learning Framework to Automate Trading in Quantitative Finance,” in </w:t>
      </w:r>
      <w:r>
        <w:rPr>
          <w:i/>
          <w:iCs/>
        </w:rPr>
        <w:t>Proceedings of the Second ACM International Conference on AI in Finance</w:t>
      </w:r>
      <w:r>
        <w:t>, Nov. 2021, pp. 1–9. doi: 10.1145/3490354.3494366.</w:t>
      </w:r>
    </w:p>
    <w:p w14:paraId="06D8ADCD" w14:textId="77777777" w:rsidR="00501E03" w:rsidRDefault="00501E03" w:rsidP="00501E03">
      <w:pPr>
        <w:pStyle w:val="Bibliography"/>
      </w:pPr>
      <w:r>
        <w:t>[25]</w:t>
      </w:r>
      <w:r>
        <w:tab/>
        <w:t xml:space="preserve">G. Xiong </w:t>
      </w:r>
      <w:r>
        <w:rPr>
          <w:i/>
          <w:iCs/>
        </w:rPr>
        <w:t>et al.</w:t>
      </w:r>
      <w:r>
        <w:t xml:space="preserve">, “FLAG-Trader: Fusion LLM-Agent with Gradient-based Reinforcement Learning for Financial Trading,” Feb. 19, 2025, </w:t>
      </w:r>
      <w:r>
        <w:rPr>
          <w:i/>
          <w:iCs/>
        </w:rPr>
        <w:t>arXiv</w:t>
      </w:r>
      <w:r>
        <w:t>: arXiv:2502.11433. doi: 10.48550/arXiv.2502.11433.</w:t>
      </w:r>
    </w:p>
    <w:p w14:paraId="41905283" w14:textId="77777777" w:rsidR="00501E03" w:rsidRDefault="00501E03" w:rsidP="00501E03">
      <w:pPr>
        <w:pStyle w:val="Bibliography"/>
      </w:pPr>
      <w:r>
        <w:t>[26]</w:t>
      </w:r>
      <w:r>
        <w:tab/>
        <w:t xml:space="preserve">T. Deußer </w:t>
      </w:r>
      <w:r>
        <w:rPr>
          <w:i/>
          <w:iCs/>
        </w:rPr>
        <w:t>et al.</w:t>
      </w:r>
      <w:r>
        <w:t xml:space="preserve">, “KPI-EDGAR: A Novel Dataset and Accompanying Metric for Relation Extraction from Financial Documents,” in </w:t>
      </w:r>
      <w:r>
        <w:rPr>
          <w:i/>
          <w:iCs/>
        </w:rPr>
        <w:t>2022 21st IEEE International Conference on Machine Learning and Applications (ICMLA)</w:t>
      </w:r>
      <w:r>
        <w:t>, Dec. 2022, pp. 1654–1659. doi: 10.1109/ICMLA55696.2022.00254.</w:t>
      </w:r>
    </w:p>
    <w:p w14:paraId="58BA388A" w14:textId="77777777" w:rsidR="00501E03" w:rsidRDefault="00501E03" w:rsidP="00501E03">
      <w:pPr>
        <w:pStyle w:val="Bibliography"/>
      </w:pPr>
      <w:r>
        <w:t>[27]</w:t>
      </w:r>
      <w:r>
        <w:tab/>
        <w:t xml:space="preserve">P. Ndikum and S. Ndikum, “Advancing Investment Frontiers: Industry-grade Deep Reinforcement Learning for Portfolio Optimization,” Feb. 27, 2024, </w:t>
      </w:r>
      <w:r>
        <w:rPr>
          <w:i/>
          <w:iCs/>
        </w:rPr>
        <w:t>arXiv</w:t>
      </w:r>
      <w:r>
        <w:t>: arXiv:2403.07916. doi: 10.48550/arXiv.2403.07916.</w:t>
      </w:r>
    </w:p>
    <w:p w14:paraId="7B17F4E0" w14:textId="77777777" w:rsidR="00501E03" w:rsidRDefault="00501E03" w:rsidP="00501E03">
      <w:pPr>
        <w:pStyle w:val="Bibliography"/>
      </w:pPr>
      <w:r>
        <w:t>[28]</w:t>
      </w:r>
      <w:r>
        <w:tab/>
        <w:t xml:space="preserve">B. Li, P. Zhao, S. C. H. Hoi, and V. Gopalkrishnan, “PAMR: Passive aggressive mean reversion strategy for portfolio selection,” </w:t>
      </w:r>
      <w:r>
        <w:rPr>
          <w:i/>
          <w:iCs/>
        </w:rPr>
        <w:t>Mach. Learn.</w:t>
      </w:r>
      <w:r>
        <w:t>, vol. 87, no. 2, pp. 221–258, May 2012, doi: 10.1007/s10994-012-5281-z.</w:t>
      </w:r>
    </w:p>
    <w:p w14:paraId="611A210C" w14:textId="77777777" w:rsidR="00501E03" w:rsidRDefault="00501E03" w:rsidP="00501E03">
      <w:pPr>
        <w:pStyle w:val="Bibliography"/>
      </w:pPr>
      <w:r>
        <w:t>[29]</w:t>
      </w:r>
      <w:r>
        <w:tab/>
        <w:t>B. Li and S. C. H. Hoi, “On-Line Portfolio Selection with Moving Average Reversion”.</w:t>
      </w:r>
    </w:p>
    <w:p w14:paraId="4272A3F3" w14:textId="77777777" w:rsidR="00501E03" w:rsidRDefault="00501E03" w:rsidP="00501E03">
      <w:pPr>
        <w:pStyle w:val="Bibliography"/>
      </w:pPr>
      <w:r>
        <w:t>[30]</w:t>
      </w:r>
      <w:r>
        <w:tab/>
        <w:t xml:space="preserve">J. Schulman, F. Wolski, P. Dhariwal, A. Radford, and O. Klimov, “Proximal Policy Optimization Algorithms,” Aug. 28, 2017, </w:t>
      </w:r>
      <w:r>
        <w:rPr>
          <w:i/>
          <w:iCs/>
        </w:rPr>
        <w:t>arXiv</w:t>
      </w:r>
      <w:r>
        <w:t>: arXiv:1707.06347. doi: 10.48550/arXiv.1707.06347.</w:t>
      </w:r>
    </w:p>
    <w:p w14:paraId="43086BE8" w14:textId="77777777" w:rsidR="00501E03" w:rsidRDefault="00501E03" w:rsidP="00501E03">
      <w:pPr>
        <w:pStyle w:val="Bibliography"/>
      </w:pPr>
      <w:r>
        <w:t>[31]</w:t>
      </w:r>
      <w:r>
        <w:tab/>
        <w:t xml:space="preserve">K. Kirtac and G. Germano, “Sentiment trading with large language models,” </w:t>
      </w:r>
      <w:r>
        <w:rPr>
          <w:i/>
          <w:iCs/>
        </w:rPr>
        <w:t>Finance Res. Lett.</w:t>
      </w:r>
      <w:r>
        <w:t>, vol. 62, p. 105227, Apr. 2024, doi: 10.1016/j.frl.2024.105227.</w:t>
      </w:r>
    </w:p>
    <w:p w14:paraId="352079D3" w14:textId="77777777" w:rsidR="00501E03" w:rsidRDefault="00501E03" w:rsidP="00501E03">
      <w:pPr>
        <w:pStyle w:val="Bibliography"/>
      </w:pPr>
      <w:r>
        <w:t>[32]</w:t>
      </w:r>
      <w:r>
        <w:tab/>
        <w:t>T. Loughran and B. McDonald, “The Use of Word Lists in Textual Analysis”.</w:t>
      </w:r>
    </w:p>
    <w:p w14:paraId="39EE65A0" w14:textId="77777777" w:rsidR="00501E03" w:rsidRDefault="00501E03" w:rsidP="00501E03">
      <w:pPr>
        <w:pStyle w:val="Bibliography"/>
      </w:pPr>
      <w:r>
        <w:t>[33]</w:t>
      </w:r>
      <w:r>
        <w:tab/>
        <w:t xml:space="preserve">D. Araci, “FinBERT: Financial Sentiment Analysis with Pre-trained Language Models,” Aug. 27, 2019, </w:t>
      </w:r>
      <w:r>
        <w:rPr>
          <w:i/>
          <w:iCs/>
        </w:rPr>
        <w:t>arXiv</w:t>
      </w:r>
      <w:r>
        <w:t>: arXiv:1908.10063. doi: 10.48550/arXiv.1908.10063.</w:t>
      </w:r>
    </w:p>
    <w:p w14:paraId="09BD7A07" w14:textId="77777777" w:rsidR="00501E03" w:rsidRDefault="00501E03" w:rsidP="00501E03">
      <w:pPr>
        <w:pStyle w:val="Bibliography"/>
      </w:pPr>
      <w:r>
        <w:t>[34]</w:t>
      </w:r>
      <w:r>
        <w:tab/>
        <w:t xml:space="preserve">B. Zhang, H. Yang, and X.-Y. Liu, “Instruct-FinGPT: Financial Sentiment Analysis by Instruction Tuning of General-Purpose Large Language Models,” Jun. 22, 2023, </w:t>
      </w:r>
      <w:r>
        <w:rPr>
          <w:i/>
          <w:iCs/>
        </w:rPr>
        <w:t>arXiv</w:t>
      </w:r>
      <w:r>
        <w:t>: arXiv:2306.12659. doi: 10.48550/arXiv.2306.12659.</w:t>
      </w:r>
    </w:p>
    <w:p w14:paraId="44FF1C49" w14:textId="77777777" w:rsidR="00501E03" w:rsidRDefault="00501E03" w:rsidP="00501E03">
      <w:pPr>
        <w:pStyle w:val="Bibliography"/>
      </w:pPr>
      <w:r>
        <w:t>[35]</w:t>
      </w:r>
      <w:r>
        <w:tab/>
        <w:t xml:space="preserve">T. Jiang and Q. Zeng, “Financial sentiment analysis using FinBERT with application in predicting stock movement,” Jun. 11, 2025, </w:t>
      </w:r>
      <w:r>
        <w:rPr>
          <w:i/>
          <w:iCs/>
        </w:rPr>
        <w:t>arXiv</w:t>
      </w:r>
      <w:r>
        <w:t>: arXiv:2306.02136. doi: 10.48550/arXiv.2306.02136.</w:t>
      </w:r>
    </w:p>
    <w:p w14:paraId="09ECE9C6" w14:textId="77777777" w:rsidR="00501E03" w:rsidRDefault="00501E03" w:rsidP="00501E03">
      <w:pPr>
        <w:pStyle w:val="Bibliography"/>
      </w:pPr>
      <w:r>
        <w:t>[36]</w:t>
      </w:r>
      <w:r>
        <w:tab/>
        <w:t xml:space="preserve">T. Guo and E. Hauptmann, “Fine-Tuning Large Language Models for Stock Return Prediction Using Newsflow,” Aug. 05, 2024, </w:t>
      </w:r>
      <w:r>
        <w:rPr>
          <w:i/>
          <w:iCs/>
        </w:rPr>
        <w:t>arXiv</w:t>
      </w:r>
      <w:r>
        <w:t>: arXiv:2407.18103. doi: 10.48550/arXiv.2407.18103.</w:t>
      </w:r>
    </w:p>
    <w:p w14:paraId="60D10ED2" w14:textId="77777777" w:rsidR="00501E03" w:rsidRDefault="00501E03" w:rsidP="00501E03">
      <w:pPr>
        <w:pStyle w:val="Bibliography"/>
      </w:pPr>
      <w:r>
        <w:t>[37]</w:t>
      </w:r>
      <w:r>
        <w:tab/>
        <w:t xml:space="preserve">A. M. M. Rahman, A. Uddin, and G. “Grace” Wang, “Evaluating Financial Sentiment Analysis with Annotators Instruction Assisted Prompting: Enhancing Contextual Interpretation and Stock Prediction Accuracy,” May 09, 2025, </w:t>
      </w:r>
      <w:r>
        <w:rPr>
          <w:i/>
          <w:iCs/>
        </w:rPr>
        <w:t>arXiv</w:t>
      </w:r>
      <w:r>
        <w:t>: arXiv:2505.07871. doi: 10.48550/arXiv.2505.07871.</w:t>
      </w:r>
    </w:p>
    <w:p w14:paraId="4F32697A" w14:textId="77777777" w:rsidR="00501E03" w:rsidRDefault="00501E03" w:rsidP="00501E03">
      <w:pPr>
        <w:pStyle w:val="Bibliography"/>
      </w:pPr>
      <w:r>
        <w:t>[38]</w:t>
      </w:r>
      <w:r>
        <w:tab/>
        <w:t xml:space="preserve">Z. Dong, X. Fan, and Z. Peng, “FNSPID: A Comprehensive Financial News Dataset in Time Series,” Feb. 09, 2024, </w:t>
      </w:r>
      <w:r>
        <w:rPr>
          <w:i/>
          <w:iCs/>
        </w:rPr>
        <w:t>arXiv</w:t>
      </w:r>
      <w:r>
        <w:t>: arXiv:2402.06698. doi: 10.48550/arXiv.2402.06698.</w:t>
      </w:r>
    </w:p>
    <w:p w14:paraId="5C054955" w14:textId="77777777" w:rsidR="00501E03" w:rsidRDefault="00501E03" w:rsidP="00501E03">
      <w:pPr>
        <w:pStyle w:val="Bibliography"/>
      </w:pPr>
      <w:r>
        <w:lastRenderedPageBreak/>
        <w:t>[39]</w:t>
      </w:r>
      <w:r>
        <w:tab/>
        <w:t xml:space="preserve">H. Liu, Z. Lin, and R. R. Rojas, “Enhancing Trading Performance Through Sentiment Analysis with Large Language Models: Evidence from the S&amp;P 500,” Jul. 13, 2025, </w:t>
      </w:r>
      <w:r>
        <w:rPr>
          <w:i/>
          <w:iCs/>
        </w:rPr>
        <w:t>arXiv</w:t>
      </w:r>
      <w:r>
        <w:t>: arXiv:2507.09739. doi: 10.48550/arXiv.2507.09739.</w:t>
      </w:r>
    </w:p>
    <w:p w14:paraId="51DB1DD1" w14:textId="77777777" w:rsidR="00501E03" w:rsidRDefault="00501E03" w:rsidP="00501E03">
      <w:pPr>
        <w:pStyle w:val="Bibliography"/>
      </w:pPr>
      <w:r>
        <w:t>[40]</w:t>
      </w:r>
      <w:r>
        <w:tab/>
        <w:t xml:space="preserve">S. Hong </w:t>
      </w:r>
      <w:r>
        <w:rPr>
          <w:i/>
          <w:iCs/>
        </w:rPr>
        <w:t>et al.</w:t>
      </w:r>
      <w:r>
        <w:t xml:space="preserve">, “MetaGPT: Meta Programming for A Multi-Agent Collaborative Framework,” Nov. 01, 2024, </w:t>
      </w:r>
      <w:r>
        <w:rPr>
          <w:i/>
          <w:iCs/>
        </w:rPr>
        <w:t>arXiv</w:t>
      </w:r>
      <w:r>
        <w:t>: arXiv:2308.00352. doi: 10.48550/arXiv.2308.00352.</w:t>
      </w:r>
    </w:p>
    <w:p w14:paraId="5E13AFE5" w14:textId="77777777" w:rsidR="00501E03" w:rsidRDefault="00501E03" w:rsidP="00501E03">
      <w:pPr>
        <w:pStyle w:val="Bibliography"/>
      </w:pPr>
      <w:r>
        <w:t>[41]</w:t>
      </w:r>
      <w:r>
        <w:tab/>
        <w:t xml:space="preserve">J. Wei </w:t>
      </w:r>
      <w:r>
        <w:rPr>
          <w:i/>
          <w:iCs/>
        </w:rPr>
        <w:t>et al.</w:t>
      </w:r>
      <w:r>
        <w:t xml:space="preserve">, “Chain-of-Thought Prompting Elicits Reasoning in Large Language Models,” Jan. 10, 2023, </w:t>
      </w:r>
      <w:r>
        <w:rPr>
          <w:i/>
          <w:iCs/>
        </w:rPr>
        <w:t>arXiv</w:t>
      </w:r>
      <w:r>
        <w:t>: arXiv:2201.11903. doi: 10.48550/arXiv.2201.11903.</w:t>
      </w:r>
    </w:p>
    <w:p w14:paraId="344FBD48" w14:textId="77777777" w:rsidR="00501E03" w:rsidRDefault="00501E03" w:rsidP="00501E03">
      <w:pPr>
        <w:pStyle w:val="Bibliography"/>
      </w:pPr>
      <w:r>
        <w:t>[42]</w:t>
      </w:r>
      <w:r>
        <w:tab/>
        <w:t xml:space="preserve">S. Yao </w:t>
      </w:r>
      <w:r>
        <w:rPr>
          <w:i/>
          <w:iCs/>
        </w:rPr>
        <w:t>et al.</w:t>
      </w:r>
      <w:r>
        <w:t xml:space="preserve">, “ReAct: Synergizing Reasoning and Acting in Language Models,” Mar. 10, 2023, </w:t>
      </w:r>
      <w:r>
        <w:rPr>
          <w:i/>
          <w:iCs/>
        </w:rPr>
        <w:t>arXiv</w:t>
      </w:r>
      <w:r>
        <w:t>: arXiv:2210.03629. doi: 10.48550/arXiv.2210.03629.</w:t>
      </w:r>
    </w:p>
    <w:p w14:paraId="721D4BDE" w14:textId="77777777" w:rsidR="00501E03" w:rsidRDefault="00501E03" w:rsidP="00501E03">
      <w:pPr>
        <w:pStyle w:val="Bibliography"/>
      </w:pPr>
      <w:r>
        <w:t>[43]</w:t>
      </w:r>
      <w:r>
        <w:tab/>
        <w:t xml:space="preserve">S. Yao, H. Chen, J. Yang, and K. Narasimhan, “WebShop: Towards Scalable Real-World Web Interaction with Grounded Language Agents,” Feb. 08, 2023, </w:t>
      </w:r>
      <w:r>
        <w:rPr>
          <w:i/>
          <w:iCs/>
        </w:rPr>
        <w:t>arXiv</w:t>
      </w:r>
      <w:r>
        <w:t>: arXiv:2207.01206. doi: 10.48550/arXiv.2207.01206.</w:t>
      </w:r>
    </w:p>
    <w:p w14:paraId="68F4863F" w14:textId="77777777" w:rsidR="00501E03" w:rsidRDefault="00501E03" w:rsidP="00501E03">
      <w:pPr>
        <w:pStyle w:val="Bibliography"/>
      </w:pPr>
      <w:r>
        <w:t>[44]</w:t>
      </w:r>
      <w:r>
        <w:tab/>
        <w:t xml:space="preserve">M. Shridhar, X. Yuan, M.-A. Côté, Y. Bisk, A. Trischler, and M. Hausknecht, “ALFWorld: Aligning Text and Embodied Environments for Interactive Learning,” Mar. 14, 2021, </w:t>
      </w:r>
      <w:r>
        <w:rPr>
          <w:i/>
          <w:iCs/>
        </w:rPr>
        <w:t>arXiv</w:t>
      </w:r>
      <w:r>
        <w:t>: arXiv:2010.03768. doi: 10.48550/arXiv.2010.03768.</w:t>
      </w:r>
    </w:p>
    <w:p w14:paraId="07CF0FCF" w14:textId="77777777" w:rsidR="00501E03" w:rsidRDefault="00501E03" w:rsidP="00501E03">
      <w:pPr>
        <w:pStyle w:val="Bibliography"/>
      </w:pPr>
      <w:r>
        <w:t>[45]</w:t>
      </w:r>
      <w:r>
        <w:tab/>
        <w:t xml:space="preserve">N. Shinn, F. Cassano, E. Berman, A. Gopinath, K. Narasimhan, and S. Yao, “Reflexion: Language Agents with Verbal Reinforcement Learning,” Oct. 10, 2023, </w:t>
      </w:r>
      <w:r>
        <w:rPr>
          <w:i/>
          <w:iCs/>
        </w:rPr>
        <w:t>arXiv</w:t>
      </w:r>
      <w:r>
        <w:t>: arXiv:2303.11366. doi: 10.48550/arXiv.2303.11366.</w:t>
      </w:r>
    </w:p>
    <w:p w14:paraId="2D9E2169" w14:textId="77777777" w:rsidR="00501E03" w:rsidRDefault="00501E03" w:rsidP="00501E03">
      <w:pPr>
        <w:pStyle w:val="Bibliography"/>
      </w:pPr>
      <w:r>
        <w:t>[46]</w:t>
      </w:r>
      <w:r>
        <w:tab/>
        <w:t xml:space="preserve">J. Austin </w:t>
      </w:r>
      <w:r>
        <w:rPr>
          <w:i/>
          <w:iCs/>
        </w:rPr>
        <w:t>et al.</w:t>
      </w:r>
      <w:r>
        <w:t xml:space="preserve">, “Program Synthesis with Large Language Models,” Aug. 16, 2021, </w:t>
      </w:r>
      <w:r>
        <w:rPr>
          <w:i/>
          <w:iCs/>
        </w:rPr>
        <w:t>arXiv</w:t>
      </w:r>
      <w:r>
        <w:t>: arXiv:2108.07732. doi: 10.48550/arXiv.2108.07732.</w:t>
      </w:r>
    </w:p>
    <w:p w14:paraId="26748F3D" w14:textId="77777777" w:rsidR="00501E03" w:rsidRDefault="00501E03" w:rsidP="00501E03">
      <w:pPr>
        <w:pStyle w:val="Bibliography"/>
      </w:pPr>
      <w:r>
        <w:t>[47]</w:t>
      </w:r>
      <w:r>
        <w:tab/>
        <w:t xml:space="preserve">J. S. Park, J. C. O’Brien, C. J. Cai, M. R. Morris, P. Liang, and M. S. Bernstein, “Generative Agents: Interactive Simulacra of Human Behavior,” Aug. 06, 2023, </w:t>
      </w:r>
      <w:r>
        <w:rPr>
          <w:i/>
          <w:iCs/>
        </w:rPr>
        <w:t>arXiv</w:t>
      </w:r>
      <w:r>
        <w:t>: arXiv:2304.03442. doi: 10.48550/arXiv.2304.03442.</w:t>
      </w:r>
    </w:p>
    <w:p w14:paraId="60A7E5AF" w14:textId="77777777" w:rsidR="00501E03" w:rsidRDefault="00501E03" w:rsidP="00501E03">
      <w:pPr>
        <w:pStyle w:val="Bibliography"/>
      </w:pPr>
      <w:r>
        <w:t>[48]</w:t>
      </w:r>
      <w:r>
        <w:tab/>
        <w:t xml:space="preserve">T. Guo </w:t>
      </w:r>
      <w:r>
        <w:rPr>
          <w:i/>
          <w:iCs/>
        </w:rPr>
        <w:t>et al.</w:t>
      </w:r>
      <w:r>
        <w:t xml:space="preserve">, “Large Language Model based Multi-Agents: A Survey of Progress and Challenges,” Apr. 19, 2024, </w:t>
      </w:r>
      <w:r>
        <w:rPr>
          <w:i/>
          <w:iCs/>
        </w:rPr>
        <w:t>arXiv</w:t>
      </w:r>
      <w:r>
        <w:t>: arXiv:2402.01680. doi: 10.48550/arXiv.2402.01680.</w:t>
      </w:r>
    </w:p>
    <w:p w14:paraId="24235234" w14:textId="77777777" w:rsidR="00501E03" w:rsidRDefault="00501E03" w:rsidP="00501E03">
      <w:pPr>
        <w:pStyle w:val="Bibliography"/>
      </w:pPr>
      <w:r>
        <w:t>[49]</w:t>
      </w:r>
      <w:r>
        <w:tab/>
        <w:t xml:space="preserve">H. Yang, X.-Y. Liu, and C. Dan Wang, “FinGPT: Open-Source Financial Large Language Models,” </w:t>
      </w:r>
      <w:r>
        <w:rPr>
          <w:i/>
          <w:iCs/>
        </w:rPr>
        <w:t>SSRN Electron. J.</w:t>
      </w:r>
      <w:r>
        <w:t>, 2023, doi: 10.2139/ssrn.4489826.</w:t>
      </w:r>
    </w:p>
    <w:p w14:paraId="7A155061" w14:textId="77777777" w:rsidR="00501E03" w:rsidRDefault="00501E03" w:rsidP="00501E03">
      <w:pPr>
        <w:pStyle w:val="Bibliography"/>
      </w:pPr>
      <w:r>
        <w:t>[50]</w:t>
      </w:r>
      <w:r>
        <w:tab/>
        <w:t xml:space="preserve">Q. Xie </w:t>
      </w:r>
      <w:r>
        <w:rPr>
          <w:i/>
          <w:iCs/>
        </w:rPr>
        <w:t>et al.</w:t>
      </w:r>
      <w:r>
        <w:t>, “PIXIU: A Large Language Model, Instruction Data and Evaluation Benchmark for Finance”.</w:t>
      </w:r>
    </w:p>
    <w:p w14:paraId="1EB9A1FC" w14:textId="77777777" w:rsidR="00501E03" w:rsidRDefault="00501E03" w:rsidP="00501E03">
      <w:pPr>
        <w:pStyle w:val="Bibliography"/>
      </w:pPr>
      <w:r>
        <w:t>[51]</w:t>
      </w:r>
      <w:r>
        <w:tab/>
        <w:t xml:space="preserve">M. Wang, K. Izumi, and H. Sakaji, “LLMFactor: Extracting Profitable Factors through Prompts for Explainable Stock Movement Prediction,” in </w:t>
      </w:r>
      <w:r>
        <w:rPr>
          <w:i/>
          <w:iCs/>
        </w:rPr>
        <w:t>Findings of the Association for Computational Linguistics ACL 2024</w:t>
      </w:r>
      <w:r>
        <w:t>, Bangkok, Thailand and virtual meeting: Association for Computational Linguistics, 2024, pp. 3120–3131. doi: 10.18653/v1/2024.findings-acl.185.</w:t>
      </w:r>
    </w:p>
    <w:p w14:paraId="5288070E" w14:textId="77777777" w:rsidR="00501E03" w:rsidRDefault="00501E03" w:rsidP="00501E03">
      <w:pPr>
        <w:pStyle w:val="Bibliography"/>
      </w:pPr>
      <w:r>
        <w:t>[52]</w:t>
      </w:r>
      <w:r>
        <w:tab/>
        <w:t xml:space="preserve">K. J. L. Koa, Y. Ma, R. Ng, and T.-S. Chua, “Learning to Generate Explainable Stock Predictions using Self-Reflective Large Language Models,” in </w:t>
      </w:r>
      <w:r>
        <w:rPr>
          <w:i/>
          <w:iCs/>
        </w:rPr>
        <w:t>Proceedings of the ACM Web Conference 2024</w:t>
      </w:r>
      <w:r>
        <w:t>, Singapore Singapore: ACM, May 2024, pp. 4304–4315. doi: 10.1145/3589334.3645611.</w:t>
      </w:r>
    </w:p>
    <w:p w14:paraId="47837B01" w14:textId="77777777" w:rsidR="00501E03" w:rsidRDefault="00501E03" w:rsidP="00501E03">
      <w:pPr>
        <w:pStyle w:val="Bibliography"/>
      </w:pPr>
      <w:r>
        <w:t>[53]</w:t>
      </w:r>
      <w:r>
        <w:tab/>
        <w:t xml:space="preserve">M. Grootendorst, “BERTopic: Neural topic modeling with a class-based TF-IDF procedure,” Mar. 11, 2022, </w:t>
      </w:r>
      <w:r>
        <w:rPr>
          <w:i/>
          <w:iCs/>
        </w:rPr>
        <w:t>arXiv</w:t>
      </w:r>
      <w:r>
        <w:t>: arXiv:2203.05794. doi: 10.48550/arXiv.2203.05794.</w:t>
      </w:r>
    </w:p>
    <w:p w14:paraId="1A12A3D1" w14:textId="77777777" w:rsidR="00501E03" w:rsidRDefault="00501E03" w:rsidP="00501E03">
      <w:pPr>
        <w:pStyle w:val="Bibliography"/>
      </w:pPr>
      <w:r>
        <w:t>[54]</w:t>
      </w:r>
      <w:r>
        <w:tab/>
        <w:t xml:space="preserve">J. Liu, “A Survey of Financial AI: Architectures, Advances and Open Challenges,” Nov. 01, 2024, </w:t>
      </w:r>
      <w:r>
        <w:rPr>
          <w:i/>
          <w:iCs/>
        </w:rPr>
        <w:t>arXiv</w:t>
      </w:r>
      <w:r>
        <w:t>: arXiv:2411.12747. doi: 10.48550/arXiv.2411.12747.</w:t>
      </w:r>
    </w:p>
    <w:p w14:paraId="58234338" w14:textId="77777777" w:rsidR="00501E03" w:rsidRDefault="00501E03" w:rsidP="00501E03">
      <w:pPr>
        <w:pStyle w:val="Bibliography"/>
      </w:pPr>
      <w:r>
        <w:t>[55]</w:t>
      </w:r>
      <w:r>
        <w:tab/>
        <w:t xml:space="preserve">G. Cohen, “Algorithmic setups for trading popular U.S. ETFs,” </w:t>
      </w:r>
      <w:r>
        <w:rPr>
          <w:i/>
          <w:iCs/>
        </w:rPr>
        <w:t>Cogent Econ. Finance</w:t>
      </w:r>
      <w:r>
        <w:t>, vol. 8, no. 1, p. 1720056, Jan. 2020, doi: 10.1080/23322039.2020.1720056.</w:t>
      </w:r>
    </w:p>
    <w:p w14:paraId="5BD6A152" w14:textId="77777777" w:rsidR="00501E03" w:rsidRDefault="00501E03" w:rsidP="00501E03">
      <w:pPr>
        <w:pStyle w:val="Bibliography"/>
      </w:pPr>
      <w:r>
        <w:t>[56]</w:t>
      </w:r>
      <w:r>
        <w:tab/>
        <w:t xml:space="preserve">D. Fister, M. Perc, and T. Jagrič, “Two robust long short-term memory frameworks for trading stocks,” </w:t>
      </w:r>
      <w:r>
        <w:rPr>
          <w:i/>
          <w:iCs/>
        </w:rPr>
        <w:t>Appl. Intell.</w:t>
      </w:r>
      <w:r>
        <w:t>, vol. 51, no. 10, pp. 7177–7195, Oct. 2021, doi: 10.1007/s10489-021-02249-x.</w:t>
      </w:r>
    </w:p>
    <w:p w14:paraId="60A5E325" w14:textId="77777777" w:rsidR="00F5014F" w:rsidRDefault="00F5014F" w:rsidP="00F5014F"/>
    <w:p w14:paraId="6796F9EA" w14:textId="77777777" w:rsidR="00F5014F" w:rsidRDefault="00F5014F" w:rsidP="00F5014F"/>
    <w:p w14:paraId="6AC2261A" w14:textId="34829F18" w:rsidR="00F5014F" w:rsidRPr="00F5014F" w:rsidRDefault="00F5014F" w:rsidP="00F5014F">
      <w:pPr>
        <w:pStyle w:val="Heading2"/>
      </w:pPr>
      <w:r w:rsidRPr="00F5014F">
        <w:lastRenderedPageBreak/>
        <w:t xml:space="preserve">Appendix </w:t>
      </w:r>
    </w:p>
    <w:p w14:paraId="36D5D3E3" w14:textId="77777777" w:rsidR="00F5014F" w:rsidRDefault="00F5014F" w:rsidP="00F5014F"/>
    <w:p w14:paraId="045E8518" w14:textId="3E1C698B" w:rsidR="00F5014F" w:rsidRDefault="00F5014F" w:rsidP="00F5014F">
      <w:hyperlink r:id="rId54" w:history="1">
        <w:r w:rsidRPr="00F5014F">
          <w:rPr>
            <w:rStyle w:val="Hyperlink"/>
          </w:rPr>
          <w:t>Code link</w:t>
        </w:r>
      </w:hyperlink>
      <w:r>
        <w:t xml:space="preserve">  available in google drive</w:t>
      </w:r>
      <w:r w:rsidR="00BC5C26">
        <w:t xml:space="preserve">. Please update directory path as well as your API token for groq API call and NVIDIA </w:t>
      </w:r>
      <w:r w:rsidR="00E66B7F">
        <w:t>one too</w:t>
      </w:r>
      <w:r w:rsidR="00BC5C26">
        <w:t>.</w:t>
      </w:r>
    </w:p>
    <w:p w14:paraId="683A0F8F" w14:textId="696A6D04" w:rsidR="00E66B7F" w:rsidRDefault="00E66B7F" w:rsidP="00F5014F">
      <w:hyperlink r:id="rId55" w:history="1">
        <w:r w:rsidRPr="00E66B7F">
          <w:rPr>
            <w:rStyle w:val="Hyperlink"/>
          </w:rPr>
          <w:t>Dataset Link</w:t>
        </w:r>
      </w:hyperlink>
      <w:r>
        <w:t xml:space="preserve"> available in</w:t>
      </w:r>
      <w:r w:rsidR="00E31827">
        <w:t xml:space="preserve"> this </w:t>
      </w:r>
      <w:r>
        <w:t xml:space="preserve"> google drive.</w:t>
      </w:r>
    </w:p>
    <w:p w14:paraId="0CF1856A" w14:textId="77777777" w:rsidR="00E66B7F" w:rsidRDefault="00E66B7F" w:rsidP="00F5014F"/>
    <w:p w14:paraId="23C233DA" w14:textId="77777777" w:rsidR="00E66B7F" w:rsidRDefault="00E66B7F" w:rsidP="00F5014F"/>
    <w:p w14:paraId="37B3BDC7" w14:textId="77777777" w:rsidR="00E66B7F" w:rsidRDefault="00E66B7F" w:rsidP="00F5014F"/>
    <w:p w14:paraId="52407164" w14:textId="77777777" w:rsidR="00F5014F" w:rsidRDefault="00F5014F" w:rsidP="00F5014F"/>
    <w:p w14:paraId="0E69A9BE" w14:textId="77777777" w:rsidR="00F5014F" w:rsidRPr="00F5014F" w:rsidRDefault="00F5014F" w:rsidP="00F5014F"/>
    <w:p w14:paraId="16D11792" w14:textId="05F29E5F" w:rsidR="00CB0F7F" w:rsidRPr="00105D81" w:rsidRDefault="009D1D66" w:rsidP="00105D81">
      <w:r>
        <w:fldChar w:fldCharType="end"/>
      </w:r>
    </w:p>
    <w:p w14:paraId="2C82A803" w14:textId="77777777" w:rsidR="00105D81" w:rsidRPr="00BB1836" w:rsidRDefault="00105D81" w:rsidP="00BB1836"/>
    <w:p w14:paraId="517689CB" w14:textId="77777777" w:rsidR="008459CE" w:rsidRPr="00EC30EF" w:rsidRDefault="008459CE"/>
    <w:sectPr w:rsidR="008459CE" w:rsidRPr="00EC30EF" w:rsidSect="0085275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99129" w14:textId="77777777" w:rsidR="00EA11CD" w:rsidRDefault="00EA11CD" w:rsidP="00BB1836">
      <w:pPr>
        <w:spacing w:after="0" w:line="240" w:lineRule="auto"/>
      </w:pPr>
      <w:r>
        <w:separator/>
      </w:r>
    </w:p>
  </w:endnote>
  <w:endnote w:type="continuationSeparator" w:id="0">
    <w:p w14:paraId="5EB4E920" w14:textId="77777777" w:rsidR="00EA11CD" w:rsidRDefault="00EA11CD" w:rsidP="00BB1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381183"/>
      <w:docPartObj>
        <w:docPartGallery w:val="Page Numbers (Bottom of Page)"/>
        <w:docPartUnique/>
      </w:docPartObj>
    </w:sdtPr>
    <w:sdtContent>
      <w:sdt>
        <w:sdtPr>
          <w:id w:val="-1769616900"/>
          <w:docPartObj>
            <w:docPartGallery w:val="Page Numbers (Top of Page)"/>
            <w:docPartUnique/>
          </w:docPartObj>
        </w:sdtPr>
        <w:sdtContent>
          <w:p w14:paraId="2FEB36FE" w14:textId="536E609D" w:rsidR="00934643" w:rsidRDefault="0093464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D1A12BE" w14:textId="77777777" w:rsidR="00934643" w:rsidRDefault="00934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92585" w14:textId="77777777" w:rsidR="00EA11CD" w:rsidRDefault="00EA11CD" w:rsidP="00BB1836">
      <w:pPr>
        <w:spacing w:after="0" w:line="240" w:lineRule="auto"/>
      </w:pPr>
      <w:r>
        <w:separator/>
      </w:r>
    </w:p>
  </w:footnote>
  <w:footnote w:type="continuationSeparator" w:id="0">
    <w:p w14:paraId="4C9507AD" w14:textId="77777777" w:rsidR="00EA11CD" w:rsidRDefault="00EA11CD" w:rsidP="00BB18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D1A21" w14:textId="77472350" w:rsidR="008C4351" w:rsidRPr="008C4351" w:rsidRDefault="008C4351">
    <w:pPr>
      <w:pStyle w:val="Header"/>
      <w:rPr>
        <w:lang w:val="en-US"/>
      </w:rPr>
    </w:pPr>
    <w:r>
      <w:rPr>
        <w:lang w:val="en-U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81204"/>
    <w:multiLevelType w:val="hybridMultilevel"/>
    <w:tmpl w:val="365259F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A77BC2"/>
    <w:multiLevelType w:val="hybridMultilevel"/>
    <w:tmpl w:val="D3DE95F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D4A67F1"/>
    <w:multiLevelType w:val="hybridMultilevel"/>
    <w:tmpl w:val="C7F82B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3593D2C"/>
    <w:multiLevelType w:val="hybridMultilevel"/>
    <w:tmpl w:val="AD3A2BD4"/>
    <w:lvl w:ilvl="0" w:tplc="5A20133E">
      <w:start w:val="1"/>
      <w:numFmt w:val="decimal"/>
      <w:lvlText w:val="%1."/>
      <w:lvlJc w:val="left"/>
      <w:pPr>
        <w:ind w:left="770" w:hanging="41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1276E12"/>
    <w:multiLevelType w:val="multilevel"/>
    <w:tmpl w:val="CA2EB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DA40E1"/>
    <w:multiLevelType w:val="multilevel"/>
    <w:tmpl w:val="6B9C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8F19D6"/>
    <w:multiLevelType w:val="hybridMultilevel"/>
    <w:tmpl w:val="DE9455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0A76947"/>
    <w:multiLevelType w:val="hybridMultilevel"/>
    <w:tmpl w:val="132865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8722CE0"/>
    <w:multiLevelType w:val="hybridMultilevel"/>
    <w:tmpl w:val="2B443340"/>
    <w:lvl w:ilvl="0" w:tplc="5A20133E">
      <w:start w:val="1"/>
      <w:numFmt w:val="decimal"/>
      <w:lvlText w:val="%1."/>
      <w:lvlJc w:val="left"/>
      <w:pPr>
        <w:ind w:left="770" w:hanging="41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9D72484"/>
    <w:multiLevelType w:val="hybridMultilevel"/>
    <w:tmpl w:val="0D84CA52"/>
    <w:lvl w:ilvl="0" w:tplc="5A20133E">
      <w:start w:val="1"/>
      <w:numFmt w:val="decimal"/>
      <w:lvlText w:val="%1."/>
      <w:lvlJc w:val="left"/>
      <w:pPr>
        <w:ind w:left="770" w:hanging="41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49143527">
    <w:abstractNumId w:val="2"/>
  </w:num>
  <w:num w:numId="2" w16cid:durableId="1395666173">
    <w:abstractNumId w:val="0"/>
  </w:num>
  <w:num w:numId="3" w16cid:durableId="609623610">
    <w:abstractNumId w:val="7"/>
  </w:num>
  <w:num w:numId="4" w16cid:durableId="87894054">
    <w:abstractNumId w:val="1"/>
  </w:num>
  <w:num w:numId="5" w16cid:durableId="270935920">
    <w:abstractNumId w:val="6"/>
  </w:num>
  <w:num w:numId="6" w16cid:durableId="768280353">
    <w:abstractNumId w:val="3"/>
  </w:num>
  <w:num w:numId="7" w16cid:durableId="1549495162">
    <w:abstractNumId w:val="9"/>
  </w:num>
  <w:num w:numId="8" w16cid:durableId="725840970">
    <w:abstractNumId w:val="8"/>
  </w:num>
  <w:num w:numId="9" w16cid:durableId="1501431611">
    <w:abstractNumId w:val="4"/>
  </w:num>
  <w:num w:numId="10" w16cid:durableId="289205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0EF"/>
    <w:rsid w:val="00006796"/>
    <w:rsid w:val="00012768"/>
    <w:rsid w:val="00013924"/>
    <w:rsid w:val="000171C6"/>
    <w:rsid w:val="00030670"/>
    <w:rsid w:val="0003097F"/>
    <w:rsid w:val="0004043B"/>
    <w:rsid w:val="000409CD"/>
    <w:rsid w:val="00047055"/>
    <w:rsid w:val="00047375"/>
    <w:rsid w:val="00050ABB"/>
    <w:rsid w:val="0005136F"/>
    <w:rsid w:val="00053871"/>
    <w:rsid w:val="00055CB9"/>
    <w:rsid w:val="0006137E"/>
    <w:rsid w:val="00061685"/>
    <w:rsid w:val="000704EA"/>
    <w:rsid w:val="000706CA"/>
    <w:rsid w:val="000707B5"/>
    <w:rsid w:val="00071872"/>
    <w:rsid w:val="000756B0"/>
    <w:rsid w:val="0007750C"/>
    <w:rsid w:val="0008375E"/>
    <w:rsid w:val="00085688"/>
    <w:rsid w:val="00085C57"/>
    <w:rsid w:val="000A48FF"/>
    <w:rsid w:val="000B0446"/>
    <w:rsid w:val="000B202D"/>
    <w:rsid w:val="000B5262"/>
    <w:rsid w:val="000C0FE2"/>
    <w:rsid w:val="000C4227"/>
    <w:rsid w:val="000C5ADD"/>
    <w:rsid w:val="000D62AF"/>
    <w:rsid w:val="000E3AE0"/>
    <w:rsid w:val="000E74F9"/>
    <w:rsid w:val="000F6F89"/>
    <w:rsid w:val="0010034D"/>
    <w:rsid w:val="00100591"/>
    <w:rsid w:val="001055A7"/>
    <w:rsid w:val="00105D81"/>
    <w:rsid w:val="00107DE3"/>
    <w:rsid w:val="001178FA"/>
    <w:rsid w:val="00127163"/>
    <w:rsid w:val="00133E21"/>
    <w:rsid w:val="00136EE3"/>
    <w:rsid w:val="001419AE"/>
    <w:rsid w:val="00147555"/>
    <w:rsid w:val="0014788D"/>
    <w:rsid w:val="001511AD"/>
    <w:rsid w:val="00152499"/>
    <w:rsid w:val="001541EC"/>
    <w:rsid w:val="00154928"/>
    <w:rsid w:val="0015526C"/>
    <w:rsid w:val="00165E7A"/>
    <w:rsid w:val="00171439"/>
    <w:rsid w:val="00175169"/>
    <w:rsid w:val="00175F93"/>
    <w:rsid w:val="00184467"/>
    <w:rsid w:val="00186E32"/>
    <w:rsid w:val="00192B86"/>
    <w:rsid w:val="00192FD6"/>
    <w:rsid w:val="00194087"/>
    <w:rsid w:val="001A0F64"/>
    <w:rsid w:val="001A23C7"/>
    <w:rsid w:val="001B3110"/>
    <w:rsid w:val="001C4A39"/>
    <w:rsid w:val="001C7730"/>
    <w:rsid w:val="001F09A6"/>
    <w:rsid w:val="001F115E"/>
    <w:rsid w:val="001F129B"/>
    <w:rsid w:val="001F595D"/>
    <w:rsid w:val="001F6439"/>
    <w:rsid w:val="002235F8"/>
    <w:rsid w:val="002300F0"/>
    <w:rsid w:val="00234C84"/>
    <w:rsid w:val="002437DD"/>
    <w:rsid w:val="0025194E"/>
    <w:rsid w:val="002526D7"/>
    <w:rsid w:val="00252D1B"/>
    <w:rsid w:val="00257473"/>
    <w:rsid w:val="00263CE2"/>
    <w:rsid w:val="00265142"/>
    <w:rsid w:val="002669FB"/>
    <w:rsid w:val="00267A39"/>
    <w:rsid w:val="00275FBC"/>
    <w:rsid w:val="00276C3D"/>
    <w:rsid w:val="00284B01"/>
    <w:rsid w:val="00284D86"/>
    <w:rsid w:val="00285324"/>
    <w:rsid w:val="002A4586"/>
    <w:rsid w:val="002A4A2F"/>
    <w:rsid w:val="002A6AE1"/>
    <w:rsid w:val="002C257A"/>
    <w:rsid w:val="002D31F1"/>
    <w:rsid w:val="002F02A0"/>
    <w:rsid w:val="002F5A2F"/>
    <w:rsid w:val="0030052A"/>
    <w:rsid w:val="003018B5"/>
    <w:rsid w:val="00307838"/>
    <w:rsid w:val="0031718C"/>
    <w:rsid w:val="00323716"/>
    <w:rsid w:val="003244EB"/>
    <w:rsid w:val="00347AD1"/>
    <w:rsid w:val="00362049"/>
    <w:rsid w:val="003629A9"/>
    <w:rsid w:val="00362ABF"/>
    <w:rsid w:val="0039122D"/>
    <w:rsid w:val="00392E33"/>
    <w:rsid w:val="00396347"/>
    <w:rsid w:val="003A3EF0"/>
    <w:rsid w:val="003B29A9"/>
    <w:rsid w:val="003C36F0"/>
    <w:rsid w:val="003C53DE"/>
    <w:rsid w:val="003D3540"/>
    <w:rsid w:val="003E2874"/>
    <w:rsid w:val="003E7638"/>
    <w:rsid w:val="003F0359"/>
    <w:rsid w:val="003F14BC"/>
    <w:rsid w:val="003F1E98"/>
    <w:rsid w:val="003F6818"/>
    <w:rsid w:val="00400E0E"/>
    <w:rsid w:val="004010E8"/>
    <w:rsid w:val="0040739F"/>
    <w:rsid w:val="00410C67"/>
    <w:rsid w:val="00416344"/>
    <w:rsid w:val="004172DB"/>
    <w:rsid w:val="0042050D"/>
    <w:rsid w:val="00420765"/>
    <w:rsid w:val="00422814"/>
    <w:rsid w:val="00422E0C"/>
    <w:rsid w:val="0042648B"/>
    <w:rsid w:val="0042724C"/>
    <w:rsid w:val="0043289B"/>
    <w:rsid w:val="00432E7A"/>
    <w:rsid w:val="00434C73"/>
    <w:rsid w:val="0043777B"/>
    <w:rsid w:val="004404C9"/>
    <w:rsid w:val="0044346C"/>
    <w:rsid w:val="00445996"/>
    <w:rsid w:val="004611EA"/>
    <w:rsid w:val="00475747"/>
    <w:rsid w:val="004768E6"/>
    <w:rsid w:val="00486BB4"/>
    <w:rsid w:val="004A1BF8"/>
    <w:rsid w:val="004A2124"/>
    <w:rsid w:val="004A2486"/>
    <w:rsid w:val="004B452B"/>
    <w:rsid w:val="004C057D"/>
    <w:rsid w:val="004C05A6"/>
    <w:rsid w:val="004D00D5"/>
    <w:rsid w:val="004E5854"/>
    <w:rsid w:val="004E7D0F"/>
    <w:rsid w:val="004F506D"/>
    <w:rsid w:val="004F6876"/>
    <w:rsid w:val="00501E03"/>
    <w:rsid w:val="005052AA"/>
    <w:rsid w:val="00511B5C"/>
    <w:rsid w:val="00516928"/>
    <w:rsid w:val="00523BB8"/>
    <w:rsid w:val="0052617F"/>
    <w:rsid w:val="00531BFE"/>
    <w:rsid w:val="0053755C"/>
    <w:rsid w:val="00551168"/>
    <w:rsid w:val="005578CE"/>
    <w:rsid w:val="00562438"/>
    <w:rsid w:val="005704A6"/>
    <w:rsid w:val="00582EB9"/>
    <w:rsid w:val="00583040"/>
    <w:rsid w:val="00590CC8"/>
    <w:rsid w:val="00594C2A"/>
    <w:rsid w:val="005A240A"/>
    <w:rsid w:val="005A7FC4"/>
    <w:rsid w:val="005B3569"/>
    <w:rsid w:val="005C0F44"/>
    <w:rsid w:val="005C3177"/>
    <w:rsid w:val="005D2BFB"/>
    <w:rsid w:val="005E36D0"/>
    <w:rsid w:val="00600AEE"/>
    <w:rsid w:val="00602448"/>
    <w:rsid w:val="00611109"/>
    <w:rsid w:val="0061459A"/>
    <w:rsid w:val="00614E71"/>
    <w:rsid w:val="00615D8A"/>
    <w:rsid w:val="006202E0"/>
    <w:rsid w:val="006203B4"/>
    <w:rsid w:val="00621198"/>
    <w:rsid w:val="006276E7"/>
    <w:rsid w:val="006425DE"/>
    <w:rsid w:val="00644690"/>
    <w:rsid w:val="00647641"/>
    <w:rsid w:val="0064783D"/>
    <w:rsid w:val="00657571"/>
    <w:rsid w:val="00662F35"/>
    <w:rsid w:val="00667166"/>
    <w:rsid w:val="006713FB"/>
    <w:rsid w:val="006717E4"/>
    <w:rsid w:val="00687050"/>
    <w:rsid w:val="00692C13"/>
    <w:rsid w:val="0069570C"/>
    <w:rsid w:val="00695CA5"/>
    <w:rsid w:val="006A479D"/>
    <w:rsid w:val="006A687C"/>
    <w:rsid w:val="006A6AF3"/>
    <w:rsid w:val="006C2C63"/>
    <w:rsid w:val="006C3897"/>
    <w:rsid w:val="006C5279"/>
    <w:rsid w:val="006C71B3"/>
    <w:rsid w:val="006D2660"/>
    <w:rsid w:val="006D2661"/>
    <w:rsid w:val="006D287C"/>
    <w:rsid w:val="006D350D"/>
    <w:rsid w:val="006D4D7D"/>
    <w:rsid w:val="006E4ED5"/>
    <w:rsid w:val="006F327B"/>
    <w:rsid w:val="006F46B9"/>
    <w:rsid w:val="00711E56"/>
    <w:rsid w:val="00715D2A"/>
    <w:rsid w:val="00751C95"/>
    <w:rsid w:val="007521EB"/>
    <w:rsid w:val="007548ED"/>
    <w:rsid w:val="0075685A"/>
    <w:rsid w:val="007651BA"/>
    <w:rsid w:val="007725E5"/>
    <w:rsid w:val="00773692"/>
    <w:rsid w:val="00775D29"/>
    <w:rsid w:val="00782C62"/>
    <w:rsid w:val="00792ACB"/>
    <w:rsid w:val="007A3647"/>
    <w:rsid w:val="007B0F44"/>
    <w:rsid w:val="007B3697"/>
    <w:rsid w:val="007B687A"/>
    <w:rsid w:val="007C2167"/>
    <w:rsid w:val="007C2185"/>
    <w:rsid w:val="007C3101"/>
    <w:rsid w:val="007C7137"/>
    <w:rsid w:val="007D159C"/>
    <w:rsid w:val="007D2C74"/>
    <w:rsid w:val="007D3D5A"/>
    <w:rsid w:val="007D4C45"/>
    <w:rsid w:val="007E0973"/>
    <w:rsid w:val="007E39DA"/>
    <w:rsid w:val="007F2A6A"/>
    <w:rsid w:val="007F675B"/>
    <w:rsid w:val="00803B86"/>
    <w:rsid w:val="00805B04"/>
    <w:rsid w:val="008117DA"/>
    <w:rsid w:val="00815588"/>
    <w:rsid w:val="00817BC9"/>
    <w:rsid w:val="008320EE"/>
    <w:rsid w:val="0084033F"/>
    <w:rsid w:val="00840EF4"/>
    <w:rsid w:val="0084313B"/>
    <w:rsid w:val="008459CE"/>
    <w:rsid w:val="008459EC"/>
    <w:rsid w:val="0085275D"/>
    <w:rsid w:val="008601EE"/>
    <w:rsid w:val="0086552F"/>
    <w:rsid w:val="00866927"/>
    <w:rsid w:val="00882981"/>
    <w:rsid w:val="00884226"/>
    <w:rsid w:val="00890014"/>
    <w:rsid w:val="008A499B"/>
    <w:rsid w:val="008A6CAB"/>
    <w:rsid w:val="008B1E80"/>
    <w:rsid w:val="008B4CEC"/>
    <w:rsid w:val="008B72EA"/>
    <w:rsid w:val="008C042B"/>
    <w:rsid w:val="008C4351"/>
    <w:rsid w:val="008D36D9"/>
    <w:rsid w:val="008D6702"/>
    <w:rsid w:val="008E0920"/>
    <w:rsid w:val="008E33D6"/>
    <w:rsid w:val="008E3AB2"/>
    <w:rsid w:val="008E6282"/>
    <w:rsid w:val="0090584D"/>
    <w:rsid w:val="00913B83"/>
    <w:rsid w:val="00915420"/>
    <w:rsid w:val="00921709"/>
    <w:rsid w:val="009258E3"/>
    <w:rsid w:val="00933BAC"/>
    <w:rsid w:val="00934643"/>
    <w:rsid w:val="00943066"/>
    <w:rsid w:val="00965486"/>
    <w:rsid w:val="00970213"/>
    <w:rsid w:val="00975A45"/>
    <w:rsid w:val="0097731A"/>
    <w:rsid w:val="00984273"/>
    <w:rsid w:val="0098769A"/>
    <w:rsid w:val="009902A7"/>
    <w:rsid w:val="00992CBF"/>
    <w:rsid w:val="00993D12"/>
    <w:rsid w:val="009A0986"/>
    <w:rsid w:val="009A0B71"/>
    <w:rsid w:val="009A7C33"/>
    <w:rsid w:val="009B2980"/>
    <w:rsid w:val="009C71D6"/>
    <w:rsid w:val="009C7AD0"/>
    <w:rsid w:val="009D1A6D"/>
    <w:rsid w:val="009D1D66"/>
    <w:rsid w:val="009D1EBE"/>
    <w:rsid w:val="009D5381"/>
    <w:rsid w:val="009D5AB1"/>
    <w:rsid w:val="009D7989"/>
    <w:rsid w:val="009E0146"/>
    <w:rsid w:val="009E1ABE"/>
    <w:rsid w:val="009F2DC1"/>
    <w:rsid w:val="009F658F"/>
    <w:rsid w:val="00A005C3"/>
    <w:rsid w:val="00A01933"/>
    <w:rsid w:val="00A07274"/>
    <w:rsid w:val="00A11FF5"/>
    <w:rsid w:val="00A150BB"/>
    <w:rsid w:val="00A2025C"/>
    <w:rsid w:val="00A22B21"/>
    <w:rsid w:val="00A360E2"/>
    <w:rsid w:val="00A40E3C"/>
    <w:rsid w:val="00A5393D"/>
    <w:rsid w:val="00A543C8"/>
    <w:rsid w:val="00A62814"/>
    <w:rsid w:val="00A65ED6"/>
    <w:rsid w:val="00A67C9F"/>
    <w:rsid w:val="00A705E0"/>
    <w:rsid w:val="00A81D24"/>
    <w:rsid w:val="00A86EA4"/>
    <w:rsid w:val="00A91782"/>
    <w:rsid w:val="00A9386B"/>
    <w:rsid w:val="00A9609C"/>
    <w:rsid w:val="00AB1B71"/>
    <w:rsid w:val="00AB3DBF"/>
    <w:rsid w:val="00AB5EC0"/>
    <w:rsid w:val="00AD60AE"/>
    <w:rsid w:val="00AF2CB3"/>
    <w:rsid w:val="00AF43DA"/>
    <w:rsid w:val="00AF4DE1"/>
    <w:rsid w:val="00AF69F1"/>
    <w:rsid w:val="00B0299E"/>
    <w:rsid w:val="00B04338"/>
    <w:rsid w:val="00B05638"/>
    <w:rsid w:val="00B10B18"/>
    <w:rsid w:val="00B21AC3"/>
    <w:rsid w:val="00B21EEB"/>
    <w:rsid w:val="00B251C1"/>
    <w:rsid w:val="00B36670"/>
    <w:rsid w:val="00B37E61"/>
    <w:rsid w:val="00B44708"/>
    <w:rsid w:val="00B47141"/>
    <w:rsid w:val="00B52132"/>
    <w:rsid w:val="00B54B3C"/>
    <w:rsid w:val="00B563A1"/>
    <w:rsid w:val="00B657BB"/>
    <w:rsid w:val="00B74EFC"/>
    <w:rsid w:val="00B80061"/>
    <w:rsid w:val="00B80559"/>
    <w:rsid w:val="00B81818"/>
    <w:rsid w:val="00B82185"/>
    <w:rsid w:val="00B82A27"/>
    <w:rsid w:val="00B83BD7"/>
    <w:rsid w:val="00B87056"/>
    <w:rsid w:val="00B92591"/>
    <w:rsid w:val="00B9715C"/>
    <w:rsid w:val="00BA3C64"/>
    <w:rsid w:val="00BA4836"/>
    <w:rsid w:val="00BA598F"/>
    <w:rsid w:val="00BB1001"/>
    <w:rsid w:val="00BB1836"/>
    <w:rsid w:val="00BB2641"/>
    <w:rsid w:val="00BC495E"/>
    <w:rsid w:val="00BC55D0"/>
    <w:rsid w:val="00BC5C26"/>
    <w:rsid w:val="00BD1EA7"/>
    <w:rsid w:val="00BD4095"/>
    <w:rsid w:val="00BE3422"/>
    <w:rsid w:val="00BE422A"/>
    <w:rsid w:val="00BF239F"/>
    <w:rsid w:val="00BF2598"/>
    <w:rsid w:val="00BF306E"/>
    <w:rsid w:val="00BF4499"/>
    <w:rsid w:val="00C12036"/>
    <w:rsid w:val="00C1273C"/>
    <w:rsid w:val="00C20B18"/>
    <w:rsid w:val="00C33A0F"/>
    <w:rsid w:val="00C44D2E"/>
    <w:rsid w:val="00C55B92"/>
    <w:rsid w:val="00C60AB5"/>
    <w:rsid w:val="00C61A99"/>
    <w:rsid w:val="00C61D21"/>
    <w:rsid w:val="00C75571"/>
    <w:rsid w:val="00C96EDE"/>
    <w:rsid w:val="00CB0F7F"/>
    <w:rsid w:val="00CB13CB"/>
    <w:rsid w:val="00CB2397"/>
    <w:rsid w:val="00CB4B32"/>
    <w:rsid w:val="00CB6217"/>
    <w:rsid w:val="00CC59B5"/>
    <w:rsid w:val="00CC7D8B"/>
    <w:rsid w:val="00CD110E"/>
    <w:rsid w:val="00CD41BD"/>
    <w:rsid w:val="00CD606B"/>
    <w:rsid w:val="00CD640F"/>
    <w:rsid w:val="00CD6B3B"/>
    <w:rsid w:val="00CE0CD5"/>
    <w:rsid w:val="00CE5033"/>
    <w:rsid w:val="00CF0B1B"/>
    <w:rsid w:val="00CF6AAE"/>
    <w:rsid w:val="00CF72F2"/>
    <w:rsid w:val="00D02042"/>
    <w:rsid w:val="00D06775"/>
    <w:rsid w:val="00D105E7"/>
    <w:rsid w:val="00D32185"/>
    <w:rsid w:val="00D34964"/>
    <w:rsid w:val="00D57387"/>
    <w:rsid w:val="00D6058C"/>
    <w:rsid w:val="00D819B5"/>
    <w:rsid w:val="00D962E2"/>
    <w:rsid w:val="00DA1DB1"/>
    <w:rsid w:val="00DA5DDE"/>
    <w:rsid w:val="00DA6458"/>
    <w:rsid w:val="00DB1E72"/>
    <w:rsid w:val="00DB36D4"/>
    <w:rsid w:val="00DB3CB0"/>
    <w:rsid w:val="00DB6CC5"/>
    <w:rsid w:val="00DB6E0E"/>
    <w:rsid w:val="00DB70D7"/>
    <w:rsid w:val="00DE2223"/>
    <w:rsid w:val="00DF0C2B"/>
    <w:rsid w:val="00DF3356"/>
    <w:rsid w:val="00E013E7"/>
    <w:rsid w:val="00E05121"/>
    <w:rsid w:val="00E07903"/>
    <w:rsid w:val="00E10152"/>
    <w:rsid w:val="00E151F3"/>
    <w:rsid w:val="00E31827"/>
    <w:rsid w:val="00E36295"/>
    <w:rsid w:val="00E3759E"/>
    <w:rsid w:val="00E4562C"/>
    <w:rsid w:val="00E465BB"/>
    <w:rsid w:val="00E51A05"/>
    <w:rsid w:val="00E52CC2"/>
    <w:rsid w:val="00E55D0F"/>
    <w:rsid w:val="00E66B7F"/>
    <w:rsid w:val="00E81CDB"/>
    <w:rsid w:val="00E83611"/>
    <w:rsid w:val="00E83649"/>
    <w:rsid w:val="00E86892"/>
    <w:rsid w:val="00E91A13"/>
    <w:rsid w:val="00E947A0"/>
    <w:rsid w:val="00E947B8"/>
    <w:rsid w:val="00EA11CD"/>
    <w:rsid w:val="00EA40B1"/>
    <w:rsid w:val="00EA541E"/>
    <w:rsid w:val="00EB546A"/>
    <w:rsid w:val="00EB5774"/>
    <w:rsid w:val="00EB6014"/>
    <w:rsid w:val="00EC28DB"/>
    <w:rsid w:val="00EC2FB1"/>
    <w:rsid w:val="00EC30EF"/>
    <w:rsid w:val="00EC380E"/>
    <w:rsid w:val="00EC7341"/>
    <w:rsid w:val="00ED4ABA"/>
    <w:rsid w:val="00EE4BD0"/>
    <w:rsid w:val="00EE71B4"/>
    <w:rsid w:val="00EF4469"/>
    <w:rsid w:val="00EF5785"/>
    <w:rsid w:val="00EF5A34"/>
    <w:rsid w:val="00EF6937"/>
    <w:rsid w:val="00F045F8"/>
    <w:rsid w:val="00F05A42"/>
    <w:rsid w:val="00F12196"/>
    <w:rsid w:val="00F2491D"/>
    <w:rsid w:val="00F333EA"/>
    <w:rsid w:val="00F33F9A"/>
    <w:rsid w:val="00F40F96"/>
    <w:rsid w:val="00F43076"/>
    <w:rsid w:val="00F44DEF"/>
    <w:rsid w:val="00F5014F"/>
    <w:rsid w:val="00F506A6"/>
    <w:rsid w:val="00F56312"/>
    <w:rsid w:val="00F57723"/>
    <w:rsid w:val="00F61158"/>
    <w:rsid w:val="00F63676"/>
    <w:rsid w:val="00F723B6"/>
    <w:rsid w:val="00F74BD7"/>
    <w:rsid w:val="00F825EA"/>
    <w:rsid w:val="00F83D78"/>
    <w:rsid w:val="00F94D4A"/>
    <w:rsid w:val="00FA0426"/>
    <w:rsid w:val="00FB1BAC"/>
    <w:rsid w:val="00FB4AE1"/>
    <w:rsid w:val="00FB6DB1"/>
    <w:rsid w:val="00FC02E0"/>
    <w:rsid w:val="00FC5F8F"/>
    <w:rsid w:val="00FC6EDF"/>
    <w:rsid w:val="00FD311D"/>
    <w:rsid w:val="00FD48F4"/>
    <w:rsid w:val="00FD4CBA"/>
    <w:rsid w:val="00FD4CC8"/>
    <w:rsid w:val="00FD5545"/>
    <w:rsid w:val="00FE4737"/>
    <w:rsid w:val="00FF0FEF"/>
    <w:rsid w:val="00FF14AC"/>
    <w:rsid w:val="00FF2645"/>
    <w:rsid w:val="00FF26F7"/>
    <w:rsid w:val="00FF7D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4328C"/>
  <w15:chartTrackingRefBased/>
  <w15:docId w15:val="{EB6C13E0-EC8D-4A20-902A-BE2F7E95E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F9A"/>
  </w:style>
  <w:style w:type="paragraph" w:styleId="Heading1">
    <w:name w:val="heading 1"/>
    <w:basedOn w:val="Normal"/>
    <w:next w:val="Normal"/>
    <w:link w:val="Heading1Char"/>
    <w:uiPriority w:val="9"/>
    <w:qFormat/>
    <w:rsid w:val="00EC30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30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30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C30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C30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0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0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0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0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0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30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30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C30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C30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0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0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0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0EF"/>
    <w:rPr>
      <w:rFonts w:eastAsiaTheme="majorEastAsia" w:cstheme="majorBidi"/>
      <w:color w:val="272727" w:themeColor="text1" w:themeTint="D8"/>
    </w:rPr>
  </w:style>
  <w:style w:type="paragraph" w:styleId="Title">
    <w:name w:val="Title"/>
    <w:basedOn w:val="Normal"/>
    <w:next w:val="Normal"/>
    <w:link w:val="TitleChar"/>
    <w:uiPriority w:val="10"/>
    <w:qFormat/>
    <w:rsid w:val="00EC30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0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0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0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0EF"/>
    <w:pPr>
      <w:spacing w:before="160"/>
      <w:jc w:val="center"/>
    </w:pPr>
    <w:rPr>
      <w:i/>
      <w:iCs/>
      <w:color w:val="404040" w:themeColor="text1" w:themeTint="BF"/>
    </w:rPr>
  </w:style>
  <w:style w:type="character" w:customStyle="1" w:styleId="QuoteChar">
    <w:name w:val="Quote Char"/>
    <w:basedOn w:val="DefaultParagraphFont"/>
    <w:link w:val="Quote"/>
    <w:uiPriority w:val="29"/>
    <w:rsid w:val="00EC30EF"/>
    <w:rPr>
      <w:i/>
      <w:iCs/>
      <w:color w:val="404040" w:themeColor="text1" w:themeTint="BF"/>
    </w:rPr>
  </w:style>
  <w:style w:type="paragraph" w:styleId="ListParagraph">
    <w:name w:val="List Paragraph"/>
    <w:basedOn w:val="Normal"/>
    <w:uiPriority w:val="34"/>
    <w:qFormat/>
    <w:rsid w:val="00EC30EF"/>
    <w:pPr>
      <w:ind w:left="720"/>
      <w:contextualSpacing/>
    </w:pPr>
  </w:style>
  <w:style w:type="character" w:styleId="IntenseEmphasis">
    <w:name w:val="Intense Emphasis"/>
    <w:basedOn w:val="DefaultParagraphFont"/>
    <w:uiPriority w:val="21"/>
    <w:qFormat/>
    <w:rsid w:val="00EC30EF"/>
    <w:rPr>
      <w:i/>
      <w:iCs/>
      <w:color w:val="0F4761" w:themeColor="accent1" w:themeShade="BF"/>
    </w:rPr>
  </w:style>
  <w:style w:type="paragraph" w:styleId="IntenseQuote">
    <w:name w:val="Intense Quote"/>
    <w:basedOn w:val="Normal"/>
    <w:next w:val="Normal"/>
    <w:link w:val="IntenseQuoteChar"/>
    <w:uiPriority w:val="30"/>
    <w:qFormat/>
    <w:rsid w:val="00EC30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0EF"/>
    <w:rPr>
      <w:i/>
      <w:iCs/>
      <w:color w:val="0F4761" w:themeColor="accent1" w:themeShade="BF"/>
    </w:rPr>
  </w:style>
  <w:style w:type="character" w:styleId="IntenseReference">
    <w:name w:val="Intense Reference"/>
    <w:basedOn w:val="DefaultParagraphFont"/>
    <w:uiPriority w:val="32"/>
    <w:qFormat/>
    <w:rsid w:val="00EC30EF"/>
    <w:rPr>
      <w:b/>
      <w:bCs/>
      <w:smallCaps/>
      <w:color w:val="0F4761" w:themeColor="accent1" w:themeShade="BF"/>
      <w:spacing w:val="5"/>
    </w:rPr>
  </w:style>
  <w:style w:type="paragraph" w:styleId="Header">
    <w:name w:val="header"/>
    <w:basedOn w:val="Normal"/>
    <w:link w:val="HeaderChar"/>
    <w:uiPriority w:val="99"/>
    <w:unhideWhenUsed/>
    <w:rsid w:val="00BB18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836"/>
  </w:style>
  <w:style w:type="paragraph" w:styleId="Footer">
    <w:name w:val="footer"/>
    <w:basedOn w:val="Normal"/>
    <w:link w:val="FooterChar"/>
    <w:uiPriority w:val="99"/>
    <w:unhideWhenUsed/>
    <w:rsid w:val="00BB18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836"/>
  </w:style>
  <w:style w:type="character" w:styleId="Hyperlink">
    <w:name w:val="Hyperlink"/>
    <w:basedOn w:val="DefaultParagraphFont"/>
    <w:uiPriority w:val="99"/>
    <w:unhideWhenUsed/>
    <w:rsid w:val="00105D81"/>
    <w:rPr>
      <w:color w:val="467886" w:themeColor="hyperlink"/>
      <w:u w:val="single"/>
    </w:rPr>
  </w:style>
  <w:style w:type="character" w:styleId="UnresolvedMention">
    <w:name w:val="Unresolved Mention"/>
    <w:basedOn w:val="DefaultParagraphFont"/>
    <w:uiPriority w:val="99"/>
    <w:semiHidden/>
    <w:unhideWhenUsed/>
    <w:rsid w:val="00105D81"/>
    <w:rPr>
      <w:color w:val="605E5C"/>
      <w:shd w:val="clear" w:color="auto" w:fill="E1DFDD"/>
    </w:rPr>
  </w:style>
  <w:style w:type="paragraph" w:styleId="TOCHeading">
    <w:name w:val="TOC Heading"/>
    <w:basedOn w:val="Heading1"/>
    <w:next w:val="Normal"/>
    <w:uiPriority w:val="39"/>
    <w:unhideWhenUsed/>
    <w:qFormat/>
    <w:rsid w:val="00E3759E"/>
    <w:pPr>
      <w:spacing w:before="240" w:after="0"/>
      <w:outlineLvl w:val="9"/>
    </w:pPr>
    <w:rPr>
      <w:sz w:val="32"/>
      <w:szCs w:val="32"/>
      <w:lang w:val="en-US"/>
    </w:rPr>
  </w:style>
  <w:style w:type="paragraph" w:styleId="TOC1">
    <w:name w:val="toc 1"/>
    <w:basedOn w:val="Normal"/>
    <w:next w:val="Normal"/>
    <w:autoRedefine/>
    <w:uiPriority w:val="39"/>
    <w:unhideWhenUsed/>
    <w:rsid w:val="00E3759E"/>
    <w:pPr>
      <w:spacing w:after="100"/>
    </w:pPr>
  </w:style>
  <w:style w:type="paragraph" w:styleId="TOC2">
    <w:name w:val="toc 2"/>
    <w:basedOn w:val="Normal"/>
    <w:next w:val="Normal"/>
    <w:autoRedefine/>
    <w:uiPriority w:val="39"/>
    <w:unhideWhenUsed/>
    <w:rsid w:val="00E3759E"/>
    <w:pPr>
      <w:spacing w:after="100"/>
      <w:ind w:left="220"/>
    </w:pPr>
  </w:style>
  <w:style w:type="paragraph" w:styleId="TOC3">
    <w:name w:val="toc 3"/>
    <w:basedOn w:val="Normal"/>
    <w:next w:val="Normal"/>
    <w:autoRedefine/>
    <w:uiPriority w:val="39"/>
    <w:unhideWhenUsed/>
    <w:rsid w:val="00E3759E"/>
    <w:pPr>
      <w:spacing w:after="100"/>
      <w:ind w:left="440"/>
    </w:pPr>
  </w:style>
  <w:style w:type="paragraph" w:styleId="Caption">
    <w:name w:val="caption"/>
    <w:basedOn w:val="Normal"/>
    <w:next w:val="Normal"/>
    <w:uiPriority w:val="35"/>
    <w:unhideWhenUsed/>
    <w:qFormat/>
    <w:rsid w:val="00AD60AE"/>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9D1D66"/>
    <w:pPr>
      <w:tabs>
        <w:tab w:val="left" w:pos="384"/>
      </w:tabs>
      <w:spacing w:after="0" w:line="240" w:lineRule="auto"/>
      <w:ind w:left="384" w:hanging="384"/>
    </w:pPr>
  </w:style>
  <w:style w:type="paragraph" w:styleId="TableofFigures">
    <w:name w:val="table of figures"/>
    <w:basedOn w:val="Normal"/>
    <w:next w:val="Normal"/>
    <w:uiPriority w:val="99"/>
    <w:unhideWhenUsed/>
    <w:rsid w:val="007725E5"/>
    <w:pPr>
      <w:spacing w:after="0"/>
    </w:pPr>
  </w:style>
  <w:style w:type="paragraph" w:styleId="NormalWeb">
    <w:name w:val="Normal (Web)"/>
    <w:basedOn w:val="Normal"/>
    <w:uiPriority w:val="99"/>
    <w:unhideWhenUsed/>
    <w:rsid w:val="00CC7D8B"/>
    <w:rPr>
      <w:rFonts w:ascii="Times New Roman" w:hAnsi="Times New Roman" w:cs="Times New Roman"/>
      <w:sz w:val="24"/>
      <w:szCs w:val="24"/>
    </w:rPr>
  </w:style>
  <w:style w:type="table" w:styleId="TableGrid">
    <w:name w:val="Table Grid"/>
    <w:basedOn w:val="TableNormal"/>
    <w:uiPriority w:val="39"/>
    <w:rsid w:val="00EF5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B1E80"/>
    <w:rPr>
      <w:color w:val="666666"/>
    </w:rPr>
  </w:style>
  <w:style w:type="paragraph" w:styleId="HTMLPreformatted">
    <w:name w:val="HTML Preformatted"/>
    <w:basedOn w:val="Normal"/>
    <w:link w:val="HTMLPreformattedChar"/>
    <w:uiPriority w:val="99"/>
    <w:semiHidden/>
    <w:unhideWhenUsed/>
    <w:rsid w:val="00992CB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92CBF"/>
    <w:rPr>
      <w:rFonts w:ascii="Consolas" w:hAnsi="Consolas"/>
      <w:sz w:val="20"/>
      <w:szCs w:val="20"/>
    </w:rPr>
  </w:style>
  <w:style w:type="character" w:styleId="FollowedHyperlink">
    <w:name w:val="FollowedHyperlink"/>
    <w:basedOn w:val="DefaultParagraphFont"/>
    <w:uiPriority w:val="99"/>
    <w:semiHidden/>
    <w:unhideWhenUsed/>
    <w:rsid w:val="00E66B7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538089">
      <w:bodyDiv w:val="1"/>
      <w:marLeft w:val="0"/>
      <w:marRight w:val="0"/>
      <w:marTop w:val="0"/>
      <w:marBottom w:val="0"/>
      <w:divBdr>
        <w:top w:val="none" w:sz="0" w:space="0" w:color="auto"/>
        <w:left w:val="none" w:sz="0" w:space="0" w:color="auto"/>
        <w:bottom w:val="none" w:sz="0" w:space="0" w:color="auto"/>
        <w:right w:val="none" w:sz="0" w:space="0" w:color="auto"/>
      </w:divBdr>
      <w:divsChild>
        <w:div w:id="141384984">
          <w:marLeft w:val="0"/>
          <w:marRight w:val="0"/>
          <w:marTop w:val="0"/>
          <w:marBottom w:val="0"/>
          <w:divBdr>
            <w:top w:val="none" w:sz="0" w:space="0" w:color="auto"/>
            <w:left w:val="none" w:sz="0" w:space="0" w:color="auto"/>
            <w:bottom w:val="none" w:sz="0" w:space="0" w:color="auto"/>
            <w:right w:val="none" w:sz="0" w:space="0" w:color="auto"/>
          </w:divBdr>
        </w:div>
      </w:divsChild>
    </w:div>
    <w:div w:id="301888379">
      <w:bodyDiv w:val="1"/>
      <w:marLeft w:val="0"/>
      <w:marRight w:val="0"/>
      <w:marTop w:val="0"/>
      <w:marBottom w:val="0"/>
      <w:divBdr>
        <w:top w:val="none" w:sz="0" w:space="0" w:color="auto"/>
        <w:left w:val="none" w:sz="0" w:space="0" w:color="auto"/>
        <w:bottom w:val="none" w:sz="0" w:space="0" w:color="auto"/>
        <w:right w:val="none" w:sz="0" w:space="0" w:color="auto"/>
      </w:divBdr>
      <w:divsChild>
        <w:div w:id="286864014">
          <w:marLeft w:val="0"/>
          <w:marRight w:val="0"/>
          <w:marTop w:val="0"/>
          <w:marBottom w:val="0"/>
          <w:divBdr>
            <w:top w:val="none" w:sz="0" w:space="0" w:color="auto"/>
            <w:left w:val="none" w:sz="0" w:space="0" w:color="auto"/>
            <w:bottom w:val="none" w:sz="0" w:space="0" w:color="auto"/>
            <w:right w:val="none" w:sz="0" w:space="0" w:color="auto"/>
          </w:divBdr>
        </w:div>
      </w:divsChild>
    </w:div>
    <w:div w:id="320744000">
      <w:bodyDiv w:val="1"/>
      <w:marLeft w:val="0"/>
      <w:marRight w:val="0"/>
      <w:marTop w:val="0"/>
      <w:marBottom w:val="0"/>
      <w:divBdr>
        <w:top w:val="none" w:sz="0" w:space="0" w:color="auto"/>
        <w:left w:val="none" w:sz="0" w:space="0" w:color="auto"/>
        <w:bottom w:val="none" w:sz="0" w:space="0" w:color="auto"/>
        <w:right w:val="none" w:sz="0" w:space="0" w:color="auto"/>
      </w:divBdr>
      <w:divsChild>
        <w:div w:id="1940870430">
          <w:marLeft w:val="0"/>
          <w:marRight w:val="0"/>
          <w:marTop w:val="0"/>
          <w:marBottom w:val="0"/>
          <w:divBdr>
            <w:top w:val="none" w:sz="0" w:space="0" w:color="auto"/>
            <w:left w:val="none" w:sz="0" w:space="0" w:color="auto"/>
            <w:bottom w:val="none" w:sz="0" w:space="0" w:color="auto"/>
            <w:right w:val="none" w:sz="0" w:space="0" w:color="auto"/>
          </w:divBdr>
        </w:div>
      </w:divsChild>
    </w:div>
    <w:div w:id="1002050856">
      <w:bodyDiv w:val="1"/>
      <w:marLeft w:val="0"/>
      <w:marRight w:val="0"/>
      <w:marTop w:val="0"/>
      <w:marBottom w:val="0"/>
      <w:divBdr>
        <w:top w:val="none" w:sz="0" w:space="0" w:color="auto"/>
        <w:left w:val="none" w:sz="0" w:space="0" w:color="auto"/>
        <w:bottom w:val="none" w:sz="0" w:space="0" w:color="auto"/>
        <w:right w:val="none" w:sz="0" w:space="0" w:color="auto"/>
      </w:divBdr>
      <w:divsChild>
        <w:div w:id="249778263">
          <w:marLeft w:val="0"/>
          <w:marRight w:val="0"/>
          <w:marTop w:val="0"/>
          <w:marBottom w:val="0"/>
          <w:divBdr>
            <w:top w:val="none" w:sz="0" w:space="0" w:color="auto"/>
            <w:left w:val="none" w:sz="0" w:space="0" w:color="auto"/>
            <w:bottom w:val="none" w:sz="0" w:space="0" w:color="auto"/>
            <w:right w:val="none" w:sz="0" w:space="0" w:color="auto"/>
          </w:divBdr>
        </w:div>
      </w:divsChild>
    </w:div>
    <w:div w:id="1026760775">
      <w:bodyDiv w:val="1"/>
      <w:marLeft w:val="0"/>
      <w:marRight w:val="0"/>
      <w:marTop w:val="0"/>
      <w:marBottom w:val="0"/>
      <w:divBdr>
        <w:top w:val="none" w:sz="0" w:space="0" w:color="auto"/>
        <w:left w:val="none" w:sz="0" w:space="0" w:color="auto"/>
        <w:bottom w:val="none" w:sz="0" w:space="0" w:color="auto"/>
        <w:right w:val="none" w:sz="0" w:space="0" w:color="auto"/>
      </w:divBdr>
      <w:divsChild>
        <w:div w:id="2006123839">
          <w:marLeft w:val="0"/>
          <w:marRight w:val="0"/>
          <w:marTop w:val="0"/>
          <w:marBottom w:val="0"/>
          <w:divBdr>
            <w:top w:val="none" w:sz="0" w:space="0" w:color="auto"/>
            <w:left w:val="none" w:sz="0" w:space="0" w:color="auto"/>
            <w:bottom w:val="none" w:sz="0" w:space="0" w:color="auto"/>
            <w:right w:val="none" w:sz="0" w:space="0" w:color="auto"/>
          </w:divBdr>
        </w:div>
      </w:divsChild>
    </w:div>
    <w:div w:id="1041437223">
      <w:bodyDiv w:val="1"/>
      <w:marLeft w:val="0"/>
      <w:marRight w:val="0"/>
      <w:marTop w:val="0"/>
      <w:marBottom w:val="0"/>
      <w:divBdr>
        <w:top w:val="none" w:sz="0" w:space="0" w:color="auto"/>
        <w:left w:val="none" w:sz="0" w:space="0" w:color="auto"/>
        <w:bottom w:val="none" w:sz="0" w:space="0" w:color="auto"/>
        <w:right w:val="none" w:sz="0" w:space="0" w:color="auto"/>
      </w:divBdr>
      <w:divsChild>
        <w:div w:id="2117215713">
          <w:marLeft w:val="0"/>
          <w:marRight w:val="0"/>
          <w:marTop w:val="0"/>
          <w:marBottom w:val="0"/>
          <w:divBdr>
            <w:top w:val="none" w:sz="0" w:space="0" w:color="auto"/>
            <w:left w:val="none" w:sz="0" w:space="0" w:color="auto"/>
            <w:bottom w:val="none" w:sz="0" w:space="0" w:color="auto"/>
            <w:right w:val="none" w:sz="0" w:space="0" w:color="auto"/>
          </w:divBdr>
        </w:div>
      </w:divsChild>
    </w:div>
    <w:div w:id="1088427733">
      <w:bodyDiv w:val="1"/>
      <w:marLeft w:val="0"/>
      <w:marRight w:val="0"/>
      <w:marTop w:val="0"/>
      <w:marBottom w:val="0"/>
      <w:divBdr>
        <w:top w:val="none" w:sz="0" w:space="0" w:color="auto"/>
        <w:left w:val="none" w:sz="0" w:space="0" w:color="auto"/>
        <w:bottom w:val="none" w:sz="0" w:space="0" w:color="auto"/>
        <w:right w:val="none" w:sz="0" w:space="0" w:color="auto"/>
      </w:divBdr>
      <w:divsChild>
        <w:div w:id="592053380">
          <w:marLeft w:val="0"/>
          <w:marRight w:val="0"/>
          <w:marTop w:val="0"/>
          <w:marBottom w:val="0"/>
          <w:divBdr>
            <w:top w:val="none" w:sz="0" w:space="0" w:color="auto"/>
            <w:left w:val="none" w:sz="0" w:space="0" w:color="auto"/>
            <w:bottom w:val="none" w:sz="0" w:space="0" w:color="auto"/>
            <w:right w:val="none" w:sz="0" w:space="0" w:color="auto"/>
          </w:divBdr>
        </w:div>
      </w:divsChild>
    </w:div>
    <w:div w:id="1094740311">
      <w:bodyDiv w:val="1"/>
      <w:marLeft w:val="0"/>
      <w:marRight w:val="0"/>
      <w:marTop w:val="0"/>
      <w:marBottom w:val="0"/>
      <w:divBdr>
        <w:top w:val="none" w:sz="0" w:space="0" w:color="auto"/>
        <w:left w:val="none" w:sz="0" w:space="0" w:color="auto"/>
        <w:bottom w:val="none" w:sz="0" w:space="0" w:color="auto"/>
        <w:right w:val="none" w:sz="0" w:space="0" w:color="auto"/>
      </w:divBdr>
      <w:divsChild>
        <w:div w:id="1277177157">
          <w:marLeft w:val="0"/>
          <w:marRight w:val="0"/>
          <w:marTop w:val="0"/>
          <w:marBottom w:val="0"/>
          <w:divBdr>
            <w:top w:val="none" w:sz="0" w:space="0" w:color="auto"/>
            <w:left w:val="none" w:sz="0" w:space="0" w:color="auto"/>
            <w:bottom w:val="none" w:sz="0" w:space="0" w:color="auto"/>
            <w:right w:val="none" w:sz="0" w:space="0" w:color="auto"/>
          </w:divBdr>
        </w:div>
      </w:divsChild>
    </w:div>
    <w:div w:id="1106197868">
      <w:bodyDiv w:val="1"/>
      <w:marLeft w:val="0"/>
      <w:marRight w:val="0"/>
      <w:marTop w:val="0"/>
      <w:marBottom w:val="0"/>
      <w:divBdr>
        <w:top w:val="none" w:sz="0" w:space="0" w:color="auto"/>
        <w:left w:val="none" w:sz="0" w:space="0" w:color="auto"/>
        <w:bottom w:val="none" w:sz="0" w:space="0" w:color="auto"/>
        <w:right w:val="none" w:sz="0" w:space="0" w:color="auto"/>
      </w:divBdr>
      <w:divsChild>
        <w:div w:id="1912931393">
          <w:marLeft w:val="0"/>
          <w:marRight w:val="0"/>
          <w:marTop w:val="0"/>
          <w:marBottom w:val="0"/>
          <w:divBdr>
            <w:top w:val="none" w:sz="0" w:space="0" w:color="auto"/>
            <w:left w:val="none" w:sz="0" w:space="0" w:color="auto"/>
            <w:bottom w:val="none" w:sz="0" w:space="0" w:color="auto"/>
            <w:right w:val="none" w:sz="0" w:space="0" w:color="auto"/>
          </w:divBdr>
        </w:div>
      </w:divsChild>
    </w:div>
    <w:div w:id="1289121946">
      <w:bodyDiv w:val="1"/>
      <w:marLeft w:val="0"/>
      <w:marRight w:val="0"/>
      <w:marTop w:val="0"/>
      <w:marBottom w:val="0"/>
      <w:divBdr>
        <w:top w:val="none" w:sz="0" w:space="0" w:color="auto"/>
        <w:left w:val="none" w:sz="0" w:space="0" w:color="auto"/>
        <w:bottom w:val="none" w:sz="0" w:space="0" w:color="auto"/>
        <w:right w:val="none" w:sz="0" w:space="0" w:color="auto"/>
      </w:divBdr>
      <w:divsChild>
        <w:div w:id="1500001249">
          <w:marLeft w:val="0"/>
          <w:marRight w:val="0"/>
          <w:marTop w:val="0"/>
          <w:marBottom w:val="0"/>
          <w:divBdr>
            <w:top w:val="none" w:sz="0" w:space="0" w:color="auto"/>
            <w:left w:val="none" w:sz="0" w:space="0" w:color="auto"/>
            <w:bottom w:val="none" w:sz="0" w:space="0" w:color="auto"/>
            <w:right w:val="none" w:sz="0" w:space="0" w:color="auto"/>
          </w:divBdr>
        </w:div>
      </w:divsChild>
    </w:div>
    <w:div w:id="1356926953">
      <w:bodyDiv w:val="1"/>
      <w:marLeft w:val="0"/>
      <w:marRight w:val="0"/>
      <w:marTop w:val="0"/>
      <w:marBottom w:val="0"/>
      <w:divBdr>
        <w:top w:val="none" w:sz="0" w:space="0" w:color="auto"/>
        <w:left w:val="none" w:sz="0" w:space="0" w:color="auto"/>
        <w:bottom w:val="none" w:sz="0" w:space="0" w:color="auto"/>
        <w:right w:val="none" w:sz="0" w:space="0" w:color="auto"/>
      </w:divBdr>
      <w:divsChild>
        <w:div w:id="980380528">
          <w:marLeft w:val="0"/>
          <w:marRight w:val="0"/>
          <w:marTop w:val="0"/>
          <w:marBottom w:val="0"/>
          <w:divBdr>
            <w:top w:val="none" w:sz="0" w:space="0" w:color="auto"/>
            <w:left w:val="none" w:sz="0" w:space="0" w:color="auto"/>
            <w:bottom w:val="none" w:sz="0" w:space="0" w:color="auto"/>
            <w:right w:val="none" w:sz="0" w:space="0" w:color="auto"/>
          </w:divBdr>
        </w:div>
      </w:divsChild>
    </w:div>
    <w:div w:id="1474979916">
      <w:bodyDiv w:val="1"/>
      <w:marLeft w:val="0"/>
      <w:marRight w:val="0"/>
      <w:marTop w:val="0"/>
      <w:marBottom w:val="0"/>
      <w:divBdr>
        <w:top w:val="none" w:sz="0" w:space="0" w:color="auto"/>
        <w:left w:val="none" w:sz="0" w:space="0" w:color="auto"/>
        <w:bottom w:val="none" w:sz="0" w:space="0" w:color="auto"/>
        <w:right w:val="none" w:sz="0" w:space="0" w:color="auto"/>
      </w:divBdr>
      <w:divsChild>
        <w:div w:id="1691296426">
          <w:marLeft w:val="0"/>
          <w:marRight w:val="0"/>
          <w:marTop w:val="0"/>
          <w:marBottom w:val="0"/>
          <w:divBdr>
            <w:top w:val="none" w:sz="0" w:space="0" w:color="auto"/>
            <w:left w:val="none" w:sz="0" w:space="0" w:color="auto"/>
            <w:bottom w:val="none" w:sz="0" w:space="0" w:color="auto"/>
            <w:right w:val="none" w:sz="0" w:space="0" w:color="auto"/>
          </w:divBdr>
        </w:div>
      </w:divsChild>
    </w:div>
    <w:div w:id="1713654574">
      <w:bodyDiv w:val="1"/>
      <w:marLeft w:val="0"/>
      <w:marRight w:val="0"/>
      <w:marTop w:val="0"/>
      <w:marBottom w:val="0"/>
      <w:divBdr>
        <w:top w:val="none" w:sz="0" w:space="0" w:color="auto"/>
        <w:left w:val="none" w:sz="0" w:space="0" w:color="auto"/>
        <w:bottom w:val="none" w:sz="0" w:space="0" w:color="auto"/>
        <w:right w:val="none" w:sz="0" w:space="0" w:color="auto"/>
      </w:divBdr>
      <w:divsChild>
        <w:div w:id="1063678513">
          <w:marLeft w:val="0"/>
          <w:marRight w:val="0"/>
          <w:marTop w:val="0"/>
          <w:marBottom w:val="0"/>
          <w:divBdr>
            <w:top w:val="none" w:sz="0" w:space="0" w:color="auto"/>
            <w:left w:val="none" w:sz="0" w:space="0" w:color="auto"/>
            <w:bottom w:val="none" w:sz="0" w:space="0" w:color="auto"/>
            <w:right w:val="none" w:sz="0" w:space="0" w:color="auto"/>
          </w:divBdr>
        </w:div>
      </w:divsChild>
    </w:div>
    <w:div w:id="1759059360">
      <w:bodyDiv w:val="1"/>
      <w:marLeft w:val="0"/>
      <w:marRight w:val="0"/>
      <w:marTop w:val="0"/>
      <w:marBottom w:val="0"/>
      <w:divBdr>
        <w:top w:val="none" w:sz="0" w:space="0" w:color="auto"/>
        <w:left w:val="none" w:sz="0" w:space="0" w:color="auto"/>
        <w:bottom w:val="none" w:sz="0" w:space="0" w:color="auto"/>
        <w:right w:val="none" w:sz="0" w:space="0" w:color="auto"/>
      </w:divBdr>
      <w:divsChild>
        <w:div w:id="1149593293">
          <w:marLeft w:val="0"/>
          <w:marRight w:val="0"/>
          <w:marTop w:val="0"/>
          <w:marBottom w:val="0"/>
          <w:divBdr>
            <w:top w:val="none" w:sz="0" w:space="0" w:color="auto"/>
            <w:left w:val="none" w:sz="0" w:space="0" w:color="auto"/>
            <w:bottom w:val="none" w:sz="0" w:space="0" w:color="auto"/>
            <w:right w:val="none" w:sz="0" w:space="0" w:color="auto"/>
          </w:divBdr>
        </w:div>
      </w:divsChild>
    </w:div>
    <w:div w:id="1774744879">
      <w:bodyDiv w:val="1"/>
      <w:marLeft w:val="0"/>
      <w:marRight w:val="0"/>
      <w:marTop w:val="0"/>
      <w:marBottom w:val="0"/>
      <w:divBdr>
        <w:top w:val="none" w:sz="0" w:space="0" w:color="auto"/>
        <w:left w:val="none" w:sz="0" w:space="0" w:color="auto"/>
        <w:bottom w:val="none" w:sz="0" w:space="0" w:color="auto"/>
        <w:right w:val="none" w:sz="0" w:space="0" w:color="auto"/>
      </w:divBdr>
      <w:divsChild>
        <w:div w:id="1026055234">
          <w:marLeft w:val="0"/>
          <w:marRight w:val="0"/>
          <w:marTop w:val="0"/>
          <w:marBottom w:val="0"/>
          <w:divBdr>
            <w:top w:val="none" w:sz="0" w:space="0" w:color="auto"/>
            <w:left w:val="none" w:sz="0" w:space="0" w:color="auto"/>
            <w:bottom w:val="none" w:sz="0" w:space="0" w:color="auto"/>
            <w:right w:val="none" w:sz="0" w:space="0" w:color="auto"/>
          </w:divBdr>
        </w:div>
      </w:divsChild>
    </w:div>
    <w:div w:id="1782072507">
      <w:bodyDiv w:val="1"/>
      <w:marLeft w:val="0"/>
      <w:marRight w:val="0"/>
      <w:marTop w:val="0"/>
      <w:marBottom w:val="0"/>
      <w:divBdr>
        <w:top w:val="none" w:sz="0" w:space="0" w:color="auto"/>
        <w:left w:val="none" w:sz="0" w:space="0" w:color="auto"/>
        <w:bottom w:val="none" w:sz="0" w:space="0" w:color="auto"/>
        <w:right w:val="none" w:sz="0" w:space="0" w:color="auto"/>
      </w:divBdr>
      <w:divsChild>
        <w:div w:id="184514514">
          <w:marLeft w:val="0"/>
          <w:marRight w:val="0"/>
          <w:marTop w:val="0"/>
          <w:marBottom w:val="0"/>
          <w:divBdr>
            <w:top w:val="none" w:sz="0" w:space="0" w:color="auto"/>
            <w:left w:val="none" w:sz="0" w:space="0" w:color="auto"/>
            <w:bottom w:val="none" w:sz="0" w:space="0" w:color="auto"/>
            <w:right w:val="none" w:sz="0" w:space="0" w:color="auto"/>
          </w:divBdr>
        </w:div>
      </w:divsChild>
    </w:div>
    <w:div w:id="1931692174">
      <w:bodyDiv w:val="1"/>
      <w:marLeft w:val="0"/>
      <w:marRight w:val="0"/>
      <w:marTop w:val="0"/>
      <w:marBottom w:val="0"/>
      <w:divBdr>
        <w:top w:val="none" w:sz="0" w:space="0" w:color="auto"/>
        <w:left w:val="none" w:sz="0" w:space="0" w:color="auto"/>
        <w:bottom w:val="none" w:sz="0" w:space="0" w:color="auto"/>
        <w:right w:val="none" w:sz="0" w:space="0" w:color="auto"/>
      </w:divBdr>
      <w:divsChild>
        <w:div w:id="1772774794">
          <w:marLeft w:val="0"/>
          <w:marRight w:val="0"/>
          <w:marTop w:val="0"/>
          <w:marBottom w:val="0"/>
          <w:divBdr>
            <w:top w:val="none" w:sz="0" w:space="0" w:color="auto"/>
            <w:left w:val="none" w:sz="0" w:space="0" w:color="auto"/>
            <w:bottom w:val="none" w:sz="0" w:space="0" w:color="auto"/>
            <w:right w:val="none" w:sz="0" w:space="0" w:color="auto"/>
          </w:divBdr>
        </w:div>
      </w:divsChild>
    </w:div>
    <w:div w:id="2073692633">
      <w:bodyDiv w:val="1"/>
      <w:marLeft w:val="0"/>
      <w:marRight w:val="0"/>
      <w:marTop w:val="0"/>
      <w:marBottom w:val="0"/>
      <w:divBdr>
        <w:top w:val="none" w:sz="0" w:space="0" w:color="auto"/>
        <w:left w:val="none" w:sz="0" w:space="0" w:color="auto"/>
        <w:bottom w:val="none" w:sz="0" w:space="0" w:color="auto"/>
        <w:right w:val="none" w:sz="0" w:space="0" w:color="auto"/>
      </w:divBdr>
      <w:divsChild>
        <w:div w:id="178666633">
          <w:marLeft w:val="0"/>
          <w:marRight w:val="0"/>
          <w:marTop w:val="0"/>
          <w:marBottom w:val="0"/>
          <w:divBdr>
            <w:top w:val="none" w:sz="0" w:space="0" w:color="auto"/>
            <w:left w:val="none" w:sz="0" w:space="0" w:color="auto"/>
            <w:bottom w:val="none" w:sz="0" w:space="0" w:color="auto"/>
            <w:right w:val="none" w:sz="0" w:space="0" w:color="auto"/>
          </w:divBdr>
        </w:div>
      </w:divsChild>
    </w:div>
    <w:div w:id="2139688382">
      <w:bodyDiv w:val="1"/>
      <w:marLeft w:val="0"/>
      <w:marRight w:val="0"/>
      <w:marTop w:val="0"/>
      <w:marBottom w:val="0"/>
      <w:divBdr>
        <w:top w:val="none" w:sz="0" w:space="0" w:color="auto"/>
        <w:left w:val="none" w:sz="0" w:space="0" w:color="auto"/>
        <w:bottom w:val="none" w:sz="0" w:space="0" w:color="auto"/>
        <w:right w:val="none" w:sz="0" w:space="0" w:color="auto"/>
      </w:divBdr>
      <w:divsChild>
        <w:div w:id="166022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hyperlink" Target="https://drive.google.com/drive/folders/1415jippAfhwE_K_ijlx-_3NgaUj2U4yX?usp=shari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header" Target="header1.xml"/><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hyperlink" Target="https://drive.google.com/drive/folders/1coxwKjzsxr17WRHNHoTGSR_xOeoAQoaD?usp=shar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E34492-824A-4BFB-8F5E-834FEA383512}">
  <we:reference id="wa104382008" version="1.1.0.2" store="en-US" storeType="OMEX"/>
  <we:alternateReferences>
    <we:reference id="WA104382008" version="1.1.0.2"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68645-54E8-451C-8860-E5F2FB960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26950</TotalTime>
  <Pages>83</Pages>
  <Words>65469</Words>
  <Characters>373178</Characters>
  <Application>Microsoft Office Word</Application>
  <DocSecurity>0</DocSecurity>
  <Lines>3109</Lines>
  <Paragraphs>875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kandarp sharda</dc:creator>
  <cp:keywords/>
  <dc:description/>
  <cp:lastModifiedBy>kandarp sharda</cp:lastModifiedBy>
  <cp:revision>66</cp:revision>
  <dcterms:created xsi:type="dcterms:W3CDTF">2026-03-27T15:53:00Z</dcterms:created>
  <dcterms:modified xsi:type="dcterms:W3CDTF">2026-05-04T20:27:00Z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id="f7xJM5JX"/&gt;&lt;style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