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CBED6" w14:textId="5E39297D" w:rsidR="00D8084D" w:rsidRPr="00EF2F88" w:rsidRDefault="00883492">
      <w:pPr>
        <w:rPr>
          <w:rFonts w:ascii="Abadi" w:hAnsi="Abadi"/>
          <w:b/>
          <w:bCs/>
        </w:rPr>
      </w:pPr>
      <w:r w:rsidRPr="00EF2F88">
        <w:rPr>
          <w:rFonts w:ascii="Abadi" w:hAnsi="Abadi"/>
          <w:b/>
          <w:bCs/>
        </w:rPr>
        <w:t>TASK 1</w:t>
      </w:r>
    </w:p>
    <w:p w14:paraId="6C15AC6F" w14:textId="77777777" w:rsidR="00883492" w:rsidRPr="00EF2F88" w:rsidRDefault="00883492">
      <w:pPr>
        <w:rPr>
          <w:sz w:val="22"/>
          <w:szCs w:val="22"/>
        </w:rPr>
      </w:pPr>
    </w:p>
    <w:p w14:paraId="46D8BEF0" w14:textId="4E15FEC7" w:rsidR="00EF2F88" w:rsidRDefault="00EF2F88" w:rsidP="00EF2F88">
      <w:pPr>
        <w:pStyle w:val="NormalWeb"/>
        <w:rPr>
          <w:rFonts w:ascii="Abadi" w:hAnsi="Abadi" w:cs="Calibri"/>
          <w:color w:val="000000"/>
        </w:rPr>
      </w:pPr>
      <w:r w:rsidRPr="004046CF">
        <w:rPr>
          <w:rFonts w:ascii="Abadi" w:hAnsi="Abadi" w:cs="Calibri"/>
          <w:color w:val="000000"/>
        </w:rPr>
        <w:t>Agile software development emerged as a response to the limitations of the traditional waterfall method, gaining popularity for its adaptability, flexibility, and emphasis on collaboration. By enabling shorter iterations on deliverables, agile practices foster continuous feedback, leading to improved outcomes in software development [2, 16]. Grounded in the Agile Manifesto, these methodologies prioritise customer collaboration, adaptability, and delivering working software over rigid processes and documentation [8, 15].</w:t>
      </w:r>
      <w:r w:rsidRPr="004046CF">
        <w:rPr>
          <w:rFonts w:ascii="Abadi" w:hAnsi="Abadi" w:cs="Calibri"/>
          <w:color w:val="000000"/>
        </w:rPr>
        <w:t xml:space="preserve"> </w:t>
      </w:r>
      <w:r w:rsidRPr="004046CF">
        <w:rPr>
          <w:rFonts w:ascii="Abadi" w:hAnsi="Abadi" w:cs="Calibri"/>
          <w:color w:val="000000"/>
        </w:rPr>
        <w:t>Agile methods align with these principles, with prominent examples including Test-Driven Development (TDD) [1-7], Feature-Driven Development (FDD) [3,10], and Behaviour-Driven Development (BDD) [9-14]. While these methodologies share a foundation in building software incrementally and iteratively, they differ significantly in their history, purpose, advantages, and disadvantages. A deeper investigation is necessary to explore these differences and their implications for modern software development.</w:t>
      </w:r>
    </w:p>
    <w:p w14:paraId="5F8B3580" w14:textId="77777777" w:rsidR="006E4F9F" w:rsidRPr="004046CF" w:rsidRDefault="006E4F9F" w:rsidP="00EF2F88">
      <w:pPr>
        <w:pStyle w:val="NormalWeb"/>
        <w:rPr>
          <w:rFonts w:ascii="Abadi" w:hAnsi="Abadi" w:cs="Calibri"/>
          <w:color w:val="000000"/>
        </w:rPr>
      </w:pPr>
    </w:p>
    <w:p w14:paraId="39AB388C" w14:textId="23EB4D08" w:rsidR="00EF2F88" w:rsidRPr="004046CF" w:rsidRDefault="00EF2F88" w:rsidP="00EF2F88">
      <w:pPr>
        <w:pStyle w:val="NormalWeb"/>
        <w:rPr>
          <w:rFonts w:ascii="Abadi" w:hAnsi="Abadi"/>
          <w:color w:val="000000"/>
        </w:rPr>
      </w:pPr>
      <w:r w:rsidRPr="004046CF">
        <w:rPr>
          <w:rFonts w:ascii="Abadi" w:hAnsi="Abadi"/>
          <w:color w:val="000000"/>
        </w:rPr>
        <w:t xml:space="preserve">The concept of </w:t>
      </w:r>
      <w:r w:rsidRPr="004046CF">
        <w:rPr>
          <w:rFonts w:ascii="Abadi" w:hAnsi="Abadi"/>
          <w:color w:val="000000"/>
        </w:rPr>
        <w:t xml:space="preserve">TDD </w:t>
      </w:r>
      <w:r w:rsidRPr="004046CF">
        <w:rPr>
          <w:rFonts w:ascii="Abadi" w:hAnsi="Abadi"/>
          <w:color w:val="000000"/>
        </w:rPr>
        <w:t>originated in the late 1950s during NASA's work on the Mercury project. It was later reintroduced and popularised in 2003 by Kent Beck as a core practice of Extreme Programming (XP) [2,4].</w:t>
      </w:r>
      <w:r w:rsidRPr="004046CF">
        <w:rPr>
          <w:rFonts w:ascii="Abadi" w:hAnsi="Abadi"/>
          <w:color w:val="000000"/>
        </w:rPr>
        <w:t xml:space="preserve"> </w:t>
      </w:r>
      <w:r w:rsidRPr="004046CF">
        <w:rPr>
          <w:rFonts w:ascii="Abadi" w:hAnsi="Abadi"/>
          <w:color w:val="000000"/>
        </w:rPr>
        <w:t>TDD is an agile testing approach in which automated tests are created iteratively before the actual code is written. This method contrasts with traditional software development, often referred to as Test Last Development (TLD), where testing typically occurs only after coding is complete. In TDD, the process begins with writing a test for a specific functionality in the system, which then serves as both a guide and a validation tool for the subsequent code development. As a result, bugs are identified and resolved earlier, unnecessary or obsolete code is reduced, and cleaner, more maintainable code is produced [1, 2, 4].</w:t>
      </w:r>
      <w:r w:rsidRPr="004046CF">
        <w:rPr>
          <w:rFonts w:ascii="Abadi" w:hAnsi="Abadi"/>
          <w:color w:val="000000"/>
        </w:rPr>
        <w:t xml:space="preserve"> </w:t>
      </w:r>
      <w:r w:rsidRPr="004046CF">
        <w:rPr>
          <w:rFonts w:ascii="Abadi" w:hAnsi="Abadi"/>
          <w:color w:val="000000"/>
        </w:rPr>
        <w:t>TDD is believed to be governed by the principles of avoiding duplication and writing a failing test, followed by writing the code needed to make the test pass [2].</w:t>
      </w:r>
    </w:p>
    <w:p w14:paraId="7511DD32" w14:textId="37674A27" w:rsidR="00883492" w:rsidRPr="00805A5F" w:rsidRDefault="00EF2F88" w:rsidP="00805A5F">
      <w:pPr>
        <w:pStyle w:val="NormalWeb"/>
        <w:rPr>
          <w:rFonts w:ascii="Abadi" w:hAnsi="Abadi"/>
          <w:color w:val="000000"/>
        </w:rPr>
      </w:pPr>
      <w:r w:rsidRPr="004046CF">
        <w:rPr>
          <w:rFonts w:ascii="Abadi" w:hAnsi="Abadi"/>
          <w:color w:val="000000"/>
        </w:rPr>
        <w:t>In practice, this can be broken down into five main steps (Fig. 1) [2]:</w:t>
      </w:r>
    </w:p>
    <w:p w14:paraId="6C892959" w14:textId="77777777" w:rsidR="00883492" w:rsidRPr="004046CF" w:rsidRDefault="00883492" w:rsidP="004046CF">
      <w:pPr>
        <w:pStyle w:val="ListParagraph"/>
        <w:numPr>
          <w:ilvl w:val="0"/>
          <w:numId w:val="8"/>
        </w:numPr>
        <w:spacing w:after="0" w:line="240" w:lineRule="auto"/>
        <w:textAlignment w:val="center"/>
        <w:rPr>
          <w:rFonts w:ascii="Abadi" w:eastAsia="Times New Roman" w:hAnsi="Abadi" w:cs="Calibri"/>
          <w:color w:val="000000"/>
          <w:kern w:val="0"/>
          <w:lang w:eastAsia="en-GB"/>
          <w14:ligatures w14:val="none"/>
        </w:rPr>
      </w:pPr>
      <w:r w:rsidRPr="00896590">
        <w:rPr>
          <w:rFonts w:ascii="Abadi" w:eastAsia="Times New Roman" w:hAnsi="Abadi" w:cs="Calibri"/>
          <w:b/>
          <w:bCs/>
          <w:color w:val="000000"/>
          <w:kern w:val="0"/>
          <w:lang w:eastAsia="en-GB"/>
          <w14:ligatures w14:val="none"/>
        </w:rPr>
        <w:t>Write a failing test:</w:t>
      </w:r>
      <w:r w:rsidRPr="004046CF">
        <w:rPr>
          <w:rFonts w:ascii="Abadi" w:eastAsia="Times New Roman" w:hAnsi="Abadi" w:cs="Calibri"/>
          <w:color w:val="000000"/>
          <w:kern w:val="0"/>
          <w:lang w:eastAsia="en-GB"/>
          <w14:ligatures w14:val="none"/>
        </w:rPr>
        <w:t> Start by writing a test for a functionality. Since the functionality doesn't exist yet, the test will fail.</w:t>
      </w:r>
    </w:p>
    <w:p w14:paraId="65043803" w14:textId="77777777" w:rsidR="00883492" w:rsidRPr="004046CF" w:rsidRDefault="00883492" w:rsidP="004046CF">
      <w:pPr>
        <w:pStyle w:val="ListParagraph"/>
        <w:numPr>
          <w:ilvl w:val="0"/>
          <w:numId w:val="8"/>
        </w:numPr>
        <w:spacing w:after="0" w:line="240" w:lineRule="auto"/>
        <w:textAlignment w:val="center"/>
        <w:rPr>
          <w:rFonts w:ascii="Abadi" w:eastAsia="Times New Roman" w:hAnsi="Abadi" w:cs="Calibri"/>
          <w:color w:val="000000"/>
          <w:kern w:val="0"/>
          <w:lang w:eastAsia="en-GB"/>
          <w14:ligatures w14:val="none"/>
        </w:rPr>
      </w:pPr>
      <w:r w:rsidRPr="00896590">
        <w:rPr>
          <w:rFonts w:ascii="Abadi" w:eastAsia="Times New Roman" w:hAnsi="Abadi" w:cs="Calibri"/>
          <w:b/>
          <w:bCs/>
          <w:color w:val="000000"/>
          <w:kern w:val="0"/>
          <w:lang w:eastAsia="en-GB"/>
          <w14:ligatures w14:val="none"/>
        </w:rPr>
        <w:t>Implement code to pass the test:</w:t>
      </w:r>
      <w:r w:rsidRPr="004046CF">
        <w:rPr>
          <w:rFonts w:ascii="Abadi" w:eastAsia="Times New Roman" w:hAnsi="Abadi" w:cs="Calibri"/>
          <w:color w:val="000000"/>
          <w:kern w:val="0"/>
          <w:lang w:eastAsia="en-GB"/>
          <w14:ligatures w14:val="none"/>
        </w:rPr>
        <w:t> Write just enough code to pass the test.</w:t>
      </w:r>
    </w:p>
    <w:p w14:paraId="6DE5AE84" w14:textId="77777777" w:rsidR="00883492" w:rsidRPr="004046CF" w:rsidRDefault="00883492" w:rsidP="004046CF">
      <w:pPr>
        <w:pStyle w:val="ListParagraph"/>
        <w:numPr>
          <w:ilvl w:val="0"/>
          <w:numId w:val="8"/>
        </w:numPr>
        <w:spacing w:after="0" w:line="240" w:lineRule="auto"/>
        <w:textAlignment w:val="center"/>
        <w:rPr>
          <w:rFonts w:ascii="Abadi" w:eastAsia="Times New Roman" w:hAnsi="Abadi" w:cs="Calibri"/>
          <w:color w:val="000000"/>
          <w:kern w:val="0"/>
          <w:lang w:eastAsia="en-GB"/>
          <w14:ligatures w14:val="none"/>
        </w:rPr>
      </w:pPr>
      <w:r w:rsidRPr="00896590">
        <w:rPr>
          <w:rFonts w:ascii="Abadi" w:eastAsia="Times New Roman" w:hAnsi="Abadi" w:cs="Calibri"/>
          <w:b/>
          <w:bCs/>
          <w:color w:val="000000"/>
          <w:kern w:val="0"/>
          <w:lang w:eastAsia="en-GB"/>
          <w14:ligatures w14:val="none"/>
        </w:rPr>
        <w:t>Run the test:</w:t>
      </w:r>
      <w:r w:rsidRPr="004046CF">
        <w:rPr>
          <w:rFonts w:ascii="Abadi" w:eastAsia="Times New Roman" w:hAnsi="Abadi" w:cs="Calibri"/>
          <w:color w:val="000000"/>
          <w:kern w:val="0"/>
          <w:lang w:eastAsia="en-GB"/>
          <w14:ligatures w14:val="none"/>
        </w:rPr>
        <w:t> Confirm that the test passes with the current code.</w:t>
      </w:r>
    </w:p>
    <w:p w14:paraId="1F64FF95" w14:textId="77777777" w:rsidR="00883492" w:rsidRPr="004046CF" w:rsidRDefault="00883492" w:rsidP="004046CF">
      <w:pPr>
        <w:pStyle w:val="ListParagraph"/>
        <w:numPr>
          <w:ilvl w:val="0"/>
          <w:numId w:val="8"/>
        </w:numPr>
        <w:spacing w:after="0" w:line="240" w:lineRule="auto"/>
        <w:textAlignment w:val="center"/>
        <w:rPr>
          <w:rFonts w:ascii="Abadi" w:eastAsia="Times New Roman" w:hAnsi="Abadi" w:cs="Calibri"/>
          <w:color w:val="000000"/>
          <w:kern w:val="0"/>
          <w:lang w:eastAsia="en-GB"/>
          <w14:ligatures w14:val="none"/>
        </w:rPr>
      </w:pPr>
      <w:r w:rsidRPr="00896590">
        <w:rPr>
          <w:rFonts w:ascii="Abadi" w:eastAsia="Times New Roman" w:hAnsi="Abadi" w:cs="Calibri"/>
          <w:b/>
          <w:bCs/>
          <w:color w:val="000000"/>
          <w:kern w:val="0"/>
          <w:lang w:eastAsia="en-GB"/>
          <w14:ligatures w14:val="none"/>
        </w:rPr>
        <w:t>Refactor code:</w:t>
      </w:r>
      <w:r w:rsidRPr="004046CF">
        <w:rPr>
          <w:rFonts w:ascii="Abadi" w:eastAsia="Times New Roman" w:hAnsi="Abadi" w:cs="Calibri"/>
          <w:color w:val="000000"/>
          <w:kern w:val="0"/>
          <w:lang w:eastAsia="en-GB"/>
          <w14:ligatures w14:val="none"/>
        </w:rPr>
        <w:t> Improve and clean up the code without changing its behaviour.</w:t>
      </w:r>
    </w:p>
    <w:p w14:paraId="00ADB3C0" w14:textId="77777777" w:rsidR="00883492" w:rsidRPr="004046CF" w:rsidRDefault="00883492" w:rsidP="004046CF">
      <w:pPr>
        <w:pStyle w:val="ListParagraph"/>
        <w:numPr>
          <w:ilvl w:val="0"/>
          <w:numId w:val="8"/>
        </w:numPr>
        <w:spacing w:after="0" w:line="240" w:lineRule="auto"/>
        <w:textAlignment w:val="center"/>
        <w:rPr>
          <w:rFonts w:ascii="Abadi" w:eastAsia="Times New Roman" w:hAnsi="Abadi" w:cs="Calibri"/>
          <w:color w:val="000000"/>
          <w:kern w:val="0"/>
          <w:lang w:eastAsia="en-GB"/>
          <w14:ligatures w14:val="none"/>
        </w:rPr>
      </w:pPr>
      <w:r w:rsidRPr="00896590">
        <w:rPr>
          <w:rFonts w:ascii="Abadi" w:eastAsia="Times New Roman" w:hAnsi="Abadi" w:cs="Calibri"/>
          <w:b/>
          <w:bCs/>
          <w:color w:val="000000"/>
          <w:kern w:val="0"/>
          <w:lang w:eastAsia="en-GB"/>
          <w14:ligatures w14:val="none"/>
        </w:rPr>
        <w:t>Repeat:</w:t>
      </w:r>
      <w:r w:rsidRPr="004046CF">
        <w:rPr>
          <w:rFonts w:ascii="Abadi" w:eastAsia="Times New Roman" w:hAnsi="Abadi" w:cs="Calibri"/>
          <w:color w:val="000000"/>
          <w:kern w:val="0"/>
          <w:lang w:eastAsia="en-GB"/>
          <w14:ligatures w14:val="none"/>
        </w:rPr>
        <w:t> Continuously repeat this cycle as you develop the functionality.</w:t>
      </w:r>
    </w:p>
    <w:p w14:paraId="22D57E34" w14:textId="77777777" w:rsidR="00883492" w:rsidRPr="004046CF" w:rsidRDefault="00883492" w:rsidP="00883492">
      <w:pPr>
        <w:spacing w:after="0" w:line="240" w:lineRule="auto"/>
        <w:ind w:left="720"/>
        <w:rPr>
          <w:rFonts w:ascii="Abadi" w:eastAsia="Times New Roman" w:hAnsi="Abadi" w:cs="Calibri"/>
          <w:kern w:val="0"/>
          <w:lang w:eastAsia="en-GB"/>
          <w14:ligatures w14:val="none"/>
        </w:rPr>
      </w:pPr>
      <w:r w:rsidRPr="004046CF">
        <w:rPr>
          <w:rFonts w:ascii="Abadi" w:eastAsia="Times New Roman" w:hAnsi="Abadi" w:cs="Calibri"/>
          <w:kern w:val="0"/>
          <w:lang w:eastAsia="en-GB"/>
          <w14:ligatures w14:val="none"/>
        </w:rPr>
        <w:t> </w:t>
      </w:r>
    </w:p>
    <w:p w14:paraId="7357663B"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AF9ECDD"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6100D371"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7BC8B4F" w14:textId="7BECCB9B" w:rsidR="00883492" w:rsidRPr="00883492" w:rsidRDefault="00883492" w:rsidP="00883492">
      <w:pPr>
        <w:spacing w:after="0" w:line="240" w:lineRule="auto"/>
        <w:ind w:left="2340"/>
        <w:rPr>
          <w:rFonts w:ascii="Calibri" w:eastAsia="Times New Roman" w:hAnsi="Calibri" w:cs="Calibri"/>
          <w:kern w:val="0"/>
          <w:sz w:val="22"/>
          <w:szCs w:val="22"/>
          <w:lang w:eastAsia="en-GB"/>
          <w14:ligatures w14:val="none"/>
        </w:rPr>
      </w:pPr>
      <w:r w:rsidRPr="00883492">
        <w:rPr>
          <w:rFonts w:ascii="Calibri" w:eastAsia="Times New Roman" w:hAnsi="Calibri" w:cs="Calibri"/>
          <w:noProof/>
          <w:kern w:val="0"/>
          <w:sz w:val="22"/>
          <w:szCs w:val="22"/>
          <w:lang w:eastAsia="en-GB"/>
          <w14:ligatures w14:val="none"/>
        </w:rPr>
        <w:lastRenderedPageBreak/>
        <w:drawing>
          <wp:inline distT="0" distB="0" distL="0" distR="0" wp14:anchorId="700F2B10" wp14:editId="729291B5">
            <wp:extent cx="3834130" cy="4655185"/>
            <wp:effectExtent l="0" t="0" r="1270" b="5715"/>
            <wp:docPr id="1442833123" name="Picture 3" descr="Add test —s ets) &#10;Automate tet —sets) &#10;Wrae code &#10;FaiP &#10;Refaex &#10;Run code &#10;Fa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 test —s ets) &#10;Automate tet —sets) &#10;Wrae code &#10;FaiP &#10;Refaex &#10;Run code &#10;FaiP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4130" cy="4655185"/>
                    </a:xfrm>
                    <a:prstGeom prst="rect">
                      <a:avLst/>
                    </a:prstGeom>
                    <a:noFill/>
                    <a:ln>
                      <a:noFill/>
                    </a:ln>
                  </pic:spPr>
                </pic:pic>
              </a:graphicData>
            </a:graphic>
          </wp:inline>
        </w:drawing>
      </w:r>
    </w:p>
    <w:p w14:paraId="1739602B" w14:textId="77777777" w:rsidR="00883492" w:rsidRPr="00805A5F" w:rsidRDefault="00883492" w:rsidP="00883492">
      <w:pPr>
        <w:spacing w:after="0" w:line="240" w:lineRule="auto"/>
        <w:ind w:left="2340"/>
        <w:rPr>
          <w:rFonts w:ascii="Abadi" w:eastAsia="Times New Roman" w:hAnsi="Abadi" w:cs="Calibri"/>
          <w:kern w:val="0"/>
          <w:lang w:eastAsia="en-GB"/>
          <w14:ligatures w14:val="none"/>
        </w:rPr>
      </w:pPr>
      <w:r w:rsidRPr="00805A5F">
        <w:rPr>
          <w:rFonts w:ascii="Abadi" w:eastAsia="Times New Roman" w:hAnsi="Abadi" w:cs="Calibri"/>
          <w:kern w:val="0"/>
          <w:lang w:eastAsia="en-GB"/>
          <w14:ligatures w14:val="none"/>
        </w:rPr>
        <w:t>Figure 1: The TDD Workflow [4]</w:t>
      </w:r>
    </w:p>
    <w:p w14:paraId="0F2B1EE0"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044C3545"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7C9A3D6" w14:textId="599A1788" w:rsidR="00AF0AF7" w:rsidRPr="00AF0AF7" w:rsidRDefault="00AF0AF7" w:rsidP="00AF0AF7">
      <w:pPr>
        <w:pStyle w:val="NormalWeb"/>
        <w:rPr>
          <w:rFonts w:ascii="Abadi" w:hAnsi="Abadi"/>
          <w:color w:val="000000"/>
        </w:rPr>
      </w:pPr>
      <w:r w:rsidRPr="00AF0AF7">
        <w:rPr>
          <w:rFonts w:ascii="Abadi" w:hAnsi="Abadi"/>
          <w:color w:val="000000"/>
        </w:rPr>
        <w:t xml:space="preserve">This iterative process enhances the quality of unit tests, produces superior code, and provides increased test coverage while preserving core functionality [5]. TDD offers a range of additional benefits. It enables developers to work in an agile manner, allowing them to build, iterate, and </w:t>
      </w:r>
      <w:r w:rsidRPr="00AF0AF7">
        <w:rPr>
          <w:rFonts w:ascii="Abadi" w:hAnsi="Abadi"/>
          <w:color w:val="000000"/>
        </w:rPr>
        <w:t>adjust</w:t>
      </w:r>
      <w:r w:rsidRPr="00AF0AF7">
        <w:rPr>
          <w:rFonts w:ascii="Abadi" w:hAnsi="Abadi"/>
          <w:color w:val="000000"/>
        </w:rPr>
        <w:t xml:space="preserve"> in a structured process while receiving rapid feedback. This approach provides the flexibility needed to adapt to business changes that might otherwise lead to messy code and slower progress [1, 5]. As a result, TDD can accommodate both ambiguous and well-defined requirements [5].</w:t>
      </w:r>
    </w:p>
    <w:p w14:paraId="0D9F3192" w14:textId="77777777" w:rsidR="00AF0AF7" w:rsidRPr="00AF0AF7" w:rsidRDefault="00AF0AF7" w:rsidP="00AF0AF7">
      <w:pPr>
        <w:pStyle w:val="NormalWeb"/>
        <w:rPr>
          <w:rFonts w:ascii="Abadi" w:hAnsi="Abadi"/>
          <w:color w:val="000000"/>
        </w:rPr>
      </w:pPr>
      <w:r w:rsidRPr="00AF0AF7">
        <w:rPr>
          <w:rFonts w:ascii="Abadi" w:hAnsi="Abadi"/>
          <w:color w:val="000000"/>
        </w:rPr>
        <w:t>TDD also streamlines continuous integration and supports Agile practices, such as unit testing and user stories [5]. Additionally, it can be particularly valuable in refining product design during the early stages of development [4].</w:t>
      </w:r>
    </w:p>
    <w:p w14:paraId="2F3D6603" w14:textId="77777777" w:rsidR="00AF0AF7" w:rsidRPr="00AF0AF7" w:rsidRDefault="00AF0AF7" w:rsidP="00AF0AF7">
      <w:pPr>
        <w:pStyle w:val="NormalWeb"/>
        <w:rPr>
          <w:rFonts w:ascii="Abadi" w:hAnsi="Abadi"/>
          <w:color w:val="000000"/>
        </w:rPr>
      </w:pPr>
      <w:r w:rsidRPr="00AF0AF7">
        <w:rPr>
          <w:rFonts w:ascii="Abadi" w:hAnsi="Abadi"/>
          <w:color w:val="000000"/>
        </w:rPr>
        <w:t>Furthermore, TDD is accessible to developers of all skill levels [5], although it may require additional expertise in testing for those who are less familiar with it [2]. However, this challenge can be viewed as an opportunity to enhance programming skills, enriching developers’ knowledge and insights into the world of software development [5].</w:t>
      </w:r>
    </w:p>
    <w:p w14:paraId="1955F0F8"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133D32C0" w14:textId="77777777" w:rsidR="00AF0AF7" w:rsidRPr="00AF0AF7" w:rsidRDefault="00AF0AF7" w:rsidP="00AF0AF7">
      <w:pPr>
        <w:pStyle w:val="NormalWeb"/>
        <w:rPr>
          <w:rFonts w:ascii="Abadi" w:hAnsi="Abadi"/>
          <w:color w:val="000000"/>
        </w:rPr>
      </w:pPr>
      <w:r w:rsidRPr="00AF0AF7">
        <w:rPr>
          <w:rFonts w:ascii="Abadi" w:hAnsi="Abadi"/>
          <w:color w:val="000000"/>
        </w:rPr>
        <w:lastRenderedPageBreak/>
        <w:t>The main drawbacks of Test-Driven Development (TDD) are its potential to consume significant time and resources, which can be directly compared to traditional Test-Last Development (TLD) [2, 4, 5]. This consumption of time and effort can divert developers’ attention from building new features or advancing projects, as they spend time on the repetitive tasks involved in TDD [6]. Indeed, the repetition itself can be demotivating, especially for new developers. Furthermore, the large volume of test code that needs constant maintenance adds to the challenge [6].</w:t>
      </w:r>
    </w:p>
    <w:p w14:paraId="2DD09E95" w14:textId="77777777" w:rsidR="00AF0AF7" w:rsidRPr="00AF0AF7" w:rsidRDefault="00AF0AF7" w:rsidP="00AF0AF7">
      <w:pPr>
        <w:pStyle w:val="NormalWeb"/>
        <w:rPr>
          <w:rFonts w:ascii="Abadi" w:hAnsi="Abadi"/>
          <w:color w:val="000000"/>
        </w:rPr>
      </w:pPr>
      <w:r w:rsidRPr="00AF0AF7">
        <w:rPr>
          <w:rFonts w:ascii="Abadi" w:hAnsi="Abadi"/>
          <w:color w:val="000000"/>
        </w:rPr>
        <w:t>TDD can also pose significant challenges for experienced professionals, particularly when developers lack the necessary knowledge and competencies in testing. This gap can prevent them from creating efficient and effective automated tests [6]. Additionally, TDD can be difficult to implement in projects requiring synchronisation between different functionalities and components [2].</w:t>
      </w:r>
    </w:p>
    <w:p w14:paraId="6C546D6C" w14:textId="33DC7F82" w:rsidR="00883492" w:rsidRDefault="00AF0AF7" w:rsidP="00896590">
      <w:pPr>
        <w:pStyle w:val="NormalWeb"/>
        <w:rPr>
          <w:rFonts w:ascii="Abadi" w:hAnsi="Abadi"/>
          <w:color w:val="000000"/>
        </w:rPr>
      </w:pPr>
      <w:r w:rsidRPr="00AF0AF7">
        <w:rPr>
          <w:rFonts w:ascii="Abadi" w:hAnsi="Abadi"/>
          <w:color w:val="000000"/>
        </w:rPr>
        <w:t>There is also debate around whether the potential benefits of TDD stem from the order of writing tests and code, or whether it is the short, well-defined tasks that promote steady development and improve overall quality and productivity, rather than the test-first approach itself [7].</w:t>
      </w:r>
    </w:p>
    <w:p w14:paraId="017AC1F4" w14:textId="77777777" w:rsidR="00896590" w:rsidRPr="00896590" w:rsidRDefault="00896590" w:rsidP="00896590">
      <w:pPr>
        <w:pStyle w:val="NormalWeb"/>
        <w:rPr>
          <w:rFonts w:ascii="Abadi" w:hAnsi="Abadi"/>
          <w:color w:val="000000"/>
        </w:rPr>
      </w:pPr>
    </w:p>
    <w:p w14:paraId="0D39CD2C" w14:textId="77777777" w:rsidR="00896590" w:rsidRPr="00896590" w:rsidRDefault="00896590" w:rsidP="00896590">
      <w:p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color w:val="000000"/>
          <w:kern w:val="0"/>
          <w:lang w:eastAsia="en-GB"/>
          <w14:ligatures w14:val="none"/>
        </w:rPr>
        <w:t>BDD is an agile technique introduced in the early 2000s to address gaps left by TDD [3, 4]. It builds on TDD principles but operates at a higher level, shifting the focus from testing to defining and verifying the system's expected behaviour [13]. By allowing software teams to specify requirements using structured natural language to express expected behaviour, BDD facilitates communication and understanding between technical and non-technical stakeholders within the team [3, 4]. The main goal of BDD is to define sets of behaviours the system should expect from a user [13]. Traditional methods of clarifying requirements often led to miscommunication and ambiguity between stakeholders and technical teams, making effective collaboration challenging. By employing natural language, BDD addresses these issues, ensuring the entire team shares a common understanding and narrative [13, 14].</w:t>
      </w:r>
    </w:p>
    <w:p w14:paraId="7D80D7CA" w14:textId="77777777" w:rsidR="00896590" w:rsidRPr="00896590" w:rsidRDefault="00896590" w:rsidP="00896590">
      <w:p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color w:val="000000"/>
          <w:kern w:val="0"/>
          <w:lang w:eastAsia="en-GB"/>
          <w14:ligatures w14:val="none"/>
        </w:rPr>
        <w:t>A key pattern in BDD is the "Given-When-Then" format, which describes scenarios as follows [13]:</w:t>
      </w:r>
    </w:p>
    <w:p w14:paraId="52E3532C" w14:textId="77777777" w:rsidR="00896590" w:rsidRPr="00896590" w:rsidRDefault="00896590" w:rsidP="00896590">
      <w:pPr>
        <w:numPr>
          <w:ilvl w:val="0"/>
          <w:numId w:val="9"/>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Given</w:t>
      </w:r>
      <w:r w:rsidRPr="00896590">
        <w:rPr>
          <w:rFonts w:ascii="Abadi" w:eastAsia="Times New Roman" w:hAnsi="Abadi" w:cs="Times New Roman"/>
          <w:color w:val="000000"/>
          <w:kern w:val="0"/>
          <w:lang w:eastAsia="en-GB"/>
          <w14:ligatures w14:val="none"/>
        </w:rPr>
        <w:t> – the context or initial situation</w:t>
      </w:r>
    </w:p>
    <w:p w14:paraId="75FAA34F" w14:textId="77777777" w:rsidR="00896590" w:rsidRPr="00896590" w:rsidRDefault="00896590" w:rsidP="00896590">
      <w:pPr>
        <w:numPr>
          <w:ilvl w:val="0"/>
          <w:numId w:val="9"/>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When</w:t>
      </w:r>
      <w:r w:rsidRPr="00896590">
        <w:rPr>
          <w:rFonts w:ascii="Abadi" w:eastAsia="Times New Roman" w:hAnsi="Abadi" w:cs="Times New Roman"/>
          <w:color w:val="000000"/>
          <w:kern w:val="0"/>
          <w:lang w:eastAsia="en-GB"/>
          <w14:ligatures w14:val="none"/>
        </w:rPr>
        <w:t> – an event occurs</w:t>
      </w:r>
    </w:p>
    <w:p w14:paraId="2B581638" w14:textId="77777777" w:rsidR="00896590" w:rsidRPr="00896590" w:rsidRDefault="00896590" w:rsidP="00896590">
      <w:pPr>
        <w:numPr>
          <w:ilvl w:val="0"/>
          <w:numId w:val="9"/>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Then</w:t>
      </w:r>
      <w:r w:rsidRPr="00896590">
        <w:rPr>
          <w:rFonts w:ascii="Abadi" w:eastAsia="Times New Roman" w:hAnsi="Abadi" w:cs="Times New Roman"/>
          <w:color w:val="000000"/>
          <w:kern w:val="0"/>
          <w:lang w:eastAsia="en-GB"/>
          <w14:ligatures w14:val="none"/>
        </w:rPr>
        <w:t> – the expected outcome</w:t>
      </w:r>
    </w:p>
    <w:p w14:paraId="590FACB5" w14:textId="2EE9F4A4" w:rsidR="00883492" w:rsidRPr="00896590" w:rsidRDefault="00896590" w:rsidP="00896590">
      <w:p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color w:val="000000"/>
          <w:kern w:val="0"/>
          <w:lang w:eastAsia="en-GB"/>
          <w14:ligatures w14:val="none"/>
        </w:rPr>
        <w:t>This structure helps define expected software behaviour. The scenarios can also serve as test cases. By adding "glue code" that directly connects the scenario to the test, the software can be verified to ensure it behaves as expected [3, 4, 13].</w:t>
      </w:r>
    </w:p>
    <w:p w14:paraId="49618D58" w14:textId="77777777" w:rsidR="00883492" w:rsidRPr="00896590" w:rsidRDefault="00883492" w:rsidP="00883492">
      <w:pPr>
        <w:spacing w:after="0" w:line="240" w:lineRule="auto"/>
        <w:ind w:left="720"/>
        <w:rPr>
          <w:rFonts w:ascii="Abadi" w:eastAsia="Times New Roman" w:hAnsi="Abadi" w:cs="Calibri"/>
          <w:kern w:val="0"/>
          <w:lang w:eastAsia="en-GB"/>
          <w14:ligatures w14:val="none"/>
        </w:rPr>
      </w:pPr>
      <w:r w:rsidRPr="00896590">
        <w:rPr>
          <w:rFonts w:ascii="Abadi" w:eastAsia="Times New Roman" w:hAnsi="Abadi" w:cs="Calibri"/>
          <w:kern w:val="0"/>
          <w:lang w:eastAsia="en-GB"/>
          <w14:ligatures w14:val="none"/>
        </w:rPr>
        <w:t> </w:t>
      </w:r>
    </w:p>
    <w:p w14:paraId="3E7850E5" w14:textId="15831129" w:rsidR="00883492" w:rsidRPr="00896590" w:rsidRDefault="00883492" w:rsidP="00896590">
      <w:pPr>
        <w:spacing w:after="0" w:line="240" w:lineRule="auto"/>
        <w:rPr>
          <w:rFonts w:ascii="Abadi" w:eastAsia="Times New Roman" w:hAnsi="Abadi" w:cs="Calibri"/>
          <w:color w:val="000000"/>
          <w:kern w:val="0"/>
          <w:lang w:eastAsia="en-GB"/>
          <w14:ligatures w14:val="none"/>
        </w:rPr>
      </w:pPr>
      <w:r w:rsidRPr="00896590">
        <w:rPr>
          <w:rFonts w:ascii="Abadi" w:eastAsia="Times New Roman" w:hAnsi="Abadi" w:cs="Calibri"/>
          <w:color w:val="000000"/>
          <w:kern w:val="0"/>
          <w:lang w:eastAsia="en-GB"/>
          <w14:ligatures w14:val="none"/>
        </w:rPr>
        <w:t>The steps involved in BDD include (Fig. 3) [13]:</w:t>
      </w:r>
    </w:p>
    <w:p w14:paraId="182EB4CD" w14:textId="77777777" w:rsidR="00896590" w:rsidRPr="00896590" w:rsidRDefault="00883492" w:rsidP="00896590">
      <w:pPr>
        <w:pStyle w:val="ListParagraph"/>
        <w:numPr>
          <w:ilvl w:val="0"/>
          <w:numId w:val="10"/>
        </w:numPr>
        <w:spacing w:after="0" w:line="240" w:lineRule="auto"/>
        <w:textAlignment w:val="center"/>
        <w:rPr>
          <w:rFonts w:ascii="Abadi" w:eastAsia="Times New Roman" w:hAnsi="Abadi" w:cs="Calibri"/>
          <w:b/>
          <w:bCs/>
          <w:color w:val="000000"/>
          <w:kern w:val="0"/>
          <w:lang w:eastAsia="en-GB"/>
          <w14:ligatures w14:val="none"/>
        </w:rPr>
      </w:pPr>
      <w:r w:rsidRPr="00896590">
        <w:rPr>
          <w:rFonts w:ascii="Abadi" w:eastAsia="Times New Roman" w:hAnsi="Abadi" w:cs="Calibri"/>
          <w:b/>
          <w:bCs/>
          <w:color w:val="000000"/>
          <w:kern w:val="0"/>
          <w:lang w:eastAsia="en-GB"/>
          <w14:ligatures w14:val="none"/>
        </w:rPr>
        <w:t>Requirement gathering and analysis</w:t>
      </w:r>
      <w:r w:rsidRPr="00896590">
        <w:rPr>
          <w:rFonts w:ascii="Abadi" w:eastAsia="Times New Roman" w:hAnsi="Abadi" w:cs="Calibri"/>
          <w:color w:val="000000"/>
          <w:kern w:val="0"/>
          <w:lang w:eastAsia="en-GB"/>
          <w14:ligatures w14:val="none"/>
        </w:rPr>
        <w:t> – This step involves understanding and analyzing the requirements.</w:t>
      </w:r>
    </w:p>
    <w:p w14:paraId="7C3AF23B" w14:textId="77777777" w:rsidR="00896590" w:rsidRPr="00896590" w:rsidRDefault="00883492" w:rsidP="00896590">
      <w:pPr>
        <w:pStyle w:val="ListParagraph"/>
        <w:numPr>
          <w:ilvl w:val="0"/>
          <w:numId w:val="10"/>
        </w:numPr>
        <w:spacing w:after="0" w:line="240" w:lineRule="auto"/>
        <w:textAlignment w:val="center"/>
        <w:rPr>
          <w:rFonts w:ascii="Abadi" w:eastAsia="Times New Roman" w:hAnsi="Abadi" w:cs="Calibri"/>
          <w:b/>
          <w:bCs/>
          <w:color w:val="000000"/>
          <w:kern w:val="0"/>
          <w:lang w:eastAsia="en-GB"/>
          <w14:ligatures w14:val="none"/>
        </w:rPr>
      </w:pPr>
      <w:r w:rsidRPr="00896590">
        <w:rPr>
          <w:rFonts w:ascii="Abadi" w:eastAsia="Times New Roman" w:hAnsi="Abadi" w:cs="Calibri"/>
          <w:b/>
          <w:bCs/>
          <w:color w:val="000000"/>
          <w:kern w:val="0"/>
          <w:lang w:eastAsia="en-GB"/>
          <w14:ligatures w14:val="none"/>
        </w:rPr>
        <w:t>Creation of user stories</w:t>
      </w:r>
      <w:r w:rsidRPr="00896590">
        <w:rPr>
          <w:rFonts w:ascii="Abadi" w:eastAsia="Times New Roman" w:hAnsi="Abadi" w:cs="Calibri"/>
          <w:color w:val="000000"/>
          <w:kern w:val="0"/>
          <w:lang w:eastAsia="en-GB"/>
          <w14:ligatures w14:val="none"/>
        </w:rPr>
        <w:t> – User stories are created by business analysts based on the gathered requirements.</w:t>
      </w:r>
    </w:p>
    <w:p w14:paraId="38CBAD54" w14:textId="77777777" w:rsidR="00896590" w:rsidRPr="00896590" w:rsidRDefault="00883492" w:rsidP="00896590">
      <w:pPr>
        <w:pStyle w:val="ListParagraph"/>
        <w:numPr>
          <w:ilvl w:val="0"/>
          <w:numId w:val="10"/>
        </w:numPr>
        <w:spacing w:after="0" w:line="240" w:lineRule="auto"/>
        <w:textAlignment w:val="center"/>
        <w:rPr>
          <w:rFonts w:ascii="Abadi" w:eastAsia="Times New Roman" w:hAnsi="Abadi" w:cs="Calibri"/>
          <w:b/>
          <w:bCs/>
          <w:color w:val="000000"/>
          <w:kern w:val="0"/>
          <w:lang w:eastAsia="en-GB"/>
          <w14:ligatures w14:val="none"/>
        </w:rPr>
      </w:pPr>
      <w:r w:rsidRPr="00896590">
        <w:rPr>
          <w:rFonts w:ascii="Abadi" w:eastAsia="Times New Roman" w:hAnsi="Abadi" w:cs="Calibri"/>
          <w:b/>
          <w:bCs/>
          <w:color w:val="000000"/>
          <w:kern w:val="0"/>
          <w:lang w:eastAsia="en-GB"/>
          <w14:ligatures w14:val="none"/>
        </w:rPr>
        <w:lastRenderedPageBreak/>
        <w:t>Testing strategy</w:t>
      </w:r>
      <w:r w:rsidRPr="00896590">
        <w:rPr>
          <w:rFonts w:ascii="Abadi" w:eastAsia="Times New Roman" w:hAnsi="Abadi" w:cs="Calibri"/>
          <w:color w:val="000000"/>
          <w:kern w:val="0"/>
          <w:lang w:eastAsia="en-GB"/>
          <w14:ligatures w14:val="none"/>
        </w:rPr>
        <w:t> – A brainstorming session is held to select the testing strategy, with all team members, including business stakeholders and clients, deciding on the approach.</w:t>
      </w:r>
    </w:p>
    <w:p w14:paraId="1DBDB2D5" w14:textId="77777777" w:rsidR="00896590" w:rsidRPr="00896590" w:rsidRDefault="00883492" w:rsidP="00896590">
      <w:pPr>
        <w:pStyle w:val="ListParagraph"/>
        <w:numPr>
          <w:ilvl w:val="0"/>
          <w:numId w:val="10"/>
        </w:numPr>
        <w:spacing w:after="0" w:line="240" w:lineRule="auto"/>
        <w:textAlignment w:val="center"/>
        <w:rPr>
          <w:rFonts w:ascii="Abadi" w:eastAsia="Times New Roman" w:hAnsi="Abadi" w:cs="Calibri"/>
          <w:b/>
          <w:bCs/>
          <w:color w:val="000000"/>
          <w:kern w:val="0"/>
          <w:lang w:eastAsia="en-GB"/>
          <w14:ligatures w14:val="none"/>
        </w:rPr>
      </w:pPr>
      <w:r w:rsidRPr="00896590">
        <w:rPr>
          <w:rFonts w:ascii="Abadi" w:eastAsia="Times New Roman" w:hAnsi="Abadi" w:cs="Calibri"/>
          <w:b/>
          <w:bCs/>
          <w:color w:val="000000"/>
          <w:kern w:val="0"/>
          <w:lang w:eastAsia="en-GB"/>
          <w14:ligatures w14:val="none"/>
        </w:rPr>
        <w:t>Definition of system behaviour</w:t>
      </w:r>
      <w:r w:rsidRPr="00896590">
        <w:rPr>
          <w:rFonts w:ascii="Abadi" w:eastAsia="Times New Roman" w:hAnsi="Abadi" w:cs="Calibri"/>
          <w:color w:val="000000"/>
          <w:kern w:val="0"/>
          <w:lang w:eastAsia="en-GB"/>
          <w14:ligatures w14:val="none"/>
        </w:rPr>
        <w:t> – The behaviour is typically defined using Gherkin.</w:t>
      </w:r>
    </w:p>
    <w:p w14:paraId="5F7B7AE4" w14:textId="77777777" w:rsidR="00896590" w:rsidRPr="00896590" w:rsidRDefault="00883492" w:rsidP="00896590">
      <w:pPr>
        <w:pStyle w:val="ListParagraph"/>
        <w:numPr>
          <w:ilvl w:val="0"/>
          <w:numId w:val="10"/>
        </w:numPr>
        <w:spacing w:after="0" w:line="240" w:lineRule="auto"/>
        <w:textAlignment w:val="center"/>
        <w:rPr>
          <w:rFonts w:ascii="Abadi" w:eastAsia="Times New Roman" w:hAnsi="Abadi" w:cs="Calibri"/>
          <w:b/>
          <w:bCs/>
          <w:color w:val="000000"/>
          <w:kern w:val="0"/>
          <w:lang w:eastAsia="en-GB"/>
          <w14:ligatures w14:val="none"/>
        </w:rPr>
      </w:pPr>
      <w:r w:rsidRPr="00896590">
        <w:rPr>
          <w:rFonts w:ascii="Abadi" w:eastAsia="Times New Roman" w:hAnsi="Abadi" w:cs="Calibri"/>
          <w:b/>
          <w:bCs/>
          <w:color w:val="000000"/>
          <w:kern w:val="0"/>
          <w:lang w:eastAsia="en-GB"/>
          <w14:ligatures w14:val="none"/>
        </w:rPr>
        <w:t>Development and testing phase</w:t>
      </w:r>
      <w:r w:rsidRPr="00896590">
        <w:rPr>
          <w:rFonts w:ascii="Abadi" w:eastAsia="Times New Roman" w:hAnsi="Abadi" w:cs="Calibri"/>
          <w:color w:val="000000"/>
          <w:kern w:val="0"/>
          <w:lang w:eastAsia="en-GB"/>
          <w14:ligatures w14:val="none"/>
        </w:rPr>
        <w:t xml:space="preserve"> – The system is developed, followed by the testing phase. This is also where refactor of the code can occur. </w:t>
      </w:r>
    </w:p>
    <w:p w14:paraId="08A1DB81" w14:textId="2609C29B" w:rsidR="00883492" w:rsidRPr="00896590" w:rsidRDefault="00883492" w:rsidP="00896590">
      <w:pPr>
        <w:pStyle w:val="ListParagraph"/>
        <w:numPr>
          <w:ilvl w:val="0"/>
          <w:numId w:val="10"/>
        </w:numPr>
        <w:spacing w:after="0" w:line="240" w:lineRule="auto"/>
        <w:textAlignment w:val="center"/>
        <w:rPr>
          <w:rFonts w:ascii="Abadi" w:eastAsia="Times New Roman" w:hAnsi="Abadi" w:cs="Calibri"/>
          <w:b/>
          <w:bCs/>
          <w:color w:val="000000"/>
          <w:kern w:val="0"/>
          <w:lang w:eastAsia="en-GB"/>
          <w14:ligatures w14:val="none"/>
        </w:rPr>
      </w:pPr>
      <w:r w:rsidRPr="00896590">
        <w:rPr>
          <w:rFonts w:ascii="Abadi" w:eastAsia="Times New Roman" w:hAnsi="Abadi" w:cs="Calibri"/>
          <w:b/>
          <w:bCs/>
          <w:color w:val="000000"/>
          <w:kern w:val="0"/>
          <w:lang w:eastAsia="en-GB"/>
          <w14:ligatures w14:val="none"/>
        </w:rPr>
        <w:t>Automation</w:t>
      </w:r>
      <w:r w:rsidRPr="00896590">
        <w:rPr>
          <w:rFonts w:ascii="Abadi" w:eastAsia="Times New Roman" w:hAnsi="Abadi" w:cs="Calibri"/>
          <w:color w:val="000000"/>
          <w:kern w:val="0"/>
          <w:lang w:eastAsia="en-GB"/>
          <w14:ligatures w14:val="none"/>
        </w:rPr>
        <w:t> – The results are evaluated by running the BDD script file to see if they pass the test cases defined in the scenario.</w:t>
      </w:r>
    </w:p>
    <w:p w14:paraId="446E86EE" w14:textId="77777777" w:rsidR="00883492" w:rsidRPr="00896590" w:rsidRDefault="00883492" w:rsidP="00883492">
      <w:pPr>
        <w:spacing w:after="0" w:line="240" w:lineRule="auto"/>
        <w:ind w:left="720"/>
        <w:rPr>
          <w:rFonts w:ascii="Calibri" w:eastAsia="Times New Roman" w:hAnsi="Calibri" w:cs="Calibri"/>
          <w:kern w:val="0"/>
          <w:lang w:eastAsia="en-GB"/>
          <w14:ligatures w14:val="none"/>
        </w:rPr>
      </w:pPr>
      <w:r w:rsidRPr="00896590">
        <w:rPr>
          <w:rFonts w:ascii="Calibri" w:eastAsia="Times New Roman" w:hAnsi="Calibri" w:cs="Calibri"/>
          <w:kern w:val="0"/>
          <w:lang w:eastAsia="en-GB"/>
          <w14:ligatures w14:val="none"/>
        </w:rPr>
        <w:t> </w:t>
      </w:r>
    </w:p>
    <w:p w14:paraId="5F3B3299" w14:textId="187BD9E6"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noProof/>
          <w:kern w:val="0"/>
          <w:sz w:val="22"/>
          <w:szCs w:val="22"/>
          <w:lang w:eastAsia="en-GB"/>
          <w14:ligatures w14:val="none"/>
        </w:rPr>
        <w:drawing>
          <wp:inline distT="0" distB="0" distL="0" distR="0" wp14:anchorId="10F40924" wp14:editId="1E96E38B">
            <wp:extent cx="2774315" cy="5943600"/>
            <wp:effectExtent l="0" t="0" r="0" b="0"/>
            <wp:docPr id="1269300284"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00284" name="Picture 2" descr="A diagram of a proces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4315" cy="5943600"/>
                    </a:xfrm>
                    <a:prstGeom prst="rect">
                      <a:avLst/>
                    </a:prstGeom>
                    <a:noFill/>
                    <a:ln>
                      <a:noFill/>
                    </a:ln>
                  </pic:spPr>
                </pic:pic>
              </a:graphicData>
            </a:graphic>
          </wp:inline>
        </w:drawing>
      </w:r>
    </w:p>
    <w:p w14:paraId="7D110520" w14:textId="77777777" w:rsidR="00883492" w:rsidRPr="00896590" w:rsidRDefault="00883492" w:rsidP="00883492">
      <w:pPr>
        <w:spacing w:after="0" w:line="240" w:lineRule="auto"/>
        <w:ind w:left="720"/>
        <w:rPr>
          <w:rFonts w:ascii="Abadi" w:eastAsia="Times New Roman" w:hAnsi="Abadi" w:cs="Calibri"/>
          <w:kern w:val="0"/>
          <w:lang w:eastAsia="en-GB"/>
          <w14:ligatures w14:val="none"/>
        </w:rPr>
      </w:pPr>
      <w:r w:rsidRPr="00896590">
        <w:rPr>
          <w:rFonts w:ascii="Abadi" w:eastAsia="Times New Roman" w:hAnsi="Abadi" w:cs="Calibri"/>
          <w:kern w:val="0"/>
          <w:lang w:eastAsia="en-GB"/>
          <w14:ligatures w14:val="none"/>
        </w:rPr>
        <w:t>Figure 3: BDD workflow [3]</w:t>
      </w:r>
    </w:p>
    <w:p w14:paraId="10FE8BE6" w14:textId="77777777" w:rsidR="00883492" w:rsidRPr="00896590" w:rsidRDefault="00883492" w:rsidP="00883492">
      <w:pPr>
        <w:spacing w:after="0" w:line="240" w:lineRule="auto"/>
        <w:ind w:left="720"/>
        <w:rPr>
          <w:rFonts w:ascii="Abadi" w:eastAsia="Times New Roman" w:hAnsi="Abadi" w:cs="Calibri"/>
          <w:kern w:val="0"/>
          <w:lang w:eastAsia="en-GB"/>
          <w14:ligatures w14:val="none"/>
        </w:rPr>
      </w:pPr>
      <w:r w:rsidRPr="00896590">
        <w:rPr>
          <w:rFonts w:ascii="Abadi" w:eastAsia="Times New Roman" w:hAnsi="Abadi" w:cs="Calibri"/>
          <w:kern w:val="0"/>
          <w:lang w:eastAsia="en-GB"/>
          <w14:ligatures w14:val="none"/>
        </w:rPr>
        <w:t> </w:t>
      </w:r>
    </w:p>
    <w:p w14:paraId="10499FFE"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7D5A95B" w14:textId="77777777" w:rsidR="00896590" w:rsidRPr="00896590" w:rsidRDefault="00896590" w:rsidP="00896590">
      <w:pPr>
        <w:pStyle w:val="NormalWeb"/>
        <w:rPr>
          <w:rFonts w:ascii="Abadi" w:hAnsi="Abadi"/>
          <w:color w:val="000000"/>
        </w:rPr>
      </w:pPr>
      <w:r w:rsidRPr="00896590">
        <w:rPr>
          <w:rFonts w:ascii="Abadi" w:hAnsi="Abadi"/>
          <w:color w:val="000000"/>
        </w:rPr>
        <w:t xml:space="preserve">BDD tests are also versatile and can be performed at various stages of the development phase [13]. Indeed, one of the benefits of using BDD is that it identifies </w:t>
      </w:r>
      <w:r w:rsidRPr="00896590">
        <w:rPr>
          <w:rFonts w:ascii="Abadi" w:hAnsi="Abadi"/>
          <w:color w:val="000000"/>
        </w:rPr>
        <w:lastRenderedPageBreak/>
        <w:t>potential issues early in the development process [14]. By collaborating with other developers and stakeholders, misunderstandings and issues can be identified early on, saving resources such as time and effort. The communication aspect of BDD also improves collaboration and enhances code quality [13, 14]. Moreover, BDD encourages the development of automated tests, which help ensure that new features do not compromise the functionality of existing code [14].</w:t>
      </w:r>
    </w:p>
    <w:p w14:paraId="5ACEFB4C" w14:textId="77777777" w:rsidR="00896590" w:rsidRPr="00896590" w:rsidRDefault="00896590" w:rsidP="00896590">
      <w:pPr>
        <w:pStyle w:val="NormalWeb"/>
        <w:rPr>
          <w:rFonts w:ascii="Abadi" w:hAnsi="Abadi"/>
          <w:color w:val="000000"/>
        </w:rPr>
      </w:pPr>
      <w:r w:rsidRPr="00896590">
        <w:rPr>
          <w:rFonts w:ascii="Abadi" w:hAnsi="Abadi"/>
          <w:color w:val="000000"/>
        </w:rPr>
        <w:t xml:space="preserve">However, there are also potential drawbacks. </w:t>
      </w:r>
      <w:proofErr w:type="gramStart"/>
      <w:r w:rsidRPr="00896590">
        <w:rPr>
          <w:rFonts w:ascii="Abadi" w:hAnsi="Abadi"/>
          <w:color w:val="000000"/>
        </w:rPr>
        <w:t>Similar to</w:t>
      </w:r>
      <w:proofErr w:type="gramEnd"/>
      <w:r w:rsidRPr="00896590">
        <w:rPr>
          <w:rFonts w:ascii="Abadi" w:hAnsi="Abadi"/>
          <w:color w:val="000000"/>
        </w:rPr>
        <w:t xml:space="preserve"> TDD, BDD can pose a steep learning curve, particularly for inexperienced developers. Extracting scenarios from user requirements can be complex, and if not done properly, it may lead to poorly defined or duplicate scenarios. This can result in redundant work or undermine the benefits of collaboration, as much time may be spent trying to understand what the test cases are meant to validate. The need for constant communication to ensure alignment, the intensive time required to map scenarios to code, and the cost considerations can make BDD challenging to scale for large software projects [13, 14].</w:t>
      </w:r>
    </w:p>
    <w:p w14:paraId="1CB37BA8" w14:textId="77777777" w:rsid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1003761F" w14:textId="77777777" w:rsidR="006E4F9F" w:rsidRPr="00883492" w:rsidRDefault="006E4F9F" w:rsidP="00883492">
      <w:pPr>
        <w:spacing w:after="0" w:line="240" w:lineRule="auto"/>
        <w:ind w:left="720"/>
        <w:rPr>
          <w:rFonts w:ascii="Calibri" w:eastAsia="Times New Roman" w:hAnsi="Calibri" w:cs="Calibri"/>
          <w:kern w:val="0"/>
          <w:sz w:val="22"/>
          <w:szCs w:val="22"/>
          <w:lang w:eastAsia="en-GB"/>
          <w14:ligatures w14:val="none"/>
        </w:rPr>
      </w:pPr>
    </w:p>
    <w:p w14:paraId="053B66D9" w14:textId="3D495E90" w:rsidR="00896590" w:rsidRPr="00896590" w:rsidRDefault="00896590" w:rsidP="00896590">
      <w:pPr>
        <w:spacing w:after="0" w:line="240" w:lineRule="auto"/>
        <w:rPr>
          <w:rFonts w:ascii="Abadi" w:eastAsia="Times New Roman" w:hAnsi="Abadi" w:cs="Calibri"/>
          <w:kern w:val="0"/>
          <w:sz w:val="22"/>
          <w:szCs w:val="22"/>
          <w:lang w:eastAsia="en-GB"/>
          <w14:ligatures w14:val="none"/>
        </w:rPr>
      </w:pPr>
      <w:r w:rsidRPr="00896590">
        <w:rPr>
          <w:rFonts w:ascii="Abadi" w:eastAsia="Times New Roman" w:hAnsi="Abadi" w:cs="Times New Roman"/>
          <w:color w:val="000000"/>
          <w:kern w:val="0"/>
          <w:lang w:eastAsia="en-GB"/>
          <w14:ligatures w14:val="none"/>
        </w:rPr>
        <w:t>Feature-Driven Development (FDD) was introduced in 1997 by Jeff De Luca and Peter Coad during a large, complex project that posed significant challenges. This experience led to the development of FDD as a practical approach to managing complexity and delivering incremental value within defined timeframes. FDD is one of the Agile development methodologies that emphasises short iterations (typically two weeks) to produce functional deliverables [2, 8, 10, 11, 12]. The core idea of FDD is to control software development by focusing on business requirements [2, 8].</w:t>
      </w:r>
    </w:p>
    <w:p w14:paraId="52E54C60" w14:textId="77777777" w:rsidR="00896590" w:rsidRPr="00896590" w:rsidRDefault="00896590" w:rsidP="00896590">
      <w:p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color w:val="000000"/>
          <w:kern w:val="0"/>
          <w:lang w:eastAsia="en-GB"/>
          <w14:ligatures w14:val="none"/>
        </w:rPr>
        <w:t>FDD works especially well with large teams, where challenges arise due to varying levels of skill, talent, and discipline among team members. FDD addresses these challenges by holding specific events and activities to promote communication and by clearly defining roles and responsibilities, all while ensuring high output throughout the project [2, 8]. To accomplish this, six key roles are allocated in FDD, with flexibility in their distribution—multiple members can share a single role, or one member can take on multiple roles [2,11].</w:t>
      </w:r>
    </w:p>
    <w:p w14:paraId="41AFEBE5" w14:textId="77777777" w:rsidR="00896590" w:rsidRPr="00896590" w:rsidRDefault="00896590" w:rsidP="00896590">
      <w:pPr>
        <w:numPr>
          <w:ilvl w:val="0"/>
          <w:numId w:val="11"/>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Project Manager:</w:t>
      </w:r>
      <w:r w:rsidRPr="00896590">
        <w:rPr>
          <w:rFonts w:ascii="Abadi" w:eastAsia="Times New Roman" w:hAnsi="Abadi" w:cs="Times New Roman"/>
          <w:color w:val="000000"/>
          <w:kern w:val="0"/>
          <w:lang w:eastAsia="en-GB"/>
          <w14:ligatures w14:val="none"/>
        </w:rPr>
        <w:t> Responsible for administrative decisions and ensuring a supportive working environment.</w:t>
      </w:r>
    </w:p>
    <w:p w14:paraId="14F9950C" w14:textId="77777777" w:rsidR="00896590" w:rsidRPr="00896590" w:rsidRDefault="00896590" w:rsidP="00896590">
      <w:pPr>
        <w:numPr>
          <w:ilvl w:val="0"/>
          <w:numId w:val="11"/>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Chief Architect:</w:t>
      </w:r>
      <w:r w:rsidRPr="00896590">
        <w:rPr>
          <w:rFonts w:ascii="Abadi" w:eastAsia="Times New Roman" w:hAnsi="Abadi" w:cs="Times New Roman"/>
          <w:color w:val="000000"/>
          <w:kern w:val="0"/>
          <w:lang w:eastAsia="en-GB"/>
          <w14:ligatures w14:val="none"/>
        </w:rPr>
        <w:t> Approves the requested software designs to align with the overall system architecture.</w:t>
      </w:r>
    </w:p>
    <w:p w14:paraId="45D7B391" w14:textId="77777777" w:rsidR="00896590" w:rsidRPr="00896590" w:rsidRDefault="00896590" w:rsidP="00896590">
      <w:pPr>
        <w:numPr>
          <w:ilvl w:val="0"/>
          <w:numId w:val="11"/>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Development Manager:</w:t>
      </w:r>
      <w:r w:rsidRPr="00896590">
        <w:rPr>
          <w:rFonts w:ascii="Abadi" w:eastAsia="Times New Roman" w:hAnsi="Abadi" w:cs="Times New Roman"/>
          <w:color w:val="000000"/>
          <w:kern w:val="0"/>
          <w:lang w:eastAsia="en-GB"/>
          <w14:ligatures w14:val="none"/>
        </w:rPr>
        <w:t> Oversees the team and ensures smooth execution of development activities.</w:t>
      </w:r>
    </w:p>
    <w:p w14:paraId="7F10A314" w14:textId="77777777" w:rsidR="00896590" w:rsidRPr="00896590" w:rsidRDefault="00896590" w:rsidP="00896590">
      <w:pPr>
        <w:numPr>
          <w:ilvl w:val="0"/>
          <w:numId w:val="11"/>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Chief Programmer:</w:t>
      </w:r>
      <w:r w:rsidRPr="00896590">
        <w:rPr>
          <w:rFonts w:ascii="Abadi" w:eastAsia="Times New Roman" w:hAnsi="Abadi" w:cs="Times New Roman"/>
          <w:color w:val="000000"/>
          <w:kern w:val="0"/>
          <w:lang w:eastAsia="en-GB"/>
          <w14:ligatures w14:val="none"/>
        </w:rPr>
        <w:t> Leads small developer teams and selects the features to be implemented during each iteration.</w:t>
      </w:r>
    </w:p>
    <w:p w14:paraId="3C4D3B90" w14:textId="77777777" w:rsidR="00896590" w:rsidRPr="00896590" w:rsidRDefault="00896590" w:rsidP="00896590">
      <w:pPr>
        <w:numPr>
          <w:ilvl w:val="0"/>
          <w:numId w:val="11"/>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Class Owner:</w:t>
      </w:r>
      <w:r w:rsidRPr="00896590">
        <w:rPr>
          <w:rFonts w:ascii="Abadi" w:eastAsia="Times New Roman" w:hAnsi="Abadi" w:cs="Times New Roman"/>
          <w:color w:val="000000"/>
          <w:kern w:val="0"/>
          <w:lang w:eastAsia="en-GB"/>
          <w14:ligatures w14:val="none"/>
        </w:rPr>
        <w:t> Responsible for designing, coding, and testing specific features assigned to them.</w:t>
      </w:r>
    </w:p>
    <w:p w14:paraId="79F2E28B" w14:textId="77777777" w:rsidR="00896590" w:rsidRPr="00896590" w:rsidRDefault="00896590" w:rsidP="00896590">
      <w:pPr>
        <w:numPr>
          <w:ilvl w:val="0"/>
          <w:numId w:val="11"/>
        </w:numPr>
        <w:spacing w:before="100" w:beforeAutospacing="1" w:after="100" w:afterAutospacing="1" w:line="240" w:lineRule="auto"/>
        <w:rPr>
          <w:rFonts w:ascii="Abadi" w:eastAsia="Times New Roman" w:hAnsi="Abadi" w:cs="Times New Roman"/>
          <w:color w:val="000000"/>
          <w:kern w:val="0"/>
          <w:lang w:eastAsia="en-GB"/>
          <w14:ligatures w14:val="none"/>
        </w:rPr>
      </w:pPr>
      <w:r w:rsidRPr="00896590">
        <w:rPr>
          <w:rFonts w:ascii="Abadi" w:eastAsia="Times New Roman" w:hAnsi="Abadi" w:cs="Times New Roman"/>
          <w:b/>
          <w:bCs/>
          <w:color w:val="000000"/>
          <w:kern w:val="0"/>
          <w:lang w:eastAsia="en-GB"/>
          <w14:ligatures w14:val="none"/>
        </w:rPr>
        <w:t>Domain Expert:</w:t>
      </w:r>
      <w:r w:rsidRPr="00896590">
        <w:rPr>
          <w:rFonts w:ascii="Abadi" w:eastAsia="Times New Roman" w:hAnsi="Abadi" w:cs="Times New Roman"/>
          <w:color w:val="000000"/>
          <w:kern w:val="0"/>
          <w:lang w:eastAsia="en-GB"/>
          <w14:ligatures w14:val="none"/>
        </w:rPr>
        <w:t> A specialist with deep knowledge of the specific business domain who understands how the business operates and its needs.</w:t>
      </w:r>
    </w:p>
    <w:p w14:paraId="56183E59" w14:textId="77777777" w:rsidR="00883492" w:rsidRPr="00896590" w:rsidRDefault="00883492" w:rsidP="00896590">
      <w:pPr>
        <w:spacing w:after="0" w:line="240" w:lineRule="auto"/>
        <w:rPr>
          <w:rFonts w:ascii="Abadi" w:eastAsia="Times New Roman" w:hAnsi="Abadi" w:cs="Calibri"/>
          <w:color w:val="000000"/>
          <w:kern w:val="0"/>
          <w:sz w:val="22"/>
          <w:szCs w:val="22"/>
          <w:lang w:eastAsia="en-GB"/>
          <w14:ligatures w14:val="none"/>
        </w:rPr>
      </w:pPr>
      <w:r w:rsidRPr="00896590">
        <w:rPr>
          <w:rFonts w:ascii="Abadi" w:eastAsia="Times New Roman" w:hAnsi="Abadi" w:cs="Calibri"/>
          <w:color w:val="000000"/>
          <w:kern w:val="0"/>
          <w:sz w:val="22"/>
          <w:szCs w:val="22"/>
          <w:lang w:eastAsia="en-GB"/>
          <w14:ligatures w14:val="none"/>
        </w:rPr>
        <w:t> </w:t>
      </w:r>
    </w:p>
    <w:p w14:paraId="7B1CCCF2"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1AEF6058"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6C4FD02E" w14:textId="6035FC87" w:rsidR="00883492" w:rsidRPr="00896590" w:rsidRDefault="00883492" w:rsidP="00896590">
      <w:pPr>
        <w:spacing w:after="0" w:line="240" w:lineRule="auto"/>
        <w:rPr>
          <w:rFonts w:ascii="Abadi" w:eastAsia="Times New Roman" w:hAnsi="Abadi" w:cs="Calibri"/>
          <w:color w:val="000000"/>
          <w:kern w:val="0"/>
          <w:lang w:eastAsia="en-GB"/>
          <w14:ligatures w14:val="none"/>
        </w:rPr>
      </w:pPr>
      <w:r w:rsidRPr="00896590">
        <w:rPr>
          <w:rFonts w:ascii="Abadi" w:eastAsia="Times New Roman" w:hAnsi="Abadi" w:cs="Calibri"/>
          <w:color w:val="000000"/>
          <w:kern w:val="0"/>
          <w:lang w:eastAsia="en-GB"/>
          <w14:ligatures w14:val="none"/>
        </w:rPr>
        <w:lastRenderedPageBreak/>
        <w:t>FDD follows a five-step process, with the first three steps executed sequentially and the last two steps executed iteratively (Fig. 2)</w:t>
      </w:r>
    </w:p>
    <w:p w14:paraId="4CF2681A" w14:textId="76608B8A"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r w:rsidR="00896590" w:rsidRPr="00883492">
        <w:rPr>
          <w:rFonts w:ascii="Calibri" w:eastAsia="Times New Roman" w:hAnsi="Calibri" w:cs="Calibri"/>
          <w:noProof/>
          <w:kern w:val="0"/>
          <w:sz w:val="22"/>
          <w:szCs w:val="22"/>
          <w:lang w:eastAsia="en-GB"/>
          <w14:ligatures w14:val="none"/>
        </w:rPr>
        <w:drawing>
          <wp:inline distT="0" distB="0" distL="0" distR="0" wp14:anchorId="70D631FA" wp14:editId="56147178">
            <wp:extent cx="5731510" cy="2671445"/>
            <wp:effectExtent l="0" t="0" r="0" b="0"/>
            <wp:docPr id="1953785868" name="Picture 1" descr="Develop &#10;an overall &#10;Model &#10;Build &#10;Features &#10;List &#10;Plan by &#10;Design &#10;by &#10;Feature &#10;Build &#10;Fea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 &#10;an overall &#10;Model &#10;Build &#10;Features &#10;List &#10;Plan by &#10;Design &#10;by &#10;Feature &#10;Build &#10;Featur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671445"/>
                    </a:xfrm>
                    <a:prstGeom prst="rect">
                      <a:avLst/>
                    </a:prstGeom>
                    <a:noFill/>
                    <a:ln>
                      <a:noFill/>
                    </a:ln>
                  </pic:spPr>
                </pic:pic>
              </a:graphicData>
            </a:graphic>
          </wp:inline>
        </w:drawing>
      </w:r>
    </w:p>
    <w:p w14:paraId="0A907CCC" w14:textId="161D1704"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p>
    <w:p w14:paraId="64105F4C"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6324C17F" w14:textId="77777777" w:rsidR="00883492" w:rsidRPr="006E4F9F" w:rsidRDefault="00883492" w:rsidP="00883492">
      <w:pPr>
        <w:spacing w:after="0" w:line="240" w:lineRule="auto"/>
        <w:ind w:left="720"/>
        <w:rPr>
          <w:rFonts w:ascii="Abadi" w:eastAsia="Times New Roman" w:hAnsi="Abadi" w:cs="Calibri"/>
          <w:kern w:val="0"/>
          <w:lang w:eastAsia="en-GB"/>
          <w14:ligatures w14:val="none"/>
        </w:rPr>
      </w:pPr>
      <w:r w:rsidRPr="006E4F9F">
        <w:rPr>
          <w:rFonts w:ascii="Abadi" w:eastAsia="Times New Roman" w:hAnsi="Abadi" w:cs="Calibri"/>
          <w:kern w:val="0"/>
          <w:lang w:eastAsia="en-GB"/>
          <w14:ligatures w14:val="none"/>
        </w:rPr>
        <w:t>Figure 2: FDD Workflow [10]</w:t>
      </w:r>
    </w:p>
    <w:p w14:paraId="14200BA4" w14:textId="77777777" w:rsidR="00883492" w:rsidRPr="006E4F9F" w:rsidRDefault="00883492" w:rsidP="00883492">
      <w:pPr>
        <w:spacing w:after="0" w:line="240" w:lineRule="auto"/>
        <w:ind w:left="720"/>
        <w:rPr>
          <w:rFonts w:ascii="Abadi" w:eastAsia="Times New Roman" w:hAnsi="Abadi" w:cs="Calibri"/>
          <w:kern w:val="0"/>
          <w:lang w:eastAsia="en-GB"/>
          <w14:ligatures w14:val="none"/>
        </w:rPr>
      </w:pPr>
      <w:r w:rsidRPr="006E4F9F">
        <w:rPr>
          <w:rFonts w:ascii="Abadi" w:eastAsia="Times New Roman" w:hAnsi="Abadi" w:cs="Calibri"/>
          <w:kern w:val="0"/>
          <w:lang w:eastAsia="en-GB"/>
          <w14:ligatures w14:val="none"/>
        </w:rPr>
        <w:t> </w:t>
      </w:r>
    </w:p>
    <w:p w14:paraId="03D07B57" w14:textId="77777777" w:rsidR="006E4F9F" w:rsidRPr="006E4F9F" w:rsidRDefault="00883492" w:rsidP="006E4F9F">
      <w:pPr>
        <w:pStyle w:val="ListParagraph"/>
        <w:numPr>
          <w:ilvl w:val="0"/>
          <w:numId w:val="12"/>
        </w:numPr>
        <w:spacing w:after="0" w:line="240" w:lineRule="auto"/>
        <w:textAlignment w:val="center"/>
        <w:rPr>
          <w:rFonts w:ascii="Abadi" w:eastAsia="Times New Roman" w:hAnsi="Abadi" w:cs="Calibri"/>
          <w:color w:val="000000"/>
          <w:kern w:val="0"/>
          <w:lang w:eastAsia="en-GB"/>
          <w14:ligatures w14:val="none"/>
        </w:rPr>
      </w:pPr>
      <w:r w:rsidRPr="006E4F9F">
        <w:rPr>
          <w:rFonts w:ascii="Abadi" w:eastAsia="Times New Roman" w:hAnsi="Abadi" w:cs="Calibri"/>
          <w:b/>
          <w:bCs/>
          <w:color w:val="000000"/>
          <w:kern w:val="0"/>
          <w:lang w:eastAsia="en-GB"/>
          <w14:ligatures w14:val="none"/>
        </w:rPr>
        <w:t>Develop a Model</w:t>
      </w:r>
      <w:r w:rsidRPr="006E4F9F">
        <w:rPr>
          <w:rFonts w:ascii="Abadi" w:eastAsia="Times New Roman" w:hAnsi="Abadi" w:cs="Calibri"/>
          <w:color w:val="000000"/>
          <w:kern w:val="0"/>
          <w:lang w:eastAsia="en-GB"/>
          <w14:ligatures w14:val="none"/>
        </w:rPr>
        <w:t>: In the first step, all team members collaboratively define the overall project context and scope. Models are brainstormed and generated to represent various approaches, and the optimal model for meeting the project's requirements is chosen.</w:t>
      </w:r>
    </w:p>
    <w:p w14:paraId="5446C705" w14:textId="77777777" w:rsidR="006E4F9F" w:rsidRPr="006E4F9F" w:rsidRDefault="00883492" w:rsidP="006E4F9F">
      <w:pPr>
        <w:pStyle w:val="ListParagraph"/>
        <w:numPr>
          <w:ilvl w:val="0"/>
          <w:numId w:val="12"/>
        </w:numPr>
        <w:spacing w:after="0" w:line="240" w:lineRule="auto"/>
        <w:textAlignment w:val="center"/>
        <w:rPr>
          <w:rFonts w:ascii="Abadi" w:eastAsia="Times New Roman" w:hAnsi="Abadi" w:cs="Calibri"/>
          <w:color w:val="000000"/>
          <w:kern w:val="0"/>
          <w:lang w:eastAsia="en-GB"/>
          <w14:ligatures w14:val="none"/>
        </w:rPr>
      </w:pPr>
      <w:r w:rsidRPr="006E4F9F">
        <w:rPr>
          <w:rFonts w:ascii="Abadi" w:eastAsia="Times New Roman" w:hAnsi="Abadi" w:cs="Calibri"/>
          <w:b/>
          <w:bCs/>
          <w:color w:val="000000"/>
          <w:kern w:val="0"/>
          <w:lang w:eastAsia="en-GB"/>
          <w14:ligatures w14:val="none"/>
        </w:rPr>
        <w:t>Build a Feature List</w:t>
      </w:r>
      <w:r w:rsidRPr="006E4F9F">
        <w:rPr>
          <w:rFonts w:ascii="Abadi" w:eastAsia="Times New Roman" w:hAnsi="Abadi" w:cs="Calibri"/>
          <w:color w:val="000000"/>
          <w:kern w:val="0"/>
          <w:lang w:eastAsia="en-GB"/>
          <w14:ligatures w14:val="none"/>
        </w:rPr>
        <w:t>: Using the model created in the previous step, a comprehensive list of features that users need is constructed. This list is reviewed and validated by customers and business experts to ensure it aligns with their expectations and requirements.</w:t>
      </w:r>
    </w:p>
    <w:p w14:paraId="31B32623" w14:textId="77777777" w:rsidR="006E4F9F" w:rsidRPr="006E4F9F" w:rsidRDefault="00883492" w:rsidP="006E4F9F">
      <w:pPr>
        <w:pStyle w:val="ListParagraph"/>
        <w:numPr>
          <w:ilvl w:val="0"/>
          <w:numId w:val="12"/>
        </w:numPr>
        <w:spacing w:after="0" w:line="240" w:lineRule="auto"/>
        <w:textAlignment w:val="center"/>
        <w:rPr>
          <w:rFonts w:ascii="Abadi" w:eastAsia="Times New Roman" w:hAnsi="Abadi" w:cs="Calibri"/>
          <w:color w:val="000000"/>
          <w:kern w:val="0"/>
          <w:lang w:eastAsia="en-GB"/>
          <w14:ligatures w14:val="none"/>
        </w:rPr>
      </w:pPr>
      <w:r w:rsidRPr="006E4F9F">
        <w:rPr>
          <w:rFonts w:ascii="Abadi" w:eastAsia="Times New Roman" w:hAnsi="Abadi" w:cs="Calibri"/>
          <w:b/>
          <w:bCs/>
          <w:color w:val="000000"/>
          <w:kern w:val="0"/>
          <w:lang w:eastAsia="en-GB"/>
          <w14:ligatures w14:val="none"/>
        </w:rPr>
        <w:t>Plan by Feature</w:t>
      </w:r>
      <w:r w:rsidRPr="006E4F9F">
        <w:rPr>
          <w:rFonts w:ascii="Abadi" w:eastAsia="Times New Roman" w:hAnsi="Abadi" w:cs="Calibri"/>
          <w:color w:val="000000"/>
          <w:kern w:val="0"/>
          <w:lang w:eastAsia="en-GB"/>
          <w14:ligatures w14:val="none"/>
        </w:rPr>
        <w:t>: The features from the previous step are prioritized based on customer needs. The plan includes a schedule with major milestones for each feature. The project manager, development manager, and chief programmers are involved in this step. Chief programmers assign specific features to individual developers, referred to as "class owners."</w:t>
      </w:r>
    </w:p>
    <w:p w14:paraId="7301397E" w14:textId="77777777" w:rsidR="006E4F9F" w:rsidRPr="006E4F9F" w:rsidRDefault="00883492" w:rsidP="006E4F9F">
      <w:pPr>
        <w:pStyle w:val="ListParagraph"/>
        <w:numPr>
          <w:ilvl w:val="0"/>
          <w:numId w:val="12"/>
        </w:numPr>
        <w:spacing w:after="0" w:line="240" w:lineRule="auto"/>
        <w:textAlignment w:val="center"/>
        <w:rPr>
          <w:rFonts w:ascii="Abadi" w:eastAsia="Times New Roman" w:hAnsi="Abadi" w:cs="Calibri"/>
          <w:color w:val="000000"/>
          <w:kern w:val="0"/>
          <w:lang w:eastAsia="en-GB"/>
          <w14:ligatures w14:val="none"/>
        </w:rPr>
      </w:pPr>
      <w:r w:rsidRPr="006E4F9F">
        <w:rPr>
          <w:rFonts w:ascii="Abadi" w:eastAsia="Times New Roman" w:hAnsi="Abadi" w:cs="Calibri"/>
          <w:b/>
          <w:bCs/>
          <w:color w:val="000000"/>
          <w:kern w:val="0"/>
          <w:lang w:eastAsia="en-GB"/>
          <w14:ligatures w14:val="none"/>
        </w:rPr>
        <w:t>Design by Feature</w:t>
      </w:r>
      <w:r w:rsidRPr="006E4F9F">
        <w:rPr>
          <w:rFonts w:ascii="Abadi" w:eastAsia="Times New Roman" w:hAnsi="Abadi" w:cs="Calibri"/>
          <w:color w:val="000000"/>
          <w:kern w:val="0"/>
          <w:lang w:eastAsia="en-GB"/>
          <w14:ligatures w14:val="none"/>
        </w:rPr>
        <w:t>: In this iterative process, which typically lasts up to two weeks, the chief programmers and class owners collaboratively create a design package and sequence diagrams for each class. These designs are reviewed for approval before development begins.</w:t>
      </w:r>
    </w:p>
    <w:p w14:paraId="11A8C5A4" w14:textId="490C2C03" w:rsidR="00883492" w:rsidRPr="006E4F9F" w:rsidRDefault="00883492" w:rsidP="006E4F9F">
      <w:pPr>
        <w:pStyle w:val="ListParagraph"/>
        <w:numPr>
          <w:ilvl w:val="0"/>
          <w:numId w:val="12"/>
        </w:numPr>
        <w:spacing w:after="0" w:line="240" w:lineRule="auto"/>
        <w:textAlignment w:val="center"/>
        <w:rPr>
          <w:rFonts w:ascii="Abadi" w:eastAsia="Times New Roman" w:hAnsi="Abadi" w:cs="Calibri"/>
          <w:color w:val="000000"/>
          <w:kern w:val="0"/>
          <w:lang w:eastAsia="en-GB"/>
          <w14:ligatures w14:val="none"/>
        </w:rPr>
      </w:pPr>
      <w:r w:rsidRPr="006E4F9F">
        <w:rPr>
          <w:rFonts w:ascii="Abadi" w:eastAsia="Times New Roman" w:hAnsi="Abadi" w:cs="Calibri"/>
          <w:b/>
          <w:bCs/>
          <w:color w:val="000000"/>
          <w:kern w:val="0"/>
          <w:lang w:eastAsia="en-GB"/>
          <w14:ligatures w14:val="none"/>
        </w:rPr>
        <w:t>Build by Feature</w:t>
      </w:r>
      <w:r w:rsidRPr="006E4F9F">
        <w:rPr>
          <w:rFonts w:ascii="Abadi" w:eastAsia="Times New Roman" w:hAnsi="Abadi" w:cs="Calibri"/>
          <w:color w:val="000000"/>
          <w:kern w:val="0"/>
          <w:lang w:eastAsia="en-GB"/>
          <w14:ligatures w14:val="none"/>
        </w:rPr>
        <w:t>: This is the final step, where coding, code inspection, and testing are performed. Once a feature is successfully developed and validated, it is integrated into the main build. The process then repeats with the next feature.</w:t>
      </w:r>
    </w:p>
    <w:p w14:paraId="12B2E8C4" w14:textId="77777777" w:rsidR="00883492" w:rsidRPr="006E4F9F" w:rsidRDefault="00883492" w:rsidP="00883492">
      <w:pPr>
        <w:spacing w:after="0" w:line="240" w:lineRule="auto"/>
        <w:ind w:left="720"/>
        <w:rPr>
          <w:rFonts w:ascii="Abadi" w:eastAsia="Times New Roman" w:hAnsi="Abadi" w:cs="Calibri"/>
          <w:kern w:val="0"/>
          <w:lang w:eastAsia="en-GB"/>
          <w14:ligatures w14:val="none"/>
        </w:rPr>
      </w:pPr>
      <w:r w:rsidRPr="006E4F9F">
        <w:rPr>
          <w:rFonts w:ascii="Abadi" w:eastAsia="Times New Roman" w:hAnsi="Abadi" w:cs="Calibri"/>
          <w:kern w:val="0"/>
          <w:lang w:eastAsia="en-GB"/>
          <w14:ligatures w14:val="none"/>
        </w:rPr>
        <w:t> </w:t>
      </w:r>
    </w:p>
    <w:p w14:paraId="749865EA"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5DB6167B" w14:textId="32814D6A" w:rsidR="00A11E7F" w:rsidRPr="00883492" w:rsidRDefault="00883492" w:rsidP="00A11E7F">
      <w:pPr>
        <w:spacing w:after="0" w:line="240" w:lineRule="auto"/>
        <w:rPr>
          <w:rFonts w:ascii="Calibri" w:eastAsia="Times New Roman" w:hAnsi="Calibri" w:cs="Calibri"/>
          <w:color w:val="000000"/>
          <w:kern w:val="0"/>
          <w:sz w:val="22"/>
          <w:szCs w:val="22"/>
          <w:lang w:eastAsia="en-GB"/>
          <w14:ligatures w14:val="none"/>
        </w:rPr>
      </w:pPr>
      <w:r w:rsidRPr="00A11E7F">
        <w:rPr>
          <w:rFonts w:ascii="Abadi" w:eastAsia="Times New Roman" w:hAnsi="Abadi" w:cs="Calibri"/>
          <w:color w:val="000000"/>
          <w:kern w:val="0"/>
          <w:lang w:eastAsia="en-GB"/>
          <w14:ligatures w14:val="none"/>
        </w:rPr>
        <w:t>If there are any late changes to the prerequisites or business needs, these can be accommodated because designing and building features in FDD is an iterative process [9, 11]. This makes FDD highly adaptive. The short iterations, typically lasting one to four weeks, enable quick feedback from customers. Additionally, constant feedback within the team and clear accountability for each</w:t>
      </w:r>
      <w:r w:rsidR="00A11E7F">
        <w:rPr>
          <w:rFonts w:ascii="Abadi" w:eastAsia="Times New Roman" w:hAnsi="Abadi" w:cs="Calibri"/>
          <w:color w:val="000000"/>
          <w:kern w:val="0"/>
          <w:lang w:eastAsia="en-GB"/>
          <w14:ligatures w14:val="none"/>
        </w:rPr>
        <w:t xml:space="preserve"> </w:t>
      </w:r>
      <w:r w:rsidRPr="00A11E7F">
        <w:rPr>
          <w:rFonts w:ascii="Abadi" w:eastAsia="Times New Roman" w:hAnsi="Abadi" w:cs="Calibri"/>
          <w:color w:val="000000"/>
          <w:kern w:val="0"/>
          <w:lang w:eastAsia="en-GB"/>
          <w14:ligatures w14:val="none"/>
        </w:rPr>
        <w:t>member ensure that high-quality deliverables are produced after each phase [2, 11</w:t>
      </w:r>
      <w:r w:rsidRPr="00883492">
        <w:rPr>
          <w:rFonts w:ascii="Calibri" w:eastAsia="Times New Roman" w:hAnsi="Calibri" w:cs="Calibri"/>
          <w:color w:val="000000"/>
          <w:kern w:val="0"/>
          <w:sz w:val="22"/>
          <w:szCs w:val="22"/>
          <w:lang w:eastAsia="en-GB"/>
          <w14:ligatures w14:val="none"/>
        </w:rPr>
        <w:t>]</w:t>
      </w:r>
      <w:r w:rsidR="00A11E7F">
        <w:rPr>
          <w:rFonts w:ascii="Calibri" w:eastAsia="Times New Roman" w:hAnsi="Calibri" w:cs="Calibri"/>
          <w:color w:val="000000"/>
          <w:kern w:val="0"/>
          <w:sz w:val="22"/>
          <w:szCs w:val="22"/>
          <w:lang w:eastAsia="en-GB"/>
          <w14:ligatures w14:val="none"/>
        </w:rPr>
        <w:t>.</w:t>
      </w:r>
    </w:p>
    <w:p w14:paraId="077A4118" w14:textId="2F20A74E" w:rsidR="00883492" w:rsidRPr="00A11E7F" w:rsidRDefault="00883492" w:rsidP="00A11E7F">
      <w:pPr>
        <w:spacing w:after="0" w:line="240" w:lineRule="auto"/>
        <w:rPr>
          <w:rFonts w:ascii="Abadi" w:eastAsia="Times New Roman" w:hAnsi="Abadi" w:cs="Calibri"/>
          <w:color w:val="000000"/>
          <w:kern w:val="0"/>
          <w:lang w:eastAsia="en-GB"/>
          <w14:ligatures w14:val="none"/>
        </w:rPr>
      </w:pPr>
      <w:r w:rsidRPr="00A11E7F">
        <w:rPr>
          <w:rFonts w:ascii="Abadi" w:eastAsia="Times New Roman" w:hAnsi="Abadi" w:cs="Calibri"/>
          <w:color w:val="000000"/>
          <w:kern w:val="0"/>
          <w:lang w:eastAsia="en-GB"/>
          <w14:ligatures w14:val="none"/>
        </w:rPr>
        <w:lastRenderedPageBreak/>
        <w:t>However, FDD is not without its limitations. It relies heavily on highly skilled experts for designing and modelling, and a lack of such expertise can result in subpar deliverables. Furthermore, FDD provides no standardized guidance on requirement gathering, analysis, or risk management. The documentation process can also become more intricate due to detailed modelling and frequent iterations, requiring frequent updates to documents. Finally, the lead software engineer</w:t>
      </w:r>
      <w:r w:rsidR="00A11E7F" w:rsidRPr="00A11E7F">
        <w:rPr>
          <w:rFonts w:ascii="Abadi" w:eastAsia="Times New Roman" w:hAnsi="Abadi" w:cs="Calibri"/>
          <w:color w:val="000000"/>
          <w:kern w:val="0"/>
          <w:lang w:eastAsia="en-GB"/>
          <w14:ligatures w14:val="none"/>
        </w:rPr>
        <w:t xml:space="preserve"> can</w:t>
      </w:r>
      <w:r w:rsidRPr="00A11E7F">
        <w:rPr>
          <w:rFonts w:ascii="Abadi" w:eastAsia="Times New Roman" w:hAnsi="Abadi" w:cs="Calibri"/>
          <w:color w:val="000000"/>
          <w:kern w:val="0"/>
          <w:lang w:eastAsia="en-GB"/>
          <w14:ligatures w14:val="none"/>
        </w:rPr>
        <w:t xml:space="preserve"> face</w:t>
      </w:r>
      <w:r w:rsidR="00A11E7F" w:rsidRPr="00A11E7F">
        <w:rPr>
          <w:rFonts w:ascii="Abadi" w:eastAsia="Times New Roman" w:hAnsi="Abadi" w:cs="Calibri"/>
          <w:color w:val="000000"/>
          <w:kern w:val="0"/>
          <w:lang w:eastAsia="en-GB"/>
          <w14:ligatures w14:val="none"/>
        </w:rPr>
        <w:t xml:space="preserve"> </w:t>
      </w:r>
      <w:r w:rsidRPr="00A11E7F">
        <w:rPr>
          <w:rFonts w:ascii="Abadi" w:eastAsia="Times New Roman" w:hAnsi="Abadi" w:cs="Calibri"/>
          <w:color w:val="000000"/>
          <w:kern w:val="0"/>
          <w:lang w:eastAsia="en-GB"/>
          <w14:ligatures w14:val="none"/>
        </w:rPr>
        <w:t>significant overhead, often juggling multiple roles such as facilitator, coach, and lead originator [2, 9, 10].</w:t>
      </w:r>
    </w:p>
    <w:p w14:paraId="781FEF69"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C308A19"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6D2EE421"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3AF2BA5A" w14:textId="77777777" w:rsidR="00883492" w:rsidRPr="006B39CD" w:rsidRDefault="00883492" w:rsidP="00A11E7F">
      <w:pPr>
        <w:spacing w:after="0" w:line="240" w:lineRule="auto"/>
        <w:rPr>
          <w:rFonts w:ascii="Abadi" w:eastAsia="Times New Roman" w:hAnsi="Abadi" w:cs="Calibri"/>
          <w:color w:val="000000"/>
          <w:kern w:val="0"/>
          <w:lang w:eastAsia="en-GB"/>
          <w14:ligatures w14:val="none"/>
        </w:rPr>
      </w:pPr>
      <w:r w:rsidRPr="006B39CD">
        <w:rPr>
          <w:rFonts w:ascii="Abadi" w:eastAsia="Times New Roman" w:hAnsi="Abadi" w:cs="Calibri"/>
          <w:color w:val="000000"/>
          <w:kern w:val="0"/>
          <w:lang w:eastAsia="en-GB"/>
          <w14:ligatures w14:val="none"/>
        </w:rPr>
        <w:t>TDD, BDD, and FDD are agile methodologies used in iterative development, and they are not inherently exclusive, as they focus on different aspects of the development process. For instance, TDD addresses the "how" of development by writing tests first, ensuring high test coverage, and avoiding redundant code, which leads to high-quality code [2]. Since TDD primarily involves developers, it is particularly beneficial for projects where code quality is paramount.</w:t>
      </w:r>
    </w:p>
    <w:p w14:paraId="0CE3EBFC" w14:textId="77777777" w:rsidR="00883492" w:rsidRPr="006B39CD" w:rsidRDefault="00883492" w:rsidP="00A11E7F">
      <w:pPr>
        <w:spacing w:after="0" w:line="240" w:lineRule="auto"/>
        <w:rPr>
          <w:rFonts w:ascii="Abadi" w:eastAsia="Times New Roman" w:hAnsi="Abadi" w:cs="Calibri"/>
          <w:color w:val="000000"/>
          <w:kern w:val="0"/>
          <w:lang w:eastAsia="en-GB"/>
          <w14:ligatures w14:val="none"/>
        </w:rPr>
      </w:pPr>
      <w:r w:rsidRPr="006B39CD">
        <w:rPr>
          <w:rFonts w:ascii="Abadi" w:eastAsia="Times New Roman" w:hAnsi="Abadi" w:cs="Calibri"/>
          <w:color w:val="000000"/>
          <w:kern w:val="0"/>
          <w:lang w:eastAsia="en-GB"/>
          <w14:ligatures w14:val="none"/>
        </w:rPr>
        <w:t>While some research suggests that BDD can lead to higher customer satisfaction and potentially reduce development time compared to TDD [3], these improvements are largely due to BDD being a refinement of TDD [4]. BDD adds a layer of behaviour-focused development and collaboration, enhancing alignment with user needs and streamlining the development process [3, 13]. BDD excels in projects where there is heavy collaboration between technical and non-technical stakeholders, particularly when the focus is on the "why" of a feature. It is especially effective for applications where critical user experience is paramount [14].</w:t>
      </w:r>
    </w:p>
    <w:p w14:paraId="1EE0DB7F" w14:textId="77777777" w:rsidR="00883492" w:rsidRPr="006B39CD" w:rsidRDefault="00883492" w:rsidP="00A11E7F">
      <w:pPr>
        <w:spacing w:after="0" w:line="240" w:lineRule="auto"/>
        <w:rPr>
          <w:rFonts w:ascii="Abadi" w:eastAsia="Times New Roman" w:hAnsi="Abadi" w:cs="Calibri"/>
          <w:color w:val="000000"/>
          <w:kern w:val="0"/>
          <w:lang w:eastAsia="en-GB"/>
          <w14:ligatures w14:val="none"/>
        </w:rPr>
      </w:pPr>
      <w:r w:rsidRPr="006B39CD">
        <w:rPr>
          <w:rFonts w:ascii="Abadi" w:eastAsia="Times New Roman" w:hAnsi="Abadi" w:cs="Calibri"/>
          <w:color w:val="000000"/>
          <w:kern w:val="0"/>
          <w:lang w:eastAsia="en-GB"/>
          <w14:ligatures w14:val="none"/>
        </w:rPr>
        <w:t>FDD, on the other hand, focuses on the "what' of the development and is designed for large-scale projects, where features need to be broken down to manage complexity. Developing features incrementally and iteratively, with feedback incorporated between increments, increases the likelihood of completing large-scale projects effectively [9].</w:t>
      </w:r>
    </w:p>
    <w:p w14:paraId="33514C69" w14:textId="77777777" w:rsidR="00883492" w:rsidRPr="006B39CD"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6B39CD">
        <w:rPr>
          <w:rFonts w:ascii="Calibri" w:eastAsia="Times New Roman" w:hAnsi="Calibri" w:cs="Calibri"/>
          <w:color w:val="000000"/>
          <w:kern w:val="0"/>
          <w:sz w:val="22"/>
          <w:szCs w:val="22"/>
          <w:lang w:eastAsia="en-GB"/>
          <w14:ligatures w14:val="none"/>
        </w:rPr>
        <w:t> </w:t>
      </w:r>
    </w:p>
    <w:p w14:paraId="50ED379A"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377AF885"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039CDD89"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33EB94BB" w14:textId="0576F5AF" w:rsidR="00883492" w:rsidRPr="006B39CD" w:rsidRDefault="00883492" w:rsidP="00A11E7F">
      <w:pPr>
        <w:spacing w:after="0" w:line="240" w:lineRule="auto"/>
        <w:rPr>
          <w:rFonts w:ascii="Abadi" w:eastAsia="Times New Roman" w:hAnsi="Abadi" w:cs="Calibri"/>
          <w:color w:val="000000"/>
          <w:kern w:val="0"/>
          <w:lang w:eastAsia="en-GB"/>
          <w14:ligatures w14:val="none"/>
        </w:rPr>
      </w:pPr>
      <w:r w:rsidRPr="006B39CD">
        <w:rPr>
          <w:rFonts w:ascii="Abadi" w:eastAsia="Times New Roman" w:hAnsi="Abadi" w:cs="Calibri"/>
          <w:color w:val="000000"/>
          <w:kern w:val="0"/>
          <w:lang w:eastAsia="en-GB"/>
          <w14:ligatures w14:val="none"/>
        </w:rPr>
        <w:t xml:space="preserve">To conclude, TDD, BDD, and FDD are agile practices that enable individuals and teams to build software products iteratively and effectively. While these methodologies all aim to improve code quality and streamline agile processes, each has its own focus. TDD is specifically </w:t>
      </w:r>
      <w:r w:rsidR="006B39CD" w:rsidRPr="006B39CD">
        <w:rPr>
          <w:rFonts w:ascii="Abadi" w:eastAsia="Times New Roman" w:hAnsi="Abadi" w:cs="Calibri"/>
          <w:color w:val="000000"/>
          <w:kern w:val="0"/>
          <w:lang w:eastAsia="en-GB"/>
          <w14:ligatures w14:val="none"/>
        </w:rPr>
        <w:t>centred</w:t>
      </w:r>
      <w:r w:rsidRPr="006B39CD">
        <w:rPr>
          <w:rFonts w:ascii="Abadi" w:eastAsia="Times New Roman" w:hAnsi="Abadi" w:cs="Calibri"/>
          <w:color w:val="000000"/>
          <w:kern w:val="0"/>
          <w:lang w:eastAsia="en-GB"/>
          <w14:ligatures w14:val="none"/>
        </w:rPr>
        <w:t xml:space="preserve"> on the code level of software development, with effective testing and test coverage at its core. BDD, on the other hand, emphasizes cross-collaboration and bridges the gap between technical and non-technical stakeholders in building the product. FDD focuses on breaking down large-scale software projects into smaller, manageable features, allowing for better project management. However, each of these methodologies can have a steep learning curve, and if not implemented correctly, they may lead to a loss of time and resources, thus forfeiting their intended advantages. Ultimately, when properly applied, these agile practices can greatly enhance software development efficiency and ensure high-quality, user-centric products.</w:t>
      </w:r>
    </w:p>
    <w:p w14:paraId="7A19F6C6"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5E9C943E"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0BF98F35"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59900694"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4A6A4CFB"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649C0867" w14:textId="77777777" w:rsidR="003B028A" w:rsidRDefault="003B028A" w:rsidP="003B028A">
      <w:pPr>
        <w:spacing w:after="0" w:line="240" w:lineRule="auto"/>
        <w:rPr>
          <w:rFonts w:ascii="Calibri" w:eastAsia="Times New Roman" w:hAnsi="Calibri" w:cs="Calibri"/>
          <w:color w:val="000000"/>
          <w:kern w:val="0"/>
          <w:sz w:val="22"/>
          <w:szCs w:val="22"/>
          <w:lang w:eastAsia="en-GB"/>
          <w14:ligatures w14:val="none"/>
        </w:rPr>
      </w:pPr>
    </w:p>
    <w:p w14:paraId="500ABDBC" w14:textId="77777777" w:rsidR="003B028A" w:rsidRDefault="003B028A" w:rsidP="003B028A">
      <w:pPr>
        <w:spacing w:after="0" w:line="240" w:lineRule="auto"/>
        <w:rPr>
          <w:rFonts w:ascii="Calibri" w:eastAsia="Times New Roman" w:hAnsi="Calibri" w:cs="Calibri"/>
          <w:color w:val="000000"/>
          <w:kern w:val="0"/>
          <w:sz w:val="22"/>
          <w:szCs w:val="22"/>
          <w:lang w:eastAsia="en-GB"/>
          <w14:ligatures w14:val="none"/>
        </w:rPr>
      </w:pPr>
    </w:p>
    <w:p w14:paraId="4A3551E2" w14:textId="73B574D5" w:rsidR="00883492" w:rsidRPr="003B028A" w:rsidRDefault="00883492" w:rsidP="00883492">
      <w:pPr>
        <w:spacing w:after="0" w:line="240" w:lineRule="auto"/>
        <w:rPr>
          <w:rFonts w:ascii="Abadi" w:eastAsia="Times New Roman" w:hAnsi="Abadi" w:cs="Calibri"/>
          <w:color w:val="000000"/>
          <w:kern w:val="0"/>
          <w:sz w:val="22"/>
          <w:szCs w:val="22"/>
          <w:lang w:eastAsia="en-GB"/>
          <w14:ligatures w14:val="none"/>
        </w:rPr>
      </w:pPr>
      <w:r w:rsidRPr="003B028A">
        <w:rPr>
          <w:rFonts w:ascii="Abadi" w:eastAsia="Times New Roman" w:hAnsi="Abadi" w:cs="Calibri"/>
          <w:color w:val="000000"/>
          <w:kern w:val="0"/>
          <w:sz w:val="22"/>
          <w:szCs w:val="22"/>
          <w:lang w:eastAsia="en-GB"/>
          <w14:ligatures w14:val="none"/>
        </w:rPr>
        <w:t xml:space="preserve">REFERENCES </w:t>
      </w:r>
    </w:p>
    <w:p w14:paraId="00F41E92" w14:textId="77777777" w:rsidR="00883492" w:rsidRPr="003B028A" w:rsidRDefault="00883492" w:rsidP="00883492">
      <w:pPr>
        <w:spacing w:after="0" w:line="240" w:lineRule="auto"/>
        <w:ind w:left="720"/>
        <w:rPr>
          <w:rFonts w:ascii="Abadi" w:eastAsia="Times New Roman" w:hAnsi="Abadi" w:cs="Calibri"/>
          <w:color w:val="000000"/>
          <w:kern w:val="0"/>
          <w:sz w:val="22"/>
          <w:szCs w:val="22"/>
          <w:lang w:eastAsia="en-GB"/>
          <w14:ligatures w14:val="none"/>
        </w:rPr>
      </w:pPr>
    </w:p>
    <w:p w14:paraId="5D7DA5B7"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[1]</w:t>
      </w:r>
    </w:p>
    <w:p w14:paraId="384B44CF"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M. </w:t>
      </w:r>
      <w:proofErr w:type="spellStart"/>
      <w:r w:rsidRPr="003B028A">
        <w:rPr>
          <w:rFonts w:ascii="Abadi" w:hAnsi="Abadi" w:cs="Calibri"/>
          <w:color w:val="000000"/>
          <w:sz w:val="22"/>
          <w:szCs w:val="22"/>
        </w:rPr>
        <w:t>Marabesi</w:t>
      </w:r>
      <w:proofErr w:type="spellEnd"/>
      <w:r w:rsidRPr="003B028A">
        <w:rPr>
          <w:rFonts w:ascii="Abadi" w:hAnsi="Abadi" w:cs="Calibri"/>
          <w:color w:val="000000"/>
          <w:sz w:val="22"/>
          <w:szCs w:val="22"/>
        </w:rPr>
        <w:t>, F. J. García-</w:t>
      </w:r>
      <w:proofErr w:type="spellStart"/>
      <w:r w:rsidRPr="003B028A">
        <w:rPr>
          <w:rFonts w:ascii="Abadi" w:hAnsi="Abadi" w:cs="Calibri"/>
          <w:color w:val="000000"/>
          <w:sz w:val="22"/>
          <w:szCs w:val="22"/>
        </w:rPr>
        <w:t>Peñalvo</w:t>
      </w:r>
      <w:proofErr w:type="spellEnd"/>
      <w:r w:rsidRPr="003B028A">
        <w:rPr>
          <w:rFonts w:ascii="Abadi" w:hAnsi="Abadi" w:cs="Calibri"/>
          <w:color w:val="000000"/>
          <w:sz w:val="22"/>
          <w:szCs w:val="22"/>
        </w:rPr>
        <w:t>, and A. García-Holgado, “Towards a TDD maturity model through an anti-patterns framework,” </w:t>
      </w:r>
      <w:r w:rsidRPr="003B028A">
        <w:rPr>
          <w:rFonts w:ascii="Abadi" w:hAnsi="Abadi" w:cs="Calibri"/>
          <w:i/>
          <w:iCs/>
          <w:color w:val="000000"/>
          <w:sz w:val="22"/>
          <w:szCs w:val="22"/>
        </w:rPr>
        <w:t>2022 17th Iberian Conference on Information Systems and Technologies (CISTI)</w:t>
      </w:r>
      <w:r w:rsidRPr="003B028A">
        <w:rPr>
          <w:rFonts w:ascii="Abadi" w:hAnsi="Abadi" w:cs="Calibri"/>
          <w:color w:val="000000"/>
          <w:sz w:val="22"/>
          <w:szCs w:val="22"/>
        </w:rPr>
        <w:t xml:space="preserve">, Jun. 2023,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8" w:history="1">
        <w:r w:rsidRPr="003B028A">
          <w:rPr>
            <w:rStyle w:val="Hyperlink"/>
            <w:rFonts w:ascii="Abadi" w:eastAsiaTheme="majorEastAsia" w:hAnsi="Abadi" w:cs="Calibri"/>
            <w:sz w:val="22"/>
            <w:szCs w:val="22"/>
          </w:rPr>
          <w:t>https://doi.org/10.23919/cisti58</w:t>
        </w:r>
        <w:r w:rsidRPr="003B028A">
          <w:rPr>
            <w:rStyle w:val="Hyperlink"/>
            <w:rFonts w:ascii="Abadi" w:eastAsiaTheme="majorEastAsia" w:hAnsi="Abadi" w:cs="Calibri"/>
            <w:sz w:val="22"/>
            <w:szCs w:val="22"/>
          </w:rPr>
          <w:t>2</w:t>
        </w:r>
        <w:r w:rsidRPr="003B028A">
          <w:rPr>
            <w:rStyle w:val="Hyperlink"/>
            <w:rFonts w:ascii="Abadi" w:eastAsiaTheme="majorEastAsia" w:hAnsi="Abadi" w:cs="Calibri"/>
            <w:sz w:val="22"/>
            <w:szCs w:val="22"/>
          </w:rPr>
          <w:t>78.2023.10211890</w:t>
        </w:r>
      </w:hyperlink>
      <w:r w:rsidRPr="003B028A">
        <w:rPr>
          <w:rFonts w:ascii="Abadi" w:hAnsi="Abadi" w:cs="Calibri"/>
          <w:color w:val="000000"/>
          <w:sz w:val="22"/>
          <w:szCs w:val="22"/>
        </w:rPr>
        <w:t>.</w:t>
      </w:r>
    </w:p>
    <w:p w14:paraId="3A9B7F2F"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rial" w:hAnsi="Arial" w:cs="Arial"/>
          <w:color w:val="000000"/>
          <w:sz w:val="22"/>
          <w:szCs w:val="22"/>
        </w:rPr>
        <w:t>‌</w:t>
      </w:r>
    </w:p>
    <w:p w14:paraId="4555E510" w14:textId="642B0871" w:rsidR="00883492" w:rsidRPr="003B028A" w:rsidRDefault="00883492" w:rsidP="00883492">
      <w:pPr>
        <w:pStyle w:val="NormalWeb"/>
        <w:spacing w:before="0" w:beforeAutospacing="0" w:after="0" w:afterAutospacing="0"/>
        <w:rPr>
          <w:rFonts w:ascii="Abadi" w:hAnsi="Abadi" w:cs="Calibri"/>
          <w:color w:val="000000"/>
          <w:sz w:val="22"/>
          <w:szCs w:val="22"/>
        </w:rPr>
      </w:pPr>
    </w:p>
    <w:p w14:paraId="0B416F28"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7E2F2DA5"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[2] </w:t>
      </w:r>
    </w:p>
    <w:p w14:paraId="2E7A052F" w14:textId="5FD15ED0"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S. </w:t>
      </w:r>
      <w:proofErr w:type="spellStart"/>
      <w:r w:rsidRPr="003B028A">
        <w:rPr>
          <w:rFonts w:ascii="Abadi" w:hAnsi="Abadi" w:cs="Calibri"/>
          <w:color w:val="000000"/>
          <w:sz w:val="22"/>
          <w:szCs w:val="22"/>
        </w:rPr>
        <w:t>Alsaqqa</w:t>
      </w:r>
      <w:proofErr w:type="spellEnd"/>
      <w:r w:rsidRPr="003B028A">
        <w:rPr>
          <w:rFonts w:ascii="Abadi" w:hAnsi="Abadi" w:cs="Calibri"/>
          <w:color w:val="000000"/>
          <w:sz w:val="22"/>
          <w:szCs w:val="22"/>
        </w:rPr>
        <w:t xml:space="preserve">, S. </w:t>
      </w:r>
      <w:proofErr w:type="spellStart"/>
      <w:r w:rsidRPr="003B028A">
        <w:rPr>
          <w:rFonts w:ascii="Abadi" w:hAnsi="Abadi" w:cs="Calibri"/>
          <w:color w:val="000000"/>
          <w:sz w:val="22"/>
          <w:szCs w:val="22"/>
        </w:rPr>
        <w:t>Sawalha</w:t>
      </w:r>
      <w:proofErr w:type="spellEnd"/>
      <w:r w:rsidRPr="003B028A">
        <w:rPr>
          <w:rFonts w:ascii="Abadi" w:hAnsi="Abadi" w:cs="Calibri"/>
          <w:color w:val="000000"/>
          <w:sz w:val="22"/>
          <w:szCs w:val="22"/>
        </w:rPr>
        <w:t>, and H. Abdel-Nabi, ,” </w:t>
      </w:r>
      <w:r w:rsidRPr="003B028A">
        <w:rPr>
          <w:rFonts w:ascii="Abadi" w:hAnsi="Abadi" w:cs="Calibri"/>
          <w:sz w:val="22"/>
          <w:szCs w:val="22"/>
          <w:shd w:val="clear" w:color="auto" w:fill="FFFFFF"/>
        </w:rPr>
        <w:t xml:space="preserve">Agile Software Development: Methodologies and Trends", </w:t>
      </w:r>
      <w:r w:rsidRPr="003B028A">
        <w:rPr>
          <w:rFonts w:ascii="Abadi" w:hAnsi="Abadi" w:cs="Calibri"/>
          <w:i/>
          <w:iCs/>
          <w:color w:val="000000"/>
          <w:sz w:val="22"/>
          <w:szCs w:val="22"/>
        </w:rPr>
        <w:t>International Journal of Interactive Mobile Technologies</w:t>
      </w:r>
      <w:r w:rsidRPr="003B028A">
        <w:rPr>
          <w:rFonts w:ascii="Abadi" w:hAnsi="Abadi" w:cs="Calibri"/>
          <w:color w:val="000000"/>
          <w:sz w:val="22"/>
          <w:szCs w:val="22"/>
        </w:rPr>
        <w:t xml:space="preserve">, vol. 14, no. 11, pp. 246–270, Jul. 2020,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9" w:history="1">
        <w:r w:rsidRPr="003B028A">
          <w:rPr>
            <w:rStyle w:val="Hyperlink"/>
            <w:rFonts w:ascii="Abadi" w:eastAsiaTheme="majorEastAsia" w:hAnsi="Abadi" w:cs="Calibri"/>
            <w:color w:val="000000"/>
            <w:sz w:val="22"/>
            <w:szCs w:val="22"/>
          </w:rPr>
          <w:t>https://doi.org/10.3991/ijim.v14i11.13269</w:t>
        </w:r>
      </w:hyperlink>
      <w:r w:rsidRPr="003B028A">
        <w:rPr>
          <w:rFonts w:ascii="Abadi" w:hAnsi="Abadi" w:cs="Calibri"/>
          <w:color w:val="000000"/>
          <w:sz w:val="22"/>
          <w:szCs w:val="22"/>
        </w:rPr>
        <w:t>.</w:t>
      </w:r>
    </w:p>
    <w:p w14:paraId="1A25A2CF"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30E3A4A9"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2830A97C"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[3]</w:t>
      </w:r>
    </w:p>
    <w:p w14:paraId="6DE2B576"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L. P. </w:t>
      </w:r>
      <w:proofErr w:type="spellStart"/>
      <w:r w:rsidRPr="003B028A">
        <w:rPr>
          <w:rFonts w:ascii="Abadi" w:hAnsi="Abadi" w:cs="Calibri"/>
          <w:color w:val="000000"/>
          <w:sz w:val="22"/>
          <w:szCs w:val="22"/>
        </w:rPr>
        <w:t>Binamungu</w:t>
      </w:r>
      <w:proofErr w:type="spellEnd"/>
      <w:r w:rsidRPr="003B028A">
        <w:rPr>
          <w:rFonts w:ascii="Abadi" w:hAnsi="Abadi" w:cs="Calibri"/>
          <w:color w:val="000000"/>
          <w:sz w:val="22"/>
          <w:szCs w:val="22"/>
        </w:rPr>
        <w:t xml:space="preserve"> and S. Maro, “Behaviour driven development: A systematic mapping study,” </w:t>
      </w:r>
      <w:r w:rsidRPr="003B028A">
        <w:rPr>
          <w:rFonts w:ascii="Abadi" w:hAnsi="Abadi" w:cs="Calibri"/>
          <w:i/>
          <w:iCs/>
          <w:color w:val="000000"/>
          <w:sz w:val="22"/>
          <w:szCs w:val="22"/>
        </w:rPr>
        <w:t>Journal of Systems and Software</w:t>
      </w:r>
      <w:r w:rsidRPr="003B028A">
        <w:rPr>
          <w:rFonts w:ascii="Abadi" w:hAnsi="Abadi" w:cs="Calibri"/>
          <w:color w:val="000000"/>
          <w:sz w:val="22"/>
          <w:szCs w:val="22"/>
        </w:rPr>
        <w:t xml:space="preserve">, vol. 203, p. 111749, Sep. 2023,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10" w:history="1">
        <w:r w:rsidRPr="003B028A">
          <w:rPr>
            <w:rStyle w:val="Hyperlink"/>
            <w:rFonts w:ascii="Abadi" w:eastAsiaTheme="majorEastAsia" w:hAnsi="Abadi" w:cs="Calibri"/>
            <w:sz w:val="22"/>
            <w:szCs w:val="22"/>
          </w:rPr>
          <w:t>https://doi.org/10.1016/j.jss.2023.111749</w:t>
        </w:r>
      </w:hyperlink>
      <w:r w:rsidRPr="003B028A">
        <w:rPr>
          <w:rFonts w:ascii="Abadi" w:hAnsi="Abadi" w:cs="Calibri"/>
          <w:color w:val="000000"/>
          <w:sz w:val="22"/>
          <w:szCs w:val="22"/>
        </w:rPr>
        <w:t>.</w:t>
      </w:r>
    </w:p>
    <w:p w14:paraId="2D5871A5"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350C917F"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3E3684B6"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[4]</w:t>
      </w:r>
    </w:p>
    <w:p w14:paraId="4C8E1036"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H. M. </w:t>
      </w:r>
      <w:proofErr w:type="spellStart"/>
      <w:r w:rsidRPr="003B028A">
        <w:rPr>
          <w:rFonts w:ascii="Abadi" w:hAnsi="Abadi" w:cs="Calibri"/>
          <w:color w:val="000000"/>
          <w:sz w:val="22"/>
          <w:szCs w:val="22"/>
        </w:rPr>
        <w:t>Abushama</w:t>
      </w:r>
      <w:proofErr w:type="spellEnd"/>
      <w:r w:rsidRPr="003B028A">
        <w:rPr>
          <w:rFonts w:ascii="Abadi" w:hAnsi="Abadi" w:cs="Calibri"/>
          <w:color w:val="000000"/>
          <w:sz w:val="22"/>
          <w:szCs w:val="22"/>
        </w:rPr>
        <w:t xml:space="preserve">, </w:t>
      </w:r>
      <w:proofErr w:type="spellStart"/>
      <w:r w:rsidRPr="003B028A">
        <w:rPr>
          <w:rFonts w:ascii="Abadi" w:hAnsi="Abadi" w:cs="Calibri"/>
          <w:color w:val="000000"/>
          <w:sz w:val="22"/>
          <w:szCs w:val="22"/>
        </w:rPr>
        <w:t>Hanaa</w:t>
      </w:r>
      <w:proofErr w:type="spellEnd"/>
      <w:r w:rsidRPr="003B028A">
        <w:rPr>
          <w:rFonts w:ascii="Abadi" w:hAnsi="Abadi" w:cs="Calibri"/>
          <w:color w:val="000000"/>
          <w:sz w:val="22"/>
          <w:szCs w:val="22"/>
        </w:rPr>
        <w:t xml:space="preserve"> </w:t>
      </w:r>
      <w:proofErr w:type="spellStart"/>
      <w:r w:rsidRPr="003B028A">
        <w:rPr>
          <w:rFonts w:ascii="Abadi" w:hAnsi="Abadi" w:cs="Calibri"/>
          <w:color w:val="000000"/>
          <w:sz w:val="22"/>
          <w:szCs w:val="22"/>
        </w:rPr>
        <w:t>Altigani</w:t>
      </w:r>
      <w:proofErr w:type="spellEnd"/>
      <w:r w:rsidRPr="003B028A">
        <w:rPr>
          <w:rFonts w:ascii="Abadi" w:hAnsi="Abadi" w:cs="Calibri"/>
          <w:color w:val="000000"/>
          <w:sz w:val="22"/>
          <w:szCs w:val="22"/>
        </w:rPr>
        <w:t xml:space="preserve"> </w:t>
      </w:r>
      <w:proofErr w:type="spellStart"/>
      <w:r w:rsidRPr="003B028A">
        <w:rPr>
          <w:rFonts w:ascii="Abadi" w:hAnsi="Abadi" w:cs="Calibri"/>
          <w:color w:val="000000"/>
          <w:sz w:val="22"/>
          <w:szCs w:val="22"/>
        </w:rPr>
        <w:t>Alassam</w:t>
      </w:r>
      <w:proofErr w:type="spellEnd"/>
      <w:r w:rsidRPr="003B028A">
        <w:rPr>
          <w:rFonts w:ascii="Abadi" w:hAnsi="Abadi" w:cs="Calibri"/>
          <w:color w:val="000000"/>
          <w:sz w:val="22"/>
          <w:szCs w:val="22"/>
        </w:rPr>
        <w:t xml:space="preserve">, and F. A. </w:t>
      </w:r>
      <w:proofErr w:type="spellStart"/>
      <w:r w:rsidRPr="003B028A">
        <w:rPr>
          <w:rFonts w:ascii="Abadi" w:hAnsi="Abadi" w:cs="Calibri"/>
          <w:color w:val="000000"/>
          <w:sz w:val="22"/>
          <w:szCs w:val="22"/>
        </w:rPr>
        <w:t>Elhaj</w:t>
      </w:r>
      <w:proofErr w:type="spellEnd"/>
      <w:r w:rsidRPr="003B028A">
        <w:rPr>
          <w:rFonts w:ascii="Abadi" w:hAnsi="Abadi" w:cs="Calibri"/>
          <w:color w:val="000000"/>
          <w:sz w:val="22"/>
          <w:szCs w:val="22"/>
        </w:rPr>
        <w:t xml:space="preserve">, “The effect of Test-Driven Development and </w:t>
      </w:r>
      <w:proofErr w:type="spellStart"/>
      <w:r w:rsidRPr="003B028A">
        <w:rPr>
          <w:rFonts w:ascii="Abadi" w:hAnsi="Abadi" w:cs="Calibri"/>
          <w:color w:val="000000"/>
          <w:sz w:val="22"/>
          <w:szCs w:val="22"/>
        </w:rPr>
        <w:t>Behavior</w:t>
      </w:r>
      <w:proofErr w:type="spellEnd"/>
      <w:r w:rsidRPr="003B028A">
        <w:rPr>
          <w:rFonts w:ascii="Abadi" w:hAnsi="Abadi" w:cs="Calibri"/>
          <w:color w:val="000000"/>
          <w:sz w:val="22"/>
          <w:szCs w:val="22"/>
        </w:rPr>
        <w:t>-Driven Development on Project Success Factors: A Systematic Literature Review Based Study,” </w:t>
      </w:r>
      <w:r w:rsidRPr="003B028A">
        <w:rPr>
          <w:rFonts w:ascii="Abadi" w:hAnsi="Abadi" w:cs="Calibri"/>
          <w:i/>
          <w:iCs/>
          <w:color w:val="000000"/>
          <w:sz w:val="22"/>
          <w:szCs w:val="22"/>
        </w:rPr>
        <w:t>2020 International Conference on Computer, Control, Electrical, and Electronics Engineering (ICCCEEE)</w:t>
      </w:r>
      <w:r w:rsidRPr="003B028A">
        <w:rPr>
          <w:rFonts w:ascii="Abadi" w:hAnsi="Abadi" w:cs="Calibri"/>
          <w:color w:val="000000"/>
          <w:sz w:val="22"/>
          <w:szCs w:val="22"/>
        </w:rPr>
        <w:t xml:space="preserve">, Feb. 2021,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11" w:history="1">
        <w:r w:rsidRPr="003B028A">
          <w:rPr>
            <w:rStyle w:val="Hyperlink"/>
            <w:rFonts w:ascii="Abadi" w:eastAsiaTheme="majorEastAsia" w:hAnsi="Abadi" w:cs="Calibri"/>
            <w:sz w:val="22"/>
            <w:szCs w:val="22"/>
          </w:rPr>
          <w:t>https://doi.org/10.1109/iccceee49695.2021.9429593</w:t>
        </w:r>
      </w:hyperlink>
      <w:r w:rsidRPr="003B028A">
        <w:rPr>
          <w:rFonts w:ascii="Abadi" w:hAnsi="Abadi" w:cs="Calibri"/>
          <w:color w:val="000000"/>
          <w:sz w:val="22"/>
          <w:szCs w:val="22"/>
        </w:rPr>
        <w:t>.</w:t>
      </w:r>
    </w:p>
    <w:p w14:paraId="0110B625"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79286AB3"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1E925D40"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701027CE"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[5]</w:t>
      </w:r>
    </w:p>
    <w:p w14:paraId="36D3F595"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S. M. Tampubolon and T. </w:t>
      </w:r>
      <w:proofErr w:type="spellStart"/>
      <w:r w:rsidRPr="003B028A">
        <w:rPr>
          <w:rFonts w:ascii="Abadi" w:hAnsi="Abadi" w:cs="Calibri"/>
          <w:color w:val="000000"/>
          <w:sz w:val="22"/>
          <w:szCs w:val="22"/>
        </w:rPr>
        <w:t>Raharjo</w:t>
      </w:r>
      <w:proofErr w:type="spellEnd"/>
      <w:r w:rsidRPr="003B028A">
        <w:rPr>
          <w:rFonts w:ascii="Abadi" w:hAnsi="Abadi" w:cs="Calibri"/>
          <w:color w:val="000000"/>
          <w:sz w:val="22"/>
          <w:szCs w:val="22"/>
        </w:rPr>
        <w:t>, “Unveiling the Benefits and Challenges of Test-Driven Development in Agile: A Systematic Literature Review,” </w:t>
      </w:r>
      <w:r w:rsidRPr="003B028A">
        <w:rPr>
          <w:rFonts w:ascii="Abadi" w:hAnsi="Abadi" w:cs="Calibri"/>
          <w:i/>
          <w:iCs/>
          <w:color w:val="000000"/>
          <w:sz w:val="22"/>
          <w:szCs w:val="22"/>
        </w:rPr>
        <w:t>Indonesian Journal of Computer Science</w:t>
      </w:r>
      <w:r w:rsidRPr="003B028A">
        <w:rPr>
          <w:rFonts w:ascii="Abadi" w:hAnsi="Abadi" w:cs="Calibri"/>
          <w:color w:val="000000"/>
          <w:sz w:val="22"/>
          <w:szCs w:val="22"/>
        </w:rPr>
        <w:t xml:space="preserve">, vol. 13, no. 2, Apr. 2024,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12" w:history="1">
        <w:r w:rsidRPr="003B028A">
          <w:rPr>
            <w:rStyle w:val="Hyperlink"/>
            <w:rFonts w:ascii="Abadi" w:eastAsiaTheme="majorEastAsia" w:hAnsi="Abadi" w:cs="Calibri"/>
            <w:sz w:val="22"/>
            <w:szCs w:val="22"/>
          </w:rPr>
          <w:t>https://doi.org/10.33022/ijcs.v13i2.3857</w:t>
        </w:r>
      </w:hyperlink>
      <w:r w:rsidRPr="003B028A">
        <w:rPr>
          <w:rFonts w:ascii="Abadi" w:hAnsi="Abadi" w:cs="Calibri"/>
          <w:color w:val="000000"/>
          <w:sz w:val="22"/>
          <w:szCs w:val="22"/>
        </w:rPr>
        <w:t>.</w:t>
      </w:r>
    </w:p>
    <w:p w14:paraId="7C81369B"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0418E494"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4A05B671"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5834DB20"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[6]</w:t>
      </w:r>
    </w:p>
    <w:p w14:paraId="7EC73ECD"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xml:space="preserve"> D. </w:t>
      </w:r>
      <w:proofErr w:type="spellStart"/>
      <w:r w:rsidRPr="003B028A">
        <w:rPr>
          <w:rFonts w:ascii="Abadi" w:hAnsi="Abadi" w:cs="Calibri"/>
          <w:sz w:val="22"/>
          <w:szCs w:val="22"/>
        </w:rPr>
        <w:t>Staegemann</w:t>
      </w:r>
      <w:proofErr w:type="spellEnd"/>
      <w:r w:rsidRPr="003B028A">
        <w:rPr>
          <w:rFonts w:ascii="Abadi" w:hAnsi="Abadi" w:cs="Calibri"/>
          <w:sz w:val="22"/>
          <w:szCs w:val="22"/>
        </w:rPr>
        <w:t xml:space="preserve">, M. Volk, M. Perera, C. </w:t>
      </w:r>
      <w:proofErr w:type="spellStart"/>
      <w:r w:rsidRPr="003B028A">
        <w:rPr>
          <w:rFonts w:ascii="Abadi" w:hAnsi="Abadi" w:cs="Calibri"/>
          <w:sz w:val="22"/>
          <w:szCs w:val="22"/>
        </w:rPr>
        <w:t>Haertel</w:t>
      </w:r>
      <w:proofErr w:type="spellEnd"/>
      <w:r w:rsidRPr="003B028A">
        <w:rPr>
          <w:rFonts w:ascii="Abadi" w:hAnsi="Abadi" w:cs="Calibri"/>
          <w:sz w:val="22"/>
          <w:szCs w:val="22"/>
        </w:rPr>
        <w:t xml:space="preserve">, M. Pohl, C. </w:t>
      </w:r>
      <w:proofErr w:type="spellStart"/>
      <w:r w:rsidRPr="003B028A">
        <w:rPr>
          <w:rFonts w:ascii="Abadi" w:hAnsi="Abadi" w:cs="Calibri"/>
          <w:sz w:val="22"/>
          <w:szCs w:val="22"/>
        </w:rPr>
        <w:t>Daase</w:t>
      </w:r>
      <w:proofErr w:type="spellEnd"/>
      <w:r w:rsidRPr="003B028A">
        <w:rPr>
          <w:rFonts w:ascii="Abadi" w:hAnsi="Abadi" w:cs="Calibri"/>
          <w:sz w:val="22"/>
          <w:szCs w:val="22"/>
        </w:rPr>
        <w:t xml:space="preserve">, and K. </w:t>
      </w:r>
      <w:proofErr w:type="spellStart"/>
      <w:r w:rsidRPr="003B028A">
        <w:rPr>
          <w:rFonts w:ascii="Abadi" w:hAnsi="Abadi" w:cs="Calibri"/>
          <w:sz w:val="22"/>
          <w:szCs w:val="22"/>
        </w:rPr>
        <w:t>Turowski</w:t>
      </w:r>
      <w:proofErr w:type="spellEnd"/>
      <w:r w:rsidRPr="003B028A">
        <w:rPr>
          <w:rFonts w:ascii="Abadi" w:hAnsi="Abadi" w:cs="Calibri"/>
          <w:sz w:val="22"/>
          <w:szCs w:val="22"/>
        </w:rPr>
        <w:t>, "A Literature Review on the Challenges of Applying Test-Driven Development in Software Engineering," </w:t>
      </w:r>
      <w:r w:rsidRPr="003B028A">
        <w:rPr>
          <w:rFonts w:ascii="Abadi" w:hAnsi="Abadi" w:cs="Calibri"/>
          <w:i/>
          <w:iCs/>
          <w:sz w:val="22"/>
          <w:szCs w:val="22"/>
        </w:rPr>
        <w:t>CSIMQ: Communications in Computer and Information Science</w:t>
      </w:r>
      <w:r w:rsidRPr="003B028A">
        <w:rPr>
          <w:rFonts w:ascii="Abadi" w:hAnsi="Abadi" w:cs="Calibri"/>
          <w:sz w:val="22"/>
          <w:szCs w:val="22"/>
        </w:rPr>
        <w:t xml:space="preserve">, 2022. [Online]. Available:  </w:t>
      </w:r>
      <w:hyperlink r:id="rId13" w:history="1">
        <w:r w:rsidRPr="003B028A">
          <w:rPr>
            <w:rStyle w:val="Hyperlink"/>
            <w:rFonts w:ascii="Abadi" w:eastAsiaTheme="majorEastAsia" w:hAnsi="Abadi" w:cs="Calibri"/>
            <w:sz w:val="22"/>
            <w:szCs w:val="22"/>
          </w:rPr>
          <w:t>https://csimq-journals.rtu.lv/csimq/article/view/csimq.2022-31.02/183</w:t>
        </w:r>
      </w:hyperlink>
      <w:r w:rsidRPr="003B028A">
        <w:rPr>
          <w:rFonts w:ascii="Abadi" w:hAnsi="Abadi" w:cs="Calibri"/>
          <w:sz w:val="22"/>
          <w:szCs w:val="22"/>
        </w:rPr>
        <w:t>. Accessed: Dec. 22, 2024.</w:t>
      </w:r>
    </w:p>
    <w:p w14:paraId="3CC1390E"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5BB6AE38"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0A4675E9"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[7]</w:t>
      </w:r>
    </w:p>
    <w:p w14:paraId="4C261DC5"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6D50FC42"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I. Karac and B. </w:t>
      </w:r>
      <w:proofErr w:type="spellStart"/>
      <w:r w:rsidRPr="003B028A">
        <w:rPr>
          <w:rFonts w:ascii="Abadi" w:hAnsi="Abadi" w:cs="Calibri"/>
          <w:color w:val="000000"/>
          <w:sz w:val="22"/>
          <w:szCs w:val="22"/>
        </w:rPr>
        <w:t>Turhan</w:t>
      </w:r>
      <w:proofErr w:type="spellEnd"/>
      <w:r w:rsidRPr="003B028A">
        <w:rPr>
          <w:rFonts w:ascii="Abadi" w:hAnsi="Abadi" w:cs="Calibri"/>
          <w:color w:val="000000"/>
          <w:sz w:val="22"/>
          <w:szCs w:val="22"/>
        </w:rPr>
        <w:t>, “What Do We (Really) Know about Test-Driven Development?,” </w:t>
      </w:r>
      <w:r w:rsidRPr="003B028A">
        <w:rPr>
          <w:rFonts w:ascii="Abadi" w:hAnsi="Abadi" w:cs="Calibri"/>
          <w:i/>
          <w:iCs/>
          <w:color w:val="000000"/>
          <w:sz w:val="22"/>
          <w:szCs w:val="22"/>
        </w:rPr>
        <w:t>IEEE Software</w:t>
      </w:r>
      <w:r w:rsidRPr="003B028A">
        <w:rPr>
          <w:rFonts w:ascii="Abadi" w:hAnsi="Abadi" w:cs="Calibri"/>
          <w:color w:val="000000"/>
          <w:sz w:val="22"/>
          <w:szCs w:val="22"/>
        </w:rPr>
        <w:t xml:space="preserve">, vol. 35, no. 4, pp. 81–85, Jul. 2018,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14" w:history="1">
        <w:r w:rsidRPr="003B028A">
          <w:rPr>
            <w:rStyle w:val="Hyperlink"/>
            <w:rFonts w:ascii="Abadi" w:eastAsiaTheme="majorEastAsia" w:hAnsi="Abadi" w:cs="Calibri"/>
            <w:sz w:val="22"/>
            <w:szCs w:val="22"/>
          </w:rPr>
          <w:t>https://doi.org/10.1109/ms.2018.2801554</w:t>
        </w:r>
      </w:hyperlink>
      <w:r w:rsidRPr="003B028A">
        <w:rPr>
          <w:rFonts w:ascii="Abadi" w:hAnsi="Abadi" w:cs="Calibri"/>
          <w:color w:val="000000"/>
          <w:sz w:val="22"/>
          <w:szCs w:val="22"/>
        </w:rPr>
        <w:t>.</w:t>
      </w:r>
    </w:p>
    <w:p w14:paraId="56EA6D2E"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7A6B6BA1"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060CEB3D"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lastRenderedPageBreak/>
        <w:t> </w:t>
      </w:r>
    </w:p>
    <w:p w14:paraId="38A93E48"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[8]</w:t>
      </w:r>
    </w:p>
    <w:p w14:paraId="4FC70FB2"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S. Hooda, Vandana </w:t>
      </w:r>
      <w:proofErr w:type="spellStart"/>
      <w:r w:rsidRPr="003B028A">
        <w:rPr>
          <w:rFonts w:ascii="Abadi" w:hAnsi="Abadi" w:cs="Calibri"/>
          <w:color w:val="000000"/>
          <w:sz w:val="22"/>
          <w:szCs w:val="22"/>
        </w:rPr>
        <w:t>Mohindru</w:t>
      </w:r>
      <w:proofErr w:type="spellEnd"/>
      <w:r w:rsidRPr="003B028A">
        <w:rPr>
          <w:rFonts w:ascii="Abadi" w:hAnsi="Abadi" w:cs="Calibri"/>
          <w:color w:val="000000"/>
          <w:sz w:val="22"/>
          <w:szCs w:val="22"/>
        </w:rPr>
        <w:t xml:space="preserve"> Sood, Y. Singh, S. Dalal, and M. Sood, </w:t>
      </w:r>
      <w:r w:rsidRPr="003B028A">
        <w:rPr>
          <w:rFonts w:ascii="Abadi" w:hAnsi="Abadi" w:cs="Calibri"/>
          <w:i/>
          <w:iCs/>
          <w:color w:val="000000"/>
          <w:sz w:val="22"/>
          <w:szCs w:val="22"/>
        </w:rPr>
        <w:t>Agile Software Development</w:t>
      </w:r>
      <w:r w:rsidRPr="003B028A">
        <w:rPr>
          <w:rFonts w:ascii="Abadi" w:hAnsi="Abadi" w:cs="Calibri"/>
          <w:color w:val="000000"/>
          <w:sz w:val="22"/>
          <w:szCs w:val="22"/>
        </w:rPr>
        <w:t>. John Wiley &amp; Sons, 2023.</w:t>
      </w:r>
    </w:p>
    <w:p w14:paraId="22B1FAB4"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20EB9978"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096B4E6A"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[9] </w:t>
      </w:r>
    </w:p>
    <w:p w14:paraId="74ABE65C"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xml:space="preserve">S. Niaz and B. Hayat, "Agile software development methodologies evaluation research analysis: A review," </w:t>
      </w:r>
      <w:r w:rsidRPr="003B028A">
        <w:rPr>
          <w:rFonts w:ascii="Abadi" w:hAnsi="Abadi" w:cs="Calibri"/>
          <w:i/>
          <w:iCs/>
          <w:sz w:val="22"/>
          <w:szCs w:val="22"/>
        </w:rPr>
        <w:t xml:space="preserve">Int. J. </w:t>
      </w:r>
      <w:proofErr w:type="spellStart"/>
      <w:r w:rsidRPr="003B028A">
        <w:rPr>
          <w:rFonts w:ascii="Abadi" w:hAnsi="Abadi" w:cs="Calibri"/>
          <w:i/>
          <w:iCs/>
          <w:sz w:val="22"/>
          <w:szCs w:val="22"/>
        </w:rPr>
        <w:t>Comput</w:t>
      </w:r>
      <w:proofErr w:type="spellEnd"/>
      <w:r w:rsidRPr="003B028A">
        <w:rPr>
          <w:rFonts w:ascii="Abadi" w:hAnsi="Abadi" w:cs="Calibri"/>
          <w:i/>
          <w:iCs/>
          <w:sz w:val="22"/>
          <w:szCs w:val="22"/>
        </w:rPr>
        <w:t xml:space="preserve">. Sci. </w:t>
      </w:r>
      <w:proofErr w:type="spellStart"/>
      <w:r w:rsidRPr="003B028A">
        <w:rPr>
          <w:rFonts w:ascii="Abadi" w:hAnsi="Abadi" w:cs="Calibri"/>
          <w:i/>
          <w:iCs/>
          <w:sz w:val="22"/>
          <w:szCs w:val="22"/>
        </w:rPr>
        <w:t>Netw</w:t>
      </w:r>
      <w:proofErr w:type="spellEnd"/>
      <w:r w:rsidRPr="003B028A">
        <w:rPr>
          <w:rFonts w:ascii="Abadi" w:hAnsi="Abadi" w:cs="Calibri"/>
          <w:i/>
          <w:iCs/>
          <w:sz w:val="22"/>
          <w:szCs w:val="22"/>
        </w:rPr>
        <w:t xml:space="preserve">. </w:t>
      </w:r>
      <w:proofErr w:type="spellStart"/>
      <w:r w:rsidRPr="003B028A">
        <w:rPr>
          <w:rFonts w:ascii="Abadi" w:hAnsi="Abadi" w:cs="Calibri"/>
          <w:i/>
          <w:iCs/>
          <w:sz w:val="22"/>
          <w:szCs w:val="22"/>
        </w:rPr>
        <w:t>Secur</w:t>
      </w:r>
      <w:proofErr w:type="spellEnd"/>
      <w:r w:rsidRPr="003B028A">
        <w:rPr>
          <w:rFonts w:ascii="Abadi" w:hAnsi="Abadi" w:cs="Calibri"/>
          <w:i/>
          <w:iCs/>
          <w:sz w:val="22"/>
          <w:szCs w:val="22"/>
        </w:rPr>
        <w:t>.</w:t>
      </w:r>
      <w:r w:rsidRPr="003B028A">
        <w:rPr>
          <w:rFonts w:ascii="Abadi" w:hAnsi="Abadi" w:cs="Calibri"/>
          <w:sz w:val="22"/>
          <w:szCs w:val="22"/>
        </w:rPr>
        <w:t xml:space="preserve">, vol. 24, no. 5, pp. 103-110, 2024, </w:t>
      </w:r>
      <w:proofErr w:type="spellStart"/>
      <w:r w:rsidRPr="003B028A">
        <w:rPr>
          <w:rFonts w:ascii="Abadi" w:hAnsi="Abadi" w:cs="Calibri"/>
          <w:sz w:val="22"/>
          <w:szCs w:val="22"/>
        </w:rPr>
        <w:t>doi</w:t>
      </w:r>
      <w:proofErr w:type="spellEnd"/>
      <w:r w:rsidRPr="003B028A">
        <w:rPr>
          <w:rFonts w:ascii="Abadi" w:hAnsi="Abadi" w:cs="Calibri"/>
          <w:sz w:val="22"/>
          <w:szCs w:val="22"/>
        </w:rPr>
        <w:t xml:space="preserve">: </w:t>
      </w:r>
      <w:hyperlink r:id="rId15" w:history="1">
        <w:r w:rsidRPr="003B028A">
          <w:rPr>
            <w:rStyle w:val="Hyperlink"/>
            <w:rFonts w:ascii="Abadi" w:eastAsiaTheme="majorEastAsia" w:hAnsi="Abadi" w:cs="Calibri"/>
            <w:sz w:val="22"/>
            <w:szCs w:val="22"/>
          </w:rPr>
          <w:t>https://doi.org/10.22937/IJCSNS.2024.24.5.12</w:t>
        </w:r>
      </w:hyperlink>
      <w:r w:rsidRPr="003B028A">
        <w:rPr>
          <w:rFonts w:ascii="Abadi" w:hAnsi="Abadi" w:cs="Calibri"/>
          <w:sz w:val="22"/>
          <w:szCs w:val="22"/>
        </w:rPr>
        <w:t xml:space="preserve"> .</w:t>
      </w:r>
    </w:p>
    <w:p w14:paraId="01B15DEC"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w:t>
      </w:r>
    </w:p>
    <w:p w14:paraId="0C6CDC03"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w:t>
      </w:r>
    </w:p>
    <w:p w14:paraId="47411830"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xml:space="preserve">[10] </w:t>
      </w:r>
    </w:p>
    <w:p w14:paraId="2749C3A5"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xml:space="preserve">Y. Qahtan M., A. </w:t>
      </w:r>
      <w:proofErr w:type="spellStart"/>
      <w:r w:rsidRPr="003B028A">
        <w:rPr>
          <w:rFonts w:ascii="Abadi" w:hAnsi="Abadi" w:cs="Calibri"/>
          <w:sz w:val="22"/>
          <w:szCs w:val="22"/>
        </w:rPr>
        <w:t>Alazzawi</w:t>
      </w:r>
      <w:proofErr w:type="spellEnd"/>
      <w:r w:rsidRPr="003B028A">
        <w:rPr>
          <w:rFonts w:ascii="Abadi" w:hAnsi="Abadi" w:cs="Calibri"/>
          <w:sz w:val="22"/>
          <w:szCs w:val="22"/>
        </w:rPr>
        <w:t xml:space="preserve">, and B. Rahmatullah, "A comprehensive review of software development life cycle methodologies: Pros, cons, and future directions," </w:t>
      </w:r>
      <w:r w:rsidRPr="003B028A">
        <w:rPr>
          <w:rFonts w:ascii="Abadi" w:hAnsi="Abadi" w:cs="Calibri"/>
          <w:i/>
          <w:iCs/>
          <w:sz w:val="22"/>
          <w:szCs w:val="22"/>
        </w:rPr>
        <w:t xml:space="preserve">Iraqi J. </w:t>
      </w:r>
      <w:proofErr w:type="spellStart"/>
      <w:r w:rsidRPr="003B028A">
        <w:rPr>
          <w:rFonts w:ascii="Abadi" w:hAnsi="Abadi" w:cs="Calibri"/>
          <w:i/>
          <w:iCs/>
          <w:sz w:val="22"/>
          <w:szCs w:val="22"/>
        </w:rPr>
        <w:t>Comput</w:t>
      </w:r>
      <w:proofErr w:type="spellEnd"/>
      <w:r w:rsidRPr="003B028A">
        <w:rPr>
          <w:rFonts w:ascii="Abadi" w:hAnsi="Abadi" w:cs="Calibri"/>
          <w:i/>
          <w:iCs/>
          <w:sz w:val="22"/>
          <w:szCs w:val="22"/>
        </w:rPr>
        <w:t>. Sci. Math.</w:t>
      </w:r>
      <w:r w:rsidRPr="003B028A">
        <w:rPr>
          <w:rFonts w:ascii="Abadi" w:hAnsi="Abadi" w:cs="Calibri"/>
          <w:sz w:val="22"/>
          <w:szCs w:val="22"/>
        </w:rPr>
        <w:t xml:space="preserve">, vol. 4, no. 4, pp. 14, 2023, </w:t>
      </w:r>
      <w:proofErr w:type="spellStart"/>
      <w:r w:rsidRPr="003B028A">
        <w:rPr>
          <w:rFonts w:ascii="Abadi" w:hAnsi="Abadi" w:cs="Calibri"/>
          <w:sz w:val="22"/>
          <w:szCs w:val="22"/>
        </w:rPr>
        <w:t>doi</w:t>
      </w:r>
      <w:proofErr w:type="spellEnd"/>
      <w:r w:rsidRPr="003B028A">
        <w:rPr>
          <w:rFonts w:ascii="Abadi" w:hAnsi="Abadi" w:cs="Calibri"/>
          <w:sz w:val="22"/>
          <w:szCs w:val="22"/>
        </w:rPr>
        <w:t xml:space="preserve">: </w:t>
      </w:r>
      <w:hyperlink r:id="rId16" w:history="1">
        <w:r w:rsidRPr="003B028A">
          <w:rPr>
            <w:rStyle w:val="Hyperlink"/>
            <w:rFonts w:ascii="Abadi" w:eastAsiaTheme="majorEastAsia" w:hAnsi="Abadi" w:cs="Calibri"/>
            <w:sz w:val="22"/>
            <w:szCs w:val="22"/>
            <w:shd w:val="clear" w:color="auto" w:fill="FFFFFF"/>
          </w:rPr>
          <w:t>https://doi.org/10.52866/ijcsm.2023.04.04.014</w:t>
        </w:r>
      </w:hyperlink>
      <w:r w:rsidRPr="003B028A">
        <w:rPr>
          <w:rFonts w:ascii="Abadi" w:hAnsi="Abadi" w:cs="Calibri"/>
          <w:sz w:val="22"/>
          <w:szCs w:val="22"/>
          <w:shd w:val="clear" w:color="auto" w:fill="FFFFFF"/>
        </w:rPr>
        <w:t xml:space="preserve">. </w:t>
      </w:r>
    </w:p>
    <w:p w14:paraId="53E34FCE"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w:t>
      </w:r>
    </w:p>
    <w:p w14:paraId="52797AE2"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w:t>
      </w:r>
    </w:p>
    <w:p w14:paraId="196C2345"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[11]</w:t>
      </w:r>
    </w:p>
    <w:p w14:paraId="6491C882"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A. Anas </w:t>
      </w:r>
      <w:r w:rsidRPr="003B028A">
        <w:rPr>
          <w:rFonts w:ascii="Abadi" w:hAnsi="Abadi" w:cs="Calibri"/>
          <w:i/>
          <w:iCs/>
          <w:color w:val="000000"/>
          <w:sz w:val="22"/>
          <w:szCs w:val="22"/>
        </w:rPr>
        <w:t>et al.</w:t>
      </w:r>
      <w:r w:rsidRPr="003B028A">
        <w:rPr>
          <w:rFonts w:ascii="Abadi" w:hAnsi="Abadi" w:cs="Calibri"/>
          <w:color w:val="000000"/>
          <w:sz w:val="22"/>
          <w:szCs w:val="22"/>
        </w:rPr>
        <w:t>, “Software Engineering in Nigeria: Trends and Challenges,” </w:t>
      </w:r>
      <w:proofErr w:type="spellStart"/>
      <w:r w:rsidRPr="003B028A">
        <w:rPr>
          <w:rFonts w:ascii="Abadi" w:hAnsi="Abadi" w:cs="Calibri"/>
          <w:i/>
          <w:iCs/>
          <w:color w:val="000000"/>
          <w:sz w:val="22"/>
          <w:szCs w:val="22"/>
        </w:rPr>
        <w:t>Dutse</w:t>
      </w:r>
      <w:proofErr w:type="spellEnd"/>
      <w:r w:rsidRPr="003B028A">
        <w:rPr>
          <w:rFonts w:ascii="Abadi" w:hAnsi="Abadi" w:cs="Calibri"/>
          <w:i/>
          <w:iCs/>
          <w:color w:val="000000"/>
          <w:sz w:val="22"/>
          <w:szCs w:val="22"/>
        </w:rPr>
        <w:t xml:space="preserve"> Journal of Pure and Applied Sciences</w:t>
      </w:r>
      <w:r w:rsidRPr="003B028A">
        <w:rPr>
          <w:rFonts w:ascii="Abadi" w:hAnsi="Abadi" w:cs="Calibri"/>
          <w:color w:val="000000"/>
          <w:sz w:val="22"/>
          <w:szCs w:val="22"/>
        </w:rPr>
        <w:t xml:space="preserve">, vol. 10, no. 1b, pp. 272–281, Apr. 2024,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17" w:history="1">
        <w:r w:rsidRPr="003B028A">
          <w:rPr>
            <w:rStyle w:val="Hyperlink"/>
            <w:rFonts w:ascii="Abadi" w:eastAsiaTheme="majorEastAsia" w:hAnsi="Abadi" w:cs="Calibri"/>
            <w:sz w:val="22"/>
            <w:szCs w:val="22"/>
          </w:rPr>
          <w:t>https:</w:t>
        </w:r>
        <w:r w:rsidRPr="003B028A">
          <w:rPr>
            <w:rStyle w:val="Hyperlink"/>
            <w:rFonts w:ascii="Abadi" w:eastAsiaTheme="majorEastAsia" w:hAnsi="Abadi" w:cs="Calibri"/>
            <w:sz w:val="22"/>
            <w:szCs w:val="22"/>
          </w:rPr>
          <w:t>/</w:t>
        </w:r>
        <w:r w:rsidRPr="003B028A">
          <w:rPr>
            <w:rStyle w:val="Hyperlink"/>
            <w:rFonts w:ascii="Abadi" w:eastAsiaTheme="majorEastAsia" w:hAnsi="Abadi" w:cs="Calibri"/>
            <w:sz w:val="22"/>
            <w:szCs w:val="22"/>
          </w:rPr>
          <w:t>/doi.org/10.4314/dujopas.v10i1b.27</w:t>
        </w:r>
      </w:hyperlink>
      <w:r w:rsidRPr="003B028A">
        <w:rPr>
          <w:rFonts w:ascii="Abadi" w:hAnsi="Abadi" w:cs="Calibri"/>
          <w:color w:val="000000"/>
          <w:sz w:val="22"/>
          <w:szCs w:val="22"/>
        </w:rPr>
        <w:t>.</w:t>
      </w:r>
    </w:p>
    <w:p w14:paraId="47C61724"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157299D8"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6884BE2C"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[12]</w:t>
      </w:r>
    </w:p>
    <w:p w14:paraId="47807B7F"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xml:space="preserve">A. S. </w:t>
      </w:r>
      <w:proofErr w:type="spellStart"/>
      <w:r w:rsidRPr="003B028A">
        <w:rPr>
          <w:rFonts w:ascii="Abadi" w:hAnsi="Abadi" w:cs="Calibri"/>
          <w:sz w:val="22"/>
          <w:szCs w:val="22"/>
        </w:rPr>
        <w:t>Alsharari</w:t>
      </w:r>
      <w:proofErr w:type="spellEnd"/>
      <w:r w:rsidRPr="003B028A">
        <w:rPr>
          <w:rFonts w:ascii="Abadi" w:hAnsi="Abadi" w:cs="Calibri"/>
          <w:sz w:val="22"/>
          <w:szCs w:val="22"/>
        </w:rPr>
        <w:t xml:space="preserve">, W. M. N. Wan </w:t>
      </w:r>
      <w:proofErr w:type="spellStart"/>
      <w:r w:rsidRPr="003B028A">
        <w:rPr>
          <w:rFonts w:ascii="Abadi" w:hAnsi="Abadi" w:cs="Calibri"/>
          <w:sz w:val="22"/>
          <w:szCs w:val="22"/>
        </w:rPr>
        <w:t>Zainon</w:t>
      </w:r>
      <w:proofErr w:type="spellEnd"/>
      <w:r w:rsidRPr="003B028A">
        <w:rPr>
          <w:rFonts w:ascii="Abadi" w:hAnsi="Abadi" w:cs="Calibri"/>
          <w:sz w:val="22"/>
          <w:szCs w:val="22"/>
        </w:rPr>
        <w:t xml:space="preserve">, S. </w:t>
      </w:r>
      <w:proofErr w:type="spellStart"/>
      <w:r w:rsidRPr="003B028A">
        <w:rPr>
          <w:rFonts w:ascii="Abadi" w:hAnsi="Abadi" w:cs="Calibri"/>
          <w:sz w:val="22"/>
          <w:szCs w:val="22"/>
        </w:rPr>
        <w:t>Letchmunan</w:t>
      </w:r>
      <w:proofErr w:type="spellEnd"/>
      <w:r w:rsidRPr="003B028A">
        <w:rPr>
          <w:rFonts w:ascii="Abadi" w:hAnsi="Abadi" w:cs="Calibri"/>
          <w:sz w:val="22"/>
          <w:szCs w:val="22"/>
        </w:rPr>
        <w:t xml:space="preserve">, B. A. Mohammed, and M. S. </w:t>
      </w:r>
      <w:proofErr w:type="spellStart"/>
      <w:r w:rsidRPr="003B028A">
        <w:rPr>
          <w:rFonts w:ascii="Abadi" w:hAnsi="Abadi" w:cs="Calibri"/>
          <w:sz w:val="22"/>
          <w:szCs w:val="22"/>
        </w:rPr>
        <w:t>Alsharari</w:t>
      </w:r>
      <w:proofErr w:type="spellEnd"/>
      <w:r w:rsidRPr="003B028A">
        <w:rPr>
          <w:rFonts w:ascii="Abadi" w:hAnsi="Abadi" w:cs="Calibri"/>
          <w:sz w:val="22"/>
          <w:szCs w:val="22"/>
        </w:rPr>
        <w:t>, "A Review of Agile Methods for Requirement Change Management in Web Engineering," </w:t>
      </w:r>
      <w:r w:rsidRPr="003B028A">
        <w:rPr>
          <w:rFonts w:ascii="Abadi" w:hAnsi="Abadi" w:cs="Calibri"/>
          <w:i/>
          <w:iCs/>
          <w:sz w:val="22"/>
          <w:szCs w:val="22"/>
        </w:rPr>
        <w:t>2023 International Conference on Smart Computing and Application (ICSCA)</w:t>
      </w:r>
      <w:r w:rsidRPr="003B028A">
        <w:rPr>
          <w:rFonts w:ascii="Abadi" w:hAnsi="Abadi" w:cs="Calibri"/>
          <w:sz w:val="22"/>
          <w:szCs w:val="22"/>
        </w:rPr>
        <w:t xml:space="preserve">, Hail, Saudi Arabia, 2023, pp. 1–9, </w:t>
      </w:r>
      <w:proofErr w:type="spellStart"/>
      <w:r w:rsidRPr="003B028A">
        <w:rPr>
          <w:rFonts w:ascii="Abadi" w:hAnsi="Abadi" w:cs="Calibri"/>
          <w:sz w:val="22"/>
          <w:szCs w:val="22"/>
        </w:rPr>
        <w:t>doi</w:t>
      </w:r>
      <w:proofErr w:type="spellEnd"/>
      <w:r w:rsidRPr="003B028A">
        <w:rPr>
          <w:rFonts w:ascii="Abadi" w:hAnsi="Abadi" w:cs="Calibri"/>
          <w:sz w:val="22"/>
          <w:szCs w:val="22"/>
        </w:rPr>
        <w:t xml:space="preserve">: 10.1109/ICSCA57840.2023.10087734. </w:t>
      </w:r>
    </w:p>
    <w:p w14:paraId="270E84FD"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w:t>
      </w:r>
    </w:p>
    <w:p w14:paraId="7310AD2E"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w:t>
      </w:r>
    </w:p>
    <w:p w14:paraId="61D0C4A8"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[13]</w:t>
      </w:r>
    </w:p>
    <w:p w14:paraId="2115401E"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474985A1"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M. Farooq, U. Omer, A. Ramzan, M. A. Rasheed, and Z. Atal, “</w:t>
      </w:r>
      <w:proofErr w:type="spellStart"/>
      <w:r w:rsidRPr="003B028A">
        <w:rPr>
          <w:rFonts w:ascii="Abadi" w:hAnsi="Abadi" w:cs="Calibri"/>
          <w:color w:val="000000"/>
          <w:sz w:val="22"/>
          <w:szCs w:val="22"/>
        </w:rPr>
        <w:t>Behavior</w:t>
      </w:r>
      <w:proofErr w:type="spellEnd"/>
      <w:r w:rsidRPr="003B028A">
        <w:rPr>
          <w:rFonts w:ascii="Abadi" w:hAnsi="Abadi" w:cs="Calibri"/>
          <w:color w:val="000000"/>
          <w:sz w:val="22"/>
          <w:szCs w:val="22"/>
        </w:rPr>
        <w:t xml:space="preserve"> Driven Development: A Systematic Literature Review,” </w:t>
      </w:r>
      <w:r w:rsidRPr="003B028A">
        <w:rPr>
          <w:rFonts w:ascii="Abadi" w:hAnsi="Abadi" w:cs="Calibri"/>
          <w:i/>
          <w:iCs/>
          <w:color w:val="000000"/>
          <w:sz w:val="22"/>
          <w:szCs w:val="22"/>
        </w:rPr>
        <w:t>IEEE Access</w:t>
      </w:r>
      <w:r w:rsidRPr="003B028A">
        <w:rPr>
          <w:rFonts w:ascii="Abadi" w:hAnsi="Abadi" w:cs="Calibri"/>
          <w:color w:val="000000"/>
          <w:sz w:val="22"/>
          <w:szCs w:val="22"/>
        </w:rPr>
        <w:t xml:space="preserve">, vol. 11, pp. 88008–88024, 2023,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18" w:history="1">
        <w:r w:rsidRPr="003B028A">
          <w:rPr>
            <w:rStyle w:val="Hyperlink"/>
            <w:rFonts w:ascii="Abadi" w:eastAsiaTheme="majorEastAsia" w:hAnsi="Abadi" w:cs="Calibri"/>
            <w:sz w:val="22"/>
            <w:szCs w:val="22"/>
          </w:rPr>
          <w:t>https://doi.org/10.1109/ACCESS.2023.3302356</w:t>
        </w:r>
      </w:hyperlink>
      <w:r w:rsidRPr="003B028A">
        <w:rPr>
          <w:rFonts w:ascii="Abadi" w:hAnsi="Abadi" w:cs="Calibri"/>
          <w:color w:val="000000"/>
          <w:sz w:val="22"/>
          <w:szCs w:val="22"/>
        </w:rPr>
        <w:t>.</w:t>
      </w:r>
    </w:p>
    <w:p w14:paraId="6A985D4F"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72408826"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[14]</w:t>
      </w:r>
    </w:p>
    <w:p w14:paraId="30B3FB96" w14:textId="77777777" w:rsidR="00883492" w:rsidRPr="003B028A" w:rsidRDefault="00883492" w:rsidP="00883492">
      <w:pPr>
        <w:pStyle w:val="NormalWeb"/>
        <w:spacing w:before="0" w:beforeAutospacing="0" w:after="0" w:afterAutospacing="0"/>
        <w:rPr>
          <w:rFonts w:ascii="Abadi" w:hAnsi="Abadi" w:cs="Calibri"/>
          <w:sz w:val="22"/>
          <w:szCs w:val="22"/>
        </w:rPr>
      </w:pPr>
      <w:r w:rsidRPr="003B028A">
        <w:rPr>
          <w:rFonts w:ascii="Abadi" w:hAnsi="Abadi" w:cs="Calibri"/>
          <w:sz w:val="22"/>
          <w:szCs w:val="22"/>
        </w:rPr>
        <w:t xml:space="preserve"> V. M. Arredondo-Reyes, S. Domínguez-Isidro, Á. J. Sánchez-García, and J. O. </w:t>
      </w:r>
      <w:proofErr w:type="spellStart"/>
      <w:r w:rsidRPr="003B028A">
        <w:rPr>
          <w:rFonts w:ascii="Abadi" w:hAnsi="Abadi" w:cs="Calibri"/>
          <w:sz w:val="22"/>
          <w:szCs w:val="22"/>
        </w:rPr>
        <w:t>Ocharán</w:t>
      </w:r>
      <w:proofErr w:type="spellEnd"/>
      <w:r w:rsidRPr="003B028A">
        <w:rPr>
          <w:rFonts w:ascii="Abadi" w:hAnsi="Abadi" w:cs="Calibri"/>
          <w:sz w:val="22"/>
          <w:szCs w:val="22"/>
        </w:rPr>
        <w:t xml:space="preserve">-Hernández, "Benefits and Challenges of the </w:t>
      </w:r>
      <w:proofErr w:type="spellStart"/>
      <w:r w:rsidRPr="003B028A">
        <w:rPr>
          <w:rFonts w:ascii="Abadi" w:hAnsi="Abadi" w:cs="Calibri"/>
          <w:sz w:val="22"/>
          <w:szCs w:val="22"/>
        </w:rPr>
        <w:t>Behavior</w:t>
      </w:r>
      <w:proofErr w:type="spellEnd"/>
      <w:r w:rsidRPr="003B028A">
        <w:rPr>
          <w:rFonts w:ascii="Abadi" w:hAnsi="Abadi" w:cs="Calibri"/>
          <w:sz w:val="22"/>
          <w:szCs w:val="22"/>
        </w:rPr>
        <w:t>-Driven Development: A Systematic Literature Review," in </w:t>
      </w:r>
      <w:r w:rsidRPr="003B028A">
        <w:rPr>
          <w:rFonts w:ascii="Abadi" w:hAnsi="Abadi" w:cs="Calibri"/>
          <w:i/>
          <w:iCs/>
          <w:sz w:val="22"/>
          <w:szCs w:val="22"/>
        </w:rPr>
        <w:t>2023 11th International Conference in Software Engineering Research and Innovation (CONISOFT)</w:t>
      </w:r>
      <w:r w:rsidRPr="003B028A">
        <w:rPr>
          <w:rFonts w:ascii="Abadi" w:hAnsi="Abadi" w:cs="Calibri"/>
          <w:sz w:val="22"/>
          <w:szCs w:val="22"/>
        </w:rPr>
        <w:t xml:space="preserve">, León, Guanajuato, Mexico, 2023, pp. 45-54. </w:t>
      </w:r>
      <w:proofErr w:type="spellStart"/>
      <w:r w:rsidRPr="003B028A">
        <w:rPr>
          <w:rFonts w:ascii="Abadi" w:hAnsi="Abadi" w:cs="Calibri"/>
          <w:sz w:val="22"/>
          <w:szCs w:val="22"/>
        </w:rPr>
        <w:t>doi</w:t>
      </w:r>
      <w:proofErr w:type="spellEnd"/>
      <w:r w:rsidRPr="003B028A">
        <w:rPr>
          <w:rFonts w:ascii="Abadi" w:hAnsi="Abadi" w:cs="Calibri"/>
          <w:sz w:val="22"/>
          <w:szCs w:val="22"/>
        </w:rPr>
        <w:t xml:space="preserve">: 10.1109/CONISOFT58849.2023.00016. </w:t>
      </w:r>
    </w:p>
    <w:p w14:paraId="03C784FC"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184562B5"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[15]</w:t>
      </w:r>
    </w:p>
    <w:p w14:paraId="38E88535"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A. Ali, S. Naeem, S. Anam, and M. Zubair, “Agile Software Development Processes Implementing Issues and Challenges with Scrum,” </w:t>
      </w:r>
      <w:r w:rsidRPr="003B028A">
        <w:rPr>
          <w:rFonts w:ascii="Abadi" w:hAnsi="Abadi" w:cs="Calibri"/>
          <w:i/>
          <w:iCs/>
          <w:color w:val="000000"/>
          <w:sz w:val="22"/>
          <w:szCs w:val="22"/>
        </w:rPr>
        <w:t>sciforum.net</w:t>
      </w:r>
      <w:r w:rsidRPr="003B028A">
        <w:rPr>
          <w:rFonts w:ascii="Abadi" w:hAnsi="Abadi" w:cs="Calibri"/>
          <w:color w:val="000000"/>
          <w:sz w:val="22"/>
          <w:szCs w:val="22"/>
        </w:rPr>
        <w:t xml:space="preserve">, Dec. 2022, </w:t>
      </w:r>
      <w:proofErr w:type="spellStart"/>
      <w:r w:rsidRPr="003B028A">
        <w:rPr>
          <w:rFonts w:ascii="Abadi" w:hAnsi="Abadi" w:cs="Calibri"/>
          <w:color w:val="000000"/>
          <w:sz w:val="22"/>
          <w:szCs w:val="22"/>
        </w:rPr>
        <w:t>doi</w:t>
      </w:r>
      <w:proofErr w:type="spellEnd"/>
      <w:r w:rsidRPr="003B028A">
        <w:rPr>
          <w:rFonts w:ascii="Abadi" w:hAnsi="Abadi" w:cs="Calibri"/>
          <w:color w:val="000000"/>
          <w:sz w:val="22"/>
          <w:szCs w:val="22"/>
        </w:rPr>
        <w:t xml:space="preserve">: </w:t>
      </w:r>
      <w:hyperlink r:id="rId19" w:history="1">
        <w:r w:rsidRPr="003B028A">
          <w:rPr>
            <w:rStyle w:val="Hyperlink"/>
            <w:rFonts w:ascii="Abadi" w:eastAsiaTheme="majorEastAsia" w:hAnsi="Abadi" w:cs="Calibri"/>
            <w:sz w:val="22"/>
            <w:szCs w:val="22"/>
          </w:rPr>
          <w:t>https://doi.org/10.3390/mol2net-08-13907</w:t>
        </w:r>
      </w:hyperlink>
      <w:r w:rsidRPr="003B028A">
        <w:rPr>
          <w:rFonts w:ascii="Abadi" w:hAnsi="Abadi" w:cs="Calibri"/>
          <w:color w:val="000000"/>
          <w:sz w:val="22"/>
          <w:szCs w:val="22"/>
        </w:rPr>
        <w:t>.</w:t>
      </w:r>
    </w:p>
    <w:p w14:paraId="4B4B18B9"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1B003C36"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w:t>
      </w:r>
    </w:p>
    <w:p w14:paraId="7312B6A3" w14:textId="77777777"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[16]</w:t>
      </w:r>
    </w:p>
    <w:p w14:paraId="41170800" w14:textId="43590B9A" w:rsidR="00883492" w:rsidRPr="003B028A" w:rsidRDefault="00883492" w:rsidP="00883492">
      <w:pPr>
        <w:pStyle w:val="NormalWeb"/>
        <w:spacing w:before="0" w:beforeAutospacing="0" w:after="0" w:afterAutospacing="0"/>
        <w:rPr>
          <w:rFonts w:ascii="Abadi" w:hAnsi="Abadi" w:cs="Calibri"/>
          <w:color w:val="000000"/>
          <w:sz w:val="22"/>
          <w:szCs w:val="22"/>
        </w:rPr>
      </w:pPr>
      <w:r w:rsidRPr="003B028A">
        <w:rPr>
          <w:rFonts w:ascii="Abadi" w:hAnsi="Abadi" w:cs="Calibri"/>
          <w:color w:val="000000"/>
          <w:sz w:val="22"/>
          <w:szCs w:val="22"/>
        </w:rPr>
        <w:t xml:space="preserve">S. Hooda, Vandana </w:t>
      </w:r>
      <w:proofErr w:type="spellStart"/>
      <w:r w:rsidRPr="003B028A">
        <w:rPr>
          <w:rFonts w:ascii="Abadi" w:hAnsi="Abadi" w:cs="Calibri"/>
          <w:color w:val="000000"/>
          <w:sz w:val="22"/>
          <w:szCs w:val="22"/>
        </w:rPr>
        <w:t>Mohindru</w:t>
      </w:r>
      <w:proofErr w:type="spellEnd"/>
      <w:r w:rsidRPr="003B028A">
        <w:rPr>
          <w:rFonts w:ascii="Abadi" w:hAnsi="Abadi" w:cs="Calibri"/>
          <w:color w:val="000000"/>
          <w:sz w:val="22"/>
          <w:szCs w:val="22"/>
        </w:rPr>
        <w:t xml:space="preserve"> Sood, Y. Singh, S. Dalal, and M. Sood, </w:t>
      </w:r>
      <w:r w:rsidRPr="003B028A">
        <w:rPr>
          <w:rFonts w:ascii="Abadi" w:hAnsi="Abadi" w:cs="Calibri"/>
          <w:i/>
          <w:iCs/>
          <w:color w:val="000000"/>
          <w:sz w:val="22"/>
          <w:szCs w:val="22"/>
        </w:rPr>
        <w:t>Agile Software Development</w:t>
      </w:r>
      <w:r w:rsidRPr="003B028A">
        <w:rPr>
          <w:rFonts w:ascii="Abadi" w:hAnsi="Abadi" w:cs="Calibri"/>
          <w:color w:val="000000"/>
          <w:sz w:val="22"/>
          <w:szCs w:val="22"/>
        </w:rPr>
        <w:t>. John Wiley &amp; Sons, 2023.</w:t>
      </w:r>
    </w:p>
    <w:p w14:paraId="68E8FF59"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1D3F424D" w14:textId="2043E59E" w:rsidR="00883492" w:rsidRPr="003B028A" w:rsidRDefault="00883492" w:rsidP="00883492">
      <w:pPr>
        <w:pStyle w:val="NormalWeb"/>
        <w:spacing w:before="0" w:beforeAutospacing="0" w:after="0" w:afterAutospacing="0"/>
        <w:rPr>
          <w:rFonts w:ascii="Abadi" w:hAnsi="Abadi" w:cs="Calibri"/>
          <w:b/>
          <w:bCs/>
          <w:color w:val="000000"/>
        </w:rPr>
      </w:pPr>
      <w:r w:rsidRPr="003B028A">
        <w:rPr>
          <w:rFonts w:ascii="Abadi" w:hAnsi="Abadi" w:cs="Calibri"/>
          <w:b/>
          <w:bCs/>
          <w:color w:val="000000"/>
        </w:rPr>
        <w:lastRenderedPageBreak/>
        <w:t>TASK 2</w:t>
      </w:r>
    </w:p>
    <w:p w14:paraId="2E838A5C"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3FA01638" w14:textId="1E76FF3B" w:rsidR="003B028A" w:rsidRDefault="003B028A" w:rsidP="003B028A">
      <w:pPr>
        <w:pStyle w:val="NormalWeb"/>
        <w:rPr>
          <w:color w:val="000000"/>
        </w:rPr>
      </w:pPr>
      <w:r w:rsidRPr="003B028A">
        <w:rPr>
          <w:rFonts w:ascii="Abadi" w:hAnsi="Abadi"/>
          <w:color w:val="000000"/>
        </w:rPr>
        <w:t>Software systems require continuous updates to adapt to evolving business requirements and emerging technologies. Consequently, software becomes increasingly complex, fragile, and difficult to maintain. Reusing software components can help reduce development costs for new systems while also enhancing maintainability by eliminating the need to rebuild components from scratch. The shift to object-oriented programming in the mid-1990s facilitated the creation of reusable components to address these challenges [2].</w:t>
      </w:r>
      <w:r>
        <w:rPr>
          <w:rFonts w:ascii="Abadi" w:hAnsi="Abadi"/>
          <w:color w:val="000000"/>
        </w:rPr>
        <w:t xml:space="preserve"> </w:t>
      </w:r>
      <w:r w:rsidRPr="003B028A">
        <w:rPr>
          <w:rFonts w:ascii="Abadi" w:hAnsi="Abadi"/>
          <w:color w:val="000000"/>
        </w:rPr>
        <w:t>There are several key attributes used to evaluate object-oriented design, including cohesion, coupling, data hiding, and information hiding [1–19]. Object-oriented design emphasises high cohesion and low coupling, while promoting both data and information hiding [3]. Understanding why this approach is effective requires further investigation</w:t>
      </w:r>
      <w:r>
        <w:rPr>
          <w:color w:val="000000"/>
        </w:rPr>
        <w:t>.</w:t>
      </w:r>
    </w:p>
    <w:p w14:paraId="5A98717C" w14:textId="77777777" w:rsidR="00422150" w:rsidRPr="00422150" w:rsidRDefault="00422150" w:rsidP="00422150">
      <w:p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color w:val="000000"/>
          <w:kern w:val="0"/>
          <w:lang w:eastAsia="en-GB"/>
          <w14:ligatures w14:val="none"/>
        </w:rPr>
        <w:t>Coupling is a measure of the interdependence between software components, i.e., the degree to which one component relies on another [3][10]. Different levels of interdependence between software components exist, ranging from the loosest to the tightest coupling, as follows [3]:</w:t>
      </w:r>
    </w:p>
    <w:p w14:paraId="25468F4B" w14:textId="77777777" w:rsidR="00422150" w:rsidRPr="00422150" w:rsidRDefault="00422150" w:rsidP="00422150">
      <w:pPr>
        <w:numPr>
          <w:ilvl w:val="0"/>
          <w:numId w:val="13"/>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Data Coupling:</w:t>
      </w:r>
      <w:r w:rsidRPr="00422150">
        <w:rPr>
          <w:rFonts w:ascii="Abadi" w:eastAsia="Times New Roman" w:hAnsi="Abadi" w:cs="Times New Roman"/>
          <w:color w:val="000000"/>
          <w:kern w:val="0"/>
          <w:lang w:eastAsia="en-GB"/>
          <w14:ligatures w14:val="none"/>
        </w:rPr>
        <w:t> Occurs when simple data is exchanged between interconnected components.</w:t>
      </w:r>
    </w:p>
    <w:p w14:paraId="1EF403A5" w14:textId="77777777" w:rsidR="00422150" w:rsidRPr="00422150" w:rsidRDefault="00422150" w:rsidP="00422150">
      <w:pPr>
        <w:numPr>
          <w:ilvl w:val="0"/>
          <w:numId w:val="13"/>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Stamp Coupling:</w:t>
      </w:r>
      <w:r w:rsidRPr="00422150">
        <w:rPr>
          <w:rFonts w:ascii="Abadi" w:eastAsia="Times New Roman" w:hAnsi="Abadi" w:cs="Times New Roman"/>
          <w:color w:val="000000"/>
          <w:kern w:val="0"/>
          <w:lang w:eastAsia="en-GB"/>
          <w14:ligatures w14:val="none"/>
        </w:rPr>
        <w:t> Occurs when a portion of a data structure is passed between components.</w:t>
      </w:r>
    </w:p>
    <w:p w14:paraId="123C8ACA" w14:textId="77777777" w:rsidR="00422150" w:rsidRPr="00422150" w:rsidRDefault="00422150" w:rsidP="00422150">
      <w:pPr>
        <w:numPr>
          <w:ilvl w:val="0"/>
          <w:numId w:val="13"/>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Control Coupling:</w:t>
      </w:r>
      <w:r w:rsidRPr="00422150">
        <w:rPr>
          <w:rFonts w:ascii="Abadi" w:eastAsia="Times New Roman" w:hAnsi="Abadi" w:cs="Times New Roman"/>
          <w:color w:val="000000"/>
          <w:kern w:val="0"/>
          <w:lang w:eastAsia="en-GB"/>
          <w14:ligatures w14:val="none"/>
        </w:rPr>
        <w:t> Happens when one component passes control information to another, typically in the form of parameters or flags.</w:t>
      </w:r>
    </w:p>
    <w:p w14:paraId="37A5238D" w14:textId="77777777" w:rsidR="00422150" w:rsidRPr="00422150" w:rsidRDefault="00422150" w:rsidP="00422150">
      <w:pPr>
        <w:numPr>
          <w:ilvl w:val="0"/>
          <w:numId w:val="13"/>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External Coupling:</w:t>
      </w:r>
      <w:r w:rsidRPr="00422150">
        <w:rPr>
          <w:rFonts w:ascii="Abadi" w:eastAsia="Times New Roman" w:hAnsi="Abadi" w:cs="Times New Roman"/>
          <w:color w:val="000000"/>
          <w:kern w:val="0"/>
          <w:lang w:eastAsia="en-GB"/>
          <w14:ligatures w14:val="none"/>
        </w:rPr>
        <w:t> Happens when two components are connected through an external environment, such as interacting via an input/output device.</w:t>
      </w:r>
    </w:p>
    <w:p w14:paraId="5551AC97" w14:textId="77777777" w:rsidR="00422150" w:rsidRPr="00422150" w:rsidRDefault="00422150" w:rsidP="00422150">
      <w:pPr>
        <w:numPr>
          <w:ilvl w:val="0"/>
          <w:numId w:val="13"/>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Common Coupling:</w:t>
      </w:r>
      <w:r w:rsidRPr="00422150">
        <w:rPr>
          <w:rFonts w:ascii="Abadi" w:eastAsia="Times New Roman" w:hAnsi="Abadi" w:cs="Times New Roman"/>
          <w:color w:val="000000"/>
          <w:kern w:val="0"/>
          <w:lang w:eastAsia="en-GB"/>
          <w14:ligatures w14:val="none"/>
        </w:rPr>
        <w:t> Occurs when interacting components share and access global data.</w:t>
      </w:r>
    </w:p>
    <w:p w14:paraId="39570AED" w14:textId="77777777" w:rsidR="00422150" w:rsidRPr="00422150" w:rsidRDefault="00422150" w:rsidP="00422150">
      <w:pPr>
        <w:numPr>
          <w:ilvl w:val="0"/>
          <w:numId w:val="13"/>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Content Coupling:</w:t>
      </w:r>
      <w:r w:rsidRPr="00422150">
        <w:rPr>
          <w:rFonts w:ascii="Abadi" w:eastAsia="Times New Roman" w:hAnsi="Abadi" w:cs="Times New Roman"/>
          <w:color w:val="000000"/>
          <w:kern w:val="0"/>
          <w:lang w:eastAsia="en-GB"/>
          <w14:ligatures w14:val="none"/>
        </w:rPr>
        <w:t> Occurs when one component directly accesses and modifies the internal data or implementation of another module.</w:t>
      </w:r>
    </w:p>
    <w:p w14:paraId="5B4AF96B" w14:textId="77777777" w:rsidR="00422150" w:rsidRPr="00422150" w:rsidRDefault="00422150" w:rsidP="00422150">
      <w:p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color w:val="000000"/>
          <w:kern w:val="0"/>
          <w:lang w:eastAsia="en-GB"/>
          <w14:ligatures w14:val="none"/>
        </w:rPr>
        <w:t>While coupling is generally undesirable, especially if it leans toward the tight end, in most cases, it is not entirely avoidable [10]. Therefore, loose coupling is preferred.</w:t>
      </w:r>
    </w:p>
    <w:p w14:paraId="664F571C" w14:textId="77777777" w:rsidR="00422150" w:rsidRPr="00422150" w:rsidRDefault="00422150" w:rsidP="00422150">
      <w:p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color w:val="000000"/>
          <w:kern w:val="0"/>
          <w:lang w:eastAsia="en-GB"/>
          <w14:ligatures w14:val="none"/>
        </w:rPr>
        <w:t>Cohesion is a measure of the relative functional strength of a component, i.e., how closely the parts of a component work together to achieve a common goal [3][10]. Cohesion can be categorised from the lowest to the highest as follows [3][10]:</w:t>
      </w:r>
    </w:p>
    <w:p w14:paraId="0CCDB3D4" w14:textId="6E5C078A" w:rsidR="00422150" w:rsidRPr="00422150" w:rsidRDefault="00422150" w:rsidP="00422150">
      <w:pPr>
        <w:numPr>
          <w:ilvl w:val="0"/>
          <w:numId w:val="14"/>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Logical Cohesion:</w:t>
      </w:r>
      <w:r w:rsidRPr="00422150">
        <w:rPr>
          <w:rFonts w:ascii="Abadi" w:eastAsia="Times New Roman" w:hAnsi="Abadi" w:cs="Times New Roman"/>
          <w:color w:val="000000"/>
          <w:kern w:val="0"/>
          <w:lang w:eastAsia="en-GB"/>
          <w14:ligatures w14:val="none"/>
        </w:rPr>
        <w:t xml:space="preserve"> Occurs when elements within the component are related </w:t>
      </w:r>
      <w:r w:rsidRPr="00422150">
        <w:rPr>
          <w:rFonts w:ascii="Abadi" w:eastAsia="Times New Roman" w:hAnsi="Abadi" w:cs="Times New Roman"/>
          <w:color w:val="000000"/>
          <w:kern w:val="0"/>
          <w:lang w:eastAsia="en-GB"/>
          <w14:ligatures w14:val="none"/>
        </w:rPr>
        <w:t>logically but</w:t>
      </w:r>
      <w:r w:rsidRPr="00422150">
        <w:rPr>
          <w:rFonts w:ascii="Abadi" w:eastAsia="Times New Roman" w:hAnsi="Abadi" w:cs="Times New Roman"/>
          <w:color w:val="000000"/>
          <w:kern w:val="0"/>
          <w:lang w:eastAsia="en-GB"/>
          <w14:ligatures w14:val="none"/>
        </w:rPr>
        <w:t xml:space="preserve"> perform different tasks.</w:t>
      </w:r>
    </w:p>
    <w:p w14:paraId="4A7879A6" w14:textId="77777777" w:rsidR="00422150" w:rsidRPr="00422150" w:rsidRDefault="00422150" w:rsidP="00422150">
      <w:pPr>
        <w:numPr>
          <w:ilvl w:val="0"/>
          <w:numId w:val="14"/>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Temporal Cohesion:</w:t>
      </w:r>
      <w:r w:rsidRPr="00422150">
        <w:rPr>
          <w:rFonts w:ascii="Abadi" w:eastAsia="Times New Roman" w:hAnsi="Abadi" w:cs="Times New Roman"/>
          <w:color w:val="000000"/>
          <w:kern w:val="0"/>
          <w:lang w:eastAsia="en-GB"/>
          <w14:ligatures w14:val="none"/>
        </w:rPr>
        <w:t> Occurs when tasks are grouped together because they need to be executed within the same time frame or sequence.</w:t>
      </w:r>
    </w:p>
    <w:p w14:paraId="0ADFA089" w14:textId="77777777" w:rsidR="00422150" w:rsidRPr="00422150" w:rsidRDefault="00422150" w:rsidP="00422150">
      <w:pPr>
        <w:numPr>
          <w:ilvl w:val="0"/>
          <w:numId w:val="14"/>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Procedural Cohesion:</w:t>
      </w:r>
      <w:r w:rsidRPr="00422150">
        <w:rPr>
          <w:rFonts w:ascii="Abadi" w:eastAsia="Times New Roman" w:hAnsi="Abadi" w:cs="Times New Roman"/>
          <w:color w:val="000000"/>
          <w:kern w:val="0"/>
          <w:lang w:eastAsia="en-GB"/>
          <w14:ligatures w14:val="none"/>
        </w:rPr>
        <w:t> Occurs when tasks are grouped together because they follow a specific sequence or process.</w:t>
      </w:r>
    </w:p>
    <w:p w14:paraId="401E6955" w14:textId="77777777" w:rsidR="00422150" w:rsidRPr="00422150" w:rsidRDefault="00422150" w:rsidP="00422150">
      <w:pPr>
        <w:numPr>
          <w:ilvl w:val="0"/>
          <w:numId w:val="14"/>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Communication Cohesion:</w:t>
      </w:r>
      <w:r w:rsidRPr="00422150">
        <w:rPr>
          <w:rFonts w:ascii="Abadi" w:eastAsia="Times New Roman" w:hAnsi="Abadi" w:cs="Times New Roman"/>
          <w:color w:val="000000"/>
          <w:kern w:val="0"/>
          <w:lang w:eastAsia="en-GB"/>
          <w14:ligatures w14:val="none"/>
        </w:rPr>
        <w:t> Occurs when tasks are grouped together because they operate on the same set of data or data structure.</w:t>
      </w:r>
    </w:p>
    <w:p w14:paraId="69BBB93E" w14:textId="77777777" w:rsidR="00422150" w:rsidRPr="00422150" w:rsidRDefault="00422150" w:rsidP="00422150">
      <w:pPr>
        <w:numPr>
          <w:ilvl w:val="0"/>
          <w:numId w:val="14"/>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t>Sequential Cohesion:</w:t>
      </w:r>
      <w:r w:rsidRPr="00422150">
        <w:rPr>
          <w:rFonts w:ascii="Abadi" w:eastAsia="Times New Roman" w:hAnsi="Abadi" w:cs="Times New Roman"/>
          <w:color w:val="000000"/>
          <w:kern w:val="0"/>
          <w:lang w:eastAsia="en-GB"/>
          <w14:ligatures w14:val="none"/>
        </w:rPr>
        <w:t> Occurs when the output of one element is used as input for another element within the component.</w:t>
      </w:r>
    </w:p>
    <w:p w14:paraId="61BE77C8" w14:textId="77777777" w:rsidR="00422150" w:rsidRPr="00422150" w:rsidRDefault="00422150" w:rsidP="00422150">
      <w:pPr>
        <w:numPr>
          <w:ilvl w:val="0"/>
          <w:numId w:val="14"/>
        </w:numPr>
        <w:spacing w:before="100" w:beforeAutospacing="1" w:after="100" w:afterAutospacing="1" w:line="240" w:lineRule="auto"/>
        <w:rPr>
          <w:rFonts w:ascii="Abadi" w:eastAsia="Times New Roman" w:hAnsi="Abadi" w:cs="Times New Roman"/>
          <w:color w:val="000000"/>
          <w:kern w:val="0"/>
          <w:lang w:eastAsia="en-GB"/>
          <w14:ligatures w14:val="none"/>
        </w:rPr>
      </w:pPr>
      <w:r w:rsidRPr="00422150">
        <w:rPr>
          <w:rFonts w:ascii="Abadi" w:eastAsia="Times New Roman" w:hAnsi="Abadi" w:cs="Times New Roman"/>
          <w:b/>
          <w:bCs/>
          <w:color w:val="000000"/>
          <w:kern w:val="0"/>
          <w:lang w:eastAsia="en-GB"/>
          <w14:ligatures w14:val="none"/>
        </w:rPr>
        <w:lastRenderedPageBreak/>
        <w:t>Functional Cohesion:</w:t>
      </w:r>
      <w:r w:rsidRPr="00422150">
        <w:rPr>
          <w:rFonts w:ascii="Abadi" w:eastAsia="Times New Roman" w:hAnsi="Abadi" w:cs="Times New Roman"/>
          <w:color w:val="000000"/>
          <w:kern w:val="0"/>
          <w:lang w:eastAsia="en-GB"/>
          <w14:ligatures w14:val="none"/>
        </w:rPr>
        <w:t> Occurs when the component performs a single, well-defined task.</w:t>
      </w:r>
    </w:p>
    <w:p w14:paraId="630621F3" w14:textId="77777777" w:rsidR="00422150" w:rsidRPr="00422150" w:rsidRDefault="00422150" w:rsidP="0042215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22150">
        <w:rPr>
          <w:rFonts w:ascii="Abadi" w:eastAsia="Times New Roman" w:hAnsi="Abadi" w:cs="Times New Roman"/>
          <w:color w:val="000000"/>
          <w:kern w:val="0"/>
          <w:lang w:eastAsia="en-GB"/>
          <w14:ligatures w14:val="none"/>
        </w:rPr>
        <w:t>Loose coupling and high cohesion are highly desired because they are associated with desirable traits of software, including maintainability, reusability, reliability, scalability, and testability [1–10]. In essence, software with high-quality characteristics tends to have loose coupling and high cohesion</w:t>
      </w:r>
      <w:r w:rsidRPr="00422150">
        <w:rPr>
          <w:rFonts w:ascii="Times New Roman" w:eastAsia="Times New Roman" w:hAnsi="Times New Roman" w:cs="Times New Roman"/>
          <w:color w:val="000000"/>
          <w:kern w:val="0"/>
          <w:lang w:eastAsia="en-GB"/>
          <w14:ligatures w14:val="none"/>
        </w:rPr>
        <w:t>.</w:t>
      </w:r>
    </w:p>
    <w:p w14:paraId="0385C16F"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Higher cohesion and low coupling are essential factors in improving software maintainability and reusability. High cohesion ensures that related functions and responsibilities are grouped within the same module, reducing the effort required for maintenance [1]. Low coupling, on the other hand, minimises dependencies between modules, which contributes to a system's overall quality [2]. Together, these characteristics reflect internal quality factors that enhance software modularity, making the system easier to understand, maintain, and extend.</w:t>
      </w:r>
    </w:p>
    <w:p w14:paraId="3D5A6863"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5063661F"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Additionally, high cohesion and loose coupling also enhance interoperability, enabling seamless communication and integration across diverse platforms and devices. This interoperability facilitates system expansion, thereby improving scalability—an essential factor for the Internet of Things (IoT), cloud service providers, and various applications. For instance, in IoT, high cohesion ensures that each component performs a specific task, and loose coupling allows different components to connect and interact with each other while minimising interdependencies. This design approach simplifies the addition of new devices or services, promoting scalability.</w:t>
      </w:r>
    </w:p>
    <w:p w14:paraId="10518A08"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2329156C"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In contrast, when modules lack cohesion, they perform unrelated tasks, leading to increased complexity and difficulty in maintenance. Similarly, tight coupling creates strong interdependencies, which can increase the risk of errors and system failures. Modifying one part of the system may require changes elsewhere, thereby increasing code anomalies [7]. Such tightly coupled systems are difficult to maintain, test, and reuse, demanding significant time and effort due to the increased dependencies between components and classes [8].</w:t>
      </w:r>
    </w:p>
    <w:p w14:paraId="7A2792C4"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761AC8B9" w14:textId="77777777" w:rsidR="00422150" w:rsidRPr="00422150" w:rsidRDefault="00422150" w:rsidP="00422150">
      <w:pPr>
        <w:pStyle w:val="NormalWeb"/>
        <w:rPr>
          <w:rFonts w:ascii="Abadi" w:hAnsi="Abadi"/>
          <w:color w:val="000000"/>
        </w:rPr>
      </w:pPr>
      <w:r w:rsidRPr="00422150">
        <w:rPr>
          <w:rFonts w:ascii="Abadi" w:hAnsi="Abadi"/>
          <w:color w:val="000000"/>
        </w:rPr>
        <w:t>As software complexity increases, achieving low coupling and high cohesion becomes more challenging. Interconnected components and the expanding responsibilities of individual modules make the system harder to manage [6]. This increased complexity can negatively affect maintainability and overall software quality, making the system more prone to failures, which in turn raises time, cost, and resource demands [4][9]. Despite these challenges, maintaining low coupling and high cohesion can reduce complexity by creating more modular components, ultimately leading to higher-quality systems [4][9]. This is why coupling remains a key principle in object-oriented programming [6].</w:t>
      </w:r>
    </w:p>
    <w:p w14:paraId="532B78DF" w14:textId="30DBEA01" w:rsidR="00883492" w:rsidRPr="00422150" w:rsidRDefault="00883492" w:rsidP="00883492">
      <w:pPr>
        <w:spacing w:after="0" w:line="240" w:lineRule="auto"/>
        <w:rPr>
          <w:rFonts w:ascii="Abadi" w:eastAsia="Times New Roman" w:hAnsi="Abadi" w:cs="Calibri"/>
          <w:color w:val="000000"/>
          <w:kern w:val="0"/>
          <w:lang w:eastAsia="en-GB"/>
          <w14:ligatures w14:val="none"/>
        </w:rPr>
      </w:pPr>
    </w:p>
    <w:p w14:paraId="44E49358" w14:textId="63C774B4" w:rsidR="00883492" w:rsidRPr="00422150" w:rsidRDefault="00422150" w:rsidP="00883492">
      <w:pPr>
        <w:spacing w:after="0" w:line="240" w:lineRule="auto"/>
        <w:rPr>
          <w:rFonts w:ascii="Abadi" w:eastAsia="Times New Roman" w:hAnsi="Abadi" w:cs="Calibri"/>
          <w:kern w:val="0"/>
          <w:lang w:eastAsia="en-GB"/>
          <w14:ligatures w14:val="none"/>
        </w:rPr>
      </w:pPr>
      <w:r w:rsidRPr="00422150">
        <w:rPr>
          <w:rFonts w:ascii="Abadi" w:hAnsi="Abadi"/>
          <w:color w:val="000000"/>
        </w:rPr>
        <w:t xml:space="preserve">Data hiding, also known as data encapsulation, is a fundamental concept in object-oriented programming. It involves hiding the internal data of objects and exposing only essential data or methods through well-defined interfaces, ensuring that users can access only relevant information [11, 12] (Fig. 1). This approach helps protect the internal structure of objects from unauthorised access or unintended modification, </w:t>
      </w:r>
      <w:r w:rsidRPr="00422150">
        <w:rPr>
          <w:rFonts w:ascii="Abadi" w:hAnsi="Abadi"/>
          <w:color w:val="000000"/>
        </w:rPr>
        <w:lastRenderedPageBreak/>
        <w:t>thereby enhancing data integrity and security. By controlling access, encapsulation ensures that data can only be modified in controlled ways, which contributes to better maintainability [11–13]. Most programming languages implement encapsulation using access modifiers, which define the scope of classes, variables, and methods, as well as getter and setter methods, which provide controlled access to private attributes [13].</w:t>
      </w:r>
      <w:r w:rsidR="00883492" w:rsidRPr="00422150">
        <w:rPr>
          <w:rFonts w:ascii="Abadi" w:eastAsia="Times New Roman" w:hAnsi="Abadi" w:cs="Calibri"/>
          <w:kern w:val="0"/>
          <w:lang w:eastAsia="en-GB"/>
          <w14:ligatures w14:val="none"/>
        </w:rPr>
        <w:t> </w:t>
      </w:r>
    </w:p>
    <w:p w14:paraId="0FF564E6" w14:textId="0D8D1089"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noProof/>
          <w:kern w:val="0"/>
          <w:sz w:val="22"/>
          <w:szCs w:val="22"/>
          <w:lang w:eastAsia="en-GB"/>
          <w14:ligatures w14:val="none"/>
        </w:rPr>
        <w:drawing>
          <wp:inline distT="0" distB="0" distL="0" distR="0" wp14:anchorId="595E7563" wp14:editId="4D45E5C8">
            <wp:extent cx="4572000" cy="3605530"/>
            <wp:effectExtent l="0" t="0" r="0" b="1270"/>
            <wp:docPr id="2071119463" name="Picture 4" descr="encapsulatio n &#10;data hiding &#10;ect-oriented progr &#10;Al &amp; Expert &#10;Automation &#10;Systems &#10;Nour al &#10;CAD CAD,' &#10;Fig. 1 : Basic concepts and popular applications of OO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ncapsulatio n &#10;data hiding &#10;ect-oriented progr &#10;Al &amp; Expert &#10;Automation &#10;Systems &#10;Nour al &#10;CAD CAD,' &#10;Fig. 1 : Basic concepts and popular applications of OOP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3605530"/>
                    </a:xfrm>
                    <a:prstGeom prst="rect">
                      <a:avLst/>
                    </a:prstGeom>
                    <a:noFill/>
                    <a:ln>
                      <a:noFill/>
                    </a:ln>
                  </pic:spPr>
                </pic:pic>
              </a:graphicData>
            </a:graphic>
          </wp:inline>
        </w:drawing>
      </w:r>
    </w:p>
    <w:p w14:paraId="542C7B6F" w14:textId="77777777"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49882DC9"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08515768"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Encapsulation often leads to information hiding, where the internal functionality of an object is abstracted. This prevents direct access to the object’s internal state, ensuring that only the necessary operations are exposed. The principle of information hiding, proposed by David Parnas in 1972, also suggests breaking down systems into modules with minimal dependencies on one another, increasing modularity. Each module’s design decisions are hidden from others, improving system flexibility and comprehensibility. This principle directly supports the creation of microservices—modular services that can be developed and maintained independently. By adhering to information hiding, microservices systems can benefit from shorter development times and increased flexibility [14,15].</w:t>
      </w:r>
    </w:p>
    <w:p w14:paraId="3392ED06"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The increased modularity in microservices also reduces system complexity, making it less prone to errors and system failures. Scalability is also improved as individual faulty modules can be debugged or replaced without disrupting the entire system. Furthermore, with greater modularity, different individuals can work on separate modules, enhancing collaboration and leading to shorter development times [14]. Additionally, the separation between internal and external system components allows for easier changes to the internal structure without affecting other parts of the system, resulting in simpler refactoring and better system maintenance [13].</w:t>
      </w:r>
    </w:p>
    <w:p w14:paraId="269BDA85"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 </w:t>
      </w:r>
    </w:p>
    <w:p w14:paraId="441AE3E7"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 xml:space="preserve">Encapsulation and information hiding are also crucial in the design patterns of object-oriented programming. Common patterns, such as the factory pattern, façade pattern, </w:t>
      </w:r>
      <w:r w:rsidRPr="00422150">
        <w:rPr>
          <w:rFonts w:ascii="Abadi" w:eastAsia="Times New Roman" w:hAnsi="Abadi" w:cs="Calibri"/>
          <w:color w:val="000000"/>
          <w:kern w:val="0"/>
          <w:lang w:eastAsia="en-GB"/>
          <w14:ligatures w14:val="none"/>
        </w:rPr>
        <w:lastRenderedPageBreak/>
        <w:t>and observer pattern, rely on encapsulation to hide complexity behind well-defined interfaces, leading to more scalable and maintainable codebases [17-19].</w:t>
      </w:r>
    </w:p>
    <w:p w14:paraId="56A5E89D"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In the factory pattern, for instance, the instantiation logic of the superclass is encapsulated, allowing the client class to decouple from the implementation details. This also leads to greater flexibility, as modifications to the creation logic will not affect the client code [17].</w:t>
      </w:r>
    </w:p>
    <w:p w14:paraId="35D9A4C1"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Similarly, in the façade pattern, a high-level interface is provided to hide the complexity of the underlying subsystem, simplifying the system and making it easier to use and understand [18].</w:t>
      </w:r>
    </w:p>
    <w:p w14:paraId="79925228"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Likewise, in the observer pattern, one object notifies its dependent objects (observers) by calling their methods. The details of these methods do not need to be known by the notifying object, promoting loose coupling and enhancing scalability [19].</w:t>
      </w:r>
    </w:p>
    <w:p w14:paraId="7D66C4C2" w14:textId="77777777" w:rsidR="00883492" w:rsidRPr="00422150" w:rsidRDefault="00883492" w:rsidP="00883492">
      <w:pPr>
        <w:spacing w:after="0" w:line="240" w:lineRule="auto"/>
        <w:rPr>
          <w:rFonts w:ascii="Abadi" w:eastAsia="Times New Roman" w:hAnsi="Abadi" w:cs="Calibri"/>
          <w:color w:val="000000"/>
          <w:kern w:val="0"/>
          <w:lang w:eastAsia="en-GB"/>
          <w14:ligatures w14:val="none"/>
        </w:rPr>
      </w:pPr>
      <w:r w:rsidRPr="00422150">
        <w:rPr>
          <w:rFonts w:ascii="Abadi" w:eastAsia="Times New Roman" w:hAnsi="Abadi" w:cs="Calibri"/>
          <w:color w:val="000000"/>
          <w:kern w:val="0"/>
          <w:lang w:eastAsia="en-GB"/>
          <w14:ligatures w14:val="none"/>
        </w:rPr>
        <w:t>However, while these patterns can enhance code organisation and maintainability, their improper application may introduce unnecessary complexity and overhead [18].</w:t>
      </w:r>
    </w:p>
    <w:p w14:paraId="6A974CD2"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496B085A" w14:textId="77777777" w:rsidR="00883492" w:rsidRPr="00422150" w:rsidRDefault="00883492" w:rsidP="00883492">
      <w:pPr>
        <w:spacing w:after="0" w:line="240" w:lineRule="auto"/>
        <w:rPr>
          <w:rFonts w:ascii="Abadi" w:eastAsia="Times New Roman" w:hAnsi="Abadi" w:cs="Calibri"/>
          <w:kern w:val="0"/>
          <w:lang w:eastAsia="en-GB"/>
          <w14:ligatures w14:val="none"/>
        </w:rPr>
      </w:pPr>
      <w:r w:rsidRPr="00422150">
        <w:rPr>
          <w:rFonts w:ascii="Abadi" w:eastAsia="Times New Roman" w:hAnsi="Abadi" w:cs="Calibri"/>
          <w:color w:val="000000"/>
          <w:kern w:val="0"/>
          <w:lang w:eastAsia="en-GB"/>
          <w14:ligatures w14:val="none"/>
        </w:rPr>
        <w:t>To conclude, loose coupling, high cohesion, data hiding, and information hiding are important aspects of software development. Low coupling and high cohesion often work in tandem, as they improve reliability, maintainability, and scalability in software applications. In short, they enhance the quality of the software. In contrast, their reverse—tight coupling and low cohesion—introduces more complexity and the risk of code anomalies to the system, making them undesirable. As software applications become more complex as they mature, maintaining loose coupling and high cohesion becomes increasingly challenging. Data hiding and information hiding are important not only for data integrity and security but also to promote modularity and scalability in systems such as microservices. Applying these principles consistently throughout the software development process ensures a more resilient, adaptable, and efficient system that can better meet evolving demands.</w:t>
      </w:r>
    </w:p>
    <w:p w14:paraId="0BB1B5A3" w14:textId="77777777" w:rsidR="00883492" w:rsidRDefault="00883492"/>
    <w:p w14:paraId="5F93EBC7" w14:textId="77777777" w:rsidR="00883492" w:rsidRDefault="00883492"/>
    <w:p w14:paraId="670CE2DF" w14:textId="77777777" w:rsidR="00883492" w:rsidRDefault="00883492"/>
    <w:p w14:paraId="64C36F14" w14:textId="77777777" w:rsidR="00883492" w:rsidRDefault="00883492"/>
    <w:p w14:paraId="049E34C1" w14:textId="77777777" w:rsidR="00883492" w:rsidRDefault="00883492"/>
    <w:p w14:paraId="623A29B6" w14:textId="6C5F1A88" w:rsidR="00883492" w:rsidRDefault="00883492">
      <w:r>
        <w:br/>
      </w:r>
    </w:p>
    <w:p w14:paraId="1E1A72C0" w14:textId="77777777" w:rsidR="00883492" w:rsidRDefault="00883492"/>
    <w:p w14:paraId="5AF837FD" w14:textId="77777777" w:rsidR="00883492" w:rsidRDefault="00883492"/>
    <w:p w14:paraId="3BC5A087" w14:textId="77777777" w:rsidR="00883492" w:rsidRDefault="00883492"/>
    <w:p w14:paraId="11F7707D" w14:textId="77777777" w:rsidR="00883492" w:rsidRDefault="00883492"/>
    <w:p w14:paraId="77F346FF" w14:textId="77777777" w:rsidR="00883492" w:rsidRDefault="00883492"/>
    <w:p w14:paraId="7ABA4466" w14:textId="77777777" w:rsidR="00AA4087" w:rsidRDefault="00AA4087"/>
    <w:p w14:paraId="654FFED3" w14:textId="6A8C5613" w:rsidR="00883492" w:rsidRPr="00AA4087" w:rsidRDefault="00883492">
      <w:pPr>
        <w:rPr>
          <w:rFonts w:ascii="Abadi" w:hAnsi="Abadi"/>
        </w:rPr>
      </w:pPr>
      <w:r w:rsidRPr="00AA4087">
        <w:rPr>
          <w:rFonts w:ascii="Abadi" w:hAnsi="Abadi"/>
        </w:rPr>
        <w:lastRenderedPageBreak/>
        <w:t xml:space="preserve">REFERENCES </w:t>
      </w:r>
    </w:p>
    <w:p w14:paraId="02F6825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w:t>
      </w:r>
    </w:p>
    <w:p w14:paraId="45F3F4DD"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S. Silva, Adiel </w:t>
      </w:r>
      <w:proofErr w:type="spellStart"/>
      <w:r w:rsidRPr="00AA4087">
        <w:rPr>
          <w:rFonts w:ascii="Abadi" w:hAnsi="Abadi" w:cs="Calibri"/>
          <w:color w:val="000000"/>
          <w:sz w:val="22"/>
          <w:szCs w:val="22"/>
        </w:rPr>
        <w:t>Tuyishime</w:t>
      </w:r>
      <w:proofErr w:type="spellEnd"/>
      <w:r w:rsidRPr="00AA4087">
        <w:rPr>
          <w:rFonts w:ascii="Abadi" w:hAnsi="Abadi" w:cs="Calibri"/>
          <w:color w:val="000000"/>
          <w:sz w:val="22"/>
          <w:szCs w:val="22"/>
        </w:rPr>
        <w:t xml:space="preserve">, T. Santilli, P. </w:t>
      </w:r>
      <w:proofErr w:type="spellStart"/>
      <w:r w:rsidRPr="00AA4087">
        <w:rPr>
          <w:rFonts w:ascii="Abadi" w:hAnsi="Abadi" w:cs="Calibri"/>
          <w:color w:val="000000"/>
          <w:sz w:val="22"/>
          <w:szCs w:val="22"/>
        </w:rPr>
        <w:t>Pelliccione</w:t>
      </w:r>
      <w:proofErr w:type="spellEnd"/>
      <w:r w:rsidRPr="00AA4087">
        <w:rPr>
          <w:rFonts w:ascii="Abadi" w:hAnsi="Abadi" w:cs="Calibri"/>
          <w:color w:val="000000"/>
          <w:sz w:val="22"/>
          <w:szCs w:val="22"/>
        </w:rPr>
        <w:t xml:space="preserve">, and L. Iovino, “Quality Metrics in Software Architecture,” pp. 58–69, Mar. 2023,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21" w:history="1">
        <w:r w:rsidRPr="00AA4087">
          <w:rPr>
            <w:rStyle w:val="Hyperlink"/>
            <w:rFonts w:ascii="Abadi" w:eastAsiaTheme="majorEastAsia" w:hAnsi="Abadi" w:cs="Calibri"/>
            <w:sz w:val="22"/>
            <w:szCs w:val="22"/>
          </w:rPr>
          <w:t>https://doi.org/10.1109/icsa56044.2023.00014</w:t>
        </w:r>
      </w:hyperlink>
      <w:r w:rsidRPr="00AA4087">
        <w:rPr>
          <w:rFonts w:ascii="Abadi" w:hAnsi="Abadi" w:cs="Calibri"/>
          <w:color w:val="000000"/>
          <w:sz w:val="22"/>
          <w:szCs w:val="22"/>
        </w:rPr>
        <w:t>.</w:t>
      </w:r>
    </w:p>
    <w:p w14:paraId="3B059C4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6149200A"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[2] </w:t>
      </w:r>
    </w:p>
    <w:p w14:paraId="4D5F0E14"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B. Mehboob, C. Y. Chong, S. P. Lee, and J. M. Y. Lim, “Reusability affecting factors and software metrics for reusability: A systematic literature review,” </w:t>
      </w:r>
      <w:r w:rsidRPr="00AA4087">
        <w:rPr>
          <w:rFonts w:ascii="Abadi" w:hAnsi="Abadi" w:cs="Calibri"/>
          <w:i/>
          <w:iCs/>
          <w:color w:val="000000"/>
          <w:sz w:val="22"/>
          <w:szCs w:val="22"/>
        </w:rPr>
        <w:t>Software: Practice and Experience</w:t>
      </w:r>
      <w:r w:rsidRPr="00AA4087">
        <w:rPr>
          <w:rFonts w:ascii="Abadi" w:hAnsi="Abadi" w:cs="Calibri"/>
          <w:color w:val="000000"/>
          <w:sz w:val="22"/>
          <w:szCs w:val="22"/>
        </w:rPr>
        <w:t xml:space="preserve">, vol. 51, no. 6, pp. 1416–1458, Mar. 2021,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22" w:history="1">
        <w:r w:rsidRPr="00AA4087">
          <w:rPr>
            <w:rStyle w:val="Hyperlink"/>
            <w:rFonts w:ascii="Abadi" w:eastAsiaTheme="majorEastAsia" w:hAnsi="Abadi" w:cs="Calibri"/>
            <w:sz w:val="22"/>
            <w:szCs w:val="22"/>
          </w:rPr>
          <w:t>https://doi.org/10.1002/spe.2961</w:t>
        </w:r>
      </w:hyperlink>
      <w:r w:rsidRPr="00AA4087">
        <w:rPr>
          <w:rFonts w:ascii="Abadi" w:hAnsi="Abadi" w:cs="Calibri"/>
          <w:color w:val="000000"/>
          <w:sz w:val="22"/>
          <w:szCs w:val="22"/>
        </w:rPr>
        <w:t>.</w:t>
      </w:r>
    </w:p>
    <w:p w14:paraId="52ABE510"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277F81D0"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61A3CAB9"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[3] </w:t>
      </w:r>
    </w:p>
    <w:p w14:paraId="63A503F4" w14:textId="77777777" w:rsidR="00883492" w:rsidRPr="00AA4087" w:rsidRDefault="00883492" w:rsidP="00883492">
      <w:pPr>
        <w:pStyle w:val="NormalWeb"/>
        <w:spacing w:before="0" w:beforeAutospacing="0" w:after="0" w:afterAutospacing="0"/>
        <w:rPr>
          <w:rFonts w:ascii="Abadi" w:hAnsi="Abadi" w:cs="Calibri"/>
          <w:sz w:val="22"/>
          <w:szCs w:val="22"/>
        </w:rPr>
      </w:pPr>
      <w:r w:rsidRPr="00AA4087">
        <w:rPr>
          <w:rFonts w:ascii="Abadi" w:hAnsi="Abadi" w:cs="Calibri"/>
          <w:sz w:val="22"/>
          <w:szCs w:val="22"/>
        </w:rPr>
        <w:t xml:space="preserve">S. Sharma and S. Srinivasan, “A review of Coupling and Cohesion metrics in Object Oriented Environment.” Accessed: Dec. 26, 2024. [Online]. Available: </w:t>
      </w:r>
      <w:hyperlink r:id="rId23" w:history="1">
        <w:r w:rsidRPr="00AA4087">
          <w:rPr>
            <w:rStyle w:val="Hyperlink"/>
            <w:rFonts w:ascii="Abadi" w:eastAsiaTheme="majorEastAsia" w:hAnsi="Abadi" w:cs="Calibri"/>
            <w:sz w:val="22"/>
            <w:szCs w:val="22"/>
          </w:rPr>
          <w:t>https://www.ijcset.com/docs/IJCSET13-04-08-010.pdf</w:t>
        </w:r>
      </w:hyperlink>
      <w:r w:rsidRPr="00AA4087">
        <w:rPr>
          <w:rFonts w:ascii="Abadi" w:hAnsi="Abadi" w:cs="Calibri"/>
          <w:sz w:val="22"/>
          <w:szCs w:val="22"/>
        </w:rPr>
        <w:t xml:space="preserve">. </w:t>
      </w:r>
    </w:p>
    <w:p w14:paraId="4C95A54C" w14:textId="77777777" w:rsidR="00883492" w:rsidRPr="00AA4087" w:rsidRDefault="00883492" w:rsidP="00883492">
      <w:pPr>
        <w:pStyle w:val="NormalWeb"/>
        <w:spacing w:before="0" w:beforeAutospacing="0" w:after="0" w:afterAutospacing="0"/>
        <w:rPr>
          <w:rFonts w:ascii="Abadi" w:hAnsi="Abadi" w:cs="Calibri"/>
          <w:sz w:val="22"/>
          <w:szCs w:val="22"/>
        </w:rPr>
      </w:pPr>
      <w:r w:rsidRPr="00AA4087">
        <w:rPr>
          <w:rFonts w:ascii="Abadi" w:hAnsi="Abadi" w:cs="Calibri"/>
          <w:sz w:val="22"/>
          <w:szCs w:val="22"/>
        </w:rPr>
        <w:t> </w:t>
      </w:r>
    </w:p>
    <w:p w14:paraId="23F31F8A" w14:textId="77777777" w:rsidR="00883492" w:rsidRPr="00AA4087" w:rsidRDefault="00883492" w:rsidP="00883492">
      <w:pPr>
        <w:pStyle w:val="NormalWeb"/>
        <w:spacing w:before="0" w:beforeAutospacing="0" w:after="0" w:afterAutospacing="0"/>
        <w:rPr>
          <w:rFonts w:ascii="Abadi" w:hAnsi="Abadi" w:cs="Calibri"/>
          <w:sz w:val="22"/>
          <w:szCs w:val="22"/>
        </w:rPr>
      </w:pPr>
      <w:r w:rsidRPr="00AA4087">
        <w:rPr>
          <w:rFonts w:ascii="Abadi" w:hAnsi="Abadi" w:cs="Calibri"/>
          <w:sz w:val="22"/>
          <w:szCs w:val="22"/>
        </w:rPr>
        <w:t> </w:t>
      </w:r>
    </w:p>
    <w:p w14:paraId="410DBD2F" w14:textId="77777777" w:rsidR="00883492" w:rsidRPr="00AA4087" w:rsidRDefault="00883492" w:rsidP="00883492">
      <w:pPr>
        <w:pStyle w:val="NormalWeb"/>
        <w:spacing w:before="0" w:beforeAutospacing="0" w:after="0" w:afterAutospacing="0"/>
        <w:rPr>
          <w:rFonts w:ascii="Abadi" w:hAnsi="Abadi" w:cs="Calibri"/>
          <w:sz w:val="22"/>
          <w:szCs w:val="22"/>
        </w:rPr>
      </w:pPr>
      <w:r w:rsidRPr="00AA4087">
        <w:rPr>
          <w:rFonts w:ascii="Abadi" w:hAnsi="Abadi" w:cs="Calibri"/>
          <w:sz w:val="22"/>
          <w:szCs w:val="22"/>
        </w:rPr>
        <w:t> </w:t>
      </w:r>
    </w:p>
    <w:p w14:paraId="471F9BED" w14:textId="77777777" w:rsidR="00883492" w:rsidRPr="00AA4087" w:rsidRDefault="00883492" w:rsidP="00883492">
      <w:pPr>
        <w:pStyle w:val="NormalWeb"/>
        <w:spacing w:before="0" w:beforeAutospacing="0" w:after="0" w:afterAutospacing="0"/>
        <w:rPr>
          <w:rFonts w:ascii="Abadi" w:hAnsi="Abadi" w:cs="Calibri"/>
          <w:sz w:val="22"/>
          <w:szCs w:val="22"/>
        </w:rPr>
      </w:pPr>
      <w:r w:rsidRPr="00AA4087">
        <w:rPr>
          <w:rFonts w:ascii="Abadi" w:hAnsi="Abadi" w:cs="Calibri"/>
          <w:sz w:val="22"/>
          <w:szCs w:val="22"/>
        </w:rPr>
        <w:t>[4]</w:t>
      </w:r>
    </w:p>
    <w:p w14:paraId="22ADA37F"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Abdulla Muaz, Muhammad Ehsan Rana, and </w:t>
      </w:r>
      <w:proofErr w:type="spellStart"/>
      <w:r w:rsidRPr="00AA4087">
        <w:rPr>
          <w:rFonts w:ascii="Abadi" w:hAnsi="Abadi" w:cs="Calibri"/>
          <w:color w:val="000000"/>
          <w:sz w:val="22"/>
          <w:szCs w:val="22"/>
        </w:rPr>
        <w:t>Vazeerudeen</w:t>
      </w:r>
      <w:proofErr w:type="spellEnd"/>
      <w:r w:rsidRPr="00AA4087">
        <w:rPr>
          <w:rFonts w:ascii="Abadi" w:hAnsi="Abadi" w:cs="Calibri"/>
          <w:color w:val="000000"/>
          <w:sz w:val="22"/>
          <w:szCs w:val="22"/>
        </w:rPr>
        <w:t xml:space="preserve"> Abdul Hameed, “A Framework for Catering Software Complexity Issues Using Architectural Patterns,” </w:t>
      </w:r>
      <w:r w:rsidRPr="00AA4087">
        <w:rPr>
          <w:rFonts w:ascii="Abadi" w:hAnsi="Abadi" w:cs="Calibri"/>
          <w:i/>
          <w:iCs/>
          <w:color w:val="000000"/>
          <w:sz w:val="22"/>
          <w:szCs w:val="22"/>
        </w:rPr>
        <w:t>2021 Third International Sustainability and Resilience Conference: Climate Change</w:t>
      </w:r>
      <w:r w:rsidRPr="00AA4087">
        <w:rPr>
          <w:rFonts w:ascii="Abadi" w:hAnsi="Abadi" w:cs="Calibri"/>
          <w:color w:val="000000"/>
          <w:sz w:val="22"/>
          <w:szCs w:val="22"/>
        </w:rPr>
        <w:t xml:space="preserve">, Nov. 2021,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24" w:history="1">
        <w:r w:rsidRPr="00AA4087">
          <w:rPr>
            <w:rStyle w:val="Hyperlink"/>
            <w:rFonts w:ascii="Abadi" w:eastAsiaTheme="majorEastAsia" w:hAnsi="Abadi" w:cs="Calibri"/>
            <w:sz w:val="22"/>
            <w:szCs w:val="22"/>
          </w:rPr>
          <w:t>https://doi.org/10.1109/ieeeconf53624.2021.9668115</w:t>
        </w:r>
      </w:hyperlink>
      <w:r w:rsidRPr="00AA4087">
        <w:rPr>
          <w:rFonts w:ascii="Abadi" w:hAnsi="Abadi" w:cs="Calibri"/>
          <w:color w:val="000000"/>
          <w:sz w:val="22"/>
          <w:szCs w:val="22"/>
        </w:rPr>
        <w:t>.</w:t>
      </w:r>
    </w:p>
    <w:p w14:paraId="7A66152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3946671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5CEDA2D0"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[5]</w:t>
      </w:r>
    </w:p>
    <w:p w14:paraId="238BEE04"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4A36CADF"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T. Yang, Z. Jiang, Y. Shang, and M. </w:t>
      </w:r>
      <w:proofErr w:type="spellStart"/>
      <w:r w:rsidRPr="00AA4087">
        <w:rPr>
          <w:rFonts w:ascii="Abadi" w:hAnsi="Abadi" w:cs="Calibri"/>
          <w:color w:val="000000"/>
          <w:sz w:val="22"/>
          <w:szCs w:val="22"/>
        </w:rPr>
        <w:t>Norouzi</w:t>
      </w:r>
      <w:proofErr w:type="spellEnd"/>
      <w:r w:rsidRPr="00AA4087">
        <w:rPr>
          <w:rFonts w:ascii="Abadi" w:hAnsi="Abadi" w:cs="Calibri"/>
          <w:color w:val="000000"/>
          <w:sz w:val="22"/>
          <w:szCs w:val="22"/>
        </w:rPr>
        <w:t>, “Systematic review on next-generation web-based software architecture clustering models,” </w:t>
      </w:r>
      <w:r w:rsidRPr="00AA4087">
        <w:rPr>
          <w:rFonts w:ascii="Abadi" w:hAnsi="Abadi" w:cs="Calibri"/>
          <w:i/>
          <w:iCs/>
          <w:color w:val="000000"/>
          <w:sz w:val="22"/>
          <w:szCs w:val="22"/>
        </w:rPr>
        <w:t>Computer Communications</w:t>
      </w:r>
      <w:r w:rsidRPr="00AA4087">
        <w:rPr>
          <w:rFonts w:ascii="Abadi" w:hAnsi="Abadi" w:cs="Calibri"/>
          <w:color w:val="000000"/>
          <w:sz w:val="22"/>
          <w:szCs w:val="22"/>
        </w:rPr>
        <w:t xml:space="preserve">, vol. 167, pp. 63–74, Feb. 2021,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25" w:history="1">
        <w:r w:rsidRPr="00AA4087">
          <w:rPr>
            <w:rStyle w:val="Hyperlink"/>
            <w:rFonts w:ascii="Abadi" w:eastAsiaTheme="majorEastAsia" w:hAnsi="Abadi" w:cs="Calibri"/>
            <w:sz w:val="22"/>
            <w:szCs w:val="22"/>
          </w:rPr>
          <w:t>https://doi.org/10.1016/j.comcom.2020.12.022</w:t>
        </w:r>
      </w:hyperlink>
      <w:r w:rsidRPr="00AA4087">
        <w:rPr>
          <w:rFonts w:ascii="Abadi" w:hAnsi="Abadi" w:cs="Calibri"/>
          <w:color w:val="000000"/>
          <w:sz w:val="22"/>
          <w:szCs w:val="22"/>
        </w:rPr>
        <w:t>.</w:t>
      </w:r>
    </w:p>
    <w:p w14:paraId="3311A86D"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rial" w:hAnsi="Arial" w:cs="Arial"/>
          <w:color w:val="000000"/>
          <w:sz w:val="22"/>
          <w:szCs w:val="22"/>
        </w:rPr>
        <w:t>‌</w:t>
      </w:r>
    </w:p>
    <w:p w14:paraId="4777282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414C2FB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[6]</w:t>
      </w:r>
    </w:p>
    <w:p w14:paraId="22D0621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Z. Wan, Y. Zhang, X. Xia, J. Yi, and D. Lo, “Software Architecture in Practice: Challenges and Opportunities,” </w:t>
      </w:r>
      <w:proofErr w:type="spellStart"/>
      <w:r w:rsidRPr="00AA4087">
        <w:rPr>
          <w:rFonts w:ascii="Abadi" w:hAnsi="Abadi" w:cs="Calibri"/>
          <w:i/>
          <w:iCs/>
          <w:color w:val="000000"/>
          <w:sz w:val="22"/>
          <w:szCs w:val="22"/>
        </w:rPr>
        <w:t>arXiv</w:t>
      </w:r>
      <w:proofErr w:type="spellEnd"/>
      <w:r w:rsidRPr="00AA4087">
        <w:rPr>
          <w:rFonts w:ascii="Abadi" w:hAnsi="Abadi" w:cs="Calibri"/>
          <w:i/>
          <w:iCs/>
          <w:color w:val="000000"/>
          <w:sz w:val="22"/>
          <w:szCs w:val="22"/>
        </w:rPr>
        <w:t xml:space="preserve"> (Cornell University)</w:t>
      </w:r>
      <w:r w:rsidRPr="00AA4087">
        <w:rPr>
          <w:rFonts w:ascii="Abadi" w:hAnsi="Abadi" w:cs="Calibri"/>
          <w:color w:val="000000"/>
          <w:sz w:val="22"/>
          <w:szCs w:val="22"/>
        </w:rPr>
        <w:t xml:space="preserve">, Nov. 2023,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26" w:history="1">
        <w:r w:rsidRPr="00AA4087">
          <w:rPr>
            <w:rStyle w:val="Hyperlink"/>
            <w:rFonts w:ascii="Abadi" w:eastAsiaTheme="majorEastAsia" w:hAnsi="Abadi" w:cs="Calibri"/>
            <w:sz w:val="22"/>
            <w:szCs w:val="22"/>
          </w:rPr>
          <w:t>https://doi.org/10.1145/3611643.3616367</w:t>
        </w:r>
      </w:hyperlink>
      <w:r w:rsidRPr="00AA4087">
        <w:rPr>
          <w:rFonts w:ascii="Abadi" w:hAnsi="Abadi" w:cs="Calibri"/>
          <w:color w:val="000000"/>
          <w:sz w:val="22"/>
          <w:szCs w:val="22"/>
        </w:rPr>
        <w:t>.</w:t>
      </w:r>
    </w:p>
    <w:p w14:paraId="2F50E76D"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4DCB01D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001336C8"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[7]</w:t>
      </w:r>
    </w:p>
    <w:p w14:paraId="7C2952A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58557D48"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R. Verma, K. Kumar, and H. K. Verma, “Code smell prioritization in object</w:t>
      </w:r>
      <w:r w:rsidRPr="00AA4087">
        <w:rPr>
          <w:rFonts w:ascii="Cambria Math" w:hAnsi="Cambria Math" w:cs="Cambria Math"/>
          <w:color w:val="000000"/>
          <w:sz w:val="22"/>
          <w:szCs w:val="22"/>
        </w:rPr>
        <w:t>‐</w:t>
      </w:r>
      <w:r w:rsidRPr="00AA4087">
        <w:rPr>
          <w:rFonts w:ascii="Abadi" w:hAnsi="Abadi" w:cs="Calibri"/>
          <w:color w:val="000000"/>
          <w:sz w:val="22"/>
          <w:szCs w:val="22"/>
        </w:rPr>
        <w:t>oriented software systems: A systematic literature review,” </w:t>
      </w:r>
      <w:r w:rsidRPr="00AA4087">
        <w:rPr>
          <w:rFonts w:ascii="Abadi" w:hAnsi="Abadi" w:cs="Calibri"/>
          <w:i/>
          <w:iCs/>
          <w:color w:val="000000"/>
          <w:sz w:val="22"/>
          <w:szCs w:val="22"/>
        </w:rPr>
        <w:t>Journal of Software: Evolution and Process</w:t>
      </w:r>
      <w:r w:rsidRPr="00AA4087">
        <w:rPr>
          <w:rFonts w:ascii="Abadi" w:hAnsi="Abadi" w:cs="Calibri"/>
          <w:color w:val="000000"/>
          <w:sz w:val="22"/>
          <w:szCs w:val="22"/>
        </w:rPr>
        <w:t xml:space="preserve">, Jan. 2023,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27" w:history="1">
        <w:r w:rsidRPr="00AA4087">
          <w:rPr>
            <w:rStyle w:val="Hyperlink"/>
            <w:rFonts w:ascii="Abadi" w:eastAsiaTheme="majorEastAsia" w:hAnsi="Abadi" w:cs="Calibri"/>
            <w:sz w:val="22"/>
            <w:szCs w:val="22"/>
          </w:rPr>
          <w:t>https://doi.org/10.1002/smr.2536</w:t>
        </w:r>
      </w:hyperlink>
      <w:r w:rsidRPr="00AA4087">
        <w:rPr>
          <w:rFonts w:ascii="Abadi" w:hAnsi="Abadi" w:cs="Calibri"/>
          <w:color w:val="000000"/>
          <w:sz w:val="22"/>
          <w:szCs w:val="22"/>
        </w:rPr>
        <w:t>.</w:t>
      </w:r>
    </w:p>
    <w:p w14:paraId="62B410BD"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30F31DD8"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79CCB29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3CED5EB8"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[8] </w:t>
      </w:r>
    </w:p>
    <w:p w14:paraId="79579454"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L. </w:t>
      </w:r>
      <w:proofErr w:type="spellStart"/>
      <w:r w:rsidRPr="00AA4087">
        <w:rPr>
          <w:rFonts w:ascii="Abadi" w:hAnsi="Abadi" w:cs="Calibri"/>
          <w:color w:val="000000"/>
          <w:sz w:val="22"/>
          <w:szCs w:val="22"/>
        </w:rPr>
        <w:t>Etaiwi</w:t>
      </w:r>
      <w:proofErr w:type="spellEnd"/>
      <w:r w:rsidRPr="00AA4087">
        <w:rPr>
          <w:rFonts w:ascii="Abadi" w:hAnsi="Abadi" w:cs="Calibri"/>
          <w:color w:val="000000"/>
          <w:sz w:val="22"/>
          <w:szCs w:val="22"/>
        </w:rPr>
        <w:t xml:space="preserve">, G. Ullmann, Y.-G. </w:t>
      </w:r>
      <w:proofErr w:type="spellStart"/>
      <w:r w:rsidRPr="00AA4087">
        <w:rPr>
          <w:rFonts w:ascii="Abadi" w:hAnsi="Abadi" w:cs="Calibri"/>
          <w:color w:val="000000"/>
          <w:sz w:val="22"/>
          <w:szCs w:val="22"/>
        </w:rPr>
        <w:t>Guéhéneuc</w:t>
      </w:r>
      <w:proofErr w:type="spellEnd"/>
      <w:r w:rsidRPr="00AA4087">
        <w:rPr>
          <w:rFonts w:ascii="Abadi" w:hAnsi="Abadi" w:cs="Calibri"/>
          <w:color w:val="000000"/>
          <w:sz w:val="22"/>
          <w:szCs w:val="22"/>
        </w:rPr>
        <w:t xml:space="preserve">, and S. Hamel, “Consensus in Game Engine Architectures: an Overview of Subsystem Coupling in Game Engines.” Accessed: Dec. 27, 2024. [Online]. Available: </w:t>
      </w:r>
      <w:hyperlink r:id="rId28" w:history="1">
        <w:r w:rsidRPr="00AA4087">
          <w:rPr>
            <w:rStyle w:val="Hyperlink"/>
            <w:rFonts w:ascii="Abadi" w:eastAsiaTheme="majorEastAsia" w:hAnsi="Abadi" w:cs="Calibri"/>
            <w:sz w:val="22"/>
            <w:szCs w:val="22"/>
          </w:rPr>
          <w:t>https://letaiw.github.io/pubs/EMSE2024.pdf</w:t>
        </w:r>
      </w:hyperlink>
    </w:p>
    <w:p w14:paraId="2FE2526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188004E0"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0247B57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[9] </w:t>
      </w:r>
    </w:p>
    <w:p w14:paraId="1409FAB1"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lastRenderedPageBreak/>
        <w:t xml:space="preserve">R. Kumar, </w:t>
      </w:r>
      <w:proofErr w:type="spellStart"/>
      <w:r w:rsidRPr="00AA4087">
        <w:rPr>
          <w:rFonts w:ascii="Abadi" w:hAnsi="Abadi" w:cs="Calibri"/>
          <w:color w:val="000000"/>
          <w:sz w:val="22"/>
          <w:szCs w:val="22"/>
        </w:rPr>
        <w:t>Dr.</w:t>
      </w:r>
      <w:proofErr w:type="spellEnd"/>
      <w:r w:rsidRPr="00AA4087">
        <w:rPr>
          <w:rFonts w:ascii="Abadi" w:hAnsi="Abadi" w:cs="Calibri"/>
          <w:color w:val="000000"/>
          <w:sz w:val="22"/>
          <w:szCs w:val="22"/>
        </w:rPr>
        <w:t xml:space="preserve"> Abdullah, and A. Yadav, “MEASURING MAINTAINABILITY OF OBJECT ORIENTED DESIGN: A REVISIT,” </w:t>
      </w:r>
      <w:r w:rsidRPr="00AA4087">
        <w:rPr>
          <w:rFonts w:ascii="Abadi" w:hAnsi="Abadi" w:cs="Calibri"/>
          <w:i/>
          <w:iCs/>
          <w:color w:val="000000"/>
          <w:sz w:val="22"/>
          <w:szCs w:val="22"/>
        </w:rPr>
        <w:t>International Journal of Innovative Research in Computer Science &amp; Technology</w:t>
      </w:r>
      <w:r w:rsidRPr="00AA4087">
        <w:rPr>
          <w:rFonts w:ascii="Abadi" w:hAnsi="Abadi" w:cs="Calibri"/>
          <w:color w:val="000000"/>
          <w:sz w:val="22"/>
          <w:szCs w:val="22"/>
        </w:rPr>
        <w:t xml:space="preserve">, vol. 8, no. 5, Sep. 2020,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29" w:history="1">
        <w:r w:rsidRPr="00AA4087">
          <w:rPr>
            <w:rStyle w:val="Hyperlink"/>
            <w:rFonts w:ascii="Abadi" w:eastAsiaTheme="majorEastAsia" w:hAnsi="Abadi" w:cs="Calibri"/>
            <w:sz w:val="22"/>
            <w:szCs w:val="22"/>
          </w:rPr>
          <w:t>https://doi.org/10.21276/ijircst.2020.8.5.4</w:t>
        </w:r>
      </w:hyperlink>
      <w:r w:rsidRPr="00AA4087">
        <w:rPr>
          <w:rFonts w:ascii="Abadi" w:hAnsi="Abadi" w:cs="Calibri"/>
          <w:color w:val="000000"/>
          <w:sz w:val="22"/>
          <w:szCs w:val="22"/>
        </w:rPr>
        <w:t>.</w:t>
      </w:r>
    </w:p>
    <w:p w14:paraId="5DE304F5"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694225B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29AE8B5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28256878"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[10] </w:t>
      </w:r>
    </w:p>
    <w:p w14:paraId="3E259CD5"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Zakarya Abdullah </w:t>
      </w:r>
      <w:proofErr w:type="spellStart"/>
      <w:r w:rsidRPr="00AA4087">
        <w:rPr>
          <w:rFonts w:ascii="Abadi" w:hAnsi="Abadi" w:cs="Calibri"/>
          <w:color w:val="000000"/>
          <w:sz w:val="22"/>
          <w:szCs w:val="22"/>
        </w:rPr>
        <w:t>Alzamil</w:t>
      </w:r>
      <w:proofErr w:type="spellEnd"/>
      <w:r w:rsidRPr="00AA4087">
        <w:rPr>
          <w:rFonts w:ascii="Abadi" w:hAnsi="Abadi" w:cs="Calibri"/>
          <w:color w:val="000000"/>
          <w:sz w:val="22"/>
          <w:szCs w:val="22"/>
        </w:rPr>
        <w:t>, “Software Coupling and Cohesion Model for Measuring the Quality of Software Components,” </w:t>
      </w:r>
      <w:r w:rsidRPr="00AA4087">
        <w:rPr>
          <w:rFonts w:ascii="Abadi" w:hAnsi="Abadi" w:cs="Calibri"/>
          <w:i/>
          <w:iCs/>
          <w:color w:val="000000"/>
          <w:sz w:val="22"/>
          <w:szCs w:val="22"/>
        </w:rPr>
        <w:t>Computers, materials &amp; continua/Computers, materials &amp; continua (Print)</w:t>
      </w:r>
      <w:r w:rsidRPr="00AA4087">
        <w:rPr>
          <w:rFonts w:ascii="Abadi" w:hAnsi="Abadi" w:cs="Calibri"/>
          <w:color w:val="000000"/>
          <w:sz w:val="22"/>
          <w:szCs w:val="22"/>
        </w:rPr>
        <w:t xml:space="preserve">, vol. 77, no. 3, pp. 3139–3161, Jan. 2023,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30" w:history="1">
        <w:r w:rsidRPr="00AA4087">
          <w:rPr>
            <w:rStyle w:val="Hyperlink"/>
            <w:rFonts w:ascii="Abadi" w:eastAsiaTheme="majorEastAsia" w:hAnsi="Abadi" w:cs="Calibri"/>
            <w:sz w:val="22"/>
            <w:szCs w:val="22"/>
          </w:rPr>
          <w:t>https://doi.org/10.32604/cmc.2023.042711</w:t>
        </w:r>
      </w:hyperlink>
      <w:r w:rsidRPr="00AA4087">
        <w:rPr>
          <w:rFonts w:ascii="Abadi" w:hAnsi="Abadi" w:cs="Calibri"/>
          <w:color w:val="000000"/>
          <w:sz w:val="22"/>
          <w:szCs w:val="22"/>
        </w:rPr>
        <w:t>.</w:t>
      </w:r>
    </w:p>
    <w:p w14:paraId="43FE7E08"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1535CCE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4C028525"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[11]</w:t>
      </w:r>
    </w:p>
    <w:p w14:paraId="17BAC45F"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M. A. AWODUN and M. O. TENIBIAJE, “Data Hiding Technique in Information Technology: A Review,” </w:t>
      </w:r>
      <w:r w:rsidRPr="00AA4087">
        <w:rPr>
          <w:rFonts w:ascii="Abadi" w:hAnsi="Abadi" w:cs="Calibri"/>
          <w:i/>
          <w:iCs/>
          <w:color w:val="000000"/>
          <w:sz w:val="22"/>
          <w:szCs w:val="22"/>
        </w:rPr>
        <w:t xml:space="preserve">IJO -International Journal </w:t>
      </w:r>
      <w:proofErr w:type="gramStart"/>
      <w:r w:rsidRPr="00AA4087">
        <w:rPr>
          <w:rFonts w:ascii="Abadi" w:hAnsi="Abadi" w:cs="Calibri"/>
          <w:i/>
          <w:iCs/>
          <w:color w:val="000000"/>
          <w:sz w:val="22"/>
          <w:szCs w:val="22"/>
        </w:rPr>
        <w:t>Of</w:t>
      </w:r>
      <w:proofErr w:type="gramEnd"/>
      <w:r w:rsidRPr="00AA4087">
        <w:rPr>
          <w:rFonts w:ascii="Abadi" w:hAnsi="Abadi" w:cs="Calibri"/>
          <w:i/>
          <w:iCs/>
          <w:color w:val="000000"/>
          <w:sz w:val="22"/>
          <w:szCs w:val="22"/>
        </w:rPr>
        <w:t xml:space="preserve"> Computer Science and Engineering (ISSN: 2814-1881)</w:t>
      </w:r>
      <w:r w:rsidRPr="00AA4087">
        <w:rPr>
          <w:rFonts w:ascii="Abadi" w:hAnsi="Abadi" w:cs="Calibri"/>
          <w:color w:val="000000"/>
          <w:sz w:val="22"/>
          <w:szCs w:val="22"/>
        </w:rPr>
        <w:t xml:space="preserve">, vol. 7, no. 09, pp. 01–09, 2024, Accessed: Dec. 28, 2024. [Online]. Available: </w:t>
      </w:r>
      <w:hyperlink r:id="rId31" w:history="1">
        <w:r w:rsidRPr="00AA4087">
          <w:rPr>
            <w:rStyle w:val="Hyperlink"/>
            <w:rFonts w:ascii="Abadi" w:eastAsiaTheme="majorEastAsia" w:hAnsi="Abadi" w:cs="Calibri"/>
            <w:sz w:val="22"/>
            <w:szCs w:val="22"/>
          </w:rPr>
          <w:t>https://ijojournals.com/index.php/cse/article/view/932</w:t>
        </w:r>
      </w:hyperlink>
    </w:p>
    <w:p w14:paraId="730C2183"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336E96DA"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349DF134"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2A3B20B9"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[12]</w:t>
      </w:r>
    </w:p>
    <w:p w14:paraId="396321F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R. Garg, D. Kamal, and K. Srivastava, “DESIGNING AN OBJECT-ORIENTED BIBLIOGRAPHICAL DATABASE MANAGEMENT SYSTEM,” vol. 11, p. 12, 2021, Available: </w:t>
      </w:r>
      <w:hyperlink r:id="rId32" w:history="1">
        <w:r w:rsidRPr="00AA4087">
          <w:rPr>
            <w:rStyle w:val="Hyperlink"/>
            <w:rFonts w:ascii="Abadi" w:eastAsiaTheme="majorEastAsia" w:hAnsi="Abadi" w:cs="Calibri"/>
            <w:sz w:val="22"/>
            <w:szCs w:val="22"/>
          </w:rPr>
          <w:t>https://ijarst.in/public/uploads/paper/118481715358681.pdf</w:t>
        </w:r>
      </w:hyperlink>
    </w:p>
    <w:p w14:paraId="2B1AC285"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3CA52E3A"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[13]</w:t>
      </w:r>
    </w:p>
    <w:p w14:paraId="27EB2C9B" w14:textId="77777777" w:rsidR="00883492" w:rsidRPr="00AA4087" w:rsidRDefault="00883492" w:rsidP="00883492">
      <w:pPr>
        <w:pStyle w:val="NormalWeb"/>
        <w:spacing w:before="0" w:beforeAutospacing="0" w:after="0" w:afterAutospacing="0"/>
        <w:rPr>
          <w:rFonts w:ascii="Abadi" w:hAnsi="Abadi" w:cs="Calibri"/>
          <w:sz w:val="22"/>
          <w:szCs w:val="22"/>
        </w:rPr>
      </w:pPr>
      <w:r w:rsidRPr="00AA4087">
        <w:rPr>
          <w:rFonts w:ascii="Abadi" w:hAnsi="Abadi" w:cs="Calibri"/>
          <w:sz w:val="22"/>
          <w:szCs w:val="22"/>
        </w:rPr>
        <w:t>N. Singh, S. S. Chouhan, and K. Verma, "Object Oriented Programming: Concepts, Limitations and Application Trends," in </w:t>
      </w:r>
      <w:r w:rsidRPr="00AA4087">
        <w:rPr>
          <w:rFonts w:ascii="Abadi" w:hAnsi="Abadi" w:cs="Calibri"/>
          <w:i/>
          <w:iCs/>
          <w:sz w:val="22"/>
          <w:szCs w:val="22"/>
        </w:rPr>
        <w:t>2021 5th International Conference on Information Systems and Computer Networks (ISCON)</w:t>
      </w:r>
      <w:r w:rsidRPr="00AA4087">
        <w:rPr>
          <w:rFonts w:ascii="Abadi" w:hAnsi="Abadi" w:cs="Calibri"/>
          <w:sz w:val="22"/>
          <w:szCs w:val="22"/>
        </w:rPr>
        <w:t xml:space="preserve">, Mathura, India, 2021. </w:t>
      </w:r>
      <w:proofErr w:type="spellStart"/>
      <w:r w:rsidRPr="00AA4087">
        <w:rPr>
          <w:rFonts w:ascii="Abadi" w:hAnsi="Abadi" w:cs="Calibri"/>
          <w:sz w:val="22"/>
          <w:szCs w:val="22"/>
        </w:rPr>
        <w:t>doi</w:t>
      </w:r>
      <w:proofErr w:type="spellEnd"/>
      <w:r w:rsidRPr="00AA4087">
        <w:rPr>
          <w:rFonts w:ascii="Abadi" w:hAnsi="Abadi" w:cs="Calibri"/>
          <w:sz w:val="22"/>
          <w:szCs w:val="22"/>
        </w:rPr>
        <w:t>: </w:t>
      </w:r>
      <w:hyperlink r:id="rId33" w:history="1">
        <w:r w:rsidRPr="00AA4087">
          <w:rPr>
            <w:rStyle w:val="Hyperlink"/>
            <w:rFonts w:ascii="Abadi" w:eastAsiaTheme="majorEastAsia" w:hAnsi="Abadi" w:cs="Calibri"/>
            <w:sz w:val="22"/>
            <w:szCs w:val="22"/>
          </w:rPr>
          <w:t>10.1109/ISCON52037.2021.9702463</w:t>
        </w:r>
      </w:hyperlink>
      <w:r w:rsidRPr="00AA4087">
        <w:rPr>
          <w:rFonts w:ascii="Abadi" w:hAnsi="Abadi" w:cs="Calibri"/>
          <w:sz w:val="22"/>
          <w:szCs w:val="22"/>
        </w:rPr>
        <w:t>.</w:t>
      </w:r>
    </w:p>
    <w:p w14:paraId="041AFF5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1AC37073"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56BDA133"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[15] </w:t>
      </w:r>
    </w:p>
    <w:p w14:paraId="43DE0EE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38EF5511"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C. MIROLO, C. IZU, V. LONATI, and E. SCAPIN, “Abstraction in Computer Science Education: An Overview,” </w:t>
      </w:r>
      <w:r w:rsidRPr="00AA4087">
        <w:rPr>
          <w:rFonts w:ascii="Abadi" w:hAnsi="Abadi" w:cs="Calibri"/>
          <w:i/>
          <w:iCs/>
          <w:color w:val="000000"/>
          <w:sz w:val="22"/>
          <w:szCs w:val="22"/>
        </w:rPr>
        <w:t>Informatics in Education</w:t>
      </w:r>
      <w:r w:rsidRPr="00AA4087">
        <w:rPr>
          <w:rFonts w:ascii="Abadi" w:hAnsi="Abadi" w:cs="Calibri"/>
          <w:color w:val="000000"/>
          <w:sz w:val="22"/>
          <w:szCs w:val="22"/>
        </w:rPr>
        <w:t xml:space="preserve">, vol. 20, no. 4, pp. 615–639, Dec. 2021,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34" w:history="1">
        <w:r w:rsidRPr="00AA4087">
          <w:rPr>
            <w:rStyle w:val="Hyperlink"/>
            <w:rFonts w:ascii="Abadi" w:eastAsiaTheme="majorEastAsia" w:hAnsi="Abadi" w:cs="Calibri"/>
            <w:sz w:val="22"/>
            <w:szCs w:val="22"/>
          </w:rPr>
          <w:t>https://doi.org/10.15388/infedu.2021.27</w:t>
        </w:r>
      </w:hyperlink>
      <w:r w:rsidRPr="00AA4087">
        <w:rPr>
          <w:rFonts w:ascii="Abadi" w:hAnsi="Abadi" w:cs="Calibri"/>
          <w:color w:val="000000"/>
          <w:sz w:val="22"/>
          <w:szCs w:val="22"/>
        </w:rPr>
        <w:t>.</w:t>
      </w:r>
    </w:p>
    <w:p w14:paraId="509F4524"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092C595D"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056CEBC0"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[16]</w:t>
      </w:r>
    </w:p>
    <w:p w14:paraId="3E9CE99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F. A. Mohammed and N. M. Alhassan, “C++ and Java: A Comparative Study of the Most Popular Object-Oriented Programming Languages in Libyan Universities,” </w:t>
      </w:r>
      <w:proofErr w:type="spellStart"/>
      <w:r w:rsidRPr="00AA4087">
        <w:rPr>
          <w:rFonts w:ascii="Arial" w:hAnsi="Arial" w:cs="Arial"/>
          <w:i/>
          <w:iCs/>
          <w:color w:val="000000"/>
          <w:sz w:val="22"/>
          <w:szCs w:val="22"/>
        </w:rPr>
        <w:t>المجلة</w:t>
      </w:r>
      <w:proofErr w:type="spellEnd"/>
      <w:r w:rsidRPr="00AA4087">
        <w:rPr>
          <w:rFonts w:ascii="Abadi" w:hAnsi="Abadi" w:cs="Calibri"/>
          <w:i/>
          <w:iCs/>
          <w:color w:val="000000"/>
          <w:sz w:val="22"/>
          <w:szCs w:val="22"/>
        </w:rPr>
        <w:t xml:space="preserve"> </w:t>
      </w:r>
      <w:r w:rsidRPr="00AA4087">
        <w:rPr>
          <w:rFonts w:ascii="Abadi" w:hAnsi="Abadi" w:cs="Calibri"/>
          <w:i/>
          <w:iCs/>
          <w:color w:val="000000"/>
          <w:sz w:val="22"/>
          <w:szCs w:val="22"/>
          <w:rtl/>
        </w:rPr>
        <w:t>العلمية</w:t>
      </w:r>
      <w:r w:rsidRPr="00AA4087">
        <w:rPr>
          <w:rFonts w:ascii="Abadi" w:hAnsi="Abadi" w:cs="Calibri"/>
          <w:i/>
          <w:iCs/>
          <w:color w:val="000000"/>
          <w:sz w:val="22"/>
          <w:szCs w:val="22"/>
        </w:rPr>
        <w:t xml:space="preserve"> </w:t>
      </w:r>
      <w:r w:rsidRPr="00AA4087">
        <w:rPr>
          <w:rFonts w:ascii="Abadi" w:hAnsi="Abadi" w:cs="Calibri"/>
          <w:i/>
          <w:iCs/>
          <w:color w:val="000000"/>
          <w:sz w:val="22"/>
          <w:szCs w:val="22"/>
          <w:rtl/>
        </w:rPr>
        <w:t>لكلية</w:t>
      </w:r>
      <w:r w:rsidRPr="00AA4087">
        <w:rPr>
          <w:rFonts w:ascii="Abadi" w:hAnsi="Abadi" w:cs="Calibri"/>
          <w:i/>
          <w:iCs/>
          <w:color w:val="000000"/>
          <w:sz w:val="22"/>
          <w:szCs w:val="22"/>
        </w:rPr>
        <w:t xml:space="preserve"> </w:t>
      </w:r>
      <w:r w:rsidRPr="00AA4087">
        <w:rPr>
          <w:rFonts w:ascii="Abadi" w:hAnsi="Abadi" w:cs="Calibri"/>
          <w:i/>
          <w:iCs/>
          <w:color w:val="000000"/>
          <w:sz w:val="22"/>
          <w:szCs w:val="22"/>
          <w:rtl/>
        </w:rPr>
        <w:t>التربية</w:t>
      </w:r>
      <w:r w:rsidRPr="00AA4087">
        <w:rPr>
          <w:rFonts w:ascii="Abadi" w:hAnsi="Abadi" w:cs="Calibri"/>
          <w:color w:val="000000"/>
          <w:sz w:val="22"/>
          <w:szCs w:val="22"/>
        </w:rPr>
        <w:t xml:space="preserve">, vol. 1, no. 2, pp. 99–110, 2022,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35" w:history="1">
        <w:r w:rsidRPr="00AA4087">
          <w:rPr>
            <w:rStyle w:val="Hyperlink"/>
            <w:rFonts w:ascii="Abadi" w:eastAsiaTheme="majorEastAsia" w:hAnsi="Abadi" w:cs="Calibri"/>
            <w:sz w:val="22"/>
            <w:szCs w:val="22"/>
          </w:rPr>
          <w:t>https://doi.org/10.37375/foej.v1i2.512</w:t>
        </w:r>
      </w:hyperlink>
      <w:r w:rsidRPr="00AA4087">
        <w:rPr>
          <w:rFonts w:ascii="Abadi" w:hAnsi="Abadi" w:cs="Calibri"/>
          <w:color w:val="000000"/>
          <w:sz w:val="22"/>
          <w:szCs w:val="22"/>
        </w:rPr>
        <w:t>.</w:t>
      </w:r>
    </w:p>
    <w:p w14:paraId="24BADCB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2FB31B0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052173C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6F6359A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[17]</w:t>
      </w:r>
    </w:p>
    <w:p w14:paraId="51735CF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proofErr w:type="spellStart"/>
      <w:r w:rsidRPr="00AA4087">
        <w:rPr>
          <w:rFonts w:ascii="Abadi" w:hAnsi="Abadi" w:cs="Calibri"/>
          <w:color w:val="000000"/>
          <w:sz w:val="22"/>
          <w:szCs w:val="22"/>
        </w:rPr>
        <w:t>Vaskaran</w:t>
      </w:r>
      <w:proofErr w:type="spellEnd"/>
      <w:r w:rsidRPr="00AA4087">
        <w:rPr>
          <w:rFonts w:ascii="Abadi" w:hAnsi="Abadi" w:cs="Calibri"/>
          <w:color w:val="000000"/>
          <w:sz w:val="22"/>
          <w:szCs w:val="22"/>
        </w:rPr>
        <w:t xml:space="preserve"> </w:t>
      </w:r>
      <w:proofErr w:type="spellStart"/>
      <w:r w:rsidRPr="00AA4087">
        <w:rPr>
          <w:rFonts w:ascii="Abadi" w:hAnsi="Abadi" w:cs="Calibri"/>
          <w:color w:val="000000"/>
          <w:sz w:val="22"/>
          <w:szCs w:val="22"/>
        </w:rPr>
        <w:t>Sarcar</w:t>
      </w:r>
      <w:proofErr w:type="spellEnd"/>
      <w:r w:rsidRPr="00AA4087">
        <w:rPr>
          <w:rFonts w:ascii="Abadi" w:hAnsi="Abadi" w:cs="Calibri"/>
          <w:color w:val="000000"/>
          <w:sz w:val="22"/>
          <w:szCs w:val="22"/>
        </w:rPr>
        <w:t>, “Factory Method Pattern,” </w:t>
      </w:r>
      <w:proofErr w:type="spellStart"/>
      <w:r w:rsidRPr="00AA4087">
        <w:rPr>
          <w:rFonts w:ascii="Abadi" w:hAnsi="Abadi" w:cs="Calibri"/>
          <w:i/>
          <w:iCs/>
          <w:color w:val="000000"/>
          <w:sz w:val="22"/>
          <w:szCs w:val="22"/>
        </w:rPr>
        <w:t>Apress</w:t>
      </w:r>
      <w:proofErr w:type="spellEnd"/>
      <w:r w:rsidRPr="00AA4087">
        <w:rPr>
          <w:rFonts w:ascii="Abadi" w:hAnsi="Abadi" w:cs="Calibri"/>
          <w:i/>
          <w:iCs/>
          <w:color w:val="000000"/>
          <w:sz w:val="22"/>
          <w:szCs w:val="22"/>
        </w:rPr>
        <w:t xml:space="preserve"> eBooks</w:t>
      </w:r>
      <w:r w:rsidRPr="00AA4087">
        <w:rPr>
          <w:rFonts w:ascii="Abadi" w:hAnsi="Abadi" w:cs="Calibri"/>
          <w:color w:val="000000"/>
          <w:sz w:val="22"/>
          <w:szCs w:val="22"/>
        </w:rPr>
        <w:t xml:space="preserve">, pp. 79–96, Jan. 2022,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36" w:history="1">
        <w:r w:rsidRPr="00AA4087">
          <w:rPr>
            <w:rStyle w:val="Hyperlink"/>
            <w:rFonts w:ascii="Abadi" w:eastAsiaTheme="majorEastAsia" w:hAnsi="Abadi" w:cs="Calibri"/>
            <w:sz w:val="22"/>
            <w:szCs w:val="22"/>
          </w:rPr>
          <w:t>https://doi.org/10.1007/978-1-4842-7971-7_3</w:t>
        </w:r>
      </w:hyperlink>
      <w:r w:rsidRPr="00AA4087">
        <w:rPr>
          <w:rFonts w:ascii="Abadi" w:hAnsi="Abadi" w:cs="Calibri"/>
          <w:color w:val="000000"/>
          <w:sz w:val="22"/>
          <w:szCs w:val="22"/>
        </w:rPr>
        <w:t>.</w:t>
      </w:r>
    </w:p>
    <w:p w14:paraId="51C369BE"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50BC8653"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6B79F1FF"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[18]</w:t>
      </w:r>
    </w:p>
    <w:p w14:paraId="4045A74B" w14:textId="77777777" w:rsidR="00883492" w:rsidRPr="00AA4087" w:rsidRDefault="00883492" w:rsidP="00883492">
      <w:pPr>
        <w:pStyle w:val="NormalWeb"/>
        <w:spacing w:before="0" w:beforeAutospacing="0" w:after="0" w:afterAutospacing="0"/>
        <w:rPr>
          <w:rFonts w:ascii="Abadi" w:hAnsi="Abadi" w:cs="Calibri"/>
          <w:sz w:val="22"/>
          <w:szCs w:val="22"/>
        </w:rPr>
      </w:pPr>
      <w:proofErr w:type="spellStart"/>
      <w:r w:rsidRPr="00AA4087">
        <w:rPr>
          <w:rFonts w:ascii="Abadi" w:hAnsi="Abadi" w:cs="Calibri"/>
          <w:sz w:val="22"/>
          <w:szCs w:val="22"/>
        </w:rPr>
        <w:lastRenderedPageBreak/>
        <w:t>Aratchige</w:t>
      </w:r>
      <w:proofErr w:type="spellEnd"/>
      <w:r w:rsidRPr="00AA4087">
        <w:rPr>
          <w:rFonts w:ascii="Abadi" w:hAnsi="Abadi" w:cs="Calibri"/>
          <w:sz w:val="22"/>
          <w:szCs w:val="22"/>
        </w:rPr>
        <w:t xml:space="preserve">, R. M., Gunaratne, M. G. M. S., </w:t>
      </w:r>
      <w:proofErr w:type="spellStart"/>
      <w:r w:rsidRPr="00AA4087">
        <w:rPr>
          <w:rFonts w:ascii="Abadi" w:hAnsi="Abadi" w:cs="Calibri"/>
          <w:sz w:val="22"/>
          <w:szCs w:val="22"/>
        </w:rPr>
        <w:t>Kariyawasam</w:t>
      </w:r>
      <w:proofErr w:type="spellEnd"/>
      <w:r w:rsidRPr="00AA4087">
        <w:rPr>
          <w:rFonts w:ascii="Abadi" w:hAnsi="Abadi" w:cs="Calibri"/>
          <w:sz w:val="22"/>
          <w:szCs w:val="22"/>
        </w:rPr>
        <w:t>, K. H. P. K. K., &amp; Weerasinghe, P. N., "An overview of structural design patterns in object-oriented software engineering," </w:t>
      </w:r>
      <w:r w:rsidRPr="00AA4087">
        <w:rPr>
          <w:rFonts w:ascii="Abadi" w:hAnsi="Abadi" w:cs="Calibri"/>
          <w:i/>
          <w:iCs/>
          <w:sz w:val="22"/>
          <w:szCs w:val="22"/>
        </w:rPr>
        <w:t xml:space="preserve">SW Modelling Cl </w:t>
      </w:r>
      <w:proofErr w:type="spellStart"/>
      <w:r w:rsidRPr="00AA4087">
        <w:rPr>
          <w:rFonts w:ascii="Abadi" w:hAnsi="Abadi" w:cs="Calibri"/>
          <w:i/>
          <w:iCs/>
          <w:sz w:val="22"/>
          <w:szCs w:val="22"/>
        </w:rPr>
        <w:t>Wk</w:t>
      </w:r>
      <w:proofErr w:type="spellEnd"/>
      <w:r w:rsidRPr="00AA4087">
        <w:rPr>
          <w:rFonts w:ascii="Abadi" w:hAnsi="Abadi" w:cs="Calibri"/>
          <w:sz w:val="22"/>
          <w:szCs w:val="22"/>
        </w:rPr>
        <w:t xml:space="preserve">, 2022. Available:  </w:t>
      </w:r>
      <w:hyperlink r:id="rId37" w:history="1">
        <w:r w:rsidRPr="00AA4087">
          <w:rPr>
            <w:rStyle w:val="Hyperlink"/>
            <w:rFonts w:ascii="Abadi" w:eastAsiaTheme="majorEastAsia" w:hAnsi="Abadi" w:cs="Calibri"/>
            <w:sz w:val="22"/>
            <w:szCs w:val="22"/>
          </w:rPr>
          <w:t>https://www.researchgate.net/profile/Kalana-Kariyawasam/publication/377969013_An_Overview_of_Structural_Design_Patterns_in_Object-Oriented_Software_Engineering/links/65c0a76834bbff5ba7eeaed2/An-Overview-of-Structural-Design-Patterns-in-Object-Oriented-Software-Engineering.pdf</w:t>
        </w:r>
      </w:hyperlink>
    </w:p>
    <w:p w14:paraId="4B2FB20D"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7FCE7356"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2E2BA98C"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5C142AB6"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[19]</w:t>
      </w:r>
    </w:p>
    <w:p w14:paraId="0CB77391"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xml:space="preserve">J. Asaad and E. </w:t>
      </w:r>
      <w:proofErr w:type="spellStart"/>
      <w:r w:rsidRPr="00AA4087">
        <w:rPr>
          <w:rFonts w:ascii="Abadi" w:hAnsi="Abadi" w:cs="Calibri"/>
          <w:color w:val="000000"/>
          <w:sz w:val="22"/>
          <w:szCs w:val="22"/>
        </w:rPr>
        <w:t>Avksentieva</w:t>
      </w:r>
      <w:proofErr w:type="spellEnd"/>
      <w:r w:rsidRPr="00AA4087">
        <w:rPr>
          <w:rFonts w:ascii="Abadi" w:hAnsi="Abadi" w:cs="Calibri"/>
          <w:color w:val="000000"/>
          <w:sz w:val="22"/>
          <w:szCs w:val="22"/>
        </w:rPr>
        <w:t>, “A Review of Approaches to Detecting Software Design Patterns,” </w:t>
      </w:r>
      <w:r w:rsidRPr="00AA4087">
        <w:rPr>
          <w:rFonts w:ascii="Abadi" w:hAnsi="Abadi" w:cs="Calibri"/>
          <w:i/>
          <w:iCs/>
          <w:color w:val="000000"/>
          <w:sz w:val="22"/>
          <w:szCs w:val="22"/>
        </w:rPr>
        <w:t>2024 35th Conference of Open Innovations Association (FRUCT)</w:t>
      </w:r>
      <w:r w:rsidRPr="00AA4087">
        <w:rPr>
          <w:rFonts w:ascii="Abadi" w:hAnsi="Abadi" w:cs="Calibri"/>
          <w:color w:val="000000"/>
          <w:sz w:val="22"/>
          <w:szCs w:val="22"/>
        </w:rPr>
        <w:t xml:space="preserve">, vol. 2, pp. 142–148, Apr. 2024, </w:t>
      </w:r>
      <w:proofErr w:type="spellStart"/>
      <w:r w:rsidRPr="00AA4087">
        <w:rPr>
          <w:rFonts w:ascii="Abadi" w:hAnsi="Abadi" w:cs="Calibri"/>
          <w:color w:val="000000"/>
          <w:sz w:val="22"/>
          <w:szCs w:val="22"/>
        </w:rPr>
        <w:t>doi</w:t>
      </w:r>
      <w:proofErr w:type="spellEnd"/>
      <w:r w:rsidRPr="00AA4087">
        <w:rPr>
          <w:rFonts w:ascii="Abadi" w:hAnsi="Abadi" w:cs="Calibri"/>
          <w:color w:val="000000"/>
          <w:sz w:val="22"/>
          <w:szCs w:val="22"/>
        </w:rPr>
        <w:t xml:space="preserve">: </w:t>
      </w:r>
      <w:hyperlink r:id="rId38" w:history="1">
        <w:r w:rsidRPr="00AA4087">
          <w:rPr>
            <w:rStyle w:val="Hyperlink"/>
            <w:rFonts w:ascii="Abadi" w:eastAsiaTheme="majorEastAsia" w:hAnsi="Abadi" w:cs="Calibri"/>
            <w:sz w:val="22"/>
            <w:szCs w:val="22"/>
          </w:rPr>
          <w:t>https://doi.org/10.23919/fruct61870.2024.10516345</w:t>
        </w:r>
      </w:hyperlink>
      <w:r w:rsidRPr="00AA4087">
        <w:rPr>
          <w:rFonts w:ascii="Abadi" w:hAnsi="Abadi" w:cs="Calibri"/>
          <w:color w:val="000000"/>
          <w:sz w:val="22"/>
          <w:szCs w:val="22"/>
        </w:rPr>
        <w:t>.</w:t>
      </w:r>
    </w:p>
    <w:p w14:paraId="74D94748"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rial" w:hAnsi="Arial" w:cs="Arial"/>
          <w:color w:val="000000"/>
          <w:sz w:val="22"/>
          <w:szCs w:val="22"/>
        </w:rPr>
        <w:t>‌</w:t>
      </w:r>
    </w:p>
    <w:p w14:paraId="4E908B8B"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1A462D0A"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113A8E6F"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0E76FBD7" w14:textId="77777777" w:rsidR="00883492" w:rsidRPr="00AA4087" w:rsidRDefault="00883492" w:rsidP="00883492">
      <w:pPr>
        <w:pStyle w:val="NormalWeb"/>
        <w:spacing w:before="0" w:beforeAutospacing="0" w:after="0" w:afterAutospacing="0"/>
        <w:rPr>
          <w:rFonts w:ascii="Abadi" w:hAnsi="Abadi" w:cs="Calibri"/>
          <w:color w:val="000000"/>
          <w:sz w:val="22"/>
          <w:szCs w:val="22"/>
        </w:rPr>
      </w:pPr>
      <w:r w:rsidRPr="00AA4087">
        <w:rPr>
          <w:rFonts w:ascii="Abadi" w:hAnsi="Abadi" w:cs="Calibri"/>
          <w:color w:val="000000"/>
          <w:sz w:val="22"/>
          <w:szCs w:val="22"/>
        </w:rPr>
        <w:t> </w:t>
      </w:r>
    </w:p>
    <w:p w14:paraId="05A80D79" w14:textId="77777777" w:rsidR="00883492" w:rsidRDefault="00883492" w:rsidP="00883492">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1B198E6F" w14:textId="77777777" w:rsidR="00883492" w:rsidRDefault="00883492" w:rsidP="00883492">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34DEF933" w14:textId="77777777" w:rsidR="00883492" w:rsidRDefault="00883492"/>
    <w:sectPr w:rsidR="0088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badi">
    <w:panose1 w:val="020B0604020104020204"/>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53A4D"/>
    <w:multiLevelType w:val="hybridMultilevel"/>
    <w:tmpl w:val="A04AC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D0A50"/>
    <w:multiLevelType w:val="multilevel"/>
    <w:tmpl w:val="B5F6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8003D"/>
    <w:multiLevelType w:val="hybridMultilevel"/>
    <w:tmpl w:val="A65A5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B17F94"/>
    <w:multiLevelType w:val="hybridMultilevel"/>
    <w:tmpl w:val="622CC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AA1E61"/>
    <w:multiLevelType w:val="multilevel"/>
    <w:tmpl w:val="622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44E7B"/>
    <w:multiLevelType w:val="multilevel"/>
    <w:tmpl w:val="15BA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4B3D0A"/>
    <w:multiLevelType w:val="multilevel"/>
    <w:tmpl w:val="B258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234D9C"/>
    <w:multiLevelType w:val="multilevel"/>
    <w:tmpl w:val="58C263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400A7"/>
    <w:multiLevelType w:val="multilevel"/>
    <w:tmpl w:val="7F2A0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4623B6"/>
    <w:multiLevelType w:val="multilevel"/>
    <w:tmpl w:val="9262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5467790">
    <w:abstractNumId w:val="7"/>
    <w:lvlOverride w:ilvl="1">
      <w:startOverride w:val="1"/>
    </w:lvlOverride>
  </w:num>
  <w:num w:numId="2" w16cid:durableId="1363360960">
    <w:abstractNumId w:val="7"/>
    <w:lvlOverride w:ilvl="1">
      <w:lvl w:ilvl="1">
        <w:numFmt w:val="bullet"/>
        <w:lvlText w:val=""/>
        <w:lvlJc w:val="left"/>
        <w:pPr>
          <w:tabs>
            <w:tab w:val="num" w:pos="1440"/>
          </w:tabs>
          <w:ind w:left="1440" w:hanging="360"/>
        </w:pPr>
        <w:rPr>
          <w:rFonts w:ascii="Symbol" w:hAnsi="Symbol" w:hint="default"/>
          <w:sz w:val="20"/>
        </w:rPr>
      </w:lvl>
    </w:lvlOverride>
  </w:num>
  <w:num w:numId="3" w16cid:durableId="1412040483">
    <w:abstractNumId w:val="7"/>
    <w:lvlOverride w:ilvl="1">
      <w:startOverride w:val="1"/>
    </w:lvlOverride>
  </w:num>
  <w:num w:numId="4" w16cid:durableId="1343892944">
    <w:abstractNumId w:val="7"/>
    <w:lvlOverride w:ilvl="1">
      <w:startOverride w:val="1"/>
    </w:lvlOverride>
  </w:num>
  <w:num w:numId="5" w16cid:durableId="368654405">
    <w:abstractNumId w:val="7"/>
    <w:lvlOverride w:ilvl="1">
      <w:lvl w:ilvl="1">
        <w:numFmt w:val="bullet"/>
        <w:lvlText w:val=""/>
        <w:lvlJc w:val="left"/>
        <w:pPr>
          <w:tabs>
            <w:tab w:val="num" w:pos="1440"/>
          </w:tabs>
          <w:ind w:left="1440" w:hanging="360"/>
        </w:pPr>
        <w:rPr>
          <w:rFonts w:ascii="Symbol" w:hAnsi="Symbol" w:hint="default"/>
          <w:sz w:val="20"/>
        </w:rPr>
      </w:lvl>
    </w:lvlOverride>
  </w:num>
  <w:num w:numId="6" w16cid:durableId="1725713680">
    <w:abstractNumId w:val="9"/>
  </w:num>
  <w:num w:numId="7" w16cid:durableId="1241133607">
    <w:abstractNumId w:val="5"/>
  </w:num>
  <w:num w:numId="8" w16cid:durableId="461844299">
    <w:abstractNumId w:val="3"/>
  </w:num>
  <w:num w:numId="9" w16cid:durableId="2081631808">
    <w:abstractNumId w:val="4"/>
  </w:num>
  <w:num w:numId="10" w16cid:durableId="54009267">
    <w:abstractNumId w:val="0"/>
  </w:num>
  <w:num w:numId="11" w16cid:durableId="759714248">
    <w:abstractNumId w:val="8"/>
  </w:num>
  <w:num w:numId="12" w16cid:durableId="1565142382">
    <w:abstractNumId w:val="2"/>
  </w:num>
  <w:num w:numId="13" w16cid:durableId="788429778">
    <w:abstractNumId w:val="6"/>
  </w:num>
  <w:num w:numId="14" w16cid:durableId="1783068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492"/>
    <w:rsid w:val="002B21AB"/>
    <w:rsid w:val="00384222"/>
    <w:rsid w:val="003B028A"/>
    <w:rsid w:val="004046CF"/>
    <w:rsid w:val="00422150"/>
    <w:rsid w:val="00480D86"/>
    <w:rsid w:val="006B39CD"/>
    <w:rsid w:val="006D2585"/>
    <w:rsid w:val="006E4F9F"/>
    <w:rsid w:val="00805A5F"/>
    <w:rsid w:val="00883492"/>
    <w:rsid w:val="00896590"/>
    <w:rsid w:val="00A11E7F"/>
    <w:rsid w:val="00AA4087"/>
    <w:rsid w:val="00AC555C"/>
    <w:rsid w:val="00AF0AF7"/>
    <w:rsid w:val="00C549ED"/>
    <w:rsid w:val="00D8084D"/>
    <w:rsid w:val="00DA479C"/>
    <w:rsid w:val="00EF2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9F765A"/>
  <w15:chartTrackingRefBased/>
  <w15:docId w15:val="{14C9E683-981D-B54E-BB27-F7D731B2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492"/>
    <w:rPr>
      <w:rFonts w:eastAsiaTheme="majorEastAsia" w:cstheme="majorBidi"/>
      <w:color w:val="272727" w:themeColor="text1" w:themeTint="D8"/>
    </w:rPr>
  </w:style>
  <w:style w:type="paragraph" w:styleId="Title">
    <w:name w:val="Title"/>
    <w:basedOn w:val="Normal"/>
    <w:next w:val="Normal"/>
    <w:link w:val="TitleChar"/>
    <w:uiPriority w:val="10"/>
    <w:qFormat/>
    <w:rsid w:val="00883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492"/>
    <w:pPr>
      <w:spacing w:before="160"/>
      <w:jc w:val="center"/>
    </w:pPr>
    <w:rPr>
      <w:i/>
      <w:iCs/>
      <w:color w:val="404040" w:themeColor="text1" w:themeTint="BF"/>
    </w:rPr>
  </w:style>
  <w:style w:type="character" w:customStyle="1" w:styleId="QuoteChar">
    <w:name w:val="Quote Char"/>
    <w:basedOn w:val="DefaultParagraphFont"/>
    <w:link w:val="Quote"/>
    <w:uiPriority w:val="29"/>
    <w:rsid w:val="00883492"/>
    <w:rPr>
      <w:i/>
      <w:iCs/>
      <w:color w:val="404040" w:themeColor="text1" w:themeTint="BF"/>
    </w:rPr>
  </w:style>
  <w:style w:type="paragraph" w:styleId="ListParagraph">
    <w:name w:val="List Paragraph"/>
    <w:basedOn w:val="Normal"/>
    <w:uiPriority w:val="34"/>
    <w:qFormat/>
    <w:rsid w:val="00883492"/>
    <w:pPr>
      <w:ind w:left="720"/>
      <w:contextualSpacing/>
    </w:pPr>
  </w:style>
  <w:style w:type="character" w:styleId="IntenseEmphasis">
    <w:name w:val="Intense Emphasis"/>
    <w:basedOn w:val="DefaultParagraphFont"/>
    <w:uiPriority w:val="21"/>
    <w:qFormat/>
    <w:rsid w:val="00883492"/>
    <w:rPr>
      <w:i/>
      <w:iCs/>
      <w:color w:val="0F4761" w:themeColor="accent1" w:themeShade="BF"/>
    </w:rPr>
  </w:style>
  <w:style w:type="paragraph" w:styleId="IntenseQuote">
    <w:name w:val="Intense Quote"/>
    <w:basedOn w:val="Normal"/>
    <w:next w:val="Normal"/>
    <w:link w:val="IntenseQuoteChar"/>
    <w:uiPriority w:val="30"/>
    <w:qFormat/>
    <w:rsid w:val="00883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492"/>
    <w:rPr>
      <w:i/>
      <w:iCs/>
      <w:color w:val="0F4761" w:themeColor="accent1" w:themeShade="BF"/>
    </w:rPr>
  </w:style>
  <w:style w:type="character" w:styleId="IntenseReference">
    <w:name w:val="Intense Reference"/>
    <w:basedOn w:val="DefaultParagraphFont"/>
    <w:uiPriority w:val="32"/>
    <w:qFormat/>
    <w:rsid w:val="00883492"/>
    <w:rPr>
      <w:b/>
      <w:bCs/>
      <w:smallCaps/>
      <w:color w:val="0F4761" w:themeColor="accent1" w:themeShade="BF"/>
      <w:spacing w:val="5"/>
    </w:rPr>
  </w:style>
  <w:style w:type="paragraph" w:styleId="NormalWeb">
    <w:name w:val="Normal (Web)"/>
    <w:basedOn w:val="Normal"/>
    <w:uiPriority w:val="99"/>
    <w:unhideWhenUsed/>
    <w:rsid w:val="008834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83492"/>
    <w:rPr>
      <w:color w:val="0000FF"/>
      <w:u w:val="single"/>
    </w:rPr>
  </w:style>
  <w:style w:type="character" w:styleId="FollowedHyperlink">
    <w:name w:val="FollowedHyperlink"/>
    <w:basedOn w:val="DefaultParagraphFont"/>
    <w:uiPriority w:val="99"/>
    <w:semiHidden/>
    <w:unhideWhenUsed/>
    <w:rsid w:val="00AC555C"/>
    <w:rPr>
      <w:color w:val="96607D" w:themeColor="followedHyperlink"/>
      <w:u w:val="single"/>
    </w:rPr>
  </w:style>
  <w:style w:type="character" w:styleId="Strong">
    <w:name w:val="Strong"/>
    <w:basedOn w:val="DefaultParagraphFont"/>
    <w:uiPriority w:val="22"/>
    <w:qFormat/>
    <w:rsid w:val="00896590"/>
    <w:rPr>
      <w:b/>
      <w:bCs/>
    </w:rPr>
  </w:style>
  <w:style w:type="character" w:customStyle="1" w:styleId="apple-converted-space">
    <w:name w:val="apple-converted-space"/>
    <w:basedOn w:val="DefaultParagraphFont"/>
    <w:rsid w:val="00896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07850">
      <w:bodyDiv w:val="1"/>
      <w:marLeft w:val="0"/>
      <w:marRight w:val="0"/>
      <w:marTop w:val="0"/>
      <w:marBottom w:val="0"/>
      <w:divBdr>
        <w:top w:val="none" w:sz="0" w:space="0" w:color="auto"/>
        <w:left w:val="none" w:sz="0" w:space="0" w:color="auto"/>
        <w:bottom w:val="none" w:sz="0" w:space="0" w:color="auto"/>
        <w:right w:val="none" w:sz="0" w:space="0" w:color="auto"/>
      </w:divBdr>
      <w:divsChild>
        <w:div w:id="994334743">
          <w:marLeft w:val="0"/>
          <w:marRight w:val="0"/>
          <w:marTop w:val="0"/>
          <w:marBottom w:val="0"/>
          <w:divBdr>
            <w:top w:val="none" w:sz="0" w:space="0" w:color="auto"/>
            <w:left w:val="none" w:sz="0" w:space="0" w:color="auto"/>
            <w:bottom w:val="none" w:sz="0" w:space="0" w:color="auto"/>
            <w:right w:val="none" w:sz="0" w:space="0" w:color="auto"/>
          </w:divBdr>
          <w:divsChild>
            <w:div w:id="1294871303">
              <w:marLeft w:val="0"/>
              <w:marRight w:val="0"/>
              <w:marTop w:val="0"/>
              <w:marBottom w:val="0"/>
              <w:divBdr>
                <w:top w:val="none" w:sz="0" w:space="0" w:color="auto"/>
                <w:left w:val="none" w:sz="0" w:space="0" w:color="auto"/>
                <w:bottom w:val="none" w:sz="0" w:space="0" w:color="auto"/>
                <w:right w:val="none" w:sz="0" w:space="0" w:color="auto"/>
              </w:divBdr>
              <w:divsChild>
                <w:div w:id="94072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1140">
      <w:bodyDiv w:val="1"/>
      <w:marLeft w:val="0"/>
      <w:marRight w:val="0"/>
      <w:marTop w:val="0"/>
      <w:marBottom w:val="0"/>
      <w:divBdr>
        <w:top w:val="none" w:sz="0" w:space="0" w:color="auto"/>
        <w:left w:val="none" w:sz="0" w:space="0" w:color="auto"/>
        <w:bottom w:val="none" w:sz="0" w:space="0" w:color="auto"/>
        <w:right w:val="none" w:sz="0" w:space="0" w:color="auto"/>
      </w:divBdr>
      <w:divsChild>
        <w:div w:id="1659379304">
          <w:marLeft w:val="0"/>
          <w:marRight w:val="0"/>
          <w:marTop w:val="0"/>
          <w:marBottom w:val="0"/>
          <w:divBdr>
            <w:top w:val="none" w:sz="0" w:space="0" w:color="auto"/>
            <w:left w:val="none" w:sz="0" w:space="0" w:color="auto"/>
            <w:bottom w:val="none" w:sz="0" w:space="0" w:color="auto"/>
            <w:right w:val="none" w:sz="0" w:space="0" w:color="auto"/>
          </w:divBdr>
          <w:divsChild>
            <w:div w:id="1820657877">
              <w:marLeft w:val="0"/>
              <w:marRight w:val="0"/>
              <w:marTop w:val="0"/>
              <w:marBottom w:val="0"/>
              <w:divBdr>
                <w:top w:val="none" w:sz="0" w:space="0" w:color="auto"/>
                <w:left w:val="none" w:sz="0" w:space="0" w:color="auto"/>
                <w:bottom w:val="none" w:sz="0" w:space="0" w:color="auto"/>
                <w:right w:val="none" w:sz="0" w:space="0" w:color="auto"/>
              </w:divBdr>
              <w:divsChild>
                <w:div w:id="80146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5411">
      <w:bodyDiv w:val="1"/>
      <w:marLeft w:val="0"/>
      <w:marRight w:val="0"/>
      <w:marTop w:val="0"/>
      <w:marBottom w:val="0"/>
      <w:divBdr>
        <w:top w:val="none" w:sz="0" w:space="0" w:color="auto"/>
        <w:left w:val="none" w:sz="0" w:space="0" w:color="auto"/>
        <w:bottom w:val="none" w:sz="0" w:space="0" w:color="auto"/>
        <w:right w:val="none" w:sz="0" w:space="0" w:color="auto"/>
      </w:divBdr>
      <w:divsChild>
        <w:div w:id="633799884">
          <w:marLeft w:val="0"/>
          <w:marRight w:val="0"/>
          <w:marTop w:val="0"/>
          <w:marBottom w:val="0"/>
          <w:divBdr>
            <w:top w:val="none" w:sz="0" w:space="0" w:color="auto"/>
            <w:left w:val="none" w:sz="0" w:space="0" w:color="auto"/>
            <w:bottom w:val="none" w:sz="0" w:space="0" w:color="auto"/>
            <w:right w:val="none" w:sz="0" w:space="0" w:color="auto"/>
          </w:divBdr>
          <w:divsChild>
            <w:div w:id="467820398">
              <w:marLeft w:val="0"/>
              <w:marRight w:val="0"/>
              <w:marTop w:val="0"/>
              <w:marBottom w:val="0"/>
              <w:divBdr>
                <w:top w:val="none" w:sz="0" w:space="0" w:color="auto"/>
                <w:left w:val="none" w:sz="0" w:space="0" w:color="auto"/>
                <w:bottom w:val="none" w:sz="0" w:space="0" w:color="auto"/>
                <w:right w:val="none" w:sz="0" w:space="0" w:color="auto"/>
              </w:divBdr>
              <w:divsChild>
                <w:div w:id="1538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81335">
      <w:bodyDiv w:val="1"/>
      <w:marLeft w:val="0"/>
      <w:marRight w:val="0"/>
      <w:marTop w:val="0"/>
      <w:marBottom w:val="0"/>
      <w:divBdr>
        <w:top w:val="none" w:sz="0" w:space="0" w:color="auto"/>
        <w:left w:val="none" w:sz="0" w:space="0" w:color="auto"/>
        <w:bottom w:val="none" w:sz="0" w:space="0" w:color="auto"/>
        <w:right w:val="none" w:sz="0" w:space="0" w:color="auto"/>
      </w:divBdr>
    </w:div>
    <w:div w:id="594291813">
      <w:bodyDiv w:val="1"/>
      <w:marLeft w:val="0"/>
      <w:marRight w:val="0"/>
      <w:marTop w:val="0"/>
      <w:marBottom w:val="0"/>
      <w:divBdr>
        <w:top w:val="none" w:sz="0" w:space="0" w:color="auto"/>
        <w:left w:val="none" w:sz="0" w:space="0" w:color="auto"/>
        <w:bottom w:val="none" w:sz="0" w:space="0" w:color="auto"/>
        <w:right w:val="none" w:sz="0" w:space="0" w:color="auto"/>
      </w:divBdr>
    </w:div>
    <w:div w:id="658071749">
      <w:bodyDiv w:val="1"/>
      <w:marLeft w:val="0"/>
      <w:marRight w:val="0"/>
      <w:marTop w:val="0"/>
      <w:marBottom w:val="0"/>
      <w:divBdr>
        <w:top w:val="none" w:sz="0" w:space="0" w:color="auto"/>
        <w:left w:val="none" w:sz="0" w:space="0" w:color="auto"/>
        <w:bottom w:val="none" w:sz="0" w:space="0" w:color="auto"/>
        <w:right w:val="none" w:sz="0" w:space="0" w:color="auto"/>
      </w:divBdr>
    </w:div>
    <w:div w:id="913047795">
      <w:bodyDiv w:val="1"/>
      <w:marLeft w:val="0"/>
      <w:marRight w:val="0"/>
      <w:marTop w:val="0"/>
      <w:marBottom w:val="0"/>
      <w:divBdr>
        <w:top w:val="none" w:sz="0" w:space="0" w:color="auto"/>
        <w:left w:val="none" w:sz="0" w:space="0" w:color="auto"/>
        <w:bottom w:val="none" w:sz="0" w:space="0" w:color="auto"/>
        <w:right w:val="none" w:sz="0" w:space="0" w:color="auto"/>
      </w:divBdr>
    </w:div>
    <w:div w:id="1500073172">
      <w:bodyDiv w:val="1"/>
      <w:marLeft w:val="0"/>
      <w:marRight w:val="0"/>
      <w:marTop w:val="0"/>
      <w:marBottom w:val="0"/>
      <w:divBdr>
        <w:top w:val="none" w:sz="0" w:space="0" w:color="auto"/>
        <w:left w:val="none" w:sz="0" w:space="0" w:color="auto"/>
        <w:bottom w:val="none" w:sz="0" w:space="0" w:color="auto"/>
        <w:right w:val="none" w:sz="0" w:space="0" w:color="auto"/>
      </w:divBdr>
    </w:div>
    <w:div w:id="1629973995">
      <w:bodyDiv w:val="1"/>
      <w:marLeft w:val="0"/>
      <w:marRight w:val="0"/>
      <w:marTop w:val="0"/>
      <w:marBottom w:val="0"/>
      <w:divBdr>
        <w:top w:val="none" w:sz="0" w:space="0" w:color="auto"/>
        <w:left w:val="none" w:sz="0" w:space="0" w:color="auto"/>
        <w:bottom w:val="none" w:sz="0" w:space="0" w:color="auto"/>
        <w:right w:val="none" w:sz="0" w:space="0" w:color="auto"/>
      </w:divBdr>
    </w:div>
    <w:div w:id="1701935347">
      <w:bodyDiv w:val="1"/>
      <w:marLeft w:val="0"/>
      <w:marRight w:val="0"/>
      <w:marTop w:val="0"/>
      <w:marBottom w:val="0"/>
      <w:divBdr>
        <w:top w:val="none" w:sz="0" w:space="0" w:color="auto"/>
        <w:left w:val="none" w:sz="0" w:space="0" w:color="auto"/>
        <w:bottom w:val="none" w:sz="0" w:space="0" w:color="auto"/>
        <w:right w:val="none" w:sz="0" w:space="0" w:color="auto"/>
      </w:divBdr>
    </w:div>
    <w:div w:id="1740206467">
      <w:bodyDiv w:val="1"/>
      <w:marLeft w:val="0"/>
      <w:marRight w:val="0"/>
      <w:marTop w:val="0"/>
      <w:marBottom w:val="0"/>
      <w:divBdr>
        <w:top w:val="none" w:sz="0" w:space="0" w:color="auto"/>
        <w:left w:val="none" w:sz="0" w:space="0" w:color="auto"/>
        <w:bottom w:val="none" w:sz="0" w:space="0" w:color="auto"/>
        <w:right w:val="none" w:sz="0" w:space="0" w:color="auto"/>
      </w:divBdr>
    </w:div>
    <w:div w:id="1805387862">
      <w:bodyDiv w:val="1"/>
      <w:marLeft w:val="0"/>
      <w:marRight w:val="0"/>
      <w:marTop w:val="0"/>
      <w:marBottom w:val="0"/>
      <w:divBdr>
        <w:top w:val="none" w:sz="0" w:space="0" w:color="auto"/>
        <w:left w:val="none" w:sz="0" w:space="0" w:color="auto"/>
        <w:bottom w:val="none" w:sz="0" w:space="0" w:color="auto"/>
        <w:right w:val="none" w:sz="0" w:space="0" w:color="auto"/>
      </w:divBdr>
    </w:div>
    <w:div w:id="1882474588">
      <w:bodyDiv w:val="1"/>
      <w:marLeft w:val="0"/>
      <w:marRight w:val="0"/>
      <w:marTop w:val="0"/>
      <w:marBottom w:val="0"/>
      <w:divBdr>
        <w:top w:val="none" w:sz="0" w:space="0" w:color="auto"/>
        <w:left w:val="none" w:sz="0" w:space="0" w:color="auto"/>
        <w:bottom w:val="none" w:sz="0" w:space="0" w:color="auto"/>
        <w:right w:val="none" w:sz="0" w:space="0" w:color="auto"/>
      </w:divBdr>
    </w:div>
    <w:div w:id="2019581726">
      <w:bodyDiv w:val="1"/>
      <w:marLeft w:val="0"/>
      <w:marRight w:val="0"/>
      <w:marTop w:val="0"/>
      <w:marBottom w:val="0"/>
      <w:divBdr>
        <w:top w:val="none" w:sz="0" w:space="0" w:color="auto"/>
        <w:left w:val="none" w:sz="0" w:space="0" w:color="auto"/>
        <w:bottom w:val="none" w:sz="0" w:space="0" w:color="auto"/>
        <w:right w:val="none" w:sz="0" w:space="0" w:color="auto"/>
      </w:divBdr>
    </w:div>
    <w:div w:id="212064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simq-journals.rtu.lv/csimq/article/view/csimq.2022-31.02/183" TargetMode="External"/><Relationship Id="rId18" Type="http://schemas.openxmlformats.org/officeDocument/2006/relationships/hyperlink" Target="https://doi.org/10.1109/ACCESS.2023.3302356" TargetMode="External"/><Relationship Id="rId26" Type="http://schemas.openxmlformats.org/officeDocument/2006/relationships/hyperlink" Target="https://doi.org/10.1145/3611643.3616367" TargetMode="External"/><Relationship Id="rId39" Type="http://schemas.openxmlformats.org/officeDocument/2006/relationships/fontTable" Target="fontTable.xml"/><Relationship Id="rId21" Type="http://schemas.openxmlformats.org/officeDocument/2006/relationships/hyperlink" Target="https://doi.org/10.1109/icsa56044.2023.00014" TargetMode="External"/><Relationship Id="rId34" Type="http://schemas.openxmlformats.org/officeDocument/2006/relationships/hyperlink" Target="https://doi.org/10.15388/infedu.2021.27" TargetMode="External"/><Relationship Id="rId7" Type="http://schemas.openxmlformats.org/officeDocument/2006/relationships/image" Target="media/image3.png"/><Relationship Id="rId12" Type="http://schemas.openxmlformats.org/officeDocument/2006/relationships/hyperlink" Target="https://doi.org/10.33022/ijcs.v13i2.3857" TargetMode="External"/><Relationship Id="rId17" Type="http://schemas.openxmlformats.org/officeDocument/2006/relationships/hyperlink" Target="https://doi.org/10.4314/dujopas.v10i1b.27" TargetMode="External"/><Relationship Id="rId25" Type="http://schemas.openxmlformats.org/officeDocument/2006/relationships/hyperlink" Target="https://doi.org/10.1016/j.comcom.2020.12.022" TargetMode="External"/><Relationship Id="rId33" Type="http://schemas.openxmlformats.org/officeDocument/2006/relationships/hyperlink" Target="https://doi.org/10.1109/ISCON52037.2021.9702463" TargetMode="External"/><Relationship Id="rId38" Type="http://schemas.openxmlformats.org/officeDocument/2006/relationships/hyperlink" Target="https://doi.org/10.23919/fruct61870.2024.10516345" TargetMode="External"/><Relationship Id="rId2" Type="http://schemas.openxmlformats.org/officeDocument/2006/relationships/styles" Target="styles.xml"/><Relationship Id="rId16" Type="http://schemas.openxmlformats.org/officeDocument/2006/relationships/hyperlink" Target="https://doi.org/10.52866/ijcsm.2023.04.04.014" TargetMode="External"/><Relationship Id="rId20" Type="http://schemas.openxmlformats.org/officeDocument/2006/relationships/image" Target="media/image4.png"/><Relationship Id="rId29" Type="http://schemas.openxmlformats.org/officeDocument/2006/relationships/hyperlink" Target="https://doi.org/10.21276/ijircst.2020.8.5.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109/iccceee49695.2021.9429593" TargetMode="External"/><Relationship Id="rId24" Type="http://schemas.openxmlformats.org/officeDocument/2006/relationships/hyperlink" Target="https://doi.org/10.1109/ieeeconf53624.2021.9668115" TargetMode="External"/><Relationship Id="rId32" Type="http://schemas.openxmlformats.org/officeDocument/2006/relationships/hyperlink" Target="https://ijarst.in/public/uploads/paper/118481715358681.pdf" TargetMode="External"/><Relationship Id="rId37" Type="http://schemas.openxmlformats.org/officeDocument/2006/relationships/hyperlink" Target="https://www.researchgate.net/profile/Kalana-Kariyawasam/publication/377969013_An_Overview_of_Structural_Design_Patterns_in_Object-Oriented_Software_Engineering/links/65c0a76834bbff5ba7eeaed2/An-Overview-of-Structural-Design-Patterns-in-Object-Oriented-Software-Engineering.pdf"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10.22937/IJCSNS.2024.24.5.12" TargetMode="External"/><Relationship Id="rId23" Type="http://schemas.openxmlformats.org/officeDocument/2006/relationships/hyperlink" Target="https://www.ijcset.com/docs/IJCSET13-04-08-010.pdf" TargetMode="External"/><Relationship Id="rId28" Type="http://schemas.openxmlformats.org/officeDocument/2006/relationships/hyperlink" Target="https://letaiw.github.io/pubs/EMSE2024.pdf" TargetMode="External"/><Relationship Id="rId36" Type="http://schemas.openxmlformats.org/officeDocument/2006/relationships/hyperlink" Target="https://doi.org/10.1007/978-1-4842-7971-7_3" TargetMode="External"/><Relationship Id="rId10" Type="http://schemas.openxmlformats.org/officeDocument/2006/relationships/hyperlink" Target="https://doi.org/10.1016/j.jss.2023.111749" TargetMode="External"/><Relationship Id="rId19" Type="http://schemas.openxmlformats.org/officeDocument/2006/relationships/hyperlink" Target="https://doi.org/10.3390/mol2net-08-13907" TargetMode="External"/><Relationship Id="rId31" Type="http://schemas.openxmlformats.org/officeDocument/2006/relationships/hyperlink" Target="https://ijojournals.com/index.php/cse/article/view/932" TargetMode="External"/><Relationship Id="rId4" Type="http://schemas.openxmlformats.org/officeDocument/2006/relationships/webSettings" Target="webSettings.xml"/><Relationship Id="rId9" Type="http://schemas.openxmlformats.org/officeDocument/2006/relationships/hyperlink" Target="https://doi.org/10.3991/ijim.v14i11.13269" TargetMode="External"/><Relationship Id="rId14" Type="http://schemas.openxmlformats.org/officeDocument/2006/relationships/hyperlink" Target="https://doi.org/10.1109/ms.2018.2801554" TargetMode="External"/><Relationship Id="rId22" Type="http://schemas.openxmlformats.org/officeDocument/2006/relationships/hyperlink" Target="https://doi.org/10.1002/spe.2961" TargetMode="External"/><Relationship Id="rId27" Type="http://schemas.openxmlformats.org/officeDocument/2006/relationships/hyperlink" Target="https://doi.org/10.1002/smr.2536" TargetMode="External"/><Relationship Id="rId30" Type="http://schemas.openxmlformats.org/officeDocument/2006/relationships/hyperlink" Target="https://doi.org/10.32604/cmc.2023.042711" TargetMode="External"/><Relationship Id="rId35" Type="http://schemas.openxmlformats.org/officeDocument/2006/relationships/hyperlink" Target="https://doi.org/10.37375/foej.v1i2.512" TargetMode="External"/><Relationship Id="rId8" Type="http://schemas.openxmlformats.org/officeDocument/2006/relationships/hyperlink" Target="https://doi.org/10.23919/cisti58278.2023.1021189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16</Pages>
  <Words>5418</Words>
  <Characters>30887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6</cp:revision>
  <dcterms:created xsi:type="dcterms:W3CDTF">2025-01-06T10:05:00Z</dcterms:created>
  <dcterms:modified xsi:type="dcterms:W3CDTF">2025-01-06T12:26:00Z</dcterms:modified>
</cp:coreProperties>
</file>