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0C2F8E" w:rsidRDefault="000C2F8E" w:rsidP="001F4CE1">
      <w:pPr>
        <w:pStyle w:val="NormalWeb"/>
        <w:spacing w:before="0" w:beforeAutospacing="0" w:after="0" w:afterAutospacing="0"/>
        <w:ind w:left="-180" w:right="-334"/>
        <w:rPr>
          <w:rFonts w:ascii="Trebuchet MS" w:hAnsi="Trebuchet MS" w:cs="Tahoma"/>
          <w:sz w:val="24"/>
          <w:szCs w:val="24"/>
        </w:rPr>
      </w:pPr>
      <w:r>
        <w:rPr>
          <w:noProof/>
          <w:lang w:eastAsia="en-GB"/>
        </w:rPr>
        <w:drawing>
          <wp:inline distT="0" distB="0" distL="0" distR="0">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rsidR="000C2F8E" w:rsidRDefault="000C2F8E" w:rsidP="00D121FD">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rsidR="000C2F8E" w:rsidRPr="001E50BB" w:rsidRDefault="000C2F8E" w:rsidP="001E50BB">
      <w:pPr>
        <w:jc w:val="center"/>
        <w:rPr>
          <w:rFonts w:ascii="Arial" w:hAnsi="Arial" w:cs="Arial"/>
          <w:b/>
          <w:lang w:val="cy-GB"/>
        </w:rPr>
      </w:pPr>
      <w:r w:rsidRPr="001E50BB">
        <w:rPr>
          <w:rFonts w:ascii="Arial" w:hAnsi="Arial" w:cs="Arial"/>
          <w:b/>
          <w:lang w:val="cy-GB"/>
        </w:rPr>
        <w:t>(to be completed by marker)</w:t>
      </w:r>
    </w:p>
    <w:p w:rsidR="000C2F8E" w:rsidRPr="001E50BB" w:rsidRDefault="000C2F8E" w:rsidP="001E50BB">
      <w:pPr>
        <w:jc w:val="center"/>
        <w:rPr>
          <w:rFonts w:ascii="Arial" w:hAnsi="Arial" w:cs="Arial"/>
          <w:b/>
          <w:lang w:val="cy-GB"/>
        </w:rPr>
      </w:pPr>
    </w:p>
    <w:p w:rsidR="000C2F8E" w:rsidRDefault="000C2F8E" w:rsidP="001E50BB">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0C2F8E" w:rsidRPr="0065654E" w:rsidTr="0004354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0C2F8E" w:rsidRPr="000C2F8E" w:rsidRDefault="000C2F8E" w:rsidP="00E57529">
            <w:pPr>
              <w:pStyle w:val="NormalWeb"/>
              <w:spacing w:before="0" w:beforeAutospacing="0" w:after="0" w:afterAutospacing="0"/>
              <w:ind w:right="34"/>
            </w:pPr>
            <w:r w:rsidRPr="0065654E">
              <w:rPr>
                <w:rFonts w:ascii="Calibri" w:hAnsi="Calibri" w:cs="Tahoma"/>
                <w:i/>
                <w:sz w:val="24"/>
                <w:szCs w:val="24"/>
              </w:rPr>
              <w:t>Student Na</w:t>
            </w:r>
            <w:r>
              <w:rPr>
                <w:rFonts w:ascii="Calibri" w:hAnsi="Calibri" w:cs="Tahoma"/>
                <w:i/>
                <w:sz w:val="24"/>
                <w:szCs w:val="24"/>
              </w:rPr>
              <w:t xml:space="preserve">me: </w:t>
            </w:r>
            <w:r>
              <w:t>Penny Brownlow</w:t>
            </w:r>
          </w:p>
          <w:p w:rsidR="000C2F8E" w:rsidRPr="0065654E" w:rsidRDefault="000C2F8E" w:rsidP="00E57529">
            <w:pPr>
              <w:pStyle w:val="NormalWeb"/>
              <w:spacing w:before="0" w:beforeAutospacing="0" w:after="0" w:afterAutospacing="0"/>
              <w:ind w:right="34"/>
              <w:rPr>
                <w:rFonts w:ascii="Calibri" w:hAnsi="Calibri" w:cs="Tahoma"/>
                <w:i/>
                <w:sz w:val="24"/>
                <w:szCs w:val="24"/>
              </w:rPr>
            </w:pPr>
          </w:p>
        </w:tc>
      </w:tr>
      <w:tr w:rsidR="000C2F8E" w:rsidRPr="0065654E" w:rsidTr="00DB2FD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rsidR="000C2F8E" w:rsidRPr="000C2F8E" w:rsidRDefault="000C2F8E" w:rsidP="001A0725">
            <w:pPr>
              <w:pStyle w:val="NormalWeb"/>
              <w:spacing w:before="0" w:beforeAutospacing="0" w:after="0" w:afterAutospacing="0"/>
              <w:ind w:right="34"/>
            </w:pPr>
            <w:r>
              <w:rPr>
                <w:rFonts w:ascii="Calibri" w:hAnsi="Calibri" w:cs="Tahoma"/>
                <w:i/>
                <w:sz w:val="24"/>
                <w:szCs w:val="24"/>
              </w:rPr>
              <w:t xml:space="preserve">Module Code: </w:t>
            </w:r>
            <w:r w:rsidRPr="000C2F8E">
              <w:rPr>
                <w:rFonts w:ascii="Calibri" w:hAnsi="Calibri" w:cs="Tahoma"/>
                <w:i/>
                <w:sz w:val="24"/>
                <w:szCs w:val="24"/>
              </w:rPr>
              <w:t>HPPH6006</w:t>
            </w:r>
          </w:p>
          <w:p w:rsidR="000C2F8E" w:rsidRDefault="000C2F8E" w:rsidP="001A0725">
            <w:pPr>
              <w:pStyle w:val="NormalWeb"/>
              <w:spacing w:before="0" w:beforeAutospacing="0" w:after="0" w:afterAutospacing="0"/>
              <w:ind w:right="34"/>
              <w:rPr>
                <w:rFonts w:ascii="Calibri" w:hAnsi="Calibri" w:cs="Tahoma"/>
                <w:i/>
                <w:sz w:val="24"/>
                <w:szCs w:val="24"/>
              </w:rPr>
            </w:pPr>
          </w:p>
          <w:p w:rsidR="000C2F8E" w:rsidRPr="000C2F8E" w:rsidRDefault="000C2F8E" w:rsidP="001A0725">
            <w:pPr>
              <w:pStyle w:val="NormalWeb"/>
              <w:spacing w:before="0" w:beforeAutospacing="0" w:after="0" w:afterAutospacing="0"/>
              <w:ind w:right="34"/>
            </w:pPr>
            <w:r>
              <w:rPr>
                <w:rFonts w:ascii="Calibri" w:hAnsi="Calibri" w:cs="Tahoma"/>
                <w:i/>
                <w:sz w:val="24"/>
                <w:szCs w:val="24"/>
              </w:rPr>
              <w:t xml:space="preserve">Module </w:t>
            </w:r>
            <w:r w:rsidRPr="0065654E">
              <w:rPr>
                <w:rFonts w:ascii="Calibri" w:hAnsi="Calibri" w:cs="Tahoma"/>
                <w:i/>
                <w:sz w:val="24"/>
                <w:szCs w:val="24"/>
              </w:rPr>
              <w:t>title</w:t>
            </w:r>
            <w:r>
              <w:rPr>
                <w:rFonts w:ascii="Calibri" w:hAnsi="Calibri" w:cs="Tahoma"/>
                <w:i/>
                <w:sz w:val="24"/>
                <w:szCs w:val="24"/>
              </w:rPr>
              <w:t xml:space="preserve">:  </w:t>
            </w:r>
            <w:r>
              <w:t xml:space="preserve">Buddhism </w:t>
            </w:r>
          </w:p>
          <w:p w:rsidR="000C2F8E" w:rsidRPr="0065654E" w:rsidRDefault="000C2F8E" w:rsidP="001A0725">
            <w:pPr>
              <w:pStyle w:val="NormalWeb"/>
              <w:spacing w:before="0" w:beforeAutospacing="0" w:after="0" w:afterAutospacing="0"/>
              <w:ind w:right="34"/>
              <w:rPr>
                <w:rFonts w:ascii="Calibri" w:hAnsi="Calibri" w:cs="Tahoma"/>
                <w:i/>
                <w:sz w:val="24"/>
                <w:szCs w:val="24"/>
              </w:rPr>
            </w:pPr>
          </w:p>
        </w:tc>
        <w:tc>
          <w:tcPr>
            <w:tcW w:w="3967" w:type="dxa"/>
            <w:gridSpan w:val="2"/>
            <w:tcBorders>
              <w:top w:val="single" w:sz="4" w:space="0" w:color="auto"/>
              <w:left w:val="single" w:sz="4" w:space="0" w:color="auto"/>
              <w:bottom w:val="single" w:sz="4" w:space="0" w:color="auto"/>
              <w:right w:val="single" w:sz="4" w:space="0" w:color="auto"/>
            </w:tcBorders>
          </w:tcPr>
          <w:p w:rsidR="000C2F8E" w:rsidRPr="000C2F8E" w:rsidRDefault="000C2F8E" w:rsidP="00C129C7">
            <w:pPr>
              <w:pStyle w:val="NormalWeb"/>
              <w:spacing w:before="0" w:beforeAutospacing="0" w:after="0" w:afterAutospacing="0"/>
              <w:ind w:right="34"/>
            </w:pPr>
            <w:r>
              <w:rPr>
                <w:rFonts w:ascii="Calibri" w:hAnsi="Calibri" w:cs="Tahoma"/>
                <w:i/>
                <w:sz w:val="24"/>
                <w:szCs w:val="24"/>
              </w:rPr>
              <w:t xml:space="preserve">Student </w:t>
            </w:r>
            <w:r w:rsidRPr="0065654E">
              <w:rPr>
                <w:rFonts w:ascii="Calibri" w:hAnsi="Calibri" w:cs="Tahoma"/>
                <w:i/>
                <w:sz w:val="24"/>
                <w:szCs w:val="24"/>
              </w:rPr>
              <w:t>number:</w:t>
            </w:r>
            <w:r>
              <w:rPr>
                <w:rFonts w:ascii="Calibri" w:hAnsi="Calibri" w:cs="Tahoma"/>
                <w:i/>
                <w:sz w:val="24"/>
                <w:szCs w:val="24"/>
              </w:rPr>
              <w:t xml:space="preserve"> </w:t>
            </w:r>
            <w:r>
              <w:t>1403124</w:t>
            </w:r>
          </w:p>
        </w:tc>
      </w:tr>
      <w:tr w:rsidR="000C2F8E" w:rsidRPr="0065654E" w:rsidTr="002E67CE">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0C2F8E" w:rsidRPr="0065654E" w:rsidRDefault="000C2F8E" w:rsidP="00C129C7">
            <w:pPr>
              <w:pStyle w:val="NormalWeb"/>
              <w:spacing w:before="0" w:beforeAutospacing="0" w:after="0" w:afterAutospacing="0"/>
              <w:rPr>
                <w:rFonts w:ascii="Calibri" w:hAnsi="Calibri" w:cs="Tahoma"/>
                <w:i/>
                <w:sz w:val="24"/>
                <w:szCs w:val="24"/>
              </w:rPr>
            </w:pPr>
            <w:r w:rsidRPr="0065654E">
              <w:rPr>
                <w:rFonts w:ascii="Calibri" w:hAnsi="Calibri" w:cs="Tahoma"/>
                <w:i/>
                <w:sz w:val="24"/>
                <w:szCs w:val="24"/>
              </w:rPr>
              <w:t>For completion by marker:</w:t>
            </w:r>
          </w:p>
          <w:p w:rsidR="000C2F8E" w:rsidRDefault="000C2F8E" w:rsidP="00043549">
            <w:pPr>
              <w:pStyle w:val="NormalWeb"/>
              <w:rPr>
                <w:rFonts w:ascii="Calibri" w:hAnsi="Calibri" w:cs="Tahoma"/>
                <w:i/>
                <w:sz w:val="24"/>
                <w:szCs w:val="24"/>
              </w:rPr>
            </w:pPr>
            <w:r w:rsidRPr="0065654E">
              <w:rPr>
                <w:rFonts w:ascii="Calibri" w:hAnsi="Calibri" w:cs="Tahoma"/>
                <w:i/>
                <w:sz w:val="24"/>
                <w:szCs w:val="24"/>
              </w:rPr>
              <w:t>Comments:</w:t>
            </w: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Default="000C2F8E" w:rsidP="00043549">
            <w:pPr>
              <w:pStyle w:val="NormalWeb"/>
              <w:rPr>
                <w:rFonts w:ascii="Calibri" w:hAnsi="Calibri" w:cs="Tahoma"/>
                <w:i/>
                <w:sz w:val="24"/>
                <w:szCs w:val="24"/>
              </w:rPr>
            </w:pPr>
          </w:p>
          <w:p w:rsidR="000C2F8E" w:rsidRPr="0065654E" w:rsidRDefault="000C2F8E" w:rsidP="00043549">
            <w:pPr>
              <w:pStyle w:val="NormalWeb"/>
              <w:rPr>
                <w:rFonts w:ascii="Calibri" w:hAnsi="Calibri" w:cs="Tahoma"/>
                <w:i/>
                <w:sz w:val="24"/>
                <w:szCs w:val="24"/>
              </w:rPr>
            </w:pPr>
          </w:p>
        </w:tc>
      </w:tr>
      <w:tr w:rsidR="000C2F8E" w:rsidRPr="0065654E" w:rsidTr="00043549">
        <w:trPr>
          <w:trHeight w:val="492"/>
        </w:trPr>
        <w:tc>
          <w:tcPr>
            <w:tcW w:w="6768" w:type="dxa"/>
            <w:gridSpan w:val="2"/>
            <w:tcBorders>
              <w:top w:val="single" w:sz="4" w:space="0" w:color="auto"/>
            </w:tcBorders>
            <w:vAlign w:val="center"/>
          </w:tcPr>
          <w:p w:rsidR="000C2F8E" w:rsidRPr="0065654E" w:rsidRDefault="000C2F8E" w:rsidP="00043549">
            <w:pPr>
              <w:pStyle w:val="NormalWeb"/>
              <w:ind w:left="142" w:right="34"/>
              <w:rPr>
                <w:rFonts w:ascii="Calibri" w:hAnsi="Calibri" w:cs="Tahoma"/>
                <w:i/>
                <w:sz w:val="24"/>
                <w:szCs w:val="24"/>
              </w:rPr>
            </w:pPr>
            <w:r w:rsidRPr="0065654E">
              <w:rPr>
                <w:rFonts w:ascii="Calibri" w:hAnsi="Calibri" w:cs="Tahoma"/>
                <w:i/>
                <w:sz w:val="24"/>
                <w:szCs w:val="24"/>
              </w:rPr>
              <w:t>Marker</w:t>
            </w:r>
            <w:r>
              <w:rPr>
                <w:rFonts w:ascii="Calibri" w:hAnsi="Calibri" w:cs="Tahoma"/>
                <w:i/>
                <w:sz w:val="24"/>
                <w:szCs w:val="24"/>
              </w:rPr>
              <w:t xml:space="preserve">’s </w:t>
            </w:r>
            <w:r w:rsidRPr="0065654E">
              <w:rPr>
                <w:rFonts w:ascii="Calibri" w:hAnsi="Calibri" w:cs="Tahoma"/>
                <w:i/>
                <w:sz w:val="24"/>
                <w:szCs w:val="24"/>
              </w:rPr>
              <w:t>signature:</w:t>
            </w:r>
          </w:p>
        </w:tc>
        <w:tc>
          <w:tcPr>
            <w:tcW w:w="1987" w:type="dxa"/>
            <w:tcBorders>
              <w:top w:val="single" w:sz="4" w:space="0" w:color="auto"/>
            </w:tcBorders>
            <w:vAlign w:val="center"/>
          </w:tcPr>
          <w:p w:rsidR="000C2F8E" w:rsidRPr="0065654E" w:rsidRDefault="000C2F8E" w:rsidP="00E3766D">
            <w:pPr>
              <w:pStyle w:val="NormalWeb"/>
              <w:spacing w:after="0"/>
              <w:ind w:left="142" w:right="34"/>
              <w:rPr>
                <w:rFonts w:ascii="Calibri" w:hAnsi="Calibri" w:cs="Tahoma"/>
                <w:i/>
                <w:sz w:val="24"/>
                <w:szCs w:val="24"/>
              </w:rPr>
            </w:pPr>
            <w:r>
              <w:rPr>
                <w:rFonts w:ascii="Calibri" w:hAnsi="Calibri" w:cs="Tahoma"/>
                <w:i/>
                <w:sz w:val="24"/>
                <w:szCs w:val="24"/>
              </w:rPr>
              <w:t>D</w:t>
            </w:r>
            <w:r w:rsidRPr="0065654E">
              <w:rPr>
                <w:rFonts w:ascii="Calibri" w:hAnsi="Calibri" w:cs="Tahoma"/>
                <w:i/>
                <w:sz w:val="24"/>
                <w:szCs w:val="24"/>
              </w:rPr>
              <w:t>ate</w:t>
            </w:r>
            <w:r>
              <w:rPr>
                <w:rFonts w:ascii="Calibri" w:hAnsi="Calibri" w:cs="Tahoma"/>
                <w:i/>
                <w:sz w:val="24"/>
                <w:szCs w:val="24"/>
              </w:rPr>
              <w:t>:</w:t>
            </w:r>
          </w:p>
        </w:tc>
      </w:tr>
      <w:tr w:rsidR="000C2F8E" w:rsidRPr="0065654E" w:rsidTr="00043549">
        <w:tc>
          <w:tcPr>
            <w:tcW w:w="8755" w:type="dxa"/>
            <w:gridSpan w:val="3"/>
            <w:vAlign w:val="center"/>
          </w:tcPr>
          <w:p w:rsidR="000C2F8E" w:rsidRDefault="000C2F8E" w:rsidP="002E67CE">
            <w:pPr>
              <w:pStyle w:val="NormalWeb"/>
              <w:spacing w:before="0" w:beforeAutospacing="0" w:after="0" w:afterAutospacing="0"/>
              <w:ind w:left="142" w:right="34"/>
              <w:rPr>
                <w:rFonts w:ascii="Calibri" w:hAnsi="Calibri" w:cs="Tahoma"/>
                <w:i/>
                <w:sz w:val="24"/>
                <w:szCs w:val="24"/>
              </w:rPr>
            </w:pPr>
            <w:r w:rsidRPr="0065654E">
              <w:rPr>
                <w:rFonts w:ascii="Calibri" w:hAnsi="Calibri" w:cs="Tahoma"/>
                <w:i/>
                <w:sz w:val="24"/>
                <w:szCs w:val="24"/>
              </w:rPr>
              <w:t xml:space="preserve">Provisional mark: </w:t>
            </w:r>
          </w:p>
          <w:p w:rsidR="000C2F8E" w:rsidRPr="0065654E" w:rsidRDefault="000C2F8E" w:rsidP="00043549">
            <w:pPr>
              <w:pStyle w:val="NormalWeb"/>
              <w:spacing w:before="0" w:beforeAutospacing="0" w:after="0" w:afterAutospacing="0"/>
              <w:ind w:left="142" w:right="34"/>
              <w:rPr>
                <w:rFonts w:ascii="Calibri" w:hAnsi="Calibri" w:cs="Tahoma"/>
                <w:i/>
                <w:sz w:val="24"/>
                <w:szCs w:val="24"/>
              </w:rPr>
            </w:pPr>
            <w:r w:rsidRPr="0065654E">
              <w:rPr>
                <w:rFonts w:ascii="Calibri" w:hAnsi="Calibri" w:cs="Tahoma"/>
                <w:b/>
                <w:i/>
                <w:sz w:val="24"/>
                <w:szCs w:val="24"/>
              </w:rPr>
              <w:t>NB.</w:t>
            </w:r>
            <w:r w:rsidRPr="0065654E">
              <w:rPr>
                <w:rFonts w:ascii="Calibri" w:hAnsi="Calibri" w:cs="Tahoma"/>
                <w:i/>
                <w:sz w:val="24"/>
                <w:szCs w:val="24"/>
              </w:rPr>
              <w:t xml:space="preserve">  All marks are provisional until confirmed by the </w:t>
            </w:r>
            <w:r>
              <w:rPr>
                <w:rFonts w:ascii="Calibri" w:hAnsi="Calibri" w:cs="Tahoma"/>
                <w:i/>
                <w:sz w:val="24"/>
                <w:szCs w:val="24"/>
              </w:rPr>
              <w:t xml:space="preserve">final </w:t>
            </w:r>
            <w:r w:rsidRPr="0065654E">
              <w:rPr>
                <w:rFonts w:ascii="Calibri" w:hAnsi="Calibri" w:cs="Tahoma"/>
                <w:i/>
                <w:sz w:val="24"/>
                <w:szCs w:val="24"/>
              </w:rPr>
              <w:t>exam</w:t>
            </w:r>
            <w:r>
              <w:rPr>
                <w:rFonts w:ascii="Calibri" w:hAnsi="Calibri" w:cs="Tahoma"/>
                <w:i/>
                <w:sz w:val="24"/>
                <w:szCs w:val="24"/>
              </w:rPr>
              <w:t>ination</w:t>
            </w:r>
            <w:r w:rsidRPr="0065654E">
              <w:rPr>
                <w:rFonts w:ascii="Calibri" w:hAnsi="Calibri" w:cs="Tahoma"/>
                <w:i/>
                <w:sz w:val="24"/>
                <w:szCs w:val="24"/>
              </w:rPr>
              <w:t xml:space="preserve"> board. </w:t>
            </w:r>
          </w:p>
        </w:tc>
      </w:tr>
    </w:tbl>
    <w:p w:rsidR="000C2F8E" w:rsidRPr="0065654E" w:rsidRDefault="000C2F8E" w:rsidP="00FA07E9">
      <w:pPr>
        <w:pStyle w:val="NormalWeb"/>
        <w:spacing w:before="0" w:beforeAutospacing="0" w:after="0" w:afterAutospacing="0"/>
        <w:ind w:right="-334"/>
        <w:rPr>
          <w:rFonts w:ascii="Trebuchet MS" w:hAnsi="Trebuchet MS" w:cs="Tahoma"/>
          <w:b/>
          <w:bCs/>
          <w:sz w:val="24"/>
          <w:szCs w:val="24"/>
        </w:rPr>
      </w:pPr>
    </w:p>
    <w:p w:rsidR="003E0558" w:rsidRDefault="003E0558" w:rsidP="003E0558">
      <w:r>
        <w:lastRenderedPageBreak/>
        <w:t xml:space="preserve">This essay will be focusing on the Theory of Mind within Buddhism. One school within Buddhism, Yogacara, focuses on emptiness and consciousness. The Yogacara School emerged from the Mahayana School of Buddhism. This essay will compare Yogacara’s Theory of Consciousness with other Buddhist Theories of Mind including the Selfless Mind.  This essay will do this by initially providing a definition of Yogacara and its Theory of Consciousness. After this it will give </w:t>
      </w:r>
      <w:r w:rsidR="000B14B1">
        <w:t>a definition</w:t>
      </w:r>
      <w:r>
        <w:t xml:space="preserve"> of the Selfless Mind from Theravada Buddhism. Therefore this essay will compare Yogacara’s Theory of Consciousness with the Selfless</w:t>
      </w:r>
      <w:r w:rsidR="000B14B1">
        <w:t xml:space="preserve"> Mind or the notion of the Self within E</w:t>
      </w:r>
      <w:r w:rsidR="00CB3DA2">
        <w:t>arly Buddhism or Theravada Buddhism</w:t>
      </w:r>
      <w:r>
        <w:t>.</w:t>
      </w:r>
    </w:p>
    <w:p w:rsidR="003E0558" w:rsidRDefault="003E0558" w:rsidP="003E0558">
      <w:r>
        <w:t>As stated in the introduction, the Yogacara School of Buddhism developed out of the Mahayana School of Buddhism. Yogacara is attributed to two half-brothers that were Brahmins in the Hindu Tradition and later chose to become followers of the Buddha’s teachings. The two half-b</w:t>
      </w:r>
      <w:r w:rsidR="000B14B1">
        <w:t xml:space="preserve">rothers were called </w:t>
      </w:r>
      <w:proofErr w:type="spellStart"/>
      <w:r w:rsidR="000B14B1">
        <w:t>Asanga</w:t>
      </w:r>
      <w:proofErr w:type="spellEnd"/>
      <w:r w:rsidR="000B14B1">
        <w:t xml:space="preserve"> and </w:t>
      </w:r>
      <w:proofErr w:type="spellStart"/>
      <w:r w:rsidR="000B14B1">
        <w:t>Vasubandhu</w:t>
      </w:r>
      <w:proofErr w:type="spellEnd"/>
      <w:r w:rsidR="000B14B1">
        <w:t xml:space="preserve">. </w:t>
      </w:r>
      <w:proofErr w:type="spellStart"/>
      <w:r w:rsidR="000B14B1">
        <w:t>Asan</w:t>
      </w:r>
      <w:r>
        <w:t>ga</w:t>
      </w:r>
      <w:proofErr w:type="spellEnd"/>
      <w:r>
        <w:t xml:space="preserve"> spent twelve years in a cave in fruitless meditation. He was about to give up his quest for enlightenment </w:t>
      </w:r>
      <w:r w:rsidRPr="002360BD">
        <w:t xml:space="preserve">when </w:t>
      </w:r>
      <w:proofErr w:type="spellStart"/>
      <w:r w:rsidRPr="002360BD">
        <w:t>Maitreya</w:t>
      </w:r>
      <w:proofErr w:type="spellEnd"/>
      <w:r w:rsidRPr="002360BD">
        <w:t>, the</w:t>
      </w:r>
      <w:r w:rsidR="000B14B1">
        <w:t xml:space="preserve"> Future Buddha, appeared to </w:t>
      </w:r>
      <w:proofErr w:type="spellStart"/>
      <w:r w:rsidR="000B14B1">
        <w:t>Asan</w:t>
      </w:r>
      <w:r>
        <w:t>ga</w:t>
      </w:r>
      <w:proofErr w:type="spellEnd"/>
      <w:r>
        <w:t xml:space="preserve"> and transported him to </w:t>
      </w:r>
      <w:proofErr w:type="spellStart"/>
      <w:r>
        <w:t>Tusita</w:t>
      </w:r>
      <w:proofErr w:type="spellEnd"/>
      <w:r>
        <w:t xml:space="preserve"> Heaven an</w:t>
      </w:r>
      <w:r w:rsidR="000B14B1">
        <w:t xml:space="preserve">d revealed unknown texts to </w:t>
      </w:r>
      <w:proofErr w:type="spellStart"/>
      <w:r w:rsidR="000B14B1">
        <w:t>Asan</w:t>
      </w:r>
      <w:r>
        <w:t>ga</w:t>
      </w:r>
      <w:proofErr w:type="spellEnd"/>
      <w:r>
        <w:t>. These texts became the core texts of Yogacara. Within scho</w:t>
      </w:r>
      <w:r w:rsidR="000B14B1">
        <w:t>larly opinion there is a debate</w:t>
      </w:r>
      <w:r>
        <w:t xml:space="preserve"> as to whether </w:t>
      </w:r>
      <w:proofErr w:type="spellStart"/>
      <w:r>
        <w:t>Maitreya</w:t>
      </w:r>
      <w:proofErr w:type="spellEnd"/>
      <w:r>
        <w:t xml:space="preserve"> was a</w:t>
      </w:r>
      <w:r w:rsidR="000B14B1">
        <w:t xml:space="preserve"> human teacher rather than the F</w:t>
      </w:r>
      <w:r>
        <w:t xml:space="preserve">uture Buddha however, Dan </w:t>
      </w:r>
      <w:proofErr w:type="spellStart"/>
      <w:r>
        <w:t>Lusthaus</w:t>
      </w:r>
      <w:proofErr w:type="spellEnd"/>
      <w:r>
        <w:t xml:space="preserve"> states that the tradition within Buddhism is clear that </w:t>
      </w:r>
      <w:proofErr w:type="spellStart"/>
      <w:r w:rsidR="002360BD" w:rsidRPr="002360BD">
        <w:t>Maitreya</w:t>
      </w:r>
      <w:proofErr w:type="spellEnd"/>
      <w:r w:rsidRPr="002360BD">
        <w:t xml:space="preserve"> is</w:t>
      </w:r>
      <w:r>
        <w:t xml:space="preserve"> the Future Buddha. </w:t>
      </w:r>
      <w:r w:rsidR="000C2F8E">
        <w:rPr>
          <w:rStyle w:val="FootnoteReference"/>
        </w:rPr>
        <w:footnoteReference w:id="1"/>
      </w:r>
      <w:r>
        <w:t xml:space="preserve"> </w:t>
      </w:r>
    </w:p>
    <w:p w:rsidR="003E0558" w:rsidRDefault="003E0558" w:rsidP="003E0558">
      <w:r>
        <w:t xml:space="preserve">Within Yogacara there are several key texts and doctrines that make up the beliefs and practices of the Yogacara School. One of these key texts </w:t>
      </w:r>
      <w:r w:rsidRPr="002360BD">
        <w:t xml:space="preserve">is </w:t>
      </w:r>
      <w:proofErr w:type="spellStart"/>
      <w:r w:rsidRPr="002360BD">
        <w:t>Sandhinirmocana</w:t>
      </w:r>
      <w:proofErr w:type="spellEnd"/>
      <w:r w:rsidRPr="002360BD">
        <w:t>-Sutra</w:t>
      </w:r>
      <w:r>
        <w:t xml:space="preserve">, which is the first text to utilise the notion that consciousness is made up of seeds. Another important text to the Yogacara School is the </w:t>
      </w:r>
      <w:r w:rsidRPr="002360BD">
        <w:t>Discourse Explaining</w:t>
      </w:r>
      <w:r>
        <w:t xml:space="preserve"> Thought which is </w:t>
      </w:r>
      <w:proofErr w:type="spellStart"/>
      <w:r w:rsidRPr="002360BD">
        <w:t>Samdhinirmocana</w:t>
      </w:r>
      <w:proofErr w:type="spellEnd"/>
      <w:r w:rsidRPr="002360BD">
        <w:t>-</w:t>
      </w:r>
      <w:r>
        <w:t xml:space="preserve">Sutra. Within Chapter Five of this Discourse it explains the doctrine of Basis Consciousness. The Basis Consciousness underlies all aspects of consciousness. The Basis Consciousness at any one time is made up of the total amount </w:t>
      </w:r>
      <w:r w:rsidR="002360BD">
        <w:t xml:space="preserve">of </w:t>
      </w:r>
      <w:r>
        <w:t xml:space="preserve">seeds. Within Yogacara, the Yogacarans try to cultivate positive mental seeds to replace the negative mental seeds. When the Yogacarans have cultivated their positive mental seeds and replaced all their negative mental seeds then the mind goes through a profound change. This is when the Yogacarans consciousness transforms from a Basis Consciousness to a Stainless Consciousness. This in part is why the Yogacara School is known as a ‘Mind Only’ or ‘Conscious Only’ School. It is interesting to note that if a consciousness contains only negative mental seeds that Yogacaran </w:t>
      </w:r>
      <w:r w:rsidR="000C2F8E">
        <w:t>can never achieve enlightenment.</w:t>
      </w:r>
      <w:r w:rsidR="000C2F8E">
        <w:rPr>
          <w:rStyle w:val="FootnoteReference"/>
        </w:rPr>
        <w:footnoteReference w:id="2"/>
      </w:r>
    </w:p>
    <w:p w:rsidR="003E0558" w:rsidRDefault="003E0558" w:rsidP="003E0558">
      <w:r>
        <w:t xml:space="preserve">One of the major developments within the Yogacara School of Buddhism is the development of the Eight Consciousnesses. Within Buddhism, outside the School of Yogacara, there are Six Consciousnesses. These Six Consciousnesses are related to the six senses; the sixth sense relates to the mind within Buddhism which is additional in relation to the usual known five senses: sight; touch; hearing; taste and smell. </w:t>
      </w:r>
      <w:r w:rsidRPr="006B3977">
        <w:t>Harvey</w:t>
      </w:r>
      <w:r>
        <w:t xml:space="preserve"> explain</w:t>
      </w:r>
      <w:r w:rsidR="002360BD">
        <w:t>s</w:t>
      </w:r>
      <w:r>
        <w:t xml:space="preserve"> that consciousness does not create the sensory sphere.</w:t>
      </w:r>
      <w:r w:rsidR="006B3977">
        <w:rPr>
          <w:rStyle w:val="FootnoteReference"/>
        </w:rPr>
        <w:footnoteReference w:id="3"/>
      </w:r>
      <w:r>
        <w:t xml:space="preserve"> Consciousness arises when the senses come into contact with the object; therefore consciousness arises depending on what sensation is active. One of Yogacara’s additions to the Six Consciousnesses is by treating the </w:t>
      </w:r>
      <w:proofErr w:type="spellStart"/>
      <w:r>
        <w:t>Manas</w:t>
      </w:r>
      <w:proofErr w:type="spellEnd"/>
      <w:r>
        <w:t xml:space="preserve"> as a different type of consciousness and this therefore creates the Seventh Consciousness. The </w:t>
      </w:r>
      <w:proofErr w:type="spellStart"/>
      <w:r>
        <w:t>Manas</w:t>
      </w:r>
      <w:proofErr w:type="spellEnd"/>
      <w:r>
        <w:t xml:space="preserve"> organises the information that comes out of the Six </w:t>
      </w:r>
      <w:r>
        <w:lastRenderedPageBreak/>
        <w:t xml:space="preserve">Consciousnesses into experiences with the world, according to fixed categories. </w:t>
      </w:r>
      <w:proofErr w:type="spellStart"/>
      <w:r>
        <w:t>Manas</w:t>
      </w:r>
      <w:proofErr w:type="spellEnd"/>
      <w:r>
        <w:t xml:space="preserve"> and the Six Consciousnesses only represent the surfaces of the mind. That is why the Yogacara School developed the E</w:t>
      </w:r>
      <w:r w:rsidR="003459E1">
        <w:t>ighth Consciousness. The final c</w:t>
      </w:r>
      <w:r>
        <w:t>onsciousness is Basis Consciousness or Storehouse Consciousness.</w:t>
      </w:r>
      <w:r w:rsidR="000C2F8E">
        <w:rPr>
          <w:rStyle w:val="FootnoteReference"/>
        </w:rPr>
        <w:footnoteReference w:id="4"/>
      </w:r>
    </w:p>
    <w:p w:rsidR="003E0558" w:rsidRDefault="002360BD" w:rsidP="003E0558">
      <w:r>
        <w:t>Harvey describes the Basis C</w:t>
      </w:r>
      <w:r w:rsidR="003E0558">
        <w:t>onsciousness as the mind going through stages of inactive and active states. An inactive state occurs when a person is in a deep and dreamless sleep. Harvey comes up with a good way of looking at the inactive and active mind by comparing this concept with a spider in its web. A spider sits on the centre of its web being completely still and inactive however, this can change when an insect hits the web which goes in all different directions. The spider runs along the thread to kill and suck out the juices of the insect. This idea is linked to the Buddhist idea of karma.</w:t>
      </w:r>
      <w:r w:rsidR="000C2F8E">
        <w:rPr>
          <w:rStyle w:val="FootnoteReference"/>
        </w:rPr>
        <w:footnoteReference w:id="5"/>
      </w:r>
      <w:r w:rsidR="003E0558">
        <w:t xml:space="preserve"> </w:t>
      </w:r>
    </w:p>
    <w:p w:rsidR="00670897" w:rsidRDefault="003E0558" w:rsidP="003E0558">
      <w:r>
        <w:t>Early Buddhist texts reveal the idea and notion of karma. Karma is made up of intentional activities of the body, language and mind. As karma is responsible for suffering and ignorance the key aspect of karma is intent, as intent is a cognitive condition. Therefore whatever ‘lacks cognition is both non-karmic and non-intentional.’ The way the Yogacara School of Buddhism uses the idea of karma is by the analysis and correction of what falls within the domain of cognitive conditions. Making the question about the ultimate reality of non-cognitive things is useless and irrelevant for solving the problem of karma.</w:t>
      </w:r>
      <w:r w:rsidR="000C2F8E">
        <w:rPr>
          <w:rStyle w:val="FootnoteReference"/>
        </w:rPr>
        <w:footnoteReference w:id="6"/>
      </w:r>
    </w:p>
    <w:p w:rsidR="003E0558" w:rsidRDefault="003E0558" w:rsidP="003E0558">
      <w:r>
        <w:t>To sum</w:t>
      </w:r>
      <w:r w:rsidR="0067156F">
        <w:t>marise</w:t>
      </w:r>
      <w:r>
        <w:t xml:space="preserve"> the Yogaca</w:t>
      </w:r>
      <w:r w:rsidR="0067156F">
        <w:t>ra Theory of Consciousness</w:t>
      </w:r>
      <w:r w:rsidR="002360BD">
        <w:t>,</w:t>
      </w:r>
      <w:r w:rsidR="0067156F">
        <w:t xml:space="preserve"> it is possible to say that</w:t>
      </w:r>
      <w:r>
        <w:t xml:space="preserve"> the Yogacarans develo</w:t>
      </w:r>
      <w:r w:rsidR="0067156F">
        <w:t>ped</w:t>
      </w:r>
      <w:r>
        <w:t xml:space="preserve"> the original Buddhist concept of the Six Consciousnesses into the Eight Consciousnesses. The additional two consciousnesses that Yogacara </w:t>
      </w:r>
      <w:r w:rsidR="002360BD">
        <w:t xml:space="preserve">established, the </w:t>
      </w:r>
      <w:proofErr w:type="spellStart"/>
      <w:r w:rsidR="002360BD">
        <w:t>Manas</w:t>
      </w:r>
      <w:proofErr w:type="spellEnd"/>
      <w:r w:rsidR="002360BD">
        <w:t xml:space="preserve"> and the Basis C</w:t>
      </w:r>
      <w:r w:rsidR="0067156F">
        <w:t xml:space="preserve">onsciousness assist and deepen </w:t>
      </w:r>
      <w:r>
        <w:t xml:space="preserve">the Yogacarans </w:t>
      </w:r>
      <w:r w:rsidR="0067156F">
        <w:t>search for the achievement of</w:t>
      </w:r>
      <w:r>
        <w:t xml:space="preserve"> enlightenment. One of the additional consciousnesses talks about the Basis Consciousness which needs to be transformed into a Stainless Consciousness. To do this the Yogacarans need to cultivate positive mental seeds and replace the negative mental seeds with positive mental seeds. Having cultivated positive mental seeds where there are no longer any negative mental seeds, this is when the Consciousness goes through the change from a Basis Consciousness to a Stainless Consciousness. This is linked to </w:t>
      </w:r>
      <w:r w:rsidR="00883AC1">
        <w:t>a further development of Yogacara</w:t>
      </w:r>
      <w:r>
        <w:t xml:space="preserve"> </w:t>
      </w:r>
      <w:r w:rsidR="002360BD">
        <w:t>Theory of C</w:t>
      </w:r>
      <w:r w:rsidR="00883AC1">
        <w:t xml:space="preserve">onsciousness, </w:t>
      </w:r>
      <w:r>
        <w:t>Three Self-Natures.</w:t>
      </w:r>
      <w:r w:rsidR="000C2F8E">
        <w:rPr>
          <w:rStyle w:val="FootnoteReference"/>
        </w:rPr>
        <w:footnoteReference w:id="7"/>
      </w:r>
    </w:p>
    <w:p w:rsidR="00D75236" w:rsidRDefault="00883AC1" w:rsidP="00D75236">
      <w:r>
        <w:t>The Yogacara</w:t>
      </w:r>
      <w:r w:rsidR="003E0558">
        <w:t xml:space="preserve"> notion of the Three Self-Natures is linked to Early Buddhism’s idea of the Self</w:t>
      </w:r>
      <w:r>
        <w:t xml:space="preserve"> or the Selfless Mind</w:t>
      </w:r>
      <w:r w:rsidR="003E0558">
        <w:t>. The idea of the Self is linked to the Notion of Enlightenment within Early Buddhism or today, Theravada Buddhism. To find enlightenment in Theravada Buddhism is to find the cessation of suffering or dukkha.</w:t>
      </w:r>
    </w:p>
    <w:p w:rsidR="00D75236" w:rsidRDefault="00D75236" w:rsidP="00D75236">
      <w:r>
        <w:t>Within Buddhism the release from dukkha is the main goal to achieve enlightenment and escape the</w:t>
      </w:r>
      <w:r w:rsidR="00E518E6">
        <w:t xml:space="preserve"> cycle of rebirth. The lack of </w:t>
      </w:r>
      <w:proofErr w:type="gramStart"/>
      <w:r w:rsidR="00E518E6">
        <w:t>S</w:t>
      </w:r>
      <w:r>
        <w:t>elf</w:t>
      </w:r>
      <w:proofErr w:type="gramEnd"/>
      <w:r>
        <w:t xml:space="preserve"> helps towards achieving enlightenment. Before enlight</w:t>
      </w:r>
      <w:r w:rsidR="00E518E6">
        <w:t>enment is achieved the Buddhist</w:t>
      </w:r>
      <w:r>
        <w:t xml:space="preserve"> needs to find a way of ceasing suffering. Early Buddhism does this by the noble eightfold path which can be split into three different sections. The three sections are wisdom, conduct and meditation. The noble eightfold path comprise of right view, right intention, right speech, right action, right livelihood, right effort, right mindfulness and right concentration. The first two relate to wisdom, the next three relate to conduct and the last three relate to meditation. </w:t>
      </w:r>
      <w:r w:rsidR="000C2F8E">
        <w:rPr>
          <w:rStyle w:val="FootnoteReference"/>
        </w:rPr>
        <w:footnoteReference w:id="8"/>
      </w:r>
    </w:p>
    <w:p w:rsidR="00D75236" w:rsidRDefault="00E518E6" w:rsidP="00D75236">
      <w:r>
        <w:lastRenderedPageBreak/>
        <w:t>Within E</w:t>
      </w:r>
      <w:r w:rsidR="00D75236">
        <w:t>arly Buddhism</w:t>
      </w:r>
      <w:r w:rsidR="00B5513B">
        <w:t>,</w:t>
      </w:r>
      <w:r w:rsidR="00D75236">
        <w:t xml:space="preserve"> suffering is see</w:t>
      </w:r>
      <w:r w:rsidR="002360BD">
        <w:t xml:space="preserve">n as </w:t>
      </w:r>
      <w:r w:rsidR="00D75236">
        <w:t>an attachment to something that is always changing, this include</w:t>
      </w:r>
      <w:r w:rsidR="00B221C6">
        <w:t>s</w:t>
      </w:r>
      <w:r>
        <w:t xml:space="preserve"> the S</w:t>
      </w:r>
      <w:r w:rsidR="00D75236">
        <w:t>elf.  This idea is link</w:t>
      </w:r>
      <w:r w:rsidR="00B221C6">
        <w:t>ed to the concept</w:t>
      </w:r>
      <w:r w:rsidR="00D75236">
        <w:t xml:space="preserve"> of dukkha</w:t>
      </w:r>
      <w:r w:rsidR="00B221C6">
        <w:t>,</w:t>
      </w:r>
      <w:r w:rsidR="00D75236">
        <w:t xml:space="preserve"> and by attachment to the changing </w:t>
      </w:r>
      <w:r>
        <w:t>S</w:t>
      </w:r>
      <w:r w:rsidR="00B221C6">
        <w:t>e</w:t>
      </w:r>
      <w:r w:rsidR="00D75236">
        <w:t>lf we cause dukkha</w:t>
      </w:r>
      <w:r w:rsidR="00B221C6">
        <w:t>.</w:t>
      </w:r>
      <w:r w:rsidR="00D75236">
        <w:t xml:space="preserve"> </w:t>
      </w:r>
      <w:r w:rsidR="00B221C6">
        <w:t>T</w:t>
      </w:r>
      <w:r w:rsidR="00D75236">
        <w:t xml:space="preserve">herefore the </w:t>
      </w:r>
      <w:r w:rsidR="00B221C6">
        <w:t>Buddhist</w:t>
      </w:r>
      <w:r w:rsidR="00D75236">
        <w:t xml:space="preserve"> will be </w:t>
      </w:r>
      <w:r w:rsidR="00B221C6">
        <w:t>trapped</w:t>
      </w:r>
      <w:r w:rsidR="002360BD">
        <w:t xml:space="preserve"> in</w:t>
      </w:r>
      <w:r w:rsidR="00D75236">
        <w:t>to the cycle of rebirth</w:t>
      </w:r>
      <w:r w:rsidR="00B221C6">
        <w:t>,</w:t>
      </w:r>
      <w:r w:rsidR="00D75236">
        <w:t xml:space="preserve"> unable to achieve enlight</w:t>
      </w:r>
      <w:r w:rsidR="00B221C6">
        <w:t>en</w:t>
      </w:r>
      <w:r w:rsidR="00D75236">
        <w:t xml:space="preserve">ment and </w:t>
      </w:r>
      <w:r w:rsidR="00B221C6">
        <w:t xml:space="preserve">to </w:t>
      </w:r>
      <w:r w:rsidR="00D75236">
        <w:t>free them</w:t>
      </w:r>
      <w:r w:rsidR="00B221C6">
        <w:t xml:space="preserve">selves from </w:t>
      </w:r>
      <w:r w:rsidR="00B221C6" w:rsidRPr="00B5513B">
        <w:t>the never ending cycl</w:t>
      </w:r>
      <w:r w:rsidR="00D75236" w:rsidRPr="00B5513B">
        <w:t xml:space="preserve">e of rebirth. </w:t>
      </w:r>
      <w:r w:rsidR="00B221C6" w:rsidRPr="00B5513B">
        <w:t>This concept is</w:t>
      </w:r>
      <w:r w:rsidR="00B221C6">
        <w:t xml:space="preserve"> link</w:t>
      </w:r>
      <w:r w:rsidR="002360BD">
        <w:t>ed</w:t>
      </w:r>
      <w:r w:rsidR="00B221C6">
        <w:t xml:space="preserve"> to the four noble truth</w:t>
      </w:r>
      <w:r w:rsidR="002360BD">
        <w:t>s</w:t>
      </w:r>
      <w:r w:rsidR="00B221C6">
        <w:t xml:space="preserve"> that govern the way the Buddhist should </w:t>
      </w:r>
      <w:r w:rsidR="00B5513B">
        <w:t>find</w:t>
      </w:r>
      <w:r w:rsidR="00B221C6">
        <w:t xml:space="preserve"> out about enlightenment and </w:t>
      </w:r>
      <w:r w:rsidR="00B5513B">
        <w:t xml:space="preserve">by </w:t>
      </w:r>
      <w:r w:rsidR="00B221C6">
        <w:t xml:space="preserve">using the </w:t>
      </w:r>
      <w:r w:rsidR="00B5513B" w:rsidRPr="00B5513B">
        <w:t>eight</w:t>
      </w:r>
      <w:r w:rsidR="00B221C6" w:rsidRPr="00B5513B">
        <w:t>fold</w:t>
      </w:r>
      <w:r w:rsidR="00B221C6">
        <w:t xml:space="preserve"> path and meditation to achieving enlightenment. The four noble truth</w:t>
      </w:r>
      <w:r w:rsidR="00B5513B">
        <w:t>s</w:t>
      </w:r>
      <w:r w:rsidR="00B221C6">
        <w:t xml:space="preserve"> </w:t>
      </w:r>
      <w:r w:rsidR="00B5513B">
        <w:t>are</w:t>
      </w:r>
      <w:r w:rsidR="00B221C6">
        <w:t xml:space="preserve"> suffering, the origin of suffering, the way to </w:t>
      </w:r>
      <w:r w:rsidR="00B5513B">
        <w:t>sufferings</w:t>
      </w:r>
      <w:r w:rsidR="00B221C6">
        <w:t xml:space="preserve"> cessation and the path that leads to the cessation</w:t>
      </w:r>
      <w:r w:rsidR="00B5513B">
        <w:t xml:space="preserve"> of suffering. T</w:t>
      </w:r>
      <w:r w:rsidR="00D865A2">
        <w:t>he fourth noble truth</w:t>
      </w:r>
      <w:r w:rsidR="00B5513B">
        <w:t>s lead</w:t>
      </w:r>
      <w:r w:rsidR="00D865A2">
        <w:t xml:space="preserve"> to the cure of dukkha and point</w:t>
      </w:r>
      <w:r w:rsidR="00B5513B">
        <w:t>s to the eight</w:t>
      </w:r>
      <w:r w:rsidR="00D865A2">
        <w:t xml:space="preserve">fold path that </w:t>
      </w:r>
      <w:r w:rsidR="00FB5E45">
        <w:t>fulfils</w:t>
      </w:r>
      <w:r w:rsidR="00D865A2">
        <w:t xml:space="preserve"> spiritual health.</w:t>
      </w:r>
      <w:r w:rsidR="000C2F8E">
        <w:rPr>
          <w:rStyle w:val="FootnoteReference"/>
        </w:rPr>
        <w:footnoteReference w:id="9"/>
      </w:r>
      <w:r w:rsidR="00D865A2">
        <w:t xml:space="preserve"> </w:t>
      </w:r>
    </w:p>
    <w:p w:rsidR="00094BB0" w:rsidRDefault="00094BB0" w:rsidP="00D75236">
      <w:r>
        <w:t>The four noble truth</w:t>
      </w:r>
      <w:r w:rsidR="009557C2">
        <w:t>s</w:t>
      </w:r>
      <w:r>
        <w:t xml:space="preserve"> are more advance</w:t>
      </w:r>
      <w:r w:rsidR="009557C2">
        <w:t>d</w:t>
      </w:r>
      <w:r>
        <w:t xml:space="preserve"> teaching</w:t>
      </w:r>
      <w:r w:rsidR="009557C2">
        <w:t>s</w:t>
      </w:r>
      <w:r>
        <w:t xml:space="preserve"> that come from the Buddha. These noble truth</w:t>
      </w:r>
      <w:r w:rsidR="009557C2">
        <w:t>s</w:t>
      </w:r>
      <w:r>
        <w:t xml:space="preserve"> were mention</w:t>
      </w:r>
      <w:r w:rsidR="009557C2">
        <w:t>ed</w:t>
      </w:r>
      <w:r>
        <w:t xml:space="preserve"> in the first sermon given by the Buddha after his enlightenment. </w:t>
      </w:r>
      <w:r w:rsidRPr="000C2F8E">
        <w:t>Harvey</w:t>
      </w:r>
      <w:r>
        <w:t xml:space="preserve"> elaborates on the four noble truth</w:t>
      </w:r>
      <w:r w:rsidR="009557C2">
        <w:t>s</w:t>
      </w:r>
      <w:r>
        <w:t xml:space="preserve"> and gives a parallel to a doctor’s practice of treating physical ailment. </w:t>
      </w:r>
      <w:r w:rsidR="00D865A2">
        <w:t>Th</w:t>
      </w:r>
      <w:r>
        <w:t xml:space="preserve">e first noble truth can be seen as the doctor diagnosing the ailment, the second noble truth can be related to the identification of the ailment, the third noble truth is </w:t>
      </w:r>
      <w:r w:rsidR="009557C2">
        <w:t>the</w:t>
      </w:r>
      <w:r w:rsidR="00D865A2">
        <w:t xml:space="preserve"> </w:t>
      </w:r>
      <w:r w:rsidR="009557C2">
        <w:t>analysis of</w:t>
      </w:r>
      <w:r>
        <w:t xml:space="preserve"> the ailment to work out if the ailment is curable and finally the fourth noble truth can be perceived as the finding and planning of the treatment of the cure for the ailment. </w:t>
      </w:r>
      <w:r w:rsidR="000C2F8E">
        <w:rPr>
          <w:rStyle w:val="FootnoteReference"/>
        </w:rPr>
        <w:footnoteReference w:id="10"/>
      </w:r>
    </w:p>
    <w:p w:rsidR="00D865A2" w:rsidRDefault="00D865A2" w:rsidP="00D75236">
      <w:r>
        <w:t>Suffering can be perceive as the holding on to or not letting go of objects and feelings that are not permanent and therefore causing dukkha. This concept is link</w:t>
      </w:r>
      <w:r w:rsidR="006F49B4">
        <w:t>ed</w:t>
      </w:r>
      <w:r w:rsidR="00E518E6">
        <w:t xml:space="preserve"> to the idea of the S</w:t>
      </w:r>
      <w:r>
        <w:t>elf within</w:t>
      </w:r>
      <w:r w:rsidR="006F49B4">
        <w:t xml:space="preserve"> the mind, i</w:t>
      </w:r>
      <w:r w:rsidR="00D8163D">
        <w:t>f a Buddhist is holding on</w:t>
      </w:r>
      <w:r w:rsidR="006F49B4">
        <w:t>to</w:t>
      </w:r>
      <w:r w:rsidR="00E518E6">
        <w:t xml:space="preserve"> the Self even though the S</w:t>
      </w:r>
      <w:r w:rsidR="00D8163D">
        <w:t>elf is a constantly changing entity. If the Buddhist continues to hold on</w:t>
      </w:r>
      <w:r w:rsidR="006F49B4">
        <w:t>to</w:t>
      </w:r>
      <w:r w:rsidR="00E518E6">
        <w:t xml:space="preserve"> the notion of the S</w:t>
      </w:r>
      <w:r w:rsidR="00D8163D">
        <w:t xml:space="preserve">elf the Buddhist cannot achieve enlightenment as they have not identified the cause of their dukkha which is related to the second noble truth. Therefore a key part of the path that leads to the cessation of suffering is by </w:t>
      </w:r>
      <w:r w:rsidR="00E518E6">
        <w:t>both accepting the N</w:t>
      </w:r>
      <w:r w:rsidR="00D8163D">
        <w:t>otion of the No Self</w:t>
      </w:r>
      <w:r w:rsidR="00E518E6">
        <w:t xml:space="preserve"> and denying the Self</w:t>
      </w:r>
      <w:r w:rsidR="00D8163D">
        <w:t xml:space="preserve">. </w:t>
      </w:r>
      <w:proofErr w:type="spellStart"/>
      <w:r w:rsidR="00D8163D">
        <w:t>Gethin</w:t>
      </w:r>
      <w:proofErr w:type="spellEnd"/>
      <w:r w:rsidR="00D8163D">
        <w:t xml:space="preserve"> states this idea </w:t>
      </w:r>
      <w:r w:rsidR="00C215E3">
        <w:t xml:space="preserve">is a rebuttal of the idea of </w:t>
      </w:r>
      <w:proofErr w:type="spellStart"/>
      <w:r w:rsidR="00C215E3">
        <w:t>Chandogya</w:t>
      </w:r>
      <w:proofErr w:type="spellEnd"/>
      <w:r w:rsidR="00C215E3">
        <w:t xml:space="preserve"> </w:t>
      </w:r>
      <w:proofErr w:type="spellStart"/>
      <w:r w:rsidR="00E518E6">
        <w:t>Upanisad</w:t>
      </w:r>
      <w:proofErr w:type="spellEnd"/>
      <w:r w:rsidR="00E518E6">
        <w:t xml:space="preserve"> which states that the S</w:t>
      </w:r>
      <w:r w:rsidR="00C215E3">
        <w:t xml:space="preserve">elf is free from suffering. </w:t>
      </w:r>
      <w:r w:rsidR="000C2F8E">
        <w:rPr>
          <w:rStyle w:val="FootnoteReference"/>
        </w:rPr>
        <w:footnoteReference w:id="11"/>
      </w:r>
    </w:p>
    <w:p w:rsidR="003E0558" w:rsidRDefault="00B221C6" w:rsidP="003E0558">
      <w:r>
        <w:t>Now this essay will turn it</w:t>
      </w:r>
      <w:r w:rsidR="006F49B4">
        <w:t>s</w:t>
      </w:r>
      <w:r w:rsidR="007F2E7D">
        <w:t xml:space="preserve"> focus on the comparison of</w:t>
      </w:r>
      <w:r>
        <w:t xml:space="preserve"> these two concept</w:t>
      </w:r>
      <w:r w:rsidR="006F49B4">
        <w:t>s</w:t>
      </w:r>
      <w:r>
        <w:t>. The two concept</w:t>
      </w:r>
      <w:r w:rsidR="006F49B4">
        <w:t>s</w:t>
      </w:r>
      <w:r>
        <w:t xml:space="preserve"> are the</w:t>
      </w:r>
      <w:r w:rsidR="006F49B4">
        <w:t xml:space="preserve"> Yogacara Theory of C</w:t>
      </w:r>
      <w:r>
        <w:t>onsciousness</w:t>
      </w:r>
      <w:r w:rsidR="007F2E7D">
        <w:t xml:space="preserve"> and the idea of S</w:t>
      </w:r>
      <w:r w:rsidR="00247A48">
        <w:t>elf within E</w:t>
      </w:r>
      <w:r>
        <w:t xml:space="preserve">arly </w:t>
      </w:r>
      <w:r w:rsidR="00247A48">
        <w:t xml:space="preserve">Buddhism </w:t>
      </w:r>
      <w:r>
        <w:t xml:space="preserve">or </w:t>
      </w:r>
      <w:r w:rsidR="006F49B4">
        <w:t>Theravada Buddhism. These Theories of M</w:t>
      </w:r>
      <w:r>
        <w:t>ind all link to</w:t>
      </w:r>
      <w:r w:rsidR="007F2E7D">
        <w:t xml:space="preserve"> a</w:t>
      </w:r>
      <w:r>
        <w:t xml:space="preserve"> key concept within Buddhism which is </w:t>
      </w:r>
      <w:r w:rsidR="00C215E3">
        <w:t>enlightenment. All Buddhist</w:t>
      </w:r>
      <w:r w:rsidR="006F49B4">
        <w:t>s</w:t>
      </w:r>
      <w:r w:rsidR="00C215E3">
        <w:t xml:space="preserve"> no matter what school of Buddhism </w:t>
      </w:r>
      <w:r w:rsidR="006F49B4">
        <w:t>they</w:t>
      </w:r>
      <w:r w:rsidR="00C215E3">
        <w:t xml:space="preserve"> follow</w:t>
      </w:r>
      <w:r w:rsidR="006F49B4">
        <w:t>,</w:t>
      </w:r>
      <w:r w:rsidR="00C215E3">
        <w:t xml:space="preserve"> the follower of Buddhism want</w:t>
      </w:r>
      <w:r w:rsidR="006F49B4">
        <w:t>s to</w:t>
      </w:r>
      <w:r w:rsidR="00C215E3">
        <w:t xml:space="preserve"> escape the cycle of rebirth and achieve enlightenment. </w:t>
      </w:r>
    </w:p>
    <w:p w:rsidR="007E05E4" w:rsidRDefault="00247A48" w:rsidP="003E0558">
      <w:r>
        <w:t xml:space="preserve">The path of enlightenment is a long </w:t>
      </w:r>
      <w:r w:rsidR="006F49B4">
        <w:t xml:space="preserve">one </w:t>
      </w:r>
      <w:r>
        <w:t xml:space="preserve">and can take more than one life time but the end goal is worth it </w:t>
      </w:r>
      <w:r w:rsidR="00F650A9">
        <w:t>to escape the cycle of rebirth</w:t>
      </w:r>
      <w:r w:rsidR="00E362F1">
        <w:t xml:space="preserve"> and achieve enlightenment</w:t>
      </w:r>
      <w:r w:rsidR="00F650A9">
        <w:t>. Within Yogacara the</w:t>
      </w:r>
      <w:r w:rsidR="007F2E7D">
        <w:t>y do this by using their T</w:t>
      </w:r>
      <w:r w:rsidR="006F49B4">
        <w:t>hree Self-N</w:t>
      </w:r>
      <w:r w:rsidR="00F650A9">
        <w:t>atures in</w:t>
      </w:r>
      <w:r w:rsidR="006F49B4">
        <w:t xml:space="preserve"> conjunction with the Theory of C</w:t>
      </w:r>
      <w:r w:rsidR="00F650A9">
        <w:t xml:space="preserve">onsciousness </w:t>
      </w:r>
      <w:r w:rsidR="006F49B4">
        <w:t>to achieve enlightenment.  The T</w:t>
      </w:r>
      <w:r w:rsidR="00F650A9">
        <w:t xml:space="preserve">heory of </w:t>
      </w:r>
      <w:r w:rsidR="006F49B4">
        <w:t>C</w:t>
      </w:r>
      <w:r w:rsidR="00C8329F">
        <w:t xml:space="preserve">onsciousness </w:t>
      </w:r>
      <w:r w:rsidR="001068E9">
        <w:t>he</w:t>
      </w:r>
      <w:r w:rsidR="00C8329F">
        <w:t xml:space="preserve">lps transform the consciousness to the state of consciousness that is required to achieve enlightenment. This is similar </w:t>
      </w:r>
      <w:r w:rsidR="007F2E7D">
        <w:t>to the idea of the S</w:t>
      </w:r>
      <w:r w:rsidR="001A0344">
        <w:t>elf within E</w:t>
      </w:r>
      <w:r w:rsidR="00C8329F">
        <w:t>arly Buddhism or Theravada</w:t>
      </w:r>
      <w:r w:rsidR="001A0344">
        <w:t xml:space="preserve"> Buddhism</w:t>
      </w:r>
      <w:r w:rsidR="006F49B4">
        <w:t>,</w:t>
      </w:r>
      <w:r w:rsidR="007E05E4">
        <w:t xml:space="preserve"> w</w:t>
      </w:r>
      <w:r w:rsidR="00A23E4F">
        <w:t>h</w:t>
      </w:r>
      <w:r w:rsidR="006F49B4">
        <w:t>ere the notion of the No S</w:t>
      </w:r>
      <w:r w:rsidR="007E05E4">
        <w:t>elf is require</w:t>
      </w:r>
      <w:r w:rsidR="00A23E4F">
        <w:t>d</w:t>
      </w:r>
      <w:r w:rsidR="007E05E4">
        <w:t xml:space="preserve"> to achieve </w:t>
      </w:r>
      <w:r w:rsidR="00B22ED3">
        <w:t>enlightenment. On the path that the Theravada Buddhist</w:t>
      </w:r>
      <w:r w:rsidR="006F49B4">
        <w:t>s</w:t>
      </w:r>
      <w:r w:rsidR="00B22ED3">
        <w:t xml:space="preserve"> take t</w:t>
      </w:r>
      <w:r w:rsidR="00F81FAD">
        <w:t xml:space="preserve">o be </w:t>
      </w:r>
      <w:r w:rsidR="006F49B4">
        <w:t>released</w:t>
      </w:r>
      <w:r w:rsidR="00F81FAD">
        <w:t xml:space="preserve"> from suffering or dukkha</w:t>
      </w:r>
      <w:r w:rsidR="006F49B4">
        <w:t>,</w:t>
      </w:r>
      <w:r w:rsidR="00F81FAD">
        <w:t xml:space="preserve"> the followers have to find </w:t>
      </w:r>
      <w:r w:rsidR="003B7C1C">
        <w:t xml:space="preserve">the cause of their suffering to be </w:t>
      </w:r>
      <w:r w:rsidR="006F49B4">
        <w:t>released</w:t>
      </w:r>
      <w:r w:rsidR="007F2E7D">
        <w:t>. This includes the Notion of the S</w:t>
      </w:r>
      <w:r w:rsidR="003B7C1C">
        <w:t xml:space="preserve">elf as impermanent and </w:t>
      </w:r>
      <w:r w:rsidR="005D59D0">
        <w:t xml:space="preserve">ever changing. Therefore by </w:t>
      </w:r>
      <w:r w:rsidR="007F2E7D">
        <w:t>both accepting the Notion of the No Self and denying the Self</w:t>
      </w:r>
      <w:r w:rsidR="00E362F1">
        <w:t xml:space="preserve"> </w:t>
      </w:r>
      <w:r w:rsidR="00074AD9">
        <w:t xml:space="preserve">it </w:t>
      </w:r>
      <w:r w:rsidR="00E362F1">
        <w:t xml:space="preserve">will help the Buddhist achieve enlightenment. </w:t>
      </w:r>
      <w:r w:rsidR="000C2F8E">
        <w:rPr>
          <w:rStyle w:val="FootnoteReference"/>
        </w:rPr>
        <w:footnoteReference w:id="12"/>
      </w:r>
    </w:p>
    <w:p w:rsidR="00CB3DA2" w:rsidRDefault="00E362F1" w:rsidP="003E0558">
      <w:r>
        <w:lastRenderedPageBreak/>
        <w:t xml:space="preserve">The </w:t>
      </w:r>
      <w:r w:rsidR="00D75E3D">
        <w:t>Theory of Mind</w:t>
      </w:r>
      <w:r>
        <w:t xml:space="preserve"> within Buddhism ha</w:t>
      </w:r>
      <w:r w:rsidR="00D75E3D">
        <w:t>s one overarching link which is that the Theory of Mind or Consciousness is a way of preparing</w:t>
      </w:r>
      <w:r>
        <w:t xml:space="preserve"> the mind for the achieve</w:t>
      </w:r>
      <w:r w:rsidR="00D75E3D">
        <w:t>ment of</w:t>
      </w:r>
      <w:r w:rsidR="00A6041E">
        <w:t xml:space="preserve"> enlightenment. </w:t>
      </w:r>
      <w:r w:rsidR="00D75E3D">
        <w:t>T</w:t>
      </w:r>
      <w:r w:rsidR="00A6041E">
        <w:t xml:space="preserve">he Buddhist </w:t>
      </w:r>
      <w:r w:rsidR="00D75E3D">
        <w:t xml:space="preserve">must </w:t>
      </w:r>
      <w:r w:rsidR="00A6041E">
        <w:t xml:space="preserve">be in the right mental state of mind to </w:t>
      </w:r>
      <w:r w:rsidR="00D75E3D">
        <w:t>achieve</w:t>
      </w:r>
      <w:r w:rsidR="00A6041E">
        <w:t xml:space="preserve"> the process of getting to the stage of enlightenment. How the Buddhist </w:t>
      </w:r>
      <w:r w:rsidR="00D75E3D">
        <w:t>achieves</w:t>
      </w:r>
      <w:r w:rsidR="00A6041E">
        <w:t xml:space="preserve"> the </w:t>
      </w:r>
      <w:r w:rsidR="00BC4CE9">
        <w:t xml:space="preserve">right state of mind or consciousness is what </w:t>
      </w:r>
      <w:r w:rsidR="00D75E3D">
        <w:t xml:space="preserve">differentiates </w:t>
      </w:r>
      <w:r w:rsidR="00BC4CE9">
        <w:t xml:space="preserve">the Yogacara School </w:t>
      </w:r>
      <w:r w:rsidR="00D75E3D">
        <w:t>from</w:t>
      </w:r>
      <w:r w:rsidR="00BC4CE9">
        <w:t xml:space="preserve"> the Theravada School of Buddhism. Within Theravada Buddhism they mainly </w:t>
      </w:r>
      <w:r w:rsidR="00D75E3D">
        <w:t>attain</w:t>
      </w:r>
      <w:r w:rsidR="00BC4CE9">
        <w:t xml:space="preserve"> the path of enlightenment through actions and the practice of mediation. The</w:t>
      </w:r>
      <w:r w:rsidR="00D75E3D">
        <w:t>y</w:t>
      </w:r>
      <w:r w:rsidR="00BC4CE9">
        <w:t xml:space="preserve"> also </w:t>
      </w:r>
      <w:r w:rsidR="00D75E3D">
        <w:t>achieve</w:t>
      </w:r>
      <w:r w:rsidR="00BC4CE9">
        <w:t xml:space="preserve"> this by follow</w:t>
      </w:r>
      <w:r w:rsidR="00D75E3D">
        <w:t>ing</w:t>
      </w:r>
      <w:r w:rsidR="00BC4CE9">
        <w:t xml:space="preserve"> key texts, practices and ideas of the Buddha </w:t>
      </w:r>
      <w:r w:rsidR="00CC56B9">
        <w:t>including the four noble truth</w:t>
      </w:r>
      <w:r w:rsidR="00D75E3D">
        <w:t>s and the eight</w:t>
      </w:r>
      <w:r w:rsidR="00D37915">
        <w:t>fold path, w</w:t>
      </w:r>
      <w:r w:rsidR="00D75E3D">
        <w:t>here</w:t>
      </w:r>
      <w:r w:rsidR="00CC56B9">
        <w:t xml:space="preserve">as the Yogacara Buddhist School is a middle way within Buddhism as a whole. Yogacara means the practice </w:t>
      </w:r>
      <w:r w:rsidR="00CB3DA2">
        <w:t xml:space="preserve">of </w:t>
      </w:r>
      <w:r w:rsidR="00D75E3D">
        <w:t>yoga;</w:t>
      </w:r>
      <w:r w:rsidR="00CB3DA2">
        <w:t xml:space="preserve"> therefore the Yogacarans try to cultivate positive mental se</w:t>
      </w:r>
      <w:r w:rsidR="00D75E3D">
        <w:t>eds to help to transform their Basis Consciousness to the Stainless C</w:t>
      </w:r>
      <w:r w:rsidR="00CB3DA2">
        <w:t xml:space="preserve">onsciousness which is required for enlightenment. </w:t>
      </w:r>
      <w:r w:rsidR="000C2F8E">
        <w:rPr>
          <w:rStyle w:val="FootnoteReference"/>
        </w:rPr>
        <w:footnoteReference w:id="13"/>
      </w:r>
    </w:p>
    <w:p w:rsidR="00CB3DA2" w:rsidRDefault="00CB3DA2" w:rsidP="003E0558">
      <w:r>
        <w:t>To conclude this essay it is very important to understand that practices with</w:t>
      </w:r>
      <w:r w:rsidR="00D75E3D">
        <w:t>in</w:t>
      </w:r>
      <w:r>
        <w:t xml:space="preserve"> different schools of Buddhism are interlink</w:t>
      </w:r>
      <w:r w:rsidR="00D75E3D">
        <w:t>ed</w:t>
      </w:r>
      <w:r>
        <w:t xml:space="preserve"> and there</w:t>
      </w:r>
      <w:r w:rsidR="00D75E3D">
        <w:t>fore the Theory of Mind or the Theory of C</w:t>
      </w:r>
      <w:r w:rsidR="00AF08A8">
        <w:t xml:space="preserve">onsciousness is a stage </w:t>
      </w:r>
      <w:r w:rsidR="00D75E3D">
        <w:t>and a</w:t>
      </w:r>
      <w:r w:rsidR="00AF08A8">
        <w:t xml:space="preserve"> part of the process of the journey </w:t>
      </w:r>
      <w:r w:rsidR="00D75E3D">
        <w:t>towards</w:t>
      </w:r>
      <w:r w:rsidR="00AF08A8">
        <w:t xml:space="preserve"> enlightenment. With</w:t>
      </w:r>
      <w:r w:rsidR="00D75E3D">
        <w:t>in the schools of E</w:t>
      </w:r>
      <w:r w:rsidR="00AF08A8">
        <w:t xml:space="preserve">arly or Theravada Buddhism and </w:t>
      </w:r>
      <w:r w:rsidR="00D75E3D">
        <w:t xml:space="preserve">the </w:t>
      </w:r>
      <w:r w:rsidR="00AF08A8">
        <w:t>Yogacara School of Buddhism</w:t>
      </w:r>
      <w:r w:rsidR="00D75E3D">
        <w:t>, Theory of Mind or C</w:t>
      </w:r>
      <w:r w:rsidR="00AF08A8">
        <w:t xml:space="preserve">onsciousness </w:t>
      </w:r>
      <w:r w:rsidR="00D75E3D">
        <w:t>are</w:t>
      </w:r>
      <w:r w:rsidR="00AF08A8">
        <w:t xml:space="preserve"> both in their own way link</w:t>
      </w:r>
      <w:r w:rsidR="00D75E3D">
        <w:t>ed</w:t>
      </w:r>
      <w:r w:rsidR="00AF08A8">
        <w:t xml:space="preserve"> to the process of enlightenment within the separate schools </w:t>
      </w:r>
      <w:r w:rsidR="00D37915">
        <w:t>of Buddhism. The N</w:t>
      </w:r>
      <w:r w:rsidR="00D75E3D">
        <w:t>otion of the Self and No S</w:t>
      </w:r>
      <w:r w:rsidR="00AF08A8">
        <w:t xml:space="preserve">elf in Theravada Buddhism is a key part of the path that leads to the cessation of suffering. </w:t>
      </w:r>
    </w:p>
    <w:p w:rsidR="00B5513B" w:rsidRPr="00B5513B" w:rsidRDefault="00D75E3D" w:rsidP="00B5513B">
      <w:pPr>
        <w:pStyle w:val="xmsonormal"/>
        <w:shd w:val="clear" w:color="auto" w:fill="FFFFFF"/>
        <w:spacing w:before="0" w:beforeAutospacing="0" w:after="0" w:afterAutospacing="0"/>
        <w:rPr>
          <w:rFonts w:ascii="Calibri" w:hAnsi="Calibri"/>
          <w:color w:val="000000"/>
          <w:sz w:val="22"/>
          <w:szCs w:val="22"/>
        </w:rPr>
      </w:pPr>
      <w:r>
        <w:rPr>
          <w:rFonts w:ascii="Calibri" w:hAnsi="Calibri"/>
          <w:color w:val="000000"/>
          <w:sz w:val="22"/>
          <w:szCs w:val="22"/>
        </w:rPr>
        <w:t>The Yogacara S</w:t>
      </w:r>
      <w:r w:rsidR="00B5513B" w:rsidRPr="00B5513B">
        <w:rPr>
          <w:rFonts w:ascii="Calibri" w:hAnsi="Calibri"/>
          <w:color w:val="000000"/>
          <w:sz w:val="22"/>
          <w:szCs w:val="22"/>
        </w:rPr>
        <w:t>chool of Buddhism</w:t>
      </w:r>
      <w:r>
        <w:rPr>
          <w:rFonts w:ascii="Calibri" w:hAnsi="Calibri"/>
          <w:color w:val="000000"/>
          <w:sz w:val="22"/>
          <w:szCs w:val="22"/>
        </w:rPr>
        <w:t>’s Theory of C</w:t>
      </w:r>
      <w:r w:rsidR="00B5513B" w:rsidRPr="00B5513B">
        <w:rPr>
          <w:rFonts w:ascii="Calibri" w:hAnsi="Calibri"/>
          <w:color w:val="000000"/>
          <w:sz w:val="22"/>
          <w:szCs w:val="22"/>
        </w:rPr>
        <w:t>onsciousness is use</w:t>
      </w:r>
      <w:r>
        <w:rPr>
          <w:rFonts w:ascii="Calibri" w:hAnsi="Calibri"/>
          <w:color w:val="000000"/>
          <w:sz w:val="22"/>
          <w:szCs w:val="22"/>
        </w:rPr>
        <w:t>d</w:t>
      </w:r>
      <w:r w:rsidR="00B5513B" w:rsidRPr="00B5513B">
        <w:rPr>
          <w:rFonts w:ascii="Calibri" w:hAnsi="Calibri"/>
          <w:color w:val="000000"/>
          <w:sz w:val="22"/>
          <w:szCs w:val="22"/>
        </w:rPr>
        <w:t xml:space="preserve"> by the Yogacarans to help perfect their consciousness by replacing the negative mental seeds that make up part of the consciousness. The positive mental seeds also make up the consciousness </w:t>
      </w:r>
      <w:r>
        <w:rPr>
          <w:rFonts w:ascii="Calibri" w:hAnsi="Calibri"/>
          <w:color w:val="000000"/>
          <w:sz w:val="22"/>
          <w:szCs w:val="22"/>
        </w:rPr>
        <w:t xml:space="preserve">and </w:t>
      </w:r>
      <w:r w:rsidR="00B5513B" w:rsidRPr="00B5513B">
        <w:rPr>
          <w:rFonts w:ascii="Calibri" w:hAnsi="Calibri"/>
          <w:color w:val="000000"/>
          <w:sz w:val="22"/>
          <w:szCs w:val="22"/>
        </w:rPr>
        <w:t>these seeds are required to transform the consciousness. The Yogacara School believes that the amount of seeds that comprise the consciousness is the total amount of seeds the consciousne</w:t>
      </w:r>
      <w:r>
        <w:rPr>
          <w:rFonts w:ascii="Calibri" w:hAnsi="Calibri"/>
          <w:color w:val="000000"/>
          <w:sz w:val="22"/>
          <w:szCs w:val="22"/>
        </w:rPr>
        <w:t>ss has and will ever have. The Theory of C</w:t>
      </w:r>
      <w:r w:rsidR="00B5513B" w:rsidRPr="00B5513B">
        <w:rPr>
          <w:rFonts w:ascii="Calibri" w:hAnsi="Calibri"/>
          <w:color w:val="000000"/>
          <w:sz w:val="22"/>
          <w:szCs w:val="22"/>
        </w:rPr>
        <w:t>onsciousness is different from Th</w:t>
      </w:r>
      <w:r w:rsidR="00D37915">
        <w:rPr>
          <w:rFonts w:ascii="Calibri" w:hAnsi="Calibri"/>
          <w:color w:val="000000"/>
          <w:sz w:val="22"/>
          <w:szCs w:val="22"/>
        </w:rPr>
        <w:t>eravada Buddhism N</w:t>
      </w:r>
      <w:r>
        <w:rPr>
          <w:rFonts w:ascii="Calibri" w:hAnsi="Calibri"/>
          <w:color w:val="000000"/>
          <w:sz w:val="22"/>
          <w:szCs w:val="22"/>
        </w:rPr>
        <w:t xml:space="preserve">otion </w:t>
      </w:r>
      <w:r w:rsidR="00D37915">
        <w:rPr>
          <w:rFonts w:ascii="Calibri" w:hAnsi="Calibri"/>
          <w:color w:val="000000"/>
          <w:sz w:val="22"/>
          <w:szCs w:val="22"/>
        </w:rPr>
        <w:t>of the Self or No Self, as the N</w:t>
      </w:r>
      <w:r>
        <w:rPr>
          <w:rFonts w:ascii="Calibri" w:hAnsi="Calibri"/>
          <w:color w:val="000000"/>
          <w:sz w:val="22"/>
          <w:szCs w:val="22"/>
        </w:rPr>
        <w:t>otion of No Self is the denial of the Self and the S</w:t>
      </w:r>
      <w:r w:rsidR="00B5513B" w:rsidRPr="00B5513B">
        <w:rPr>
          <w:rFonts w:ascii="Calibri" w:hAnsi="Calibri"/>
          <w:color w:val="000000"/>
          <w:sz w:val="22"/>
          <w:szCs w:val="22"/>
        </w:rPr>
        <w:t>elf is a cause of suffering. Theravada Buddhist</w:t>
      </w:r>
      <w:r w:rsidR="00DA3AF1">
        <w:rPr>
          <w:rFonts w:ascii="Calibri" w:hAnsi="Calibri"/>
          <w:color w:val="000000"/>
          <w:sz w:val="22"/>
          <w:szCs w:val="22"/>
        </w:rPr>
        <w:t>’s</w:t>
      </w:r>
      <w:r w:rsidR="00B5513B" w:rsidRPr="00B5513B">
        <w:rPr>
          <w:rFonts w:ascii="Calibri" w:hAnsi="Calibri"/>
          <w:color w:val="000000"/>
          <w:sz w:val="22"/>
          <w:szCs w:val="22"/>
        </w:rPr>
        <w:t xml:space="preserve"> believe that the path </w:t>
      </w:r>
      <w:r w:rsidR="00DA3AF1">
        <w:rPr>
          <w:rFonts w:ascii="Calibri" w:hAnsi="Calibri"/>
          <w:color w:val="000000"/>
          <w:sz w:val="22"/>
          <w:szCs w:val="22"/>
        </w:rPr>
        <w:t>to</w:t>
      </w:r>
      <w:r w:rsidR="00B5513B" w:rsidRPr="00B5513B">
        <w:rPr>
          <w:rFonts w:ascii="Calibri" w:hAnsi="Calibri"/>
          <w:color w:val="000000"/>
          <w:sz w:val="22"/>
          <w:szCs w:val="22"/>
        </w:rPr>
        <w:t xml:space="preserve"> enlightenment is </w:t>
      </w:r>
      <w:r w:rsidR="00DA3AF1">
        <w:rPr>
          <w:rFonts w:ascii="Calibri" w:hAnsi="Calibri"/>
          <w:color w:val="000000"/>
          <w:sz w:val="22"/>
          <w:szCs w:val="22"/>
        </w:rPr>
        <w:t xml:space="preserve">reached </w:t>
      </w:r>
      <w:r w:rsidR="00B5513B" w:rsidRPr="00B5513B">
        <w:rPr>
          <w:rFonts w:ascii="Calibri" w:hAnsi="Calibri"/>
          <w:color w:val="000000"/>
          <w:sz w:val="22"/>
          <w:szCs w:val="22"/>
        </w:rPr>
        <w:t xml:space="preserve">by finding the way to </w:t>
      </w:r>
      <w:r w:rsidR="00DA3AF1">
        <w:rPr>
          <w:rFonts w:ascii="Calibri" w:hAnsi="Calibri"/>
          <w:color w:val="000000"/>
          <w:sz w:val="22"/>
          <w:szCs w:val="22"/>
        </w:rPr>
        <w:t xml:space="preserve">the </w:t>
      </w:r>
      <w:r w:rsidR="00B5513B" w:rsidRPr="00B5513B">
        <w:rPr>
          <w:rFonts w:ascii="Calibri" w:hAnsi="Calibri"/>
          <w:color w:val="000000"/>
          <w:sz w:val="22"/>
          <w:szCs w:val="22"/>
        </w:rPr>
        <w:t>cessation of suffering.</w:t>
      </w:r>
    </w:p>
    <w:p w:rsidR="00B5513B" w:rsidRPr="00B5513B" w:rsidRDefault="00B5513B" w:rsidP="00B5513B">
      <w:pPr>
        <w:pStyle w:val="xmsonormal"/>
        <w:shd w:val="clear" w:color="auto" w:fill="FFFFFF"/>
        <w:spacing w:before="0" w:beforeAutospacing="0" w:after="0" w:afterAutospacing="0"/>
        <w:rPr>
          <w:rFonts w:ascii="Calibri" w:hAnsi="Calibri"/>
          <w:color w:val="000000"/>
          <w:sz w:val="22"/>
          <w:szCs w:val="22"/>
        </w:rPr>
      </w:pPr>
    </w:p>
    <w:p w:rsidR="00B5513B" w:rsidRDefault="00DA3AF1" w:rsidP="00B5513B">
      <w:pPr>
        <w:pStyle w:val="xmsonormal"/>
        <w:shd w:val="clear" w:color="auto" w:fill="FFFFFF"/>
        <w:spacing w:before="0" w:beforeAutospacing="0" w:after="0" w:afterAutospacing="0"/>
        <w:rPr>
          <w:rFonts w:ascii="Calibri" w:hAnsi="Calibri"/>
          <w:color w:val="000000"/>
          <w:sz w:val="22"/>
          <w:szCs w:val="22"/>
        </w:rPr>
      </w:pPr>
      <w:r w:rsidRPr="00214C6D">
        <w:rPr>
          <w:rFonts w:ascii="Calibri" w:hAnsi="Calibri"/>
          <w:color w:val="000000"/>
          <w:sz w:val="22"/>
          <w:szCs w:val="22"/>
        </w:rPr>
        <w:t>In conclusion</w:t>
      </w:r>
      <w:r w:rsidR="00214C6D" w:rsidRPr="00214C6D">
        <w:rPr>
          <w:rFonts w:ascii="Calibri" w:hAnsi="Calibri"/>
          <w:color w:val="000000"/>
          <w:sz w:val="22"/>
          <w:szCs w:val="22"/>
        </w:rPr>
        <w:t>,</w:t>
      </w:r>
      <w:r w:rsidRPr="00214C6D">
        <w:rPr>
          <w:rFonts w:ascii="Calibri" w:hAnsi="Calibri"/>
          <w:color w:val="000000"/>
          <w:sz w:val="22"/>
          <w:szCs w:val="22"/>
        </w:rPr>
        <w:t xml:space="preserve"> the Theory of Consciousness</w:t>
      </w:r>
      <w:r>
        <w:rPr>
          <w:rFonts w:ascii="Calibri" w:hAnsi="Calibri"/>
          <w:color w:val="000000"/>
          <w:sz w:val="22"/>
          <w:szCs w:val="22"/>
        </w:rPr>
        <w:t xml:space="preserve"> from the Yogacara S</w:t>
      </w:r>
      <w:r w:rsidR="00B5513B" w:rsidRPr="00B5513B">
        <w:rPr>
          <w:rFonts w:ascii="Calibri" w:hAnsi="Calibri"/>
          <w:color w:val="000000"/>
          <w:sz w:val="22"/>
          <w:szCs w:val="22"/>
        </w:rPr>
        <w:t>chool</w:t>
      </w:r>
      <w:r>
        <w:rPr>
          <w:rFonts w:ascii="Calibri" w:hAnsi="Calibri"/>
          <w:color w:val="000000"/>
          <w:sz w:val="22"/>
          <w:szCs w:val="22"/>
        </w:rPr>
        <w:t xml:space="preserve"> of Buddhism and the notion of S</w:t>
      </w:r>
      <w:r w:rsidR="00B5513B" w:rsidRPr="00B5513B">
        <w:rPr>
          <w:rFonts w:ascii="Calibri" w:hAnsi="Calibri"/>
          <w:color w:val="000000"/>
          <w:sz w:val="22"/>
          <w:szCs w:val="22"/>
        </w:rPr>
        <w:t xml:space="preserve">elf in Early Buddhism or Theravada Buddhism are both different and similar </w:t>
      </w:r>
      <w:r>
        <w:rPr>
          <w:rFonts w:ascii="Calibri" w:hAnsi="Calibri"/>
          <w:color w:val="000000"/>
          <w:sz w:val="22"/>
          <w:szCs w:val="22"/>
        </w:rPr>
        <w:t>to the Theory of M</w:t>
      </w:r>
      <w:r w:rsidR="00B5513B" w:rsidRPr="00B5513B">
        <w:rPr>
          <w:rFonts w:ascii="Calibri" w:hAnsi="Calibri"/>
          <w:color w:val="000000"/>
          <w:sz w:val="22"/>
          <w:szCs w:val="22"/>
        </w:rPr>
        <w:t xml:space="preserve">ind within Buddhism. </w:t>
      </w:r>
      <w:r>
        <w:rPr>
          <w:rFonts w:ascii="Calibri" w:hAnsi="Calibri"/>
          <w:color w:val="000000"/>
          <w:sz w:val="22"/>
          <w:szCs w:val="22"/>
        </w:rPr>
        <w:t>They</w:t>
      </w:r>
      <w:r w:rsidR="00B5513B" w:rsidRPr="00B5513B">
        <w:rPr>
          <w:rFonts w:ascii="Calibri" w:hAnsi="Calibri"/>
          <w:color w:val="000000"/>
          <w:sz w:val="22"/>
          <w:szCs w:val="22"/>
        </w:rPr>
        <w:t xml:space="preserve"> are similar in the fact these theor</w:t>
      </w:r>
      <w:r w:rsidR="00214C6D">
        <w:rPr>
          <w:rFonts w:ascii="Calibri" w:hAnsi="Calibri"/>
          <w:color w:val="000000"/>
          <w:sz w:val="22"/>
          <w:szCs w:val="22"/>
        </w:rPr>
        <w:t>ies are inter</w:t>
      </w:r>
      <w:r w:rsidR="00B5513B" w:rsidRPr="00B5513B">
        <w:rPr>
          <w:rFonts w:ascii="Calibri" w:hAnsi="Calibri"/>
          <w:color w:val="000000"/>
          <w:sz w:val="22"/>
          <w:szCs w:val="22"/>
        </w:rPr>
        <w:t>twined with the process of enlightenment for both these school</w:t>
      </w:r>
      <w:r w:rsidR="00214C6D">
        <w:rPr>
          <w:rFonts w:ascii="Calibri" w:hAnsi="Calibri"/>
          <w:color w:val="000000"/>
          <w:sz w:val="22"/>
          <w:szCs w:val="22"/>
        </w:rPr>
        <w:t>s</w:t>
      </w:r>
      <w:r w:rsidR="00B5513B" w:rsidRPr="00B5513B">
        <w:rPr>
          <w:rFonts w:ascii="Calibri" w:hAnsi="Calibri"/>
          <w:color w:val="000000"/>
          <w:sz w:val="22"/>
          <w:szCs w:val="22"/>
        </w:rPr>
        <w:t xml:space="preserve"> in their own unique way. These theor</w:t>
      </w:r>
      <w:r w:rsidR="00214C6D">
        <w:rPr>
          <w:rFonts w:ascii="Calibri" w:hAnsi="Calibri"/>
          <w:color w:val="000000"/>
          <w:sz w:val="22"/>
          <w:szCs w:val="22"/>
        </w:rPr>
        <w:t>ies</w:t>
      </w:r>
      <w:r w:rsidR="00B5513B" w:rsidRPr="00B5513B">
        <w:rPr>
          <w:rFonts w:ascii="Calibri" w:hAnsi="Calibri"/>
          <w:color w:val="000000"/>
          <w:sz w:val="22"/>
          <w:szCs w:val="22"/>
        </w:rPr>
        <w:t xml:space="preserve"> are different in the role they play and how the followers put these theor</w:t>
      </w:r>
      <w:r w:rsidR="00214C6D">
        <w:rPr>
          <w:rFonts w:ascii="Calibri" w:hAnsi="Calibri"/>
          <w:color w:val="000000"/>
          <w:sz w:val="22"/>
          <w:szCs w:val="22"/>
        </w:rPr>
        <w:t>ies into practice. These theories</w:t>
      </w:r>
      <w:r w:rsidR="00B5513B" w:rsidRPr="00B5513B">
        <w:rPr>
          <w:rFonts w:ascii="Calibri" w:hAnsi="Calibri"/>
          <w:color w:val="000000"/>
          <w:sz w:val="22"/>
          <w:szCs w:val="22"/>
        </w:rPr>
        <w:t xml:space="preserve"> are </w:t>
      </w:r>
      <w:r w:rsidR="00214C6D">
        <w:rPr>
          <w:rFonts w:ascii="Calibri" w:hAnsi="Calibri"/>
          <w:color w:val="000000"/>
          <w:sz w:val="22"/>
          <w:szCs w:val="22"/>
        </w:rPr>
        <w:t xml:space="preserve">also </w:t>
      </w:r>
      <w:r w:rsidR="00B5513B" w:rsidRPr="00B5513B">
        <w:rPr>
          <w:rFonts w:ascii="Calibri" w:hAnsi="Calibri"/>
          <w:color w:val="000000"/>
          <w:sz w:val="22"/>
          <w:szCs w:val="22"/>
        </w:rPr>
        <w:t xml:space="preserve">different by their very </w:t>
      </w:r>
      <w:r w:rsidR="00214C6D">
        <w:rPr>
          <w:rFonts w:ascii="Calibri" w:hAnsi="Calibri"/>
          <w:color w:val="000000"/>
          <w:sz w:val="22"/>
          <w:szCs w:val="22"/>
        </w:rPr>
        <w:t>own natures of</w:t>
      </w:r>
      <w:r w:rsidR="00B5513B" w:rsidRPr="00B5513B">
        <w:rPr>
          <w:rFonts w:ascii="Calibri" w:hAnsi="Calibri"/>
          <w:color w:val="000000"/>
          <w:sz w:val="22"/>
          <w:szCs w:val="22"/>
        </w:rPr>
        <w:t xml:space="preserve"> deny</w:t>
      </w:r>
      <w:r w:rsidR="00214C6D">
        <w:rPr>
          <w:rFonts w:ascii="Calibri" w:hAnsi="Calibri"/>
          <w:color w:val="000000"/>
          <w:sz w:val="22"/>
          <w:szCs w:val="22"/>
        </w:rPr>
        <w:t>ing</w:t>
      </w:r>
      <w:r w:rsidR="00B5513B" w:rsidRPr="00B5513B">
        <w:rPr>
          <w:rFonts w:ascii="Calibri" w:hAnsi="Calibri"/>
          <w:color w:val="000000"/>
          <w:sz w:val="22"/>
          <w:szCs w:val="22"/>
        </w:rPr>
        <w:t xml:space="preserve"> the self while the other </w:t>
      </w:r>
      <w:r w:rsidR="00214C6D">
        <w:rPr>
          <w:rFonts w:ascii="Calibri" w:hAnsi="Calibri"/>
          <w:color w:val="000000"/>
          <w:sz w:val="22"/>
          <w:szCs w:val="22"/>
        </w:rPr>
        <w:t>states the S</w:t>
      </w:r>
      <w:r w:rsidR="00B5513B" w:rsidRPr="00B5513B">
        <w:rPr>
          <w:rFonts w:ascii="Calibri" w:hAnsi="Calibri"/>
          <w:color w:val="000000"/>
          <w:sz w:val="22"/>
          <w:szCs w:val="22"/>
        </w:rPr>
        <w:t xml:space="preserve">elf which makes up the consciousness </w:t>
      </w:r>
      <w:r w:rsidR="00214C6D">
        <w:rPr>
          <w:rFonts w:ascii="Calibri" w:hAnsi="Calibri"/>
          <w:color w:val="000000"/>
          <w:sz w:val="22"/>
          <w:szCs w:val="22"/>
        </w:rPr>
        <w:t xml:space="preserve">which </w:t>
      </w:r>
      <w:r w:rsidR="00B5513B" w:rsidRPr="00B5513B">
        <w:rPr>
          <w:rFonts w:ascii="Calibri" w:hAnsi="Calibri"/>
          <w:color w:val="000000"/>
          <w:sz w:val="22"/>
          <w:szCs w:val="22"/>
        </w:rPr>
        <w:t xml:space="preserve">needs to </w:t>
      </w:r>
      <w:r w:rsidR="00214C6D">
        <w:rPr>
          <w:rFonts w:ascii="Calibri" w:hAnsi="Calibri"/>
          <w:color w:val="000000"/>
          <w:sz w:val="22"/>
          <w:szCs w:val="22"/>
        </w:rPr>
        <w:t xml:space="preserve">be </w:t>
      </w:r>
      <w:r w:rsidR="00B5513B" w:rsidRPr="00B5513B">
        <w:rPr>
          <w:rFonts w:ascii="Calibri" w:hAnsi="Calibri"/>
          <w:color w:val="000000"/>
          <w:sz w:val="22"/>
          <w:szCs w:val="22"/>
        </w:rPr>
        <w:t>transform</w:t>
      </w:r>
      <w:r w:rsidR="00214C6D">
        <w:rPr>
          <w:rFonts w:ascii="Calibri" w:hAnsi="Calibri"/>
          <w:color w:val="000000"/>
          <w:sz w:val="22"/>
          <w:szCs w:val="22"/>
        </w:rPr>
        <w:t>ed into a Stainless C</w:t>
      </w:r>
      <w:r w:rsidR="00B5513B" w:rsidRPr="00B5513B">
        <w:rPr>
          <w:rFonts w:ascii="Calibri" w:hAnsi="Calibri"/>
          <w:color w:val="000000"/>
          <w:sz w:val="22"/>
          <w:szCs w:val="22"/>
        </w:rPr>
        <w:t>onsciousness and be perfect</w:t>
      </w:r>
      <w:r w:rsidR="00214C6D">
        <w:rPr>
          <w:rFonts w:ascii="Calibri" w:hAnsi="Calibri"/>
          <w:color w:val="000000"/>
          <w:sz w:val="22"/>
          <w:szCs w:val="22"/>
        </w:rPr>
        <w:t>ed</w:t>
      </w:r>
      <w:r w:rsidR="00B5513B" w:rsidRPr="00B5513B">
        <w:rPr>
          <w:rFonts w:ascii="Calibri" w:hAnsi="Calibri"/>
          <w:color w:val="000000"/>
          <w:sz w:val="22"/>
          <w:szCs w:val="22"/>
        </w:rPr>
        <w:t xml:space="preserve"> in respect to the</w:t>
      </w:r>
      <w:r w:rsidR="00214C6D">
        <w:rPr>
          <w:rFonts w:ascii="Calibri" w:hAnsi="Calibri"/>
          <w:color w:val="000000"/>
          <w:sz w:val="22"/>
          <w:szCs w:val="22"/>
        </w:rPr>
        <w:t xml:space="preserve"> Three Self-N</w:t>
      </w:r>
      <w:r w:rsidR="00B5513B" w:rsidRPr="00B5513B">
        <w:rPr>
          <w:rFonts w:ascii="Calibri" w:hAnsi="Calibri"/>
          <w:color w:val="000000"/>
          <w:sz w:val="22"/>
          <w:szCs w:val="22"/>
        </w:rPr>
        <w:t>atures. These theories are both unique to the school of which they belong.</w:t>
      </w: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B5513B">
      <w:pPr>
        <w:pStyle w:val="xmsonormal"/>
        <w:shd w:val="clear" w:color="auto" w:fill="FFFFFF"/>
        <w:spacing w:before="0" w:beforeAutospacing="0" w:after="0" w:afterAutospacing="0"/>
        <w:rPr>
          <w:rFonts w:ascii="Calibri" w:hAnsi="Calibri"/>
          <w:color w:val="000000"/>
          <w:sz w:val="22"/>
          <w:szCs w:val="22"/>
        </w:rPr>
      </w:pPr>
    </w:p>
    <w:p w:rsidR="000C2F8E" w:rsidRDefault="000C2F8E" w:rsidP="000C2F8E">
      <w:pPr>
        <w:widowControl w:val="0"/>
        <w:autoSpaceDE w:val="0"/>
        <w:autoSpaceDN w:val="0"/>
        <w:adjustRightInd w:val="0"/>
        <w:spacing w:after="0" w:line="240" w:lineRule="auto"/>
        <w:ind w:left="480" w:hanging="480"/>
        <w:rPr>
          <w:rFonts w:ascii="Calibri" w:hAnsi="Calibri"/>
          <w:color w:val="000000"/>
        </w:rPr>
      </w:pPr>
      <w:r>
        <w:rPr>
          <w:rFonts w:ascii="Calibri" w:hAnsi="Calibri"/>
          <w:color w:val="000000"/>
        </w:rPr>
        <w:t xml:space="preserve">Bibliography </w:t>
      </w:r>
    </w:p>
    <w:p w:rsidR="000C2F8E" w:rsidRDefault="000C2F8E" w:rsidP="000C2F8E">
      <w:pPr>
        <w:widowControl w:val="0"/>
        <w:autoSpaceDE w:val="0"/>
        <w:autoSpaceDN w:val="0"/>
        <w:adjustRightInd w:val="0"/>
        <w:spacing w:after="0" w:line="240" w:lineRule="auto"/>
        <w:ind w:left="480" w:hanging="480"/>
        <w:rPr>
          <w:rFonts w:ascii="Calibri" w:hAnsi="Calibri"/>
          <w:color w:val="000000"/>
        </w:rPr>
      </w:pPr>
    </w:p>
    <w:p w:rsidR="006B3977" w:rsidRPr="006B3977" w:rsidRDefault="006B3977" w:rsidP="006B3977">
      <w:pPr>
        <w:widowControl w:val="0"/>
        <w:autoSpaceDE w:val="0"/>
        <w:autoSpaceDN w:val="0"/>
        <w:adjustRightInd w:val="0"/>
        <w:spacing w:line="240" w:lineRule="auto"/>
        <w:ind w:left="480" w:hanging="480"/>
        <w:rPr>
          <w:rFonts w:ascii="Calibri" w:hAnsi="Calibri" w:cs="Times New Roman"/>
          <w:noProof/>
          <w:szCs w:val="24"/>
        </w:rPr>
      </w:pPr>
      <w:r>
        <w:fldChar w:fldCharType="begin" w:fldLock="1"/>
      </w:r>
      <w:r>
        <w:instrText xml:space="preserve">ADDIN Mendeley Bibliography CSL_BIBLIOGRAPHY </w:instrText>
      </w:r>
      <w:r>
        <w:fldChar w:fldCharType="separate"/>
      </w:r>
      <w:r w:rsidRPr="006B3977">
        <w:rPr>
          <w:rFonts w:ascii="Calibri" w:hAnsi="Calibri" w:cs="Times New Roman"/>
          <w:noProof/>
          <w:szCs w:val="24"/>
        </w:rPr>
        <w:t xml:space="preserve">Gethin, Rupert, </w:t>
      </w:r>
      <w:r w:rsidRPr="006B3977">
        <w:rPr>
          <w:rFonts w:ascii="Calibri" w:hAnsi="Calibri" w:cs="Times New Roman"/>
          <w:i/>
          <w:iCs/>
          <w:noProof/>
          <w:szCs w:val="24"/>
        </w:rPr>
        <w:t>The Foundations of Buddhism</w:t>
      </w:r>
      <w:r w:rsidRPr="006B3977">
        <w:rPr>
          <w:rFonts w:ascii="Calibri" w:hAnsi="Calibri" w:cs="Times New Roman"/>
          <w:noProof/>
          <w:szCs w:val="24"/>
        </w:rPr>
        <w:t xml:space="preserve">, </w:t>
      </w:r>
      <w:r w:rsidRPr="006B3977">
        <w:rPr>
          <w:rFonts w:ascii="Calibri" w:hAnsi="Calibri" w:cs="Times New Roman"/>
          <w:i/>
          <w:iCs/>
          <w:noProof/>
          <w:szCs w:val="24"/>
        </w:rPr>
        <w:t>Theology</w:t>
      </w:r>
      <w:r w:rsidRPr="006B3977">
        <w:rPr>
          <w:rFonts w:ascii="Calibri" w:hAnsi="Calibri" w:cs="Times New Roman"/>
          <w:noProof/>
          <w:szCs w:val="24"/>
        </w:rPr>
        <w:t>, 1998 &lt;https://doi.org/10.1007/s13398-014-0173-7.2&gt;</w:t>
      </w:r>
    </w:p>
    <w:p w:rsidR="006B3977" w:rsidRPr="006B3977" w:rsidRDefault="006B3977" w:rsidP="006B3977">
      <w:pPr>
        <w:widowControl w:val="0"/>
        <w:autoSpaceDE w:val="0"/>
        <w:autoSpaceDN w:val="0"/>
        <w:adjustRightInd w:val="0"/>
        <w:spacing w:line="240" w:lineRule="auto"/>
        <w:ind w:left="480" w:hanging="480"/>
        <w:rPr>
          <w:rFonts w:ascii="Calibri" w:hAnsi="Calibri" w:cs="Times New Roman"/>
          <w:noProof/>
          <w:szCs w:val="24"/>
        </w:rPr>
      </w:pPr>
      <w:r w:rsidRPr="006B3977">
        <w:rPr>
          <w:rFonts w:ascii="Calibri" w:hAnsi="Calibri" w:cs="Times New Roman"/>
          <w:noProof/>
          <w:szCs w:val="24"/>
        </w:rPr>
        <w:t xml:space="preserve">Harvey, Peter, ‘The Selfless Mind: Personality, Consciousness, and Nirvana in Early Buddhism’, </w:t>
      </w:r>
      <w:r w:rsidRPr="006B3977">
        <w:rPr>
          <w:rFonts w:ascii="Calibri" w:hAnsi="Calibri" w:cs="Times New Roman"/>
          <w:i/>
          <w:iCs/>
          <w:noProof/>
          <w:szCs w:val="24"/>
        </w:rPr>
        <w:t>Cultural Studies</w:t>
      </w:r>
      <w:r w:rsidRPr="006B3977">
        <w:rPr>
          <w:rFonts w:ascii="Calibri" w:hAnsi="Calibri" w:cs="Times New Roman"/>
          <w:noProof/>
          <w:szCs w:val="24"/>
        </w:rPr>
        <w:t>, 2004</w:t>
      </w:r>
    </w:p>
    <w:p w:rsidR="006B3977" w:rsidRPr="006B3977" w:rsidRDefault="006B3977" w:rsidP="006B3977">
      <w:pPr>
        <w:widowControl w:val="0"/>
        <w:autoSpaceDE w:val="0"/>
        <w:autoSpaceDN w:val="0"/>
        <w:adjustRightInd w:val="0"/>
        <w:spacing w:line="240" w:lineRule="auto"/>
        <w:ind w:left="480" w:hanging="480"/>
        <w:rPr>
          <w:rFonts w:ascii="Calibri" w:hAnsi="Calibri" w:cs="Times New Roman"/>
          <w:noProof/>
          <w:szCs w:val="24"/>
        </w:rPr>
      </w:pPr>
      <w:r w:rsidRPr="006B3977">
        <w:rPr>
          <w:rFonts w:ascii="Calibri" w:hAnsi="Calibri" w:cs="Times New Roman"/>
          <w:noProof/>
          <w:szCs w:val="24"/>
        </w:rPr>
        <w:t xml:space="preserve">Harvey, Peter (Brian Peter), </w:t>
      </w:r>
      <w:r w:rsidRPr="006B3977">
        <w:rPr>
          <w:rFonts w:ascii="Calibri" w:hAnsi="Calibri" w:cs="Times New Roman"/>
          <w:i/>
          <w:iCs/>
          <w:noProof/>
          <w:szCs w:val="24"/>
        </w:rPr>
        <w:t>An Introduction to Buddhism : Teachings, History and Practices</w:t>
      </w:r>
      <w:r w:rsidRPr="006B3977">
        <w:rPr>
          <w:rFonts w:ascii="Calibri" w:hAnsi="Calibri" w:cs="Times New Roman"/>
          <w:noProof/>
          <w:szCs w:val="24"/>
        </w:rPr>
        <w:t>, Second edi (Cambridge ;;New York: Cambridge University Press, 2013) &lt;http://www.worldcat.org/title/introduction-to-buddhism-teachings-history-and-practices/oclc/866921509&amp;referer=brief_results&gt; [accessed 8 March 2018]</w:t>
      </w:r>
    </w:p>
    <w:p w:rsidR="006B3977" w:rsidRPr="006B3977" w:rsidRDefault="006B3977" w:rsidP="006B3977">
      <w:pPr>
        <w:widowControl w:val="0"/>
        <w:autoSpaceDE w:val="0"/>
        <w:autoSpaceDN w:val="0"/>
        <w:adjustRightInd w:val="0"/>
        <w:spacing w:line="240" w:lineRule="auto"/>
        <w:ind w:left="480" w:hanging="480"/>
        <w:rPr>
          <w:rFonts w:ascii="Calibri" w:hAnsi="Calibri" w:cs="Times New Roman"/>
          <w:noProof/>
          <w:szCs w:val="24"/>
        </w:rPr>
      </w:pPr>
      <w:r w:rsidRPr="006B3977">
        <w:rPr>
          <w:rFonts w:ascii="Calibri" w:hAnsi="Calibri" w:cs="Times New Roman"/>
          <w:noProof/>
          <w:szCs w:val="24"/>
        </w:rPr>
        <w:t>Lusthaus, Dan, ‘What Is and Isn’t Yogacara’, p. 12 &lt;http://www.acmuller.net/yogacara/articles/intro.html&gt; [accessed 8 March 2018]</w:t>
      </w:r>
    </w:p>
    <w:p w:rsidR="006B3977" w:rsidRPr="006B3977" w:rsidRDefault="006B3977" w:rsidP="006B3977">
      <w:pPr>
        <w:widowControl w:val="0"/>
        <w:autoSpaceDE w:val="0"/>
        <w:autoSpaceDN w:val="0"/>
        <w:adjustRightInd w:val="0"/>
        <w:spacing w:line="240" w:lineRule="auto"/>
        <w:ind w:left="480" w:hanging="480"/>
        <w:rPr>
          <w:rFonts w:ascii="Calibri" w:hAnsi="Calibri"/>
          <w:noProof/>
        </w:rPr>
      </w:pPr>
      <w:r w:rsidRPr="006B3977">
        <w:rPr>
          <w:rFonts w:ascii="Calibri" w:hAnsi="Calibri" w:cs="Times New Roman"/>
          <w:noProof/>
          <w:szCs w:val="24"/>
        </w:rPr>
        <w:t xml:space="preserve">Powers, John, </w:t>
      </w:r>
      <w:r w:rsidRPr="006B3977">
        <w:rPr>
          <w:rFonts w:ascii="Calibri" w:hAnsi="Calibri" w:cs="Times New Roman"/>
          <w:i/>
          <w:iCs/>
          <w:noProof/>
          <w:szCs w:val="24"/>
        </w:rPr>
        <w:t>Yogācāra</w:t>
      </w:r>
      <w:r w:rsidRPr="006B3977">
        <w:rPr>
          <w:rFonts w:ascii="Calibri" w:hAnsi="Calibri" w:cs="Times New Roman"/>
          <w:noProof/>
          <w:szCs w:val="24"/>
        </w:rPr>
        <w:t xml:space="preserve"> (Oxford University Press, 2011) &lt;https://doi.org/10.1093/oxfordhb/9780195328998.003.0021&gt;</w:t>
      </w:r>
    </w:p>
    <w:p w:rsidR="00B5513B" w:rsidRDefault="006B3977" w:rsidP="003E0558">
      <w:r>
        <w:fldChar w:fldCharType="end"/>
      </w:r>
      <w:bookmarkStart w:id="0" w:name="_GoBack"/>
      <w:bookmarkEnd w:id="0"/>
    </w:p>
    <w:sectPr w:rsidR="00B5513B">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2378F0" w:rsidRDefault="002378F0" w:rsidP="000C2F8E">
      <w:pPr>
        <w:spacing w:after="0" w:line="240" w:lineRule="auto"/>
      </w:pPr>
      <w:r>
        <w:separator/>
      </w:r>
    </w:p>
  </w:endnote>
  <w:endnote w:type="continuationSeparator" w:id="0">
    <w:p w:rsidR="002378F0" w:rsidRDefault="002378F0" w:rsidP="000C2F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notTrueType/>
    <w:pitch w:val="variable"/>
    <w:sig w:usb0="00000001" w:usb1="080E0000" w:usb2="00000010" w:usb3="00000000" w:csb0="00040000"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287" w:usb1="00000003"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2378F0" w:rsidRDefault="002378F0" w:rsidP="000C2F8E">
      <w:pPr>
        <w:spacing w:after="0" w:line="240" w:lineRule="auto"/>
      </w:pPr>
      <w:r>
        <w:separator/>
      </w:r>
    </w:p>
  </w:footnote>
  <w:footnote w:type="continuationSeparator" w:id="0">
    <w:p w:rsidR="002378F0" w:rsidRDefault="002378F0" w:rsidP="000C2F8E">
      <w:pPr>
        <w:spacing w:after="0" w:line="240" w:lineRule="auto"/>
      </w:pPr>
      <w:r>
        <w:continuationSeparator/>
      </w:r>
    </w:p>
  </w:footnote>
  <w:footnote w:id="1">
    <w:p w:rsidR="000C2F8E" w:rsidRDefault="000C2F8E">
      <w:pPr>
        <w:pStyle w:val="FootnoteText"/>
      </w:pPr>
      <w:r>
        <w:rPr>
          <w:rStyle w:val="FootnoteReference"/>
        </w:rPr>
        <w:footnoteRef/>
      </w:r>
      <w:r>
        <w:t xml:space="preserve"> </w:t>
      </w:r>
      <w:r>
        <w:fldChar w:fldCharType="begin" w:fldLock="1"/>
      </w:r>
      <w:r>
        <w:instrText>ADDIN CSL_CITATION { "citationItems" : [ { "id" : "ITEM-1", "itemData" : { "URL" : "http://www.acmuller.net/yogacara/articles/intro.html", "accessed" : { "date-parts" : [ [ "2018", "3", "8" ] ] }, "author" : [ { "dropping-particle" : "", "family" : "Lusthaus", "given" : "Dan", "non-dropping-particle" : "", "parse-names" : false, "suffix" : "" } ], "id" : "ITEM-1", "issued" : { "date-parts" : [ [ "0" ] ] }, "page" : "12", "title" : "What is and isn't Yogacara", "type" : "webpage" }, "uris" : [ "http://www.mendeley.com/documents/?uuid=eacab690-cdd1-3108-bada-67ff49978f33" ] } ], "mendeley" : { "formattedCitation" : "Dan Lusthaus, \u2018What Is and Isn\u2019t Yogacara\u2019, p. 12 &lt;http://www.acmuller.net/yogacara/articles/intro.html&gt; [accessed 8 March 2018].", "plainTextFormattedCitation" : "Dan Lusthaus, \u2018What Is and Isn\u2019t Yogacara\u2019, p. 12  [accessed 8 March 2018].", "previouslyFormattedCitation" : "Dan Lusthaus, \u2018What Is and Isn\u2019t Yogacara\u2019, p. 12 &lt;http://www.acmuller.net/yogacara/articles/intro.html&gt; [accessed 8 March 2018]." }, "properties" : {  }, "schema" : "https://github.com/citation-style-language/schema/raw/master/csl-citation.json" }</w:instrText>
      </w:r>
      <w:r>
        <w:fldChar w:fldCharType="separate"/>
      </w:r>
      <w:r w:rsidRPr="006B3977">
        <w:rPr>
          <w:noProof/>
        </w:rPr>
        <w:t>Dan Lusthaus, ‘What Is and Isn’t Yogacara’, p. 12 &lt;http://www.acmuller.net/yogacara/articles/intro.html&gt; [accessed 8 March 2018].</w:t>
      </w:r>
      <w:r>
        <w:fldChar w:fldCharType="end"/>
      </w:r>
    </w:p>
  </w:footnote>
  <w:footnote w:id="2">
    <w:p w:rsidR="000C2F8E" w:rsidRDefault="000C2F8E">
      <w:pPr>
        <w:pStyle w:val="FootnoteText"/>
      </w:pPr>
      <w:r>
        <w:rPr>
          <w:rStyle w:val="FootnoteReference"/>
        </w:rPr>
        <w:footnoteRef/>
      </w:r>
      <w:r>
        <w:t xml:space="preserve"> </w:t>
      </w:r>
      <w:r>
        <w:fldChar w:fldCharType="begin" w:fldLock="1"/>
      </w:r>
      <w:r>
        <w:instrText>ADDIN CSL_CITATION { "citationItems" : [ { "id" : "ITEM-1", "itemData" : { "DOI" : "10.1093/oxfordhb/9780195328998.003.0021", "author" : [ { "dropping-particle" : "", "family" : "Powers", "given" : "John", "non-dropping-particle" : "", "parse-names" : false, "suffix" : "" } ], "id" : "ITEM-1", "issued" : { "date-parts" : [ [ "2011", "5", "23" ] ] }, "publisher" : "Oxford University Press", "title" : "Yog\u0101c\u0101ra", "type" : "book" }, "uris" : [ "http://www.mendeley.com/documents/?uuid=76afed26-1112-3b03-aceb-cd18a1cb1aa7" ] } ], "mendeley" : { "formattedCitation" : "John Powers, &lt;i&gt;Yog\u0101c\u0101ra&lt;/i&gt; (Oxford University Press, 2011) &lt;https://doi.org/10.1093/oxfordhb/9780195328998.003.0021&gt;.", "plainTextFormattedCitation" : "John Powers, Yog\u0101c\u0101ra (Oxford University Press, 2011) .", "previouslyFormattedCitation" : "John Powers, &lt;i&gt;Yog\u0101c\u0101ra&lt;/i&gt; (Oxford University Press, 2011) &lt;https://doi.org/10.1093/oxfordhb/9780195328998.003.0021&gt;." }, "properties" : {  }, "schema" : "https://github.com/citation-style-language/schema/raw/master/csl-citation.json" }</w:instrText>
      </w:r>
      <w:r>
        <w:fldChar w:fldCharType="separate"/>
      </w:r>
      <w:r w:rsidR="006B3977" w:rsidRPr="006B3977">
        <w:rPr>
          <w:noProof/>
        </w:rPr>
        <w:t xml:space="preserve">John Powers, </w:t>
      </w:r>
      <w:r w:rsidR="006B3977" w:rsidRPr="006B3977">
        <w:rPr>
          <w:i/>
          <w:noProof/>
        </w:rPr>
        <w:t>Yogācāra</w:t>
      </w:r>
      <w:r w:rsidR="006B3977" w:rsidRPr="006B3977">
        <w:rPr>
          <w:noProof/>
        </w:rPr>
        <w:t xml:space="preserve"> (Oxford University Press, 2011) &lt;https://doi.org/10.1093/oxfordhb/9780195328998.003.0021&gt;.</w:t>
      </w:r>
      <w:r>
        <w:fldChar w:fldCharType="end"/>
      </w:r>
    </w:p>
  </w:footnote>
  <w:footnote w:id="3">
    <w:p w:rsidR="006B3977" w:rsidRDefault="006B3977">
      <w:pPr>
        <w:pStyle w:val="FootnoteText"/>
      </w:pPr>
      <w:r>
        <w:rPr>
          <w:rStyle w:val="FootnoteReference"/>
        </w:rPr>
        <w:footnoteRef/>
      </w:r>
      <w:r>
        <w:t xml:space="preserve"> </w:t>
      </w:r>
      <w:r>
        <w:fldChar w:fldCharType="begin" w:fldLock="1"/>
      </w:r>
      <w:r>
        <w:instrText>ADDIN CSL_CITATION { "citationItems" : [ { "id" : "ITEM-1", "itemData" : { "ISBN" : "9780521859424", "abstract" : "Second edition. This book is a comprehensive introduction to Buddhist tradition as it has developed in three major cultural areas in Asia, and to Buddhism as it is now developing in the West. It not only explores the world views of the religion but also attempts to show how Buddhism functions as a set of practices. It thus includes chapters on devotion, ethics, monastic practices and meditation. Such practices are related to Buddhist teachings and historical developments. Emphasizing as it does the diversity found within different Buddhist traditions, the book aims throughout to underline common threads of belief, practice and historical continuities which unify the Buddhist world. --From publisher's description. The Buddha and his Indian context -- Early Buddhist teachings : rebirth and karma -- Early Buddhist teachings : the four true realities for the spiritually ennobled -- Early developments in Buddhism -- Mahayana philosophies : the varieties of emptiness -- Mahayana holy beings, and Tantric Buddhism -- The later history and spread of Buddhism -- Buddhist practice : devotion -- Buddhist practice : ethics -- Buddhist practice : the Sangha -- Buddhist practice : meditation and cultivation of experience-based wisdom -- The modern history of Buddhism in Asia -- Buddhism beyond Asia.", "author" : [ { "dropping-particle" : "", "family" : "Harvey", "given" : "Peter (Brian Peter)", "non-dropping-particle" : "", "parse-names" : false, "suffix" : "" } ], "edition" : "Second edi", "id" : "ITEM-1", "issued" : { "date-parts" : [ [ "2013" ] ] }, "number-of-pages" : "521", "publisher" : "Cambridge University Press", "publisher-place" : "Cambridge ;;New York", "title" : "An introduction to Buddhism : teachings, history and practices", "type" : "book" }, "uris" : [ "http://www.mendeley.com/documents/?uuid=c41c204d-32b5-3cb9-a8b9-8ebef1833175" ] } ], "mendeley" : { "formattedCitation" : "Peter (Brian Peter) Harvey, &lt;i&gt;An Introduction to Buddhism\u202f: Teachings, History and Practices&lt;/i&gt;, Second edi (Cambridge\u202f;;New York: Cambridge University Press, 2013) &lt;http://www.worldcat.org/title/introduction-to-buddhism-teachings-history-and-practices/oclc/866921509&amp;referer=brief_results&gt; [accessed 8 March 2018].", "plainTextFormattedCitation" : "Peter (Brian Peter) Harvey, An Introduction to Buddhism\u202f: Teachings, History and Practices, Second edi (Cambridge\u202f;;New York: Cambridge University Press, 2013)  [accessed 8 March 2018].", "previouslyFormattedCitation" : "Peter (Brian Peter) Harvey, &lt;i&gt;An Introduction to Buddhism\u202f: Teachings, History and Practices&lt;/i&gt;, Second edi (Cambridge\u202f;;New York: Cambridge University Press, 2013) &lt;http://www.worldcat.org/title/introduction-to-buddhism-teachings-history-and-practices/oclc/866921509&amp;referer=brief_results&gt; [accessed 8 March 2018]." }, "properties" : {  }, "schema" : "https://github.com/citation-style-language/schema/raw/master/csl-citation.json" }</w:instrText>
      </w:r>
      <w:r>
        <w:fldChar w:fldCharType="separate"/>
      </w:r>
      <w:r w:rsidRPr="006B3977">
        <w:rPr>
          <w:noProof/>
        </w:rPr>
        <w:t xml:space="preserve">Peter (Brian Peter) Harvey, </w:t>
      </w:r>
      <w:r w:rsidRPr="006B3977">
        <w:rPr>
          <w:i/>
          <w:noProof/>
        </w:rPr>
        <w:t>An Introduction to Buddhism : Teachings, History and Practices</w:t>
      </w:r>
      <w:r w:rsidRPr="006B3977">
        <w:rPr>
          <w:noProof/>
        </w:rPr>
        <w:t>, Second edi (Cambridge ;;New York: Cambridge University Press, 2013) &lt;http://www.worldcat.org/title/introduction-to-buddhism-teachings-history-and-practices/oclc/866921509&amp;referer=brief_results&gt; [accessed 8 March 2018].</w:t>
      </w:r>
      <w:r>
        <w:fldChar w:fldCharType="end"/>
      </w:r>
    </w:p>
  </w:footnote>
  <w:footnote w:id="4">
    <w:p w:rsidR="000C2F8E" w:rsidRDefault="000C2F8E">
      <w:pPr>
        <w:pStyle w:val="FootnoteText"/>
      </w:pPr>
      <w:r>
        <w:rPr>
          <w:rStyle w:val="FootnoteReference"/>
        </w:rPr>
        <w:footnoteRef/>
      </w:r>
      <w:r>
        <w:t xml:space="preserve"> </w:t>
      </w:r>
      <w:r>
        <w:fldChar w:fldCharType="begin" w:fldLock="1"/>
      </w:r>
      <w:r>
        <w:instrText>ADDIN CSL_CITATION { "citationItems" : [ { "id" : "ITEM-1", "itemData" : { "URL" : "http://www.acmuller.net/yogacara/articles/intro.html", "accessed" : { "date-parts" : [ [ "2018", "3", "8" ] ] }, "author" : [ { "dropping-particle" : "", "family" : "Lusthaus", "given" : "Dan", "non-dropping-particle" : "", "parse-names" : false, "suffix" : "" } ], "id" : "ITEM-1", "issued" : { "date-parts" : [ [ "0" ] ] }, "page" : "12", "title" : "What is and isn't Yogacara", "type" : "webpage" }, "uris" : [ "http://www.mendeley.com/documents/?uuid=eacab690-cdd1-3108-bada-67ff49978f33" ] } ], "mendeley" : { "formattedCitation" : "Lusthaus.", "plainTextFormattedCitation" : "Lusthaus.", "previouslyFormattedCitation" : "Lusthaus." }, "properties" : {  }, "schema" : "https://github.com/citation-style-language/schema/raw/master/csl-citation.json" }</w:instrText>
      </w:r>
      <w:r>
        <w:fldChar w:fldCharType="separate"/>
      </w:r>
      <w:r w:rsidRPr="000C2F8E">
        <w:rPr>
          <w:noProof/>
        </w:rPr>
        <w:t>Lusthaus.</w:t>
      </w:r>
      <w:r>
        <w:fldChar w:fldCharType="end"/>
      </w:r>
    </w:p>
  </w:footnote>
  <w:footnote w:id="5">
    <w:p w:rsidR="000C2F8E" w:rsidRDefault="000C2F8E">
      <w:pPr>
        <w:pStyle w:val="FootnoteText"/>
      </w:pPr>
      <w:r>
        <w:rPr>
          <w:rStyle w:val="FootnoteReference"/>
        </w:rPr>
        <w:footnoteRef/>
      </w:r>
      <w:r>
        <w:t xml:space="preserve"> </w:t>
      </w:r>
      <w:r>
        <w:fldChar w:fldCharType="begin" w:fldLock="1"/>
      </w:r>
      <w:r w:rsidR="006B3977">
        <w:instrText>ADDIN CSL_CITATION { "citationItems" : [ { "id" : "ITEM-1", "itemData" : { "ISBN" : "9780521859424", "abstract" : "Second edition. This book is a comprehensive introduction to Buddhist tradition as it has developed in three major cultural areas in Asia, and to Buddhism as it is now developing in the West. It not only explores the world views of the religion but also attempts to show how Buddhism functions as a set of practices. It thus includes chapters on devotion, ethics, monastic practices and meditation. Such practices are related to Buddhist teachings and historical developments. Emphasizing as it does the diversity found within different Buddhist traditions, the book aims throughout to underline common threads of belief, practice and historical continuities which unify the Buddhist world. --From publisher's description. The Buddha and his Indian context -- Early Buddhist teachings : rebirth and karma -- Early Buddhist teachings : the four true realities for the spiritually ennobled -- Early developments in Buddhism -- Mahayana philosophies : the varieties of emptiness -- Mahayana holy beings, and Tantric Buddhism -- The later history and spread of Buddhism -- Buddhist practice : devotion -- Buddhist practice : ethics -- Buddhist practice : the Sangha -- Buddhist practice : meditation and cultivation of experience-based wisdom -- The modern history of Buddhism in Asia -- Buddhism beyond Asia.", "author" : [ { "dropping-particle" : "", "family" : "Harvey", "given" : "Peter (Brian Peter)", "non-dropping-particle" : "", "parse-names" : false, "suffix" : "" } ], "edition" : "Second edi", "id" : "ITEM-1", "issued" : { "date-parts" : [ [ "2013" ] ] }, "number-of-pages" : "521", "publisher" : "Cambridge University Press", "publisher-place" : "Cambridge ;;New York", "title" : "An introduction to Buddhism : teachings, history and practices", "type" : "book" }, "uris" : [ "http://www.mendeley.com/documents/?uuid=c41c204d-32b5-3cb9-a8b9-8ebef1833175" ] } ], "mendeley" : { "formattedCitation" : "Peter (Brian Peter) Harvey.", "plainTextFormattedCitation" : "Peter (Brian Peter) Harvey.", "previouslyFormattedCitation" : "Peter (Brian Peter) Harvey." }, "properties" : {  }, "schema" : "https://github.com/citation-style-language/schema/raw/master/csl-citation.json" }</w:instrText>
      </w:r>
      <w:r>
        <w:fldChar w:fldCharType="separate"/>
      </w:r>
      <w:r w:rsidR="006B3977" w:rsidRPr="006B3977">
        <w:rPr>
          <w:noProof/>
        </w:rPr>
        <w:t>Peter (Brian Peter) Harvey.</w:t>
      </w:r>
      <w:r>
        <w:fldChar w:fldCharType="end"/>
      </w:r>
    </w:p>
  </w:footnote>
  <w:footnote w:id="6">
    <w:p w:rsidR="000C2F8E" w:rsidRDefault="000C2F8E">
      <w:pPr>
        <w:pStyle w:val="FootnoteText"/>
      </w:pPr>
      <w:r>
        <w:rPr>
          <w:rStyle w:val="FootnoteReference"/>
        </w:rPr>
        <w:footnoteRef/>
      </w:r>
      <w:r>
        <w:t xml:space="preserve"> </w:t>
      </w:r>
      <w:r>
        <w:fldChar w:fldCharType="begin" w:fldLock="1"/>
      </w:r>
      <w:r>
        <w:instrText>ADDIN CSL_CITATION { "citationItems" : [ { "id" : "ITEM-1", "itemData" : { "DOI" : "10.1007/s13398-014-0173-7.2", "ISBN" : "9780192892232", "ISSN" : "13514180", "PMID" : "3559550", "abstract" : "In this introduction to the foundations of Buddhism, Rupert Gethin concentrates on the ideas and practices which constitute the common heritage of the different traditions of Buddhism (Thervada, Tibetan and Eastern) which exist in the world today.", "author" : [ { "dropping-particle" : "", "family" : "Gethin", "given" : "Rupert", "non-dropping-particle" : "", "parse-names" : false, "suffix" : "" } ], "container-title" : "Theology", "id" : "ITEM-1", "issued" : { "date-parts" : [ [ "1998" ] ] }, "number-of-pages" : "333", "title" : "The Foundations of Buddhism", "type" : "book" }, "uris" : [ "http://www.mendeley.com/documents/?uuid=170a6fe2-7ec8-47ae-96f7-5165ec4ef119" ] } ], "mendeley" : { "formattedCitation" : "Rupert Gethin, &lt;i&gt;The Foundations of Buddhism&lt;/i&gt;, &lt;i&gt;Theology&lt;/i&gt;, 1998 &lt;https://doi.org/10.1007/s13398-014-0173-7.2&gt;.", "plainTextFormattedCitation" : "Rupert Gethin, The Foundations of Buddhism, Theology, 1998 .", "previouslyFormattedCitation" : "Rupert Gethin, &lt;i&gt;The Foundations of Buddhism&lt;/i&gt;, &lt;i&gt;Theology&lt;/i&gt;, 1998 &lt;https://doi.org/10.1007/s13398-014-0173-7.2&gt;." }, "properties" : {  }, "schema" : "https://github.com/citation-style-language/schema/raw/master/csl-citation.json" }</w:instrText>
      </w:r>
      <w:r>
        <w:fldChar w:fldCharType="separate"/>
      </w:r>
      <w:r w:rsidR="006B3977" w:rsidRPr="006B3977">
        <w:rPr>
          <w:noProof/>
        </w:rPr>
        <w:t xml:space="preserve">Rupert Gethin, </w:t>
      </w:r>
      <w:r w:rsidR="006B3977" w:rsidRPr="006B3977">
        <w:rPr>
          <w:i/>
          <w:noProof/>
        </w:rPr>
        <w:t>The Foundations of Buddhism</w:t>
      </w:r>
      <w:r w:rsidR="006B3977" w:rsidRPr="006B3977">
        <w:rPr>
          <w:noProof/>
        </w:rPr>
        <w:t xml:space="preserve">, </w:t>
      </w:r>
      <w:r w:rsidR="006B3977" w:rsidRPr="006B3977">
        <w:rPr>
          <w:i/>
          <w:noProof/>
        </w:rPr>
        <w:t>Theology</w:t>
      </w:r>
      <w:r w:rsidR="006B3977" w:rsidRPr="006B3977">
        <w:rPr>
          <w:noProof/>
        </w:rPr>
        <w:t>, 1998 &lt;https://doi.org/10.1007/s13398-014-0173-7.2&gt;.</w:t>
      </w:r>
      <w:r>
        <w:fldChar w:fldCharType="end"/>
      </w:r>
    </w:p>
  </w:footnote>
  <w:footnote w:id="7">
    <w:p w:rsidR="000C2F8E" w:rsidRDefault="000C2F8E">
      <w:pPr>
        <w:pStyle w:val="FootnoteText"/>
      </w:pPr>
      <w:r>
        <w:rPr>
          <w:rStyle w:val="FootnoteReference"/>
        </w:rPr>
        <w:footnoteRef/>
      </w:r>
      <w:r>
        <w:t xml:space="preserve"> </w:t>
      </w:r>
      <w:r>
        <w:fldChar w:fldCharType="begin" w:fldLock="1"/>
      </w:r>
      <w:r>
        <w:instrText>ADDIN CSL_CITATION { "citationItems" : [ { "id" : "ITEM-1", "itemData" : { "URL" : "http://www.acmuller.net/yogacara/articles/intro.html", "accessed" : { "date-parts" : [ [ "2018", "3", "8" ] ] }, "author" : [ { "dropping-particle" : "", "family" : "Lusthaus", "given" : "Dan", "non-dropping-particle" : "", "parse-names" : false, "suffix" : "" } ], "id" : "ITEM-1", "issued" : { "date-parts" : [ [ "0" ] ] }, "page" : "12", "title" : "What is and isn't Yogacara", "type" : "webpage" }, "uris" : [ "http://www.mendeley.com/documents/?uuid=eacab690-cdd1-3108-bada-67ff49978f33" ] } ], "mendeley" : { "formattedCitation" : "Lusthaus.", "plainTextFormattedCitation" : "Lusthaus.", "previouslyFormattedCitation" : "Lusthaus." }, "properties" : {  }, "schema" : "https://github.com/citation-style-language/schema/raw/master/csl-citation.json" }</w:instrText>
      </w:r>
      <w:r>
        <w:fldChar w:fldCharType="separate"/>
      </w:r>
      <w:r w:rsidRPr="000C2F8E">
        <w:rPr>
          <w:noProof/>
        </w:rPr>
        <w:t>Lusthaus.</w:t>
      </w:r>
      <w:r>
        <w:fldChar w:fldCharType="end"/>
      </w:r>
    </w:p>
  </w:footnote>
  <w:footnote w:id="8">
    <w:p w:rsidR="000C2F8E" w:rsidRDefault="000C2F8E">
      <w:pPr>
        <w:pStyle w:val="FootnoteText"/>
      </w:pPr>
      <w:r>
        <w:rPr>
          <w:rStyle w:val="FootnoteReference"/>
        </w:rPr>
        <w:footnoteRef/>
      </w:r>
      <w:r>
        <w:t xml:space="preserve"> </w:t>
      </w:r>
      <w:r>
        <w:fldChar w:fldCharType="begin" w:fldLock="1"/>
      </w:r>
      <w:r>
        <w:instrText>ADDIN CSL_CITATION { "citationItems" : [ { "id" : "ITEM-1", "itemData" : { "ISBN" : "9780521859424", "abstract" : "Second edition. This book is a comprehensive introduction to Buddhist tradition as it has developed in three major cultural areas in Asia, and to Buddhism as it is now developing in the West. It not only explores the world views of the religion but also attempts to show how Buddhism functions as a set of practices. It thus includes chapters on devotion, ethics, monastic practices and meditation. Such practices are related to Buddhist teachings and historical developments. Emphasizing as it does the diversity found within different Buddhist traditions, the book aims throughout to underline common threads of belief, practice and historical continuities which unify the Buddhist world. --From publisher's description. The Buddha and his Indian context -- Early Buddhist teachings : rebirth and karma -- Early Buddhist teachings : the four true realities for the spiritually ennobled -- Early developments in Buddhism -- Mahayana philosophies : the varieties of emptiness -- Mahayana holy beings, and Tantric Buddhism -- The later history and spread of Buddhism -- Buddhist practice : devotion -- Buddhist practice : ethics -- Buddhist practice : the Sangha -- Buddhist practice : meditation and cultivation of experience-based wisdom -- The modern history of Buddhism in Asia -- Buddhism beyond Asia.", "author" : [ { "dropping-particle" : "", "family" : "Harvey", "given" : "Peter (Brian Peter)", "non-dropping-particle" : "", "parse-names" : false, "suffix" : "" } ], "edition" : "Second edi", "id" : "ITEM-1", "issued" : { "date-parts" : [ [ "2013" ] ] }, "number-of-pages" : "521", "publisher" : "Cambridge University Press", "publisher-place" : "Cambridge ;;New York", "title" : "An introduction to Buddhism : teachings, history and practices", "type" : "book" }, "uris" : [ "http://www.mendeley.com/documents/?uuid=c41c204d-32b5-3cb9-a8b9-8ebef1833175" ] } ], "mendeley" : { "formattedCitation" : "Peter (Brian Peter) Harvey.", "plainTextFormattedCitation" : "Peter (Brian Peter) Harvey.", "previouslyFormattedCitation" : "Peter (Brian Peter) Harvey." }, "properties" : {  }, "schema" : "https://github.com/citation-style-language/schema/raw/master/csl-citation.json" }</w:instrText>
      </w:r>
      <w:r>
        <w:fldChar w:fldCharType="separate"/>
      </w:r>
      <w:r w:rsidRPr="000C2F8E">
        <w:rPr>
          <w:noProof/>
        </w:rPr>
        <w:t>Peter (Brian Peter) Harvey.</w:t>
      </w:r>
      <w:r>
        <w:fldChar w:fldCharType="end"/>
      </w:r>
    </w:p>
  </w:footnote>
  <w:footnote w:id="9">
    <w:p w:rsidR="000C2F8E" w:rsidRDefault="000C2F8E">
      <w:pPr>
        <w:pStyle w:val="FootnoteText"/>
      </w:pPr>
      <w:r>
        <w:rPr>
          <w:rStyle w:val="FootnoteReference"/>
        </w:rPr>
        <w:footnoteRef/>
      </w:r>
      <w:r>
        <w:t xml:space="preserve"> </w:t>
      </w:r>
      <w:r>
        <w:fldChar w:fldCharType="begin" w:fldLock="1"/>
      </w:r>
      <w:r>
        <w:instrText>ADDIN CSL_CITATION { "citationItems" : [ { "id" : "ITEM-1", "itemData" : { "ISBN" : "0700703381", "abstract" : "This careful analysis of early Buddhist thought opens out a perspective in which no permanent Self is accepted, but a rich analysis of changing and potent mental processes is developed. It explores issues relating to the not-Self teaching: self-development, moral responsibility, the between-lives period, and the 'undetermined questions' on the world, on the 'life principle' and on the liberated one after death. It examines the 'person' as a flowing continuity centred on consciousness or discernment (vinnana) configured in changing minds-sets (cittas). The resting state of this is seen as 'brightly shining' - like the 'Buddha nature' of Mahayana thought - so as to represent the potential for Nirvana. Nirvana is then shown to be a state in which consciousness transcends all objects, and thus participates in a timeless, unconditioned realm.", "author" : [ { "dropping-particle" : "", "family" : "Harvey", "given" : "Peter", "non-dropping-particle" : "", "parse-names" : false, "suffix" : "" } ], "container-title" : "Cultural Studies", "id" : "ITEM-1", "issued" : { "date-parts" : [ [ "2004" ] ] }, "title" : "The Selfless Mind: Personality, Consciousness, and Nirvana in Early Buddhism", "type" : "article-journal" }, "uris" : [ "http://www.mendeley.com/documents/?uuid=10f00aa6-742b-4f73-b736-8a702bbdeb9d" ] } ], "mendeley" : { "formattedCitation" : "Peter Harvey, \u2018The Selfless Mind: Personality, Consciousness, and Nirvana in Early Buddhism\u2019, &lt;i&gt;Cultural Studies&lt;/i&gt;, 2004.", "plainTextFormattedCitation" : "Peter Harvey, \u2018The Selfless Mind: Personality, Consciousness, and Nirvana in Early Buddhism\u2019, Cultural Studies, 2004.", "previouslyFormattedCitation" : "Peter Harvey, \u2018The Selfless Mind: Personality, Consciousness, and Nirvana in Early Buddhism\u2019, &lt;i&gt;Cultural Studies&lt;/i&gt;, 2004." }, "properties" : {  }, "schema" : "https://github.com/citation-style-language/schema/raw/master/csl-citation.json" }</w:instrText>
      </w:r>
      <w:r>
        <w:fldChar w:fldCharType="separate"/>
      </w:r>
      <w:r w:rsidRPr="000C2F8E">
        <w:rPr>
          <w:noProof/>
        </w:rPr>
        <w:t xml:space="preserve">Peter Harvey, ‘The Selfless Mind: Personality, Consciousness, and Nirvana in Early Buddhism’, </w:t>
      </w:r>
      <w:r w:rsidRPr="000C2F8E">
        <w:rPr>
          <w:i/>
          <w:noProof/>
        </w:rPr>
        <w:t>Cultural Studies</w:t>
      </w:r>
      <w:r w:rsidRPr="000C2F8E">
        <w:rPr>
          <w:noProof/>
        </w:rPr>
        <w:t>, 2004.</w:t>
      </w:r>
      <w:r>
        <w:fldChar w:fldCharType="end"/>
      </w:r>
    </w:p>
  </w:footnote>
  <w:footnote w:id="10">
    <w:p w:rsidR="000C2F8E" w:rsidRDefault="000C2F8E">
      <w:pPr>
        <w:pStyle w:val="FootnoteText"/>
      </w:pPr>
      <w:r>
        <w:rPr>
          <w:rStyle w:val="FootnoteReference"/>
        </w:rPr>
        <w:footnoteRef/>
      </w:r>
      <w:r>
        <w:t xml:space="preserve"> </w:t>
      </w:r>
      <w:r>
        <w:fldChar w:fldCharType="begin" w:fldLock="1"/>
      </w:r>
      <w:r>
        <w:instrText>ADDIN CSL_CITATION { "citationItems" : [ { "id" : "ITEM-1", "itemData" : { "ISBN" : "9780521859424", "abstract" : "Second edition. This book is a comprehensive introduction to Buddhist tradition as it has developed in three major cultural areas in Asia, and to Buddhism as it is now developing in the West. It not only explores the world views of the religion but also attempts to show how Buddhism functions as a set of practices. It thus includes chapters on devotion, ethics, monastic practices and meditation. Such practices are related to Buddhist teachings and historical developments. Emphasizing as it does the diversity found within different Buddhist traditions, the book aims throughout to underline common threads of belief, practice and historical continuities which unify the Buddhist world. --From publisher's description. The Buddha and his Indian context -- Early Buddhist teachings : rebirth and karma -- Early Buddhist teachings : the four true realities for the spiritually ennobled -- Early developments in Buddhism -- Mahayana philosophies : the varieties of emptiness -- Mahayana holy beings, and Tantric Buddhism -- The later history and spread of Buddhism -- Buddhist practice : devotion -- Buddhist practice : ethics -- Buddhist practice : the Sangha -- Buddhist practice : meditation and cultivation of experience-based wisdom -- The modern history of Buddhism in Asia -- Buddhism beyond Asia.", "author" : [ { "dropping-particle" : "", "family" : "Harvey", "given" : "Peter (Brian Peter)", "non-dropping-particle" : "", "parse-names" : false, "suffix" : "" } ], "edition" : "Second edi", "id" : "ITEM-1", "issued" : { "date-parts" : [ [ "2013" ] ] }, "number-of-pages" : "521", "publisher" : "Cambridge University Press", "publisher-place" : "Cambridge ;;New York", "title" : "An introduction to Buddhism : teachings, history and practices", "type" : "book" }, "uris" : [ "http://www.mendeley.com/documents/?uuid=c41c204d-32b5-3cb9-a8b9-8ebef1833175" ] } ], "mendeley" : { "formattedCitation" : "Peter (Brian Peter) Harvey.", "plainTextFormattedCitation" : "Peter (Brian Peter) Harvey.", "previouslyFormattedCitation" : "Peter (Brian Peter) Harvey." }, "properties" : {  }, "schema" : "https://github.com/citation-style-language/schema/raw/master/csl-citation.json" }</w:instrText>
      </w:r>
      <w:r>
        <w:fldChar w:fldCharType="separate"/>
      </w:r>
      <w:r w:rsidRPr="000C2F8E">
        <w:rPr>
          <w:noProof/>
        </w:rPr>
        <w:t>Peter (Brian Peter) Harvey.</w:t>
      </w:r>
      <w:r>
        <w:fldChar w:fldCharType="end"/>
      </w:r>
    </w:p>
  </w:footnote>
  <w:footnote w:id="11">
    <w:p w:rsidR="000C2F8E" w:rsidRDefault="000C2F8E">
      <w:pPr>
        <w:pStyle w:val="FootnoteText"/>
      </w:pPr>
      <w:r>
        <w:rPr>
          <w:rStyle w:val="FootnoteReference"/>
        </w:rPr>
        <w:footnoteRef/>
      </w:r>
      <w:r>
        <w:t xml:space="preserve"> </w:t>
      </w:r>
      <w:r>
        <w:fldChar w:fldCharType="begin" w:fldLock="1"/>
      </w:r>
      <w:r>
        <w:instrText>ADDIN CSL_CITATION { "citationItems" : [ { "id" : "ITEM-1", "itemData" : { "DOI" : "10.1007/s13398-014-0173-7.2", "ISBN" : "9780192892232", "ISSN" : "13514180", "PMID" : "3559550", "abstract" : "In this introduction to the foundations of Buddhism, Rupert Gethin concentrates on the ideas and practices which constitute the common heritage of the different traditions of Buddhism (Thervada, Tibetan and Eastern) which exist in the world today.", "author" : [ { "dropping-particle" : "", "family" : "Gethin", "given" : "Rupert", "non-dropping-particle" : "", "parse-names" : false, "suffix" : "" } ], "container-title" : "Theology", "id" : "ITEM-1", "issued" : { "date-parts" : [ [ "1998" ] ] }, "number-of-pages" : "333", "title" : "The Foundations of Buddhism", "type" : "book" }, "uris" : [ "http://www.mendeley.com/documents/?uuid=170a6fe2-7ec8-47ae-96f7-5165ec4ef119" ] } ], "mendeley" : { "formattedCitation" : "Gethin.", "plainTextFormattedCitation" : "Gethin.", "previouslyFormattedCitation" : "Gethin." }, "properties" : {  }, "schema" : "https://github.com/citation-style-language/schema/raw/master/csl-citation.json" }</w:instrText>
      </w:r>
      <w:r>
        <w:fldChar w:fldCharType="separate"/>
      </w:r>
      <w:r w:rsidRPr="000C2F8E">
        <w:rPr>
          <w:noProof/>
        </w:rPr>
        <w:t>Gethin.</w:t>
      </w:r>
      <w:r>
        <w:fldChar w:fldCharType="end"/>
      </w:r>
    </w:p>
  </w:footnote>
  <w:footnote w:id="12">
    <w:p w:rsidR="000C2F8E" w:rsidRDefault="000C2F8E">
      <w:pPr>
        <w:pStyle w:val="FootnoteText"/>
      </w:pPr>
      <w:r>
        <w:rPr>
          <w:rStyle w:val="FootnoteReference"/>
        </w:rPr>
        <w:footnoteRef/>
      </w:r>
      <w:r>
        <w:t xml:space="preserve"> </w:t>
      </w:r>
      <w:r>
        <w:fldChar w:fldCharType="begin" w:fldLock="1"/>
      </w:r>
      <w:r>
        <w:instrText>ADDIN CSL_CITATION { "citationItems" : [ { "id" : "ITEM-1", "itemData" : { "ISBN" : "9780521859424", "abstract" : "Second edition. This book is a comprehensive introduction to Buddhist tradition as it has developed in three major cultural areas in Asia, and to Buddhism as it is now developing in the West. It not only explores the world views of the religion but also attempts to show how Buddhism functions as a set of practices. It thus includes chapters on devotion, ethics, monastic practices and meditation. Such practices are related to Buddhist teachings and historical developments. Emphasizing as it does the diversity found within different Buddhist traditions, the book aims throughout to underline common threads of belief, practice and historical continuities which unify the Buddhist world. --From publisher's description. The Buddha and his Indian context -- Early Buddhist teachings : rebirth and karma -- Early Buddhist teachings : the four true realities for the spiritually ennobled -- Early developments in Buddhism -- Mahayana philosophies : the varieties of emptiness -- Mahayana holy beings, and Tantric Buddhism -- The later history and spread of Buddhism -- Buddhist practice : devotion -- Buddhist practice : ethics -- Buddhist practice : the Sangha -- Buddhist practice : meditation and cultivation of experience-based wisdom -- The modern history of Buddhism in Asia -- Buddhism beyond Asia.", "author" : [ { "dropping-particle" : "", "family" : "Harvey", "given" : "Peter (Brian Peter)", "non-dropping-particle" : "", "parse-names" : false, "suffix" : "" } ], "edition" : "Second edi", "id" : "ITEM-1", "issued" : { "date-parts" : [ [ "2013" ] ] }, "number-of-pages" : "521", "publisher" : "Cambridge University Press", "publisher-place" : "Cambridge ;;New York", "title" : "An introduction to Buddhism : teachings, history and practices", "type" : "book" }, "uris" : [ "http://www.mendeley.com/documents/?uuid=c41c204d-32b5-3cb9-a8b9-8ebef1833175" ] } ], "mendeley" : { "formattedCitation" : "Peter (Brian Peter) Harvey.", "plainTextFormattedCitation" : "Peter (Brian Peter) Harvey.", "previouslyFormattedCitation" : "Peter (Brian Peter) Harvey." }, "properties" : {  }, "schema" : "https://github.com/citation-style-language/schema/raw/master/csl-citation.json" }</w:instrText>
      </w:r>
      <w:r>
        <w:fldChar w:fldCharType="separate"/>
      </w:r>
      <w:r w:rsidRPr="000C2F8E">
        <w:rPr>
          <w:noProof/>
        </w:rPr>
        <w:t>Peter (Brian Peter) Harvey.</w:t>
      </w:r>
      <w:r>
        <w:fldChar w:fldCharType="end"/>
      </w:r>
    </w:p>
  </w:footnote>
  <w:footnote w:id="13">
    <w:p w:rsidR="000C2F8E" w:rsidRDefault="000C2F8E">
      <w:pPr>
        <w:pStyle w:val="FootnoteText"/>
      </w:pPr>
      <w:r>
        <w:rPr>
          <w:rStyle w:val="FootnoteReference"/>
        </w:rPr>
        <w:footnoteRef/>
      </w:r>
      <w:r>
        <w:t xml:space="preserve"> </w:t>
      </w:r>
      <w:r>
        <w:fldChar w:fldCharType="begin" w:fldLock="1"/>
      </w:r>
      <w:r>
        <w:instrText>ADDIN CSL_CITATION { "citationItems" : [ { "id" : "ITEM-1", "itemData" : { "DOI" : "10.1093/oxfordhb/9780195328998.003.0021", "author" : [ { "dropping-particle" : "", "family" : "Powers", "given" : "John", "non-dropping-particle" : "", "parse-names" : false, "suffix" : "" } ], "id" : "ITEM-1", "issued" : { "date-parts" : [ [ "2011", "5", "23" ] ] }, "publisher" : "Oxford University Press", "title" : "Yog\u0101c\u0101ra", "type" : "book" }, "uris" : [ "http://www.mendeley.com/documents/?uuid=76afed26-1112-3b03-aceb-cd18a1cb1aa7" ] } ], "mendeley" : { "formattedCitation" : "Powers.", "plainTextFormattedCitation" : "Powers.", "previouslyFormattedCitation" : "Powers." }, "properties" : {  }, "schema" : "https://github.com/citation-style-language/schema/raw/master/csl-citation.json" }</w:instrText>
      </w:r>
      <w:r>
        <w:fldChar w:fldCharType="separate"/>
      </w:r>
      <w:r w:rsidRPr="000C2F8E">
        <w:rPr>
          <w:noProof/>
        </w:rPr>
        <w:t>Powers.</w:t>
      </w:r>
      <w:r>
        <w:fldChar w:fldCharType="end"/>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E0558"/>
    <w:rsid w:val="000022F5"/>
    <w:rsid w:val="000051D9"/>
    <w:rsid w:val="00011BCE"/>
    <w:rsid w:val="0001494C"/>
    <w:rsid w:val="000214E5"/>
    <w:rsid w:val="0002316D"/>
    <w:rsid w:val="0004255D"/>
    <w:rsid w:val="000500CA"/>
    <w:rsid w:val="000509C7"/>
    <w:rsid w:val="00052A5B"/>
    <w:rsid w:val="00056C77"/>
    <w:rsid w:val="0006105A"/>
    <w:rsid w:val="00061297"/>
    <w:rsid w:val="00074AD9"/>
    <w:rsid w:val="00081259"/>
    <w:rsid w:val="00084D0A"/>
    <w:rsid w:val="00094BB0"/>
    <w:rsid w:val="000A175D"/>
    <w:rsid w:val="000A546A"/>
    <w:rsid w:val="000B1346"/>
    <w:rsid w:val="000B14B1"/>
    <w:rsid w:val="000B2220"/>
    <w:rsid w:val="000B2BB5"/>
    <w:rsid w:val="000B422E"/>
    <w:rsid w:val="000B4A4F"/>
    <w:rsid w:val="000C2F8E"/>
    <w:rsid w:val="000C3B8E"/>
    <w:rsid w:val="000D7694"/>
    <w:rsid w:val="000F259B"/>
    <w:rsid w:val="00102054"/>
    <w:rsid w:val="001068E9"/>
    <w:rsid w:val="00112B57"/>
    <w:rsid w:val="001156A9"/>
    <w:rsid w:val="00122B03"/>
    <w:rsid w:val="00127469"/>
    <w:rsid w:val="00133B09"/>
    <w:rsid w:val="0015742A"/>
    <w:rsid w:val="00162E57"/>
    <w:rsid w:val="001865C5"/>
    <w:rsid w:val="001A0344"/>
    <w:rsid w:val="001D76EC"/>
    <w:rsid w:val="001F643C"/>
    <w:rsid w:val="00207DC4"/>
    <w:rsid w:val="00212A5E"/>
    <w:rsid w:val="00214C6D"/>
    <w:rsid w:val="00216047"/>
    <w:rsid w:val="00222792"/>
    <w:rsid w:val="00231415"/>
    <w:rsid w:val="002360BD"/>
    <w:rsid w:val="002378F0"/>
    <w:rsid w:val="00237AB6"/>
    <w:rsid w:val="00247A48"/>
    <w:rsid w:val="00252B76"/>
    <w:rsid w:val="00252F01"/>
    <w:rsid w:val="002621A4"/>
    <w:rsid w:val="00271FAB"/>
    <w:rsid w:val="002807B2"/>
    <w:rsid w:val="0028103A"/>
    <w:rsid w:val="002823E8"/>
    <w:rsid w:val="00290C43"/>
    <w:rsid w:val="00291993"/>
    <w:rsid w:val="002A0D78"/>
    <w:rsid w:val="002A26AE"/>
    <w:rsid w:val="002C1129"/>
    <w:rsid w:val="002E564D"/>
    <w:rsid w:val="002F2A37"/>
    <w:rsid w:val="0031757A"/>
    <w:rsid w:val="00341918"/>
    <w:rsid w:val="00341989"/>
    <w:rsid w:val="003459E1"/>
    <w:rsid w:val="0035318B"/>
    <w:rsid w:val="003664A2"/>
    <w:rsid w:val="00372C2F"/>
    <w:rsid w:val="00381928"/>
    <w:rsid w:val="00387ABB"/>
    <w:rsid w:val="003969E7"/>
    <w:rsid w:val="003B7C1C"/>
    <w:rsid w:val="003D16EC"/>
    <w:rsid w:val="003D1FD9"/>
    <w:rsid w:val="003E0558"/>
    <w:rsid w:val="00402397"/>
    <w:rsid w:val="0043278A"/>
    <w:rsid w:val="00471CE5"/>
    <w:rsid w:val="00472A34"/>
    <w:rsid w:val="004766F0"/>
    <w:rsid w:val="00484D2B"/>
    <w:rsid w:val="00491757"/>
    <w:rsid w:val="004A475C"/>
    <w:rsid w:val="004B2137"/>
    <w:rsid w:val="004C2617"/>
    <w:rsid w:val="004C3A45"/>
    <w:rsid w:val="004D4876"/>
    <w:rsid w:val="004E6E7D"/>
    <w:rsid w:val="00530600"/>
    <w:rsid w:val="005636DA"/>
    <w:rsid w:val="00565CFA"/>
    <w:rsid w:val="00571984"/>
    <w:rsid w:val="00583099"/>
    <w:rsid w:val="005975C0"/>
    <w:rsid w:val="005D1D7A"/>
    <w:rsid w:val="005D59D0"/>
    <w:rsid w:val="005D6F50"/>
    <w:rsid w:val="005E4E2F"/>
    <w:rsid w:val="005E52DC"/>
    <w:rsid w:val="006035E3"/>
    <w:rsid w:val="006226DD"/>
    <w:rsid w:val="00626B1B"/>
    <w:rsid w:val="00631627"/>
    <w:rsid w:val="0066683F"/>
    <w:rsid w:val="00670897"/>
    <w:rsid w:val="0067156F"/>
    <w:rsid w:val="0069008E"/>
    <w:rsid w:val="006A5B9E"/>
    <w:rsid w:val="006B3977"/>
    <w:rsid w:val="006B40C7"/>
    <w:rsid w:val="006C6B45"/>
    <w:rsid w:val="006D6A9D"/>
    <w:rsid w:val="006E6854"/>
    <w:rsid w:val="006F49B4"/>
    <w:rsid w:val="0071716F"/>
    <w:rsid w:val="0072225A"/>
    <w:rsid w:val="007224E2"/>
    <w:rsid w:val="00724318"/>
    <w:rsid w:val="0073213B"/>
    <w:rsid w:val="00733127"/>
    <w:rsid w:val="0074160F"/>
    <w:rsid w:val="00741B84"/>
    <w:rsid w:val="007447F0"/>
    <w:rsid w:val="00746F74"/>
    <w:rsid w:val="00752DE2"/>
    <w:rsid w:val="00764072"/>
    <w:rsid w:val="00771499"/>
    <w:rsid w:val="00782EAD"/>
    <w:rsid w:val="007978C2"/>
    <w:rsid w:val="007A2432"/>
    <w:rsid w:val="007B632F"/>
    <w:rsid w:val="007B66E7"/>
    <w:rsid w:val="007D6556"/>
    <w:rsid w:val="007E05E4"/>
    <w:rsid w:val="007F1417"/>
    <w:rsid w:val="007F2509"/>
    <w:rsid w:val="007F2E7D"/>
    <w:rsid w:val="00805852"/>
    <w:rsid w:val="00806102"/>
    <w:rsid w:val="00830AC7"/>
    <w:rsid w:val="00837FDD"/>
    <w:rsid w:val="008463C1"/>
    <w:rsid w:val="00861190"/>
    <w:rsid w:val="00871199"/>
    <w:rsid w:val="00883AC1"/>
    <w:rsid w:val="0089069F"/>
    <w:rsid w:val="008A77BD"/>
    <w:rsid w:val="008B2012"/>
    <w:rsid w:val="008E2BED"/>
    <w:rsid w:val="008E7BA3"/>
    <w:rsid w:val="008F3B94"/>
    <w:rsid w:val="00914BB5"/>
    <w:rsid w:val="0094694D"/>
    <w:rsid w:val="009557C2"/>
    <w:rsid w:val="00971E89"/>
    <w:rsid w:val="0099054E"/>
    <w:rsid w:val="00991365"/>
    <w:rsid w:val="00991CC6"/>
    <w:rsid w:val="00996E66"/>
    <w:rsid w:val="009B0965"/>
    <w:rsid w:val="009B1F5B"/>
    <w:rsid w:val="009E7F16"/>
    <w:rsid w:val="00A06D32"/>
    <w:rsid w:val="00A1156A"/>
    <w:rsid w:val="00A126B0"/>
    <w:rsid w:val="00A23E4F"/>
    <w:rsid w:val="00A25861"/>
    <w:rsid w:val="00A273C2"/>
    <w:rsid w:val="00A424F5"/>
    <w:rsid w:val="00A45C52"/>
    <w:rsid w:val="00A6041E"/>
    <w:rsid w:val="00A60B5D"/>
    <w:rsid w:val="00A65D75"/>
    <w:rsid w:val="00A715F4"/>
    <w:rsid w:val="00A75F8B"/>
    <w:rsid w:val="00A96289"/>
    <w:rsid w:val="00AA17AB"/>
    <w:rsid w:val="00AE526E"/>
    <w:rsid w:val="00AE6DE8"/>
    <w:rsid w:val="00AF08A8"/>
    <w:rsid w:val="00B051DF"/>
    <w:rsid w:val="00B148F6"/>
    <w:rsid w:val="00B17D99"/>
    <w:rsid w:val="00B221C6"/>
    <w:rsid w:val="00B22ED3"/>
    <w:rsid w:val="00B23A05"/>
    <w:rsid w:val="00B245E7"/>
    <w:rsid w:val="00B27C4B"/>
    <w:rsid w:val="00B32C9D"/>
    <w:rsid w:val="00B36F05"/>
    <w:rsid w:val="00B4208F"/>
    <w:rsid w:val="00B42704"/>
    <w:rsid w:val="00B43C42"/>
    <w:rsid w:val="00B5513B"/>
    <w:rsid w:val="00B56420"/>
    <w:rsid w:val="00BA50E4"/>
    <w:rsid w:val="00BA7BCD"/>
    <w:rsid w:val="00BB1AB2"/>
    <w:rsid w:val="00BC0DB6"/>
    <w:rsid w:val="00BC19E7"/>
    <w:rsid w:val="00BC4CE9"/>
    <w:rsid w:val="00BD449C"/>
    <w:rsid w:val="00BF09AA"/>
    <w:rsid w:val="00BF18F7"/>
    <w:rsid w:val="00C03242"/>
    <w:rsid w:val="00C10177"/>
    <w:rsid w:val="00C21061"/>
    <w:rsid w:val="00C215E3"/>
    <w:rsid w:val="00C2201C"/>
    <w:rsid w:val="00C270B8"/>
    <w:rsid w:val="00C40A80"/>
    <w:rsid w:val="00C73BE2"/>
    <w:rsid w:val="00C8297E"/>
    <w:rsid w:val="00C8329F"/>
    <w:rsid w:val="00C962C4"/>
    <w:rsid w:val="00CA1E3A"/>
    <w:rsid w:val="00CB3DA2"/>
    <w:rsid w:val="00CC56B9"/>
    <w:rsid w:val="00CD527F"/>
    <w:rsid w:val="00D00AA5"/>
    <w:rsid w:val="00D013DA"/>
    <w:rsid w:val="00D253D3"/>
    <w:rsid w:val="00D31B9F"/>
    <w:rsid w:val="00D37915"/>
    <w:rsid w:val="00D64A56"/>
    <w:rsid w:val="00D75236"/>
    <w:rsid w:val="00D75E3D"/>
    <w:rsid w:val="00D8163D"/>
    <w:rsid w:val="00D865A2"/>
    <w:rsid w:val="00DA3AF1"/>
    <w:rsid w:val="00DB0EDB"/>
    <w:rsid w:val="00DB69D7"/>
    <w:rsid w:val="00DC148C"/>
    <w:rsid w:val="00DD32D7"/>
    <w:rsid w:val="00DD4314"/>
    <w:rsid w:val="00DE78FD"/>
    <w:rsid w:val="00DF5E57"/>
    <w:rsid w:val="00E024AF"/>
    <w:rsid w:val="00E026B5"/>
    <w:rsid w:val="00E04BBF"/>
    <w:rsid w:val="00E15759"/>
    <w:rsid w:val="00E1623D"/>
    <w:rsid w:val="00E20D9E"/>
    <w:rsid w:val="00E362F1"/>
    <w:rsid w:val="00E518E6"/>
    <w:rsid w:val="00E52A79"/>
    <w:rsid w:val="00E62608"/>
    <w:rsid w:val="00E93F1D"/>
    <w:rsid w:val="00EA0332"/>
    <w:rsid w:val="00EB73B2"/>
    <w:rsid w:val="00ED39B5"/>
    <w:rsid w:val="00EF75B7"/>
    <w:rsid w:val="00F02461"/>
    <w:rsid w:val="00F15560"/>
    <w:rsid w:val="00F21547"/>
    <w:rsid w:val="00F50436"/>
    <w:rsid w:val="00F63BA1"/>
    <w:rsid w:val="00F650A9"/>
    <w:rsid w:val="00F72211"/>
    <w:rsid w:val="00F762D3"/>
    <w:rsid w:val="00F81FAD"/>
    <w:rsid w:val="00F95B84"/>
    <w:rsid w:val="00F96437"/>
    <w:rsid w:val="00FA1DE8"/>
    <w:rsid w:val="00FA2118"/>
    <w:rsid w:val="00FB498C"/>
    <w:rsid w:val="00FB5E45"/>
    <w:rsid w:val="00FB697F"/>
    <w:rsid w:val="00FE2C89"/>
    <w:rsid w:val="00FF7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0AC632F3-0762-4D75-9971-6C3DEE63C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qFormat/>
    <w:rsid w:val="000C2F8E"/>
    <w:pPr>
      <w:keepNext/>
      <w:spacing w:before="240" w:after="60" w:line="240" w:lineRule="auto"/>
      <w:outlineLvl w:val="0"/>
    </w:pPr>
    <w:rPr>
      <w:rFonts w:ascii="Arial" w:eastAsia="SimSun" w:hAnsi="Arial" w:cs="Arial"/>
      <w:b/>
      <w:bCs/>
      <w:kern w:val="32"/>
      <w:sz w:val="32"/>
      <w:szCs w:val="32"/>
      <w:lang w:eastAsia="zh-CN"/>
    </w:rPr>
  </w:style>
  <w:style w:type="paragraph" w:styleId="Heading3">
    <w:name w:val="heading 3"/>
    <w:basedOn w:val="Normal"/>
    <w:link w:val="Heading3Char"/>
    <w:qFormat/>
    <w:rsid w:val="000C2F8E"/>
    <w:pPr>
      <w:keepNext/>
      <w:spacing w:after="0" w:line="240" w:lineRule="auto"/>
      <w:ind w:left="720"/>
      <w:jc w:val="both"/>
      <w:outlineLvl w:val="2"/>
    </w:pPr>
    <w:rPr>
      <w:rFonts w:ascii="Tahoma" w:eastAsia="SimSu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xmsonormal">
    <w:name w:val="x_msonormal"/>
    <w:basedOn w:val="Normal"/>
    <w:rsid w:val="00B5513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rsid w:val="000C2F8E"/>
    <w:rPr>
      <w:rFonts w:ascii="Arial" w:eastAsia="SimSun" w:hAnsi="Arial" w:cs="Arial"/>
      <w:b/>
      <w:bCs/>
      <w:kern w:val="32"/>
      <w:sz w:val="32"/>
      <w:szCs w:val="32"/>
      <w:lang w:eastAsia="zh-CN"/>
    </w:rPr>
  </w:style>
  <w:style w:type="character" w:customStyle="1" w:styleId="Heading3Char">
    <w:name w:val="Heading 3 Char"/>
    <w:basedOn w:val="DefaultParagraphFont"/>
    <w:link w:val="Heading3"/>
    <w:rsid w:val="000C2F8E"/>
    <w:rPr>
      <w:rFonts w:ascii="Tahoma" w:eastAsia="SimSun" w:hAnsi="Tahoma" w:cs="Tahoma"/>
      <w:b/>
      <w:bCs/>
      <w:sz w:val="20"/>
      <w:szCs w:val="20"/>
      <w:lang w:eastAsia="zh-CN"/>
    </w:rPr>
  </w:style>
  <w:style w:type="paragraph" w:styleId="NormalWeb">
    <w:name w:val="Normal (Web)"/>
    <w:basedOn w:val="Normal"/>
    <w:rsid w:val="000C2F8E"/>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FootnoteText">
    <w:name w:val="footnote text"/>
    <w:basedOn w:val="Normal"/>
    <w:link w:val="FootnoteTextChar"/>
    <w:uiPriority w:val="99"/>
    <w:semiHidden/>
    <w:unhideWhenUsed/>
    <w:rsid w:val="000C2F8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C2F8E"/>
    <w:rPr>
      <w:sz w:val="20"/>
      <w:szCs w:val="20"/>
    </w:rPr>
  </w:style>
  <w:style w:type="character" w:styleId="FootnoteReference">
    <w:name w:val="footnote reference"/>
    <w:basedOn w:val="DefaultParagraphFont"/>
    <w:uiPriority w:val="99"/>
    <w:semiHidden/>
    <w:unhideWhenUsed/>
    <w:rsid w:val="000C2F8E"/>
    <w:rPr>
      <w:vertAlign w:val="superscript"/>
    </w:rPr>
  </w:style>
  <w:style w:type="paragraph" w:styleId="BalloonText">
    <w:name w:val="Balloon Text"/>
    <w:basedOn w:val="Normal"/>
    <w:link w:val="BalloonTextChar"/>
    <w:uiPriority w:val="99"/>
    <w:semiHidden/>
    <w:unhideWhenUsed/>
    <w:rsid w:val="00A715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715F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9278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27D04B-E3DB-439D-8C25-C40AF3AC5B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2256</Words>
  <Characters>12865</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Penny Brownlow</dc:creator>
  <cp:lastModifiedBy>Penny Brownlow</cp:lastModifiedBy>
  <cp:revision>2</cp:revision>
  <dcterms:created xsi:type="dcterms:W3CDTF">2018-03-09T14:36:00Z</dcterms:created>
  <dcterms:modified xsi:type="dcterms:W3CDTF">2018-03-09T14:36:00Z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31ccba4a-2ce3-3b94-b2d4-734523399cba</vt:lpwstr>
  </property>
  <property fmtid="{D5CDD505-2E9C-101B-9397-08002B2CF9AE}" pid="4" name="Mendeley Citation Style_1">
    <vt:lpwstr>http://www.zotero.org/styles/modern-humanities-research-association</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17th edition (author-date)</vt:lpwstr>
  </property>
  <property fmtid="{D5CDD505-2E9C-101B-9397-08002B2CF9AE}" pid="15" name="Mendeley Recent Style Id 5_1">
    <vt:lpwstr>http://www.zotero.org/styles/harvard-cite-them-right</vt:lpwstr>
  </property>
  <property fmtid="{D5CDD505-2E9C-101B-9397-08002B2CF9AE}" pid="16" name="Mendeley Recent Style Name 5_1">
    <vt:lpwstr>Cite Them Right 10th edition - Harvard</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8th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