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26305838"/>
        <w:docPartObj>
          <w:docPartGallery w:val="Cover Pages"/>
          <w:docPartUnique/>
        </w:docPartObj>
      </w:sdtPr>
      <w:sdtEndPr>
        <w:rPr>
          <w:rFonts w:cstheme="minorHAnsi"/>
          <w:b/>
          <w:bCs/>
          <w:u w:val="single"/>
        </w:rPr>
      </w:sdtEndPr>
      <w:sdtContent>
        <w:p w14:paraId="28C1B2C2" w14:textId="5E7CEA9F" w:rsidR="00BB3292" w:rsidRDefault="00BB3292"/>
        <w:p w14:paraId="318BAA23" w14:textId="76F390CF" w:rsidR="00C514E4" w:rsidRPr="00BB3292" w:rsidRDefault="00AC70B3" w:rsidP="00BB3292">
          <w:pPr>
            <w:rPr>
              <w:rFonts w:cstheme="minorHAnsi"/>
              <w:b/>
              <w:bCs/>
              <w:u w:val="single"/>
            </w:rPr>
          </w:pPr>
          <w:r>
            <w:rPr>
              <w:noProof/>
            </w:rPr>
            <mc:AlternateContent>
              <mc:Choice Requires="wps">
                <w:drawing>
                  <wp:anchor distT="0" distB="0" distL="114300" distR="114300" simplePos="0" relativeHeight="251668480" behindDoc="0" locked="0" layoutInCell="1" allowOverlap="1" wp14:anchorId="17DCE72C" wp14:editId="7907431E">
                    <wp:simplePos x="0" y="0"/>
                    <wp:positionH relativeFrom="margin">
                      <wp:align>center</wp:align>
                    </wp:positionH>
                    <wp:positionV relativeFrom="page">
                      <wp:posOffset>8144620</wp:posOffset>
                    </wp:positionV>
                    <wp:extent cx="5753100" cy="484632"/>
                    <wp:effectExtent l="0" t="0" r="0" b="9525"/>
                    <wp:wrapSquare wrapText="bothSides"/>
                    <wp:docPr id="129" name="Text Box 30"/>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69CA6E58" w14:textId="72189ED4" w:rsidR="00BB3292" w:rsidRDefault="00BB3292">
                                    <w:pPr>
                                      <w:pStyle w:val="NoSpacing"/>
                                      <w:spacing w:before="40" w:after="40"/>
                                      <w:rPr>
                                        <w:caps/>
                                        <w:color w:val="4472C4" w:themeColor="accent1"/>
                                        <w:sz w:val="28"/>
                                        <w:szCs w:val="28"/>
                                      </w:rPr>
                                    </w:pPr>
                                    <w:r>
                                      <w:rPr>
                                        <w:caps/>
                                        <w:color w:val="4472C4" w:themeColor="accent1"/>
                                        <w:sz w:val="28"/>
                                        <w:szCs w:val="28"/>
                                      </w:rPr>
                                      <w:t xml:space="preserve">Evidence BAse Practice </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5F81FBB" w14:textId="105699A6" w:rsidR="00BB3292" w:rsidRDefault="00BB3292">
                                    <w:pPr>
                                      <w:pStyle w:val="NoSpacing"/>
                                      <w:spacing w:before="40" w:after="40"/>
                                      <w:rPr>
                                        <w:caps/>
                                        <w:color w:val="5B9BD5" w:themeColor="accent5"/>
                                        <w:sz w:val="24"/>
                                        <w:szCs w:val="24"/>
                                      </w:rPr>
                                    </w:pPr>
                                    <w:r>
                                      <w:rPr>
                                        <w:caps/>
                                        <w:color w:val="5B9BD5" w:themeColor="accent5"/>
                                        <w:sz w:val="24"/>
                                        <w:szCs w:val="24"/>
                                      </w:rPr>
                                      <w:t>Elle Williams</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17DCE72C" id="_x0000_t202" coordsize="21600,21600" o:spt="202" path="m,l,21600r21600,l21600,xe">
                    <v:stroke joinstyle="miter"/>
                    <v:path gradientshapeok="t" o:connecttype="rect"/>
                  </v:shapetype>
                  <v:shape id="Text Box 30" o:spid="_x0000_s1026" type="#_x0000_t202" style="position:absolute;margin-left:0;margin-top:641.3pt;width:453pt;height:38.15pt;z-index:251668480;visibility:visible;mso-wrap-style:square;mso-width-percent:1154;mso-height-percent:0;mso-wrap-distance-left:9pt;mso-wrap-distance-top:0;mso-wrap-distance-right:9pt;mso-wrap-distance-bottom:0;mso-position-horizontal:center;mso-position-horizontal-relative:margin;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69CA6E58" w14:textId="72189ED4" w:rsidR="00BB3292" w:rsidRDefault="00BB3292">
                              <w:pPr>
                                <w:pStyle w:val="NoSpacing"/>
                                <w:spacing w:before="40" w:after="40"/>
                                <w:rPr>
                                  <w:caps/>
                                  <w:color w:val="4472C4" w:themeColor="accent1"/>
                                  <w:sz w:val="28"/>
                                  <w:szCs w:val="28"/>
                                </w:rPr>
                              </w:pPr>
                              <w:r>
                                <w:rPr>
                                  <w:caps/>
                                  <w:color w:val="4472C4" w:themeColor="accent1"/>
                                  <w:sz w:val="28"/>
                                  <w:szCs w:val="28"/>
                                </w:rPr>
                                <w:t xml:space="preserve">Evidence BAse Practice </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15F81FBB" w14:textId="105699A6" w:rsidR="00BB3292" w:rsidRDefault="00BB3292">
                              <w:pPr>
                                <w:pStyle w:val="NoSpacing"/>
                                <w:spacing w:before="40" w:after="40"/>
                                <w:rPr>
                                  <w:caps/>
                                  <w:color w:val="5B9BD5" w:themeColor="accent5"/>
                                  <w:sz w:val="24"/>
                                  <w:szCs w:val="24"/>
                                </w:rPr>
                              </w:pPr>
                              <w:r>
                                <w:rPr>
                                  <w:caps/>
                                  <w:color w:val="5B9BD5" w:themeColor="accent5"/>
                                  <w:sz w:val="24"/>
                                  <w:szCs w:val="24"/>
                                </w:rPr>
                                <w:t>Elle Williams</w:t>
                              </w:r>
                            </w:p>
                          </w:sdtContent>
                        </w:sdt>
                      </w:txbxContent>
                    </v:textbox>
                    <w10:wrap type="square" anchorx="margin" anchory="page"/>
                  </v:shape>
                </w:pict>
              </mc:Fallback>
            </mc:AlternateContent>
          </w:r>
          <w:r w:rsidR="00BB3292">
            <w:rPr>
              <w:noProof/>
            </w:rPr>
            <mc:AlternateContent>
              <mc:Choice Requires="wpg">
                <w:drawing>
                  <wp:anchor distT="0" distB="0" distL="114300" distR="114300" simplePos="0" relativeHeight="251666432" behindDoc="1" locked="0" layoutInCell="1" allowOverlap="1" wp14:anchorId="7F424575" wp14:editId="39A0D948">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A43B8F8" w14:textId="03E60EBB" w:rsidR="00BB3292" w:rsidRPr="00BB3292" w:rsidRDefault="00BB3292" w:rsidP="00BB3292">
                                  <w:pPr>
                                    <w:jc w:val="center"/>
                                    <w:rPr>
                                      <w:color w:val="FFFFFF" w:themeColor="background1"/>
                                      <w:sz w:val="200"/>
                                      <w:szCs w:val="200"/>
                                    </w:rPr>
                                  </w:pPr>
                                  <w:sdt>
                                    <w:sdtPr>
                                      <w:rPr>
                                        <w:rFonts w:cstheme="minorHAnsi"/>
                                        <w:color w:val="FFFFFF" w:themeColor="background1"/>
                                        <w:sz w:val="40"/>
                                        <w:szCs w:val="40"/>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BB3292">
                                        <w:rPr>
                                          <w:rFonts w:cstheme="minorHAnsi"/>
                                          <w:color w:val="FFFFFF" w:themeColor="background1"/>
                                          <w:sz w:val="40"/>
                                          <w:szCs w:val="40"/>
                                        </w:rPr>
                                        <w:t>Emphasising Business Success through the role of Evidence-Based Practice &amp; Data Analytics in People Management.</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7F424575" id="Group 28" o:spid="_x0000_s1027" style="position:absolute;margin-left:0;margin-top:0;width:540pt;height:556.55pt;z-index:-251650048;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A43B8F8" w14:textId="03E60EBB" w:rsidR="00BB3292" w:rsidRPr="00BB3292" w:rsidRDefault="00BB3292" w:rsidP="00BB3292">
                            <w:pPr>
                              <w:jc w:val="center"/>
                              <w:rPr>
                                <w:color w:val="FFFFFF" w:themeColor="background1"/>
                                <w:sz w:val="200"/>
                                <w:szCs w:val="200"/>
                              </w:rPr>
                            </w:pPr>
                            <w:sdt>
                              <w:sdtPr>
                                <w:rPr>
                                  <w:rFonts w:cstheme="minorHAnsi"/>
                                  <w:color w:val="FFFFFF" w:themeColor="background1"/>
                                  <w:sz w:val="40"/>
                                  <w:szCs w:val="40"/>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BB3292">
                                  <w:rPr>
                                    <w:rFonts w:cstheme="minorHAnsi"/>
                                    <w:color w:val="FFFFFF" w:themeColor="background1"/>
                                    <w:sz w:val="40"/>
                                    <w:szCs w:val="40"/>
                                  </w:rPr>
                                  <w:t>Emphasising Business Success through the role of Evidence-Based Practice &amp; Data Analytics in People Management.</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BB3292">
            <w:rPr>
              <w:noProof/>
            </w:rPr>
            <mc:AlternateContent>
              <mc:Choice Requires="wps">
                <w:drawing>
                  <wp:anchor distT="0" distB="0" distL="114300" distR="114300" simplePos="0" relativeHeight="251667456" behindDoc="0" locked="0" layoutInCell="1" allowOverlap="1" wp14:anchorId="7BBD6D56" wp14:editId="2D1870FB">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15056ED4" w14:textId="5B6DE883" w:rsidR="00BB3292" w:rsidRDefault="00BB3292">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BBD6D56" id="Rectangle 31" o:spid="_x0000_s1030" style="position:absolute;margin-left:-4.4pt;margin-top:0;width:46.8pt;height:77.75pt;z-index:251667456;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15056ED4" w14:textId="5B6DE883" w:rsidR="00BB3292" w:rsidRDefault="00BB3292">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rsidR="00BB3292">
            <w:rPr>
              <w:rFonts w:cstheme="minorHAnsi"/>
              <w:b/>
              <w:bCs/>
              <w:u w:val="single"/>
            </w:rPr>
            <w:br w:type="page"/>
          </w:r>
        </w:p>
      </w:sdtContent>
    </w:sdt>
    <w:p w14:paraId="3D6779D1" w14:textId="763BACFB" w:rsidR="00E43EAE" w:rsidRPr="0055277E" w:rsidRDefault="008948F5" w:rsidP="00C22B6A">
      <w:pPr>
        <w:rPr>
          <w:rFonts w:cstheme="minorHAnsi"/>
          <w:b/>
          <w:bCs/>
        </w:rPr>
      </w:pPr>
      <w:r w:rsidRPr="0055277E">
        <w:rPr>
          <w:rFonts w:cstheme="minorHAnsi"/>
          <w:b/>
          <w:bCs/>
        </w:rPr>
        <w:lastRenderedPageBreak/>
        <w:t>Evidence Based Practice</w:t>
      </w:r>
      <w:r w:rsidR="00D732FD">
        <w:rPr>
          <w:rFonts w:cstheme="minorHAnsi"/>
          <w:b/>
          <w:bCs/>
        </w:rPr>
        <w:t xml:space="preserve"> </w:t>
      </w:r>
      <w:r w:rsidR="005A232B" w:rsidRPr="0055277E">
        <w:rPr>
          <w:rFonts w:cstheme="minorHAnsi"/>
          <w:b/>
          <w:bCs/>
        </w:rPr>
        <w:t>(AC1.1)</w:t>
      </w:r>
    </w:p>
    <w:p w14:paraId="69E14B47" w14:textId="04E46157" w:rsidR="004F31CC" w:rsidRDefault="00607B01" w:rsidP="004F31CC">
      <w:pPr>
        <w:rPr>
          <w:rFonts w:cstheme="minorHAnsi"/>
          <w:b/>
          <w:bCs/>
          <w:color w:val="FF0000"/>
        </w:rPr>
      </w:pPr>
      <w:r w:rsidRPr="0055277E">
        <w:rPr>
          <w:rFonts w:cstheme="minorHAnsi"/>
        </w:rPr>
        <w:t>Evidence based practice</w:t>
      </w:r>
      <w:r w:rsidR="007C1937">
        <w:rPr>
          <w:rFonts w:cstheme="minorHAnsi"/>
        </w:rPr>
        <w:t xml:space="preserve"> </w:t>
      </w:r>
      <w:r w:rsidR="008948F5" w:rsidRPr="0055277E">
        <w:rPr>
          <w:rFonts w:cstheme="minorHAnsi"/>
        </w:rPr>
        <w:t>(EBP)</w:t>
      </w:r>
      <w:r w:rsidRPr="0055277E">
        <w:rPr>
          <w:rFonts w:cstheme="minorHAnsi"/>
        </w:rPr>
        <w:t xml:space="preserve"> involves utilising the most credible and reliable sources and to make well informed decisions with the goal of achieving successful outcomes. It’s essential for HR professionals to have access to the appropriate tools, robust evidence, and techniques to make well founded decisions while also minimising errors, fads and biases in critical decision making</w:t>
      </w:r>
      <w:r w:rsidR="00A07062" w:rsidRPr="0055277E">
        <w:rPr>
          <w:rFonts w:cstheme="minorHAnsi"/>
        </w:rPr>
        <w:t xml:space="preserve"> (Taylor &amp; Woodhams,2022).</w:t>
      </w:r>
    </w:p>
    <w:p w14:paraId="18D71C83" w14:textId="2C8B7243" w:rsidR="00607B01" w:rsidRPr="004F31CC" w:rsidRDefault="00B95E8C" w:rsidP="004F31CC">
      <w:pPr>
        <w:rPr>
          <w:rFonts w:cstheme="minorHAnsi"/>
          <w:b/>
          <w:bCs/>
          <w:color w:val="FF0000"/>
        </w:rPr>
      </w:pPr>
      <w:r>
        <w:rPr>
          <w:rFonts w:cstheme="minorHAnsi"/>
        </w:rPr>
        <w:t xml:space="preserve">EBP </w:t>
      </w:r>
      <w:r w:rsidR="00607B01" w:rsidRPr="0055277E">
        <w:rPr>
          <w:rFonts w:cstheme="minorHAnsi"/>
        </w:rPr>
        <w:t xml:space="preserve">refers to the collection of information, factual data or statistics that may either validate or contradict a claim, </w:t>
      </w:r>
      <w:r w:rsidR="001D4D1E" w:rsidRPr="0055277E">
        <w:rPr>
          <w:rFonts w:cstheme="minorHAnsi"/>
        </w:rPr>
        <w:t>assumption,</w:t>
      </w:r>
      <w:r w:rsidR="00607B01" w:rsidRPr="0055277E">
        <w:rPr>
          <w:rFonts w:cstheme="minorHAnsi"/>
        </w:rPr>
        <w:t xml:space="preserve"> or hypothesis (CIPD,2023a). Evidence can be utilised from local organisations, business indicators or even stakeholder knowledge and professional experience can be a crucial source of evidence (Barends et al,2014).</w:t>
      </w:r>
    </w:p>
    <w:p w14:paraId="0F6D90F4" w14:textId="64896ACF" w:rsidR="00607B01" w:rsidRPr="0055277E" w:rsidRDefault="00607B01" w:rsidP="00607B01">
      <w:pPr>
        <w:rPr>
          <w:rFonts w:cstheme="minorHAnsi"/>
        </w:rPr>
      </w:pPr>
      <w:r w:rsidRPr="0055277E">
        <w:rPr>
          <w:rFonts w:cstheme="minorHAnsi"/>
        </w:rPr>
        <w:t>Although it</w:t>
      </w:r>
      <w:r w:rsidR="00F757BB">
        <w:rPr>
          <w:rFonts w:cstheme="minorHAnsi"/>
        </w:rPr>
        <w:t>’</w:t>
      </w:r>
      <w:r w:rsidRPr="0055277E">
        <w:rPr>
          <w:rFonts w:cstheme="minorHAnsi"/>
        </w:rPr>
        <w:t xml:space="preserve">s a common misconception that </w:t>
      </w:r>
      <w:r w:rsidR="008948F5" w:rsidRPr="0055277E">
        <w:rPr>
          <w:rFonts w:cstheme="minorHAnsi"/>
        </w:rPr>
        <w:t>EBP</w:t>
      </w:r>
      <w:r w:rsidRPr="0055277E">
        <w:rPr>
          <w:rFonts w:cstheme="minorHAnsi"/>
        </w:rPr>
        <w:t xml:space="preserve"> relies exclusively on analytical data, the CIPD (Chartered Institute of Personnel and Development) emphasizes that practitioners should consider four essential sources: scientific research, organizational data, stakeholder concerns, and practitioner expertise, these sources will allow them to make credible and effective decisions (CIPD</w:t>
      </w:r>
      <w:r w:rsidR="00CE0A8A">
        <w:rPr>
          <w:rFonts w:cstheme="minorHAnsi"/>
        </w:rPr>
        <w:t>,</w:t>
      </w:r>
      <w:r w:rsidRPr="0055277E">
        <w:rPr>
          <w:rFonts w:cstheme="minorHAnsi"/>
        </w:rPr>
        <w:t xml:space="preserve">2023e). </w:t>
      </w:r>
    </w:p>
    <w:p w14:paraId="558BB061" w14:textId="72B81573" w:rsidR="00EF60B8" w:rsidRDefault="00607B01" w:rsidP="008C38ED">
      <w:pPr>
        <w:rPr>
          <w:rFonts w:cstheme="minorHAnsi"/>
        </w:rPr>
      </w:pPr>
      <w:r w:rsidRPr="0055277E">
        <w:rPr>
          <w:rFonts w:cstheme="minorHAnsi"/>
        </w:rPr>
        <w:t xml:space="preserve">To effectively evaluate each source, practitioners should maintain a critical approach, which can be accomplished by adhering to the 'six A's': Asking, Acquiring, Appraising, Aggregating, Applying, and Assessing, this will then increase the likelihood of a favourable outcome (Barends et al,2014). In </w:t>
      </w:r>
      <w:r w:rsidR="00C22B6A" w:rsidRPr="0055277E">
        <w:rPr>
          <w:rFonts w:cstheme="minorHAnsi"/>
        </w:rPr>
        <w:t>EBP</w:t>
      </w:r>
      <w:r w:rsidRPr="0055277E">
        <w:rPr>
          <w:rFonts w:cstheme="minorHAnsi"/>
        </w:rPr>
        <w:t>, it's essential to be conscientious when selecting and analysing data, ensuring that explicit and judicious criteria are applied to make favourable informed decisions (CIPD,2023b)</w:t>
      </w:r>
      <w:r w:rsidR="00C22B6A" w:rsidRPr="0055277E">
        <w:rPr>
          <w:rFonts w:cstheme="minorHAnsi"/>
        </w:rPr>
        <w:t>.</w:t>
      </w:r>
    </w:p>
    <w:p w14:paraId="34041CEC" w14:textId="6DB87A24" w:rsidR="00302C97" w:rsidRPr="00D65A08" w:rsidRDefault="00820107" w:rsidP="00D65A08">
      <w:pPr>
        <w:rPr>
          <w:rStyle w:val="Hyperlink"/>
          <w:color w:val="auto"/>
          <w:u w:val="none"/>
        </w:rPr>
      </w:pPr>
      <w:r>
        <w:rPr>
          <w:rFonts w:cstheme="minorHAnsi"/>
        </w:rPr>
        <w:t xml:space="preserve">Evidence </w:t>
      </w:r>
      <w:r w:rsidR="0015499C">
        <w:rPr>
          <w:rFonts w:cstheme="minorHAnsi"/>
        </w:rPr>
        <w:t>is</w:t>
      </w:r>
      <w:r>
        <w:rPr>
          <w:rFonts w:cstheme="minorHAnsi"/>
        </w:rPr>
        <w:t xml:space="preserve"> found from a variety of </w:t>
      </w:r>
      <w:r w:rsidR="00F1187D">
        <w:rPr>
          <w:rFonts w:cstheme="minorHAnsi"/>
        </w:rPr>
        <w:t xml:space="preserve">resources; </w:t>
      </w:r>
      <w:r w:rsidR="006A4A54">
        <w:rPr>
          <w:rFonts w:cstheme="minorHAnsi"/>
        </w:rPr>
        <w:t>it</w:t>
      </w:r>
      <w:r w:rsidR="00F757BB">
        <w:rPr>
          <w:rFonts w:cstheme="minorHAnsi"/>
        </w:rPr>
        <w:t>’</w:t>
      </w:r>
      <w:r w:rsidR="006A4A54">
        <w:rPr>
          <w:rFonts w:cstheme="minorHAnsi"/>
        </w:rPr>
        <w:t xml:space="preserve">s important to be mindful </w:t>
      </w:r>
      <w:r w:rsidR="00DA5936">
        <w:rPr>
          <w:rFonts w:cstheme="minorHAnsi"/>
        </w:rPr>
        <w:t>of the use of heuristics</w:t>
      </w:r>
      <w:r w:rsidR="006F5008">
        <w:rPr>
          <w:rFonts w:cstheme="minorHAnsi"/>
        </w:rPr>
        <w:t xml:space="preserve">. </w:t>
      </w:r>
      <w:r w:rsidR="00C2005D" w:rsidRPr="006F5008">
        <w:rPr>
          <w:rFonts w:cstheme="minorHAnsi"/>
        </w:rPr>
        <w:t xml:space="preserve">Heuristics </w:t>
      </w:r>
      <w:r w:rsidR="00B675B3" w:rsidRPr="006F5008">
        <w:rPr>
          <w:rFonts w:cstheme="minorHAnsi"/>
        </w:rPr>
        <w:t>embrace</w:t>
      </w:r>
      <w:r w:rsidR="00C2005D" w:rsidRPr="006F5008">
        <w:rPr>
          <w:rFonts w:cstheme="minorHAnsi"/>
        </w:rPr>
        <w:t xml:space="preserve"> efficient mental strategies, whether conscious or unconscious, that </w:t>
      </w:r>
      <w:r w:rsidR="00B675B3" w:rsidRPr="006F5008">
        <w:rPr>
          <w:rFonts w:cstheme="minorHAnsi"/>
        </w:rPr>
        <w:t>purposefully</w:t>
      </w:r>
      <w:r w:rsidR="00C2005D" w:rsidRPr="006F5008">
        <w:rPr>
          <w:rFonts w:cstheme="minorHAnsi"/>
        </w:rPr>
        <w:t xml:space="preserve"> overlook certain information for the sake of effectiveness</w:t>
      </w:r>
      <w:r w:rsidR="006F5008">
        <w:rPr>
          <w:rFonts w:cstheme="minorHAnsi"/>
        </w:rPr>
        <w:t xml:space="preserve"> </w:t>
      </w:r>
      <w:r w:rsidR="004E6137">
        <w:t>(</w:t>
      </w:r>
      <w:proofErr w:type="spellStart"/>
      <w:r w:rsidR="004E6137">
        <w:t>Gigerenzer&amp;Gaissmaier</w:t>
      </w:r>
      <w:proofErr w:type="spellEnd"/>
      <w:r w:rsidR="004E6137">
        <w:t xml:space="preserve">, 2011). </w:t>
      </w:r>
      <w:r w:rsidR="003D1B8C">
        <w:t xml:space="preserve">This process typically saves </w:t>
      </w:r>
      <w:r w:rsidR="00302C97">
        <w:t>time and</w:t>
      </w:r>
      <w:r w:rsidR="005E5573">
        <w:t xml:space="preserve"> </w:t>
      </w:r>
      <w:r w:rsidR="003D1B8C">
        <w:t>efforts</w:t>
      </w:r>
      <w:r w:rsidR="00AF1CB9">
        <w:t xml:space="preserve"> and individuals </w:t>
      </w:r>
      <w:r w:rsidR="00374119">
        <w:t>utilise</w:t>
      </w:r>
      <w:r w:rsidR="002A28C5">
        <w:t xml:space="preserve"> shortcuts to </w:t>
      </w:r>
      <w:r w:rsidR="005E5573">
        <w:t>assess</w:t>
      </w:r>
      <w:r w:rsidR="002A28C5">
        <w:t xml:space="preserve"> the different </w:t>
      </w:r>
      <w:r w:rsidR="00D85F8E">
        <w:t xml:space="preserve">choices that make perfect sense to </w:t>
      </w:r>
      <w:r w:rsidR="00FE1471">
        <w:t>achieve a desired outcom</w:t>
      </w:r>
      <w:r w:rsidR="00800F23">
        <w:t>e</w:t>
      </w:r>
      <w:r w:rsidR="00CE0A8A">
        <w:t xml:space="preserve"> </w:t>
      </w:r>
      <w:r w:rsidR="00800F23">
        <w:t>(Newkirk,2014).</w:t>
      </w:r>
    </w:p>
    <w:p w14:paraId="562472CC" w14:textId="29351DB2" w:rsidR="003630E6" w:rsidRPr="00CE0A8A" w:rsidRDefault="00182318" w:rsidP="00CE0A8A">
      <w:pPr>
        <w:rPr>
          <w:rStyle w:val="Hyperlink"/>
          <w:rFonts w:ascii="Open Sans" w:hAnsi="Open Sans" w:cs="Open Sans"/>
          <w:color w:val="333333"/>
          <w:u w:val="none"/>
          <w:shd w:val="clear" w:color="auto" w:fill="FFFFFF"/>
        </w:rPr>
      </w:pPr>
      <w:r>
        <w:t>However,</w:t>
      </w:r>
      <w:r w:rsidR="00E03C3A">
        <w:t xml:space="preserve"> </w:t>
      </w:r>
      <w:r w:rsidR="0015499C">
        <w:t>it’</w:t>
      </w:r>
      <w:r w:rsidR="00E03C3A">
        <w:t xml:space="preserve">s subject to greater errors and </w:t>
      </w:r>
      <w:r w:rsidR="00FF4093">
        <w:t xml:space="preserve">can introduce bias judgements, </w:t>
      </w:r>
      <w:r w:rsidR="00E478FB">
        <w:t>it</w:t>
      </w:r>
      <w:r w:rsidR="00781957">
        <w:t>’</w:t>
      </w:r>
      <w:r w:rsidR="00E478FB">
        <w:t>s important to understand</w:t>
      </w:r>
      <w:r w:rsidR="00D65A08">
        <w:t xml:space="preserve"> and reflect </w:t>
      </w:r>
      <w:r w:rsidR="00E478FB">
        <w:t xml:space="preserve">how heuristics </w:t>
      </w:r>
      <w:r w:rsidR="00316B6B">
        <w:t xml:space="preserve">can provide a valuable insight into personal biases and influences </w:t>
      </w:r>
      <w:r w:rsidR="00342DA0">
        <w:t>(Dale,2015).</w:t>
      </w:r>
      <w:r>
        <w:rPr>
          <w:rFonts w:ascii="Open Sans" w:hAnsi="Open Sans" w:cs="Open Sans"/>
          <w:color w:val="333333"/>
          <w:shd w:val="clear" w:color="auto" w:fill="FFFFFF"/>
        </w:rPr>
        <w:t xml:space="preserve"> </w:t>
      </w:r>
      <w:r w:rsidR="001C5548" w:rsidRPr="001C5548">
        <w:t xml:space="preserve">Additionally, it’s </w:t>
      </w:r>
      <w:r w:rsidR="00962DB0" w:rsidRPr="001C5548">
        <w:t>critical</w:t>
      </w:r>
      <w:r w:rsidR="001C5548" w:rsidRPr="001C5548">
        <w:t xml:space="preserve"> to consider the concept of bounded rationality, where individuals rely on limited information drawn solely from their personal experiences and capabilities when making decisions</w:t>
      </w:r>
      <w:r w:rsidR="00962DB0">
        <w:t xml:space="preserve"> </w:t>
      </w:r>
      <w:r>
        <w:t>(Simon,2001).</w:t>
      </w:r>
    </w:p>
    <w:p w14:paraId="6A288210" w14:textId="6211AB14" w:rsidR="00D75932" w:rsidRPr="0015499C" w:rsidRDefault="009A2892" w:rsidP="0015499C">
      <w:pPr>
        <w:rPr>
          <w:rFonts w:cstheme="minorHAnsi"/>
          <w:color w:val="0000FF"/>
          <w:u w:val="single"/>
        </w:rPr>
      </w:pPr>
      <w:r w:rsidRPr="00E11C03">
        <w:rPr>
          <w:rStyle w:val="Hyperlink"/>
          <w:rFonts w:cstheme="minorHAnsi"/>
          <w:color w:val="auto"/>
          <w:u w:val="none"/>
        </w:rPr>
        <w:t xml:space="preserve">Group think in another process that can cause </w:t>
      </w:r>
      <w:r w:rsidR="002A0DBB" w:rsidRPr="00E11C03">
        <w:rPr>
          <w:rStyle w:val="Hyperlink"/>
          <w:rFonts w:cstheme="minorHAnsi"/>
          <w:color w:val="auto"/>
          <w:u w:val="none"/>
        </w:rPr>
        <w:t>disruption</w:t>
      </w:r>
      <w:r w:rsidRPr="00E11C03">
        <w:rPr>
          <w:rStyle w:val="Hyperlink"/>
          <w:rFonts w:cstheme="minorHAnsi"/>
          <w:color w:val="auto"/>
          <w:u w:val="none"/>
        </w:rPr>
        <w:t xml:space="preserve"> during</w:t>
      </w:r>
      <w:r w:rsidR="002A0DBB" w:rsidRPr="00E11C03">
        <w:rPr>
          <w:rStyle w:val="Hyperlink"/>
          <w:rFonts w:cstheme="minorHAnsi"/>
          <w:color w:val="auto"/>
          <w:u w:val="none"/>
        </w:rPr>
        <w:t xml:space="preserve"> decision making, </w:t>
      </w:r>
      <w:r w:rsidR="00332DD1" w:rsidRPr="00E11C03">
        <w:rPr>
          <w:rStyle w:val="Hyperlink"/>
          <w:rFonts w:cstheme="minorHAnsi"/>
          <w:color w:val="auto"/>
          <w:u w:val="none"/>
        </w:rPr>
        <w:t xml:space="preserve">this occurs when </w:t>
      </w:r>
      <w:r w:rsidR="00087724" w:rsidRPr="00E11C03">
        <w:rPr>
          <w:rStyle w:val="Hyperlink"/>
          <w:rFonts w:cstheme="minorHAnsi"/>
          <w:color w:val="auto"/>
          <w:u w:val="none"/>
        </w:rPr>
        <w:t xml:space="preserve">a group consensus </w:t>
      </w:r>
      <w:r w:rsidR="00970A91" w:rsidRPr="00E11C03">
        <w:rPr>
          <w:rStyle w:val="Hyperlink"/>
          <w:rFonts w:cstheme="minorHAnsi"/>
          <w:color w:val="auto"/>
          <w:u w:val="none"/>
        </w:rPr>
        <w:t>overrides critical evaluation and comm</w:t>
      </w:r>
      <w:r w:rsidR="00E538C3" w:rsidRPr="00E11C03">
        <w:rPr>
          <w:rStyle w:val="Hyperlink"/>
          <w:rFonts w:cstheme="minorHAnsi"/>
          <w:color w:val="auto"/>
          <w:u w:val="none"/>
        </w:rPr>
        <w:t>on sense</w:t>
      </w:r>
      <w:r w:rsidR="00B37BE3" w:rsidRPr="00E11C03">
        <w:rPr>
          <w:rStyle w:val="Hyperlink"/>
          <w:rFonts w:cstheme="minorHAnsi"/>
          <w:color w:val="auto"/>
          <w:u w:val="none"/>
        </w:rPr>
        <w:t xml:space="preserve">, </w:t>
      </w:r>
      <w:r w:rsidR="006B7027" w:rsidRPr="00E11C03">
        <w:rPr>
          <w:rStyle w:val="Hyperlink"/>
          <w:rFonts w:cstheme="minorHAnsi"/>
          <w:color w:val="auto"/>
          <w:u w:val="none"/>
        </w:rPr>
        <w:t>‘</w:t>
      </w:r>
      <w:r w:rsidR="006B7027" w:rsidRPr="00E11C03">
        <w:rPr>
          <w:rFonts w:cstheme="minorHAnsi"/>
          <w:spacing w:val="8"/>
          <w:shd w:val="clear" w:color="auto" w:fill="FFFFFF"/>
        </w:rPr>
        <w:t>the desire for group cohesion effectively drives out good decision-making and problem solving’</w:t>
      </w:r>
      <w:r w:rsidR="00B5370B">
        <w:rPr>
          <w:rFonts w:cstheme="minorHAnsi"/>
          <w:spacing w:val="8"/>
          <w:shd w:val="clear" w:color="auto" w:fill="FFFFFF"/>
        </w:rPr>
        <w:t xml:space="preserve"> </w:t>
      </w:r>
      <w:r w:rsidR="00B5370B">
        <w:t xml:space="preserve">(Mind Tools Content Team, No </w:t>
      </w:r>
      <w:proofErr w:type="spellStart"/>
      <w:proofErr w:type="gramStart"/>
      <w:r w:rsidR="00B5370B">
        <w:t>Date,b</w:t>
      </w:r>
      <w:proofErr w:type="spellEnd"/>
      <w:proofErr w:type="gramEnd"/>
      <w:r w:rsidR="00B5370B">
        <w:t>).</w:t>
      </w:r>
      <w:r w:rsidR="00D75932">
        <w:rPr>
          <w:rStyle w:val="Hyperlink"/>
          <w:rFonts w:cstheme="minorHAnsi"/>
          <w:u w:val="none"/>
        </w:rPr>
        <w:t xml:space="preserve"> </w:t>
      </w:r>
      <w:r w:rsidR="009C5F38" w:rsidRPr="00E11C03">
        <w:rPr>
          <w:rStyle w:val="Hyperlink"/>
          <w:rFonts w:cstheme="minorHAnsi"/>
          <w:color w:val="auto"/>
          <w:u w:val="none"/>
        </w:rPr>
        <w:t>This</w:t>
      </w:r>
      <w:r w:rsidR="007963C6" w:rsidRPr="00E11C03">
        <w:rPr>
          <w:rStyle w:val="Hyperlink"/>
          <w:rFonts w:cstheme="minorHAnsi"/>
          <w:color w:val="auto"/>
          <w:u w:val="none"/>
        </w:rPr>
        <w:t xml:space="preserve"> process</w:t>
      </w:r>
      <w:r w:rsidR="009C5F38" w:rsidRPr="00E11C03">
        <w:rPr>
          <w:rStyle w:val="Hyperlink"/>
          <w:rFonts w:cstheme="minorHAnsi"/>
          <w:color w:val="auto"/>
          <w:u w:val="none"/>
        </w:rPr>
        <w:t xml:space="preserve"> can be influenced by </w:t>
      </w:r>
      <w:r w:rsidR="0027751E" w:rsidRPr="00E11C03">
        <w:rPr>
          <w:rStyle w:val="Hyperlink"/>
          <w:rFonts w:cstheme="minorHAnsi"/>
          <w:color w:val="auto"/>
          <w:u w:val="none"/>
        </w:rPr>
        <w:t xml:space="preserve">pressure, </w:t>
      </w:r>
      <w:r w:rsidR="00264815" w:rsidRPr="00E11C03">
        <w:rPr>
          <w:rStyle w:val="Hyperlink"/>
          <w:rFonts w:cstheme="minorHAnsi"/>
          <w:color w:val="auto"/>
          <w:u w:val="none"/>
        </w:rPr>
        <w:t>self-</w:t>
      </w:r>
      <w:proofErr w:type="gramStart"/>
      <w:r w:rsidR="00264815" w:rsidRPr="00E11C03">
        <w:rPr>
          <w:rStyle w:val="Hyperlink"/>
          <w:rFonts w:cstheme="minorHAnsi"/>
          <w:color w:val="auto"/>
          <w:u w:val="none"/>
        </w:rPr>
        <w:t>censorship</w:t>
      </w:r>
      <w:proofErr w:type="gramEnd"/>
      <w:r w:rsidR="00264815" w:rsidRPr="00E11C03">
        <w:rPr>
          <w:rStyle w:val="Hyperlink"/>
          <w:rFonts w:cstheme="minorHAnsi"/>
          <w:color w:val="auto"/>
          <w:u w:val="none"/>
        </w:rPr>
        <w:t xml:space="preserve"> and </w:t>
      </w:r>
      <w:r w:rsidR="003946DE" w:rsidRPr="00E11C03">
        <w:rPr>
          <w:rStyle w:val="Hyperlink"/>
          <w:rFonts w:cstheme="minorHAnsi"/>
          <w:color w:val="auto"/>
          <w:u w:val="none"/>
        </w:rPr>
        <w:t>directive leadership</w:t>
      </w:r>
      <w:r w:rsidR="00D75932">
        <w:rPr>
          <w:rStyle w:val="Hyperlink"/>
          <w:rFonts w:cstheme="minorHAnsi"/>
          <w:color w:val="auto"/>
          <w:u w:val="none"/>
        </w:rPr>
        <w:t xml:space="preserve"> (CFI,2023).</w:t>
      </w:r>
    </w:p>
    <w:p w14:paraId="18EF45C4" w14:textId="09DBDE9B" w:rsidR="00B675B3" w:rsidRDefault="00B675B3" w:rsidP="00962DB0">
      <w:pPr>
        <w:rPr>
          <w:rStyle w:val="Hyperlink"/>
          <w:color w:val="auto"/>
          <w:u w:val="none"/>
        </w:rPr>
      </w:pPr>
    </w:p>
    <w:p w14:paraId="68FE603B" w14:textId="21F2D62D" w:rsidR="005437DB" w:rsidRPr="0055277E" w:rsidRDefault="00C725C0" w:rsidP="005437DB">
      <w:pPr>
        <w:rPr>
          <w:rFonts w:cstheme="minorHAnsi"/>
          <w:b/>
          <w:bCs/>
        </w:rPr>
      </w:pPr>
      <w:r w:rsidRPr="0055277E">
        <w:rPr>
          <w:rFonts w:cstheme="minorHAnsi"/>
          <w:b/>
          <w:bCs/>
        </w:rPr>
        <w:t>Analytical tools &amp; Methods (</w:t>
      </w:r>
      <w:r w:rsidR="005A232B" w:rsidRPr="0055277E">
        <w:rPr>
          <w:rFonts w:cstheme="minorHAnsi"/>
          <w:b/>
          <w:bCs/>
        </w:rPr>
        <w:t>AC1.2)</w:t>
      </w:r>
    </w:p>
    <w:p w14:paraId="07ACB289" w14:textId="4386281A" w:rsidR="005437DB" w:rsidRPr="0055277E" w:rsidRDefault="005437DB" w:rsidP="00BF7AB5">
      <w:pPr>
        <w:rPr>
          <w:rFonts w:cstheme="minorHAnsi"/>
          <w:b/>
          <w:bCs/>
          <w:color w:val="0000FF"/>
          <w:u w:val="single"/>
        </w:rPr>
      </w:pPr>
      <w:r w:rsidRPr="0055277E">
        <w:rPr>
          <w:rFonts w:cstheme="minorHAnsi"/>
        </w:rPr>
        <w:t xml:space="preserve">Individuals need to continue to adapt to internal and external factors that are contributing to everchanging environment that affects the organisation. The environment is anything that may contribute to an organisation which may affect present or future activities </w:t>
      </w:r>
      <w:r w:rsidR="00CF5B82" w:rsidRPr="0055277E">
        <w:rPr>
          <w:rFonts w:cstheme="minorHAnsi"/>
        </w:rPr>
        <w:t>(Kew &amp; Stredwick,2016).</w:t>
      </w:r>
      <w:r w:rsidR="00BF7AB5">
        <w:rPr>
          <w:rFonts w:cstheme="minorHAnsi"/>
          <w:b/>
          <w:bCs/>
          <w:color w:val="0000FF"/>
          <w:u w:val="single"/>
        </w:rPr>
        <w:t xml:space="preserve"> </w:t>
      </w:r>
      <w:r w:rsidRPr="0055277E">
        <w:rPr>
          <w:rFonts w:cstheme="minorHAnsi"/>
        </w:rPr>
        <w:t xml:space="preserve">These factors are continuously breaking through to task actions and impacting decisions within every industry </w:t>
      </w:r>
      <w:r w:rsidR="00E20D85" w:rsidRPr="0055277E">
        <w:rPr>
          <w:rFonts w:cstheme="minorHAnsi"/>
        </w:rPr>
        <w:t>(Kew &amp; Stredwick,2016</w:t>
      </w:r>
      <w:r w:rsidRPr="0055277E">
        <w:rPr>
          <w:rFonts w:cstheme="minorHAnsi"/>
        </w:rPr>
        <w:t>). It</w:t>
      </w:r>
      <w:r w:rsidR="00590829">
        <w:rPr>
          <w:rFonts w:cstheme="minorHAnsi"/>
        </w:rPr>
        <w:t>’</w:t>
      </w:r>
      <w:r w:rsidRPr="0055277E">
        <w:rPr>
          <w:rFonts w:cstheme="minorHAnsi"/>
        </w:rPr>
        <w:t xml:space="preserve">s important for organisations acknowledge that analysing their </w:t>
      </w:r>
      <w:r w:rsidRPr="0055277E">
        <w:rPr>
          <w:rFonts w:cstheme="minorHAnsi"/>
        </w:rPr>
        <w:lastRenderedPageBreak/>
        <w:t>environment both internally and externally will allow them to gain a strategic advantage and improve performance.</w:t>
      </w:r>
    </w:p>
    <w:p w14:paraId="34F477DF" w14:textId="0B6B01E7" w:rsidR="00100CB7" w:rsidRDefault="005437DB" w:rsidP="00D673D0">
      <w:pPr>
        <w:rPr>
          <w:rFonts w:cstheme="minorHAnsi"/>
        </w:rPr>
      </w:pPr>
      <w:r w:rsidRPr="0055277E">
        <w:rPr>
          <w:rFonts w:cstheme="minorHAnsi"/>
        </w:rPr>
        <w:t>It</w:t>
      </w:r>
      <w:r w:rsidR="00590829">
        <w:rPr>
          <w:rFonts w:cstheme="minorHAnsi"/>
        </w:rPr>
        <w:t>’</w:t>
      </w:r>
      <w:r w:rsidRPr="0055277E">
        <w:rPr>
          <w:rFonts w:cstheme="minorHAnsi"/>
        </w:rPr>
        <w:t xml:space="preserve">s crucial to apply suitable analytical tools to identify organisational issues or potential opportunities. PESTLE analysis draws attention to significant external factors, these being </w:t>
      </w:r>
      <w:r w:rsidRPr="0055277E">
        <w:rPr>
          <w:rFonts w:cstheme="minorHAnsi"/>
          <w:color w:val="202020"/>
          <w:shd w:val="clear" w:color="auto" w:fill="FFFFFF"/>
        </w:rPr>
        <w:t xml:space="preserve">Political, Economic, Sociological, Technological, Legal and Environmental which can all have an influence withing an organisation. </w:t>
      </w:r>
      <w:r w:rsidR="00C23C03">
        <w:rPr>
          <w:rFonts w:cstheme="minorHAnsi"/>
          <w:color w:val="202020"/>
          <w:shd w:val="clear" w:color="auto" w:fill="FFFFFF"/>
        </w:rPr>
        <w:t xml:space="preserve">PESTLE </w:t>
      </w:r>
      <w:r w:rsidRPr="0055277E">
        <w:rPr>
          <w:rFonts w:cstheme="minorHAnsi"/>
          <w:color w:val="202020"/>
          <w:shd w:val="clear" w:color="auto" w:fill="FFFFFF"/>
        </w:rPr>
        <w:t>can be used in many circumstances for stakeholders, allow</w:t>
      </w:r>
      <w:r w:rsidR="008C4E7A">
        <w:rPr>
          <w:rFonts w:cstheme="minorHAnsi"/>
          <w:color w:val="202020"/>
          <w:shd w:val="clear" w:color="auto" w:fill="FFFFFF"/>
        </w:rPr>
        <w:t>ing</w:t>
      </w:r>
      <w:r w:rsidRPr="0055277E">
        <w:rPr>
          <w:rFonts w:cstheme="minorHAnsi"/>
          <w:color w:val="202020"/>
          <w:shd w:val="clear" w:color="auto" w:fill="FFFFFF"/>
        </w:rPr>
        <w:t xml:space="preserve"> them to mak</w:t>
      </w:r>
      <w:r w:rsidR="008C4E7A">
        <w:rPr>
          <w:rFonts w:cstheme="minorHAnsi"/>
          <w:color w:val="202020"/>
          <w:shd w:val="clear" w:color="auto" w:fill="FFFFFF"/>
        </w:rPr>
        <w:t>e</w:t>
      </w:r>
      <w:r w:rsidRPr="0055277E">
        <w:rPr>
          <w:rFonts w:cstheme="minorHAnsi"/>
          <w:color w:val="202020"/>
          <w:shd w:val="clear" w:color="auto" w:fill="FFFFFF"/>
        </w:rPr>
        <w:t xml:space="preserve"> informed decisions (</w:t>
      </w:r>
      <w:r w:rsidRPr="0055277E">
        <w:rPr>
          <w:rFonts w:cstheme="minorHAnsi"/>
        </w:rPr>
        <w:t>CIPD,2023c)</w:t>
      </w:r>
      <w:r w:rsidR="00B13230" w:rsidRPr="0055277E">
        <w:rPr>
          <w:rFonts w:cstheme="minorHAnsi"/>
        </w:rPr>
        <w:t xml:space="preserve">. </w:t>
      </w:r>
      <w:r w:rsidR="00530062">
        <w:rPr>
          <w:rFonts w:cstheme="minorHAnsi"/>
          <w:color w:val="000000" w:themeColor="text1"/>
        </w:rPr>
        <w:t>It’s</w:t>
      </w:r>
      <w:r w:rsidR="00826E20">
        <w:rPr>
          <w:rFonts w:cstheme="minorHAnsi"/>
          <w:color w:val="000000" w:themeColor="text1"/>
        </w:rPr>
        <w:t xml:space="preserve"> </w:t>
      </w:r>
      <w:r w:rsidRPr="0055277E">
        <w:rPr>
          <w:rFonts w:cstheme="minorHAnsi"/>
          <w:color w:val="000000" w:themeColor="text1"/>
        </w:rPr>
        <w:t>considered as a simplistic, however, can be used</w:t>
      </w:r>
      <w:r w:rsidR="00D673D0">
        <w:rPr>
          <w:rFonts w:cstheme="minorHAnsi"/>
          <w:color w:val="000000" w:themeColor="text1"/>
        </w:rPr>
        <w:t xml:space="preserve"> continuously</w:t>
      </w:r>
      <w:r w:rsidRPr="0055277E">
        <w:rPr>
          <w:rFonts w:cstheme="minorHAnsi"/>
          <w:color w:val="000000" w:themeColor="text1"/>
        </w:rPr>
        <w:t xml:space="preserve">, the environment is constantly changing </w:t>
      </w:r>
      <w:r w:rsidR="00A60009">
        <w:rPr>
          <w:rFonts w:cstheme="minorHAnsi"/>
          <w:color w:val="000000" w:themeColor="text1"/>
        </w:rPr>
        <w:t>as there are</w:t>
      </w:r>
      <w:r w:rsidRPr="0055277E">
        <w:rPr>
          <w:rFonts w:cstheme="minorHAnsi"/>
          <w:color w:val="000000" w:themeColor="text1"/>
        </w:rPr>
        <w:t xml:space="preserve"> new tends, changes in regulations or </w:t>
      </w:r>
      <w:r w:rsidR="00A60009">
        <w:rPr>
          <w:rFonts w:cstheme="minorHAnsi"/>
          <w:color w:val="000000" w:themeColor="text1"/>
        </w:rPr>
        <w:t xml:space="preserve">technological developments </w:t>
      </w:r>
      <w:r w:rsidRPr="0055277E">
        <w:rPr>
          <w:rFonts w:cstheme="minorHAnsi"/>
          <w:color w:val="000000" w:themeColor="text1"/>
        </w:rPr>
        <w:t>(Currence,2018). By continuing to review your analysis tools will allow an organisation to sharpen their business acumen and help to critically evaluate how to move forward with these external developments (Currence,2018).</w:t>
      </w:r>
    </w:p>
    <w:p w14:paraId="7D4BDF52" w14:textId="729BA3BB" w:rsidR="005437DB" w:rsidRPr="0055277E" w:rsidRDefault="00BF524C" w:rsidP="005437DB">
      <w:pPr>
        <w:rPr>
          <w:rFonts w:cstheme="minorHAnsi"/>
        </w:rPr>
      </w:pPr>
      <w:r>
        <w:rPr>
          <w:rFonts w:cstheme="minorHAnsi"/>
        </w:rPr>
        <w:t>A</w:t>
      </w:r>
      <w:r w:rsidR="005437DB" w:rsidRPr="0055277E">
        <w:rPr>
          <w:rFonts w:cstheme="minorHAnsi"/>
        </w:rPr>
        <w:t>nalysis methods seek</w:t>
      </w:r>
      <w:r>
        <w:rPr>
          <w:rFonts w:cstheme="minorHAnsi"/>
        </w:rPr>
        <w:t xml:space="preserve">s </w:t>
      </w:r>
      <w:r w:rsidR="005437DB" w:rsidRPr="0055277E">
        <w:rPr>
          <w:rFonts w:cstheme="minorHAnsi"/>
        </w:rPr>
        <w:t>opportunities and identify issues, this can include conducting staff surveys, interviews and focus groups. Depending what area organisations are targeting to obtain qualitative data it</w:t>
      </w:r>
      <w:r w:rsidR="00590829">
        <w:rPr>
          <w:rFonts w:cstheme="minorHAnsi"/>
        </w:rPr>
        <w:t>’</w:t>
      </w:r>
      <w:r w:rsidR="005437DB" w:rsidRPr="0055277E">
        <w:rPr>
          <w:rFonts w:cstheme="minorHAnsi"/>
        </w:rPr>
        <w:t xml:space="preserve">s important to recognise what method would be more suitable based on the issue/opportunity. Surveys are a useful tool to gather information from </w:t>
      </w:r>
      <w:r w:rsidR="00EF654A" w:rsidRPr="0055277E">
        <w:rPr>
          <w:rFonts w:cstheme="minorHAnsi"/>
        </w:rPr>
        <w:t>many</w:t>
      </w:r>
      <w:r w:rsidR="005437DB" w:rsidRPr="0055277E">
        <w:rPr>
          <w:rFonts w:cstheme="minorHAnsi"/>
        </w:rPr>
        <w:t xml:space="preserve"> individuals and the potential reach is much higher which will allow a greater statistical power (Jones et al.,2013). </w:t>
      </w:r>
    </w:p>
    <w:p w14:paraId="78456B43" w14:textId="10871A04" w:rsidR="005437DB" w:rsidRPr="0055277E" w:rsidRDefault="005437DB" w:rsidP="00EF654A">
      <w:pPr>
        <w:rPr>
          <w:rFonts w:cstheme="minorHAnsi"/>
        </w:rPr>
      </w:pPr>
      <w:r w:rsidRPr="0055277E">
        <w:rPr>
          <w:rFonts w:cstheme="minorHAnsi"/>
        </w:rPr>
        <w:t>Whether the organisation is limited by time constrains, a survey is considered a faster and cheaper method to conduct in comparison to conducting interviews</w:t>
      </w:r>
      <w:r w:rsidR="00A07062" w:rsidRPr="0055277E">
        <w:rPr>
          <w:rFonts w:cstheme="minorHAnsi"/>
        </w:rPr>
        <w:t xml:space="preserve"> (Taylor &amp; Woodhams,2022).</w:t>
      </w:r>
      <w:r w:rsidR="00EF654A" w:rsidRPr="0055277E">
        <w:rPr>
          <w:rFonts w:cstheme="minorHAnsi"/>
        </w:rPr>
        <w:t xml:space="preserve"> </w:t>
      </w:r>
      <w:r w:rsidRPr="0055277E">
        <w:rPr>
          <w:rFonts w:cstheme="minorHAnsi"/>
        </w:rPr>
        <w:t xml:space="preserve">However, there are some limitations with surveys, they </w:t>
      </w:r>
      <w:r w:rsidR="004255FA">
        <w:rPr>
          <w:rFonts w:cstheme="minorHAnsi"/>
        </w:rPr>
        <w:t xml:space="preserve">don’t </w:t>
      </w:r>
      <w:r w:rsidRPr="0055277E">
        <w:rPr>
          <w:rFonts w:cstheme="minorHAnsi"/>
        </w:rPr>
        <w:t xml:space="preserve">allow a researcher to guide individuals to provide </w:t>
      </w:r>
      <w:r w:rsidR="006D1905">
        <w:rPr>
          <w:rFonts w:cstheme="minorHAnsi"/>
        </w:rPr>
        <w:t xml:space="preserve">additional </w:t>
      </w:r>
      <w:r w:rsidRPr="0055277E">
        <w:rPr>
          <w:rFonts w:cstheme="minorHAnsi"/>
        </w:rPr>
        <w:t>information regarding a specific topic, or ask more complex questions as it</w:t>
      </w:r>
      <w:r w:rsidR="00F757BB">
        <w:rPr>
          <w:rFonts w:cstheme="minorHAnsi"/>
        </w:rPr>
        <w:t>’</w:t>
      </w:r>
      <w:r w:rsidRPr="0055277E">
        <w:rPr>
          <w:rFonts w:cstheme="minorHAnsi"/>
        </w:rPr>
        <w:t xml:space="preserve">s going to a variety of individuals </w:t>
      </w:r>
      <w:r w:rsidR="00EF654A" w:rsidRPr="0055277E">
        <w:rPr>
          <w:rFonts w:cstheme="minorHAnsi"/>
        </w:rPr>
        <w:t>(Taylor &amp; Woodhams,2022)</w:t>
      </w:r>
    </w:p>
    <w:p w14:paraId="1A30EB91" w14:textId="0FB825A0" w:rsidR="005437DB" w:rsidRPr="0055277E" w:rsidRDefault="005437DB" w:rsidP="000C09E4">
      <w:pPr>
        <w:rPr>
          <w:rFonts w:cstheme="minorHAnsi"/>
        </w:rPr>
      </w:pPr>
      <w:r w:rsidRPr="0055277E">
        <w:rPr>
          <w:rFonts w:cstheme="minorHAnsi"/>
        </w:rPr>
        <w:t xml:space="preserve">Analysing quantitative data can be considered as more complicated </w:t>
      </w:r>
      <w:r w:rsidR="00EF654A" w:rsidRPr="0055277E">
        <w:rPr>
          <w:rFonts w:cstheme="minorHAnsi"/>
        </w:rPr>
        <w:t xml:space="preserve">(Taylor &amp; Woodhams,2022). </w:t>
      </w:r>
      <w:r w:rsidR="006D1905">
        <w:rPr>
          <w:rFonts w:cstheme="minorHAnsi"/>
        </w:rPr>
        <w:t>A</w:t>
      </w:r>
      <w:r w:rsidR="000C09E4">
        <w:rPr>
          <w:rFonts w:cstheme="minorHAnsi"/>
        </w:rPr>
        <w:t>t the Trade Centre Wales (</w:t>
      </w:r>
      <w:r w:rsidR="006D1905">
        <w:rPr>
          <w:rFonts w:cstheme="minorHAnsi"/>
        </w:rPr>
        <w:t>TCW</w:t>
      </w:r>
      <w:r w:rsidR="000C09E4">
        <w:rPr>
          <w:rFonts w:cstheme="minorHAnsi"/>
        </w:rPr>
        <w:t>)</w:t>
      </w:r>
      <w:r w:rsidR="006D1905">
        <w:rPr>
          <w:rFonts w:cstheme="minorHAnsi"/>
        </w:rPr>
        <w:t xml:space="preserve">, </w:t>
      </w:r>
      <w:r w:rsidR="00E10519">
        <w:rPr>
          <w:rFonts w:cstheme="minorHAnsi"/>
        </w:rPr>
        <w:t xml:space="preserve">a survey was conducted which included </w:t>
      </w:r>
      <w:r w:rsidRPr="0055277E">
        <w:rPr>
          <w:rFonts w:cstheme="minorHAnsi"/>
        </w:rPr>
        <w:t xml:space="preserve">open text boxes, the terminology that </w:t>
      </w:r>
      <w:r w:rsidR="005B0300" w:rsidRPr="0055277E">
        <w:rPr>
          <w:rFonts w:cstheme="minorHAnsi"/>
        </w:rPr>
        <w:t>everyone</w:t>
      </w:r>
      <w:r w:rsidR="005B0300">
        <w:rPr>
          <w:rFonts w:cstheme="minorHAnsi"/>
        </w:rPr>
        <w:t xml:space="preserve"> </w:t>
      </w:r>
      <w:r w:rsidRPr="0055277E">
        <w:rPr>
          <w:rFonts w:cstheme="minorHAnsi"/>
        </w:rPr>
        <w:t>use</w:t>
      </w:r>
      <w:r w:rsidR="005B0300">
        <w:rPr>
          <w:rFonts w:cstheme="minorHAnsi"/>
        </w:rPr>
        <w:t>s</w:t>
      </w:r>
      <w:r w:rsidRPr="0055277E">
        <w:rPr>
          <w:rFonts w:cstheme="minorHAnsi"/>
        </w:rPr>
        <w:t xml:space="preserve"> can be </w:t>
      </w:r>
      <w:r w:rsidR="005B0300">
        <w:rPr>
          <w:rFonts w:cstheme="minorHAnsi"/>
        </w:rPr>
        <w:t>vary</w:t>
      </w:r>
      <w:r w:rsidRPr="0055277E">
        <w:rPr>
          <w:rFonts w:cstheme="minorHAnsi"/>
        </w:rPr>
        <w:t>. For example, open question</w:t>
      </w:r>
      <w:r w:rsidR="00565051">
        <w:rPr>
          <w:rFonts w:cstheme="minorHAnsi"/>
        </w:rPr>
        <w:t>s</w:t>
      </w:r>
      <w:r w:rsidRPr="0055277E">
        <w:rPr>
          <w:rFonts w:cstheme="minorHAnsi"/>
        </w:rPr>
        <w:t xml:space="preserve"> on reward and benefits found that employees were more likely to state a comment relating to pay, individuals would use the words ‘wages</w:t>
      </w:r>
      <w:r w:rsidR="005455AF">
        <w:rPr>
          <w:rFonts w:cstheme="minorHAnsi"/>
        </w:rPr>
        <w:t>/</w:t>
      </w:r>
      <w:r w:rsidRPr="0055277E">
        <w:rPr>
          <w:rFonts w:cstheme="minorHAnsi"/>
        </w:rPr>
        <w:t>pay</w:t>
      </w:r>
      <w:r w:rsidR="005455AF">
        <w:rPr>
          <w:rFonts w:cstheme="minorHAnsi"/>
        </w:rPr>
        <w:t>/</w:t>
      </w:r>
      <w:r w:rsidRPr="0055277E">
        <w:rPr>
          <w:rFonts w:cstheme="minorHAnsi"/>
        </w:rPr>
        <w:t>salary</w:t>
      </w:r>
      <w:r w:rsidR="005455AF">
        <w:rPr>
          <w:rFonts w:cstheme="minorHAnsi"/>
        </w:rPr>
        <w:t>/</w:t>
      </w:r>
      <w:r w:rsidRPr="0055277E">
        <w:rPr>
          <w:rFonts w:cstheme="minorHAnsi"/>
        </w:rPr>
        <w:t>earnings</w:t>
      </w:r>
      <w:r w:rsidR="005455AF">
        <w:rPr>
          <w:rFonts w:cstheme="minorHAnsi"/>
        </w:rPr>
        <w:t>/</w:t>
      </w:r>
      <w:r w:rsidRPr="0055277E">
        <w:rPr>
          <w:rFonts w:cstheme="minorHAnsi"/>
        </w:rPr>
        <w:t xml:space="preserve">money’ this was difficult to analyse from large group of participants as we needed to ensure that all results were accounted for, this isn’t included punctuation/spelling mistakes. </w:t>
      </w:r>
    </w:p>
    <w:p w14:paraId="61C9E7D3" w14:textId="3DD906DE" w:rsidR="005437DB" w:rsidRPr="0055277E" w:rsidRDefault="00565051" w:rsidP="005437DB">
      <w:pPr>
        <w:rPr>
          <w:rFonts w:cstheme="minorHAnsi"/>
          <w:b/>
          <w:bCs/>
        </w:rPr>
      </w:pPr>
      <w:r>
        <w:rPr>
          <w:rFonts w:cstheme="minorHAnsi"/>
        </w:rPr>
        <w:t>Additionally</w:t>
      </w:r>
      <w:r w:rsidR="00024B29" w:rsidRPr="0055277E">
        <w:rPr>
          <w:rFonts w:cstheme="minorHAnsi"/>
        </w:rPr>
        <w:t>,</w:t>
      </w:r>
      <w:r w:rsidR="005437DB" w:rsidRPr="0055277E">
        <w:rPr>
          <w:rFonts w:cstheme="minorHAnsi"/>
        </w:rPr>
        <w:t xml:space="preserve"> surveys can be off-putting, especially if they take longer than 5 minutes to complete, it</w:t>
      </w:r>
      <w:r w:rsidR="00F757BB">
        <w:rPr>
          <w:rFonts w:cstheme="minorHAnsi"/>
        </w:rPr>
        <w:t>’</w:t>
      </w:r>
      <w:r w:rsidR="005437DB" w:rsidRPr="0055277E">
        <w:rPr>
          <w:rFonts w:cstheme="minorHAnsi"/>
        </w:rPr>
        <w:t>s important to recognise that surveys should be concise and if not relevant to that individual the</w:t>
      </w:r>
      <w:r w:rsidR="00F40825">
        <w:rPr>
          <w:rFonts w:cstheme="minorHAnsi"/>
        </w:rPr>
        <w:t>y</w:t>
      </w:r>
      <w:r w:rsidR="005437DB" w:rsidRPr="0055277E">
        <w:rPr>
          <w:rFonts w:cstheme="minorHAnsi"/>
        </w:rPr>
        <w:t xml:space="preserve"> may be inclined not </w:t>
      </w:r>
      <w:r w:rsidR="00F40825">
        <w:rPr>
          <w:rFonts w:cstheme="minorHAnsi"/>
        </w:rPr>
        <w:t xml:space="preserve">to </w:t>
      </w:r>
      <w:r w:rsidR="005437DB" w:rsidRPr="0055277E">
        <w:rPr>
          <w:rFonts w:cstheme="minorHAnsi"/>
        </w:rPr>
        <w:t xml:space="preserve">answer specific questions which may affect the response rates </w:t>
      </w:r>
      <w:r w:rsidR="00EF654A" w:rsidRPr="0055277E">
        <w:rPr>
          <w:rFonts w:cstheme="minorHAnsi"/>
        </w:rPr>
        <w:t>(Taylor &amp; Woodhams,2022).</w:t>
      </w:r>
    </w:p>
    <w:p w14:paraId="52E7FD52" w14:textId="33FC2992" w:rsidR="00873F4F" w:rsidRPr="0055277E" w:rsidRDefault="005437DB" w:rsidP="0015499C">
      <w:pPr>
        <w:rPr>
          <w:rFonts w:cstheme="minorHAnsi"/>
        </w:rPr>
      </w:pPr>
      <w:r w:rsidRPr="0055277E">
        <w:rPr>
          <w:rFonts w:cstheme="minorHAnsi"/>
        </w:rPr>
        <w:t xml:space="preserve">Furthermore, if an organisation decided to conduct a yearly survey and there is no significant impact or improvement </w:t>
      </w:r>
      <w:r w:rsidR="00581796" w:rsidRPr="0055277E">
        <w:rPr>
          <w:rFonts w:cstheme="minorHAnsi"/>
        </w:rPr>
        <w:t>because of</w:t>
      </w:r>
      <w:r w:rsidRPr="0055277E">
        <w:rPr>
          <w:rFonts w:cstheme="minorHAnsi"/>
        </w:rPr>
        <w:t xml:space="preserve"> the feedback, individuals are more likely in be inclined not to complete it due to the expectation of nothing being actioned. This may lead to a negative impact on the workforce and diminish the credibility of the survey</w:t>
      </w:r>
      <w:r w:rsidR="000E7814">
        <w:rPr>
          <w:rFonts w:cstheme="minorHAnsi"/>
        </w:rPr>
        <w:t xml:space="preserve"> </w:t>
      </w:r>
      <w:r w:rsidR="000E7814">
        <w:t>(Lafko,2023).</w:t>
      </w:r>
    </w:p>
    <w:p w14:paraId="2B1099C8" w14:textId="6E45EB1C" w:rsidR="005437DB" w:rsidRPr="0055277E" w:rsidRDefault="0065794D" w:rsidP="00EF654A">
      <w:pPr>
        <w:pStyle w:val="BodyText"/>
        <w:spacing w:before="162" w:line="264" w:lineRule="auto"/>
        <w:ind w:right="283"/>
        <w:jc w:val="both"/>
        <w:rPr>
          <w:rFonts w:asciiTheme="minorHAnsi" w:hAnsiTheme="minorHAnsi" w:cstheme="minorHAnsi"/>
          <w:b/>
          <w:bCs/>
        </w:rPr>
      </w:pPr>
      <w:r w:rsidRPr="0055277E">
        <w:rPr>
          <w:rFonts w:asciiTheme="minorHAnsi" w:hAnsiTheme="minorHAnsi" w:cstheme="minorHAnsi"/>
          <w:b/>
          <w:bCs/>
        </w:rPr>
        <w:t>Critical Thinking</w:t>
      </w:r>
      <w:r w:rsidR="005437DB" w:rsidRPr="0055277E">
        <w:rPr>
          <w:rFonts w:asciiTheme="minorHAnsi" w:hAnsiTheme="minorHAnsi" w:cstheme="minorHAnsi"/>
          <w:b/>
          <w:bCs/>
        </w:rPr>
        <w:t xml:space="preserve"> (AC1.3)</w:t>
      </w:r>
    </w:p>
    <w:p w14:paraId="71DF3C05" w14:textId="6C0B6D2A" w:rsidR="005437DB" w:rsidRPr="0055277E" w:rsidRDefault="00657656" w:rsidP="00C4653D">
      <w:pPr>
        <w:rPr>
          <w:rFonts w:cstheme="minorHAnsi"/>
        </w:rPr>
      </w:pPr>
      <w:r>
        <w:rPr>
          <w:rFonts w:cstheme="minorHAnsi"/>
        </w:rPr>
        <w:t>Within</w:t>
      </w:r>
      <w:r w:rsidR="005437DB" w:rsidRPr="0055277E">
        <w:rPr>
          <w:rFonts w:cstheme="minorHAnsi"/>
        </w:rPr>
        <w:t xml:space="preserve"> people management we are continuously thinking of new ways to improve </w:t>
      </w:r>
      <w:r w:rsidR="00A73346" w:rsidRPr="0055277E">
        <w:rPr>
          <w:rFonts w:cstheme="minorHAnsi"/>
        </w:rPr>
        <w:t>our</w:t>
      </w:r>
      <w:r w:rsidR="00A73346">
        <w:rPr>
          <w:rFonts w:cstheme="minorHAnsi"/>
        </w:rPr>
        <w:t xml:space="preserve"> </w:t>
      </w:r>
      <w:r w:rsidR="00A73346" w:rsidRPr="0055277E">
        <w:rPr>
          <w:rFonts w:cstheme="minorHAnsi"/>
        </w:rPr>
        <w:t>influence</w:t>
      </w:r>
      <w:r w:rsidR="005437DB" w:rsidRPr="0055277E">
        <w:rPr>
          <w:rFonts w:cstheme="minorHAnsi"/>
        </w:rPr>
        <w:t xml:space="preserve"> and make better informed </w:t>
      </w:r>
      <w:r w:rsidR="00581796" w:rsidRPr="0055277E">
        <w:rPr>
          <w:rFonts w:cstheme="minorHAnsi"/>
        </w:rPr>
        <w:t>decisions;</w:t>
      </w:r>
      <w:r w:rsidR="005437DB" w:rsidRPr="0055277E">
        <w:rPr>
          <w:rFonts w:cstheme="minorHAnsi"/>
        </w:rPr>
        <w:t xml:space="preserve"> </w:t>
      </w:r>
      <w:r w:rsidR="00581796" w:rsidRPr="0055277E">
        <w:rPr>
          <w:rFonts w:cstheme="minorHAnsi"/>
        </w:rPr>
        <w:t>however,</w:t>
      </w:r>
      <w:r w:rsidR="005437DB" w:rsidRPr="0055277E">
        <w:rPr>
          <w:rFonts w:cstheme="minorHAnsi"/>
        </w:rPr>
        <w:t xml:space="preserve"> many business decisions can be traced back to individuals making misinformed poor decisions (Bouygues,2022). It</w:t>
      </w:r>
      <w:r w:rsidR="00F757BB">
        <w:rPr>
          <w:rFonts w:cstheme="minorHAnsi"/>
        </w:rPr>
        <w:t>’</w:t>
      </w:r>
      <w:r w:rsidR="005437DB" w:rsidRPr="0055277E">
        <w:rPr>
          <w:rFonts w:cstheme="minorHAnsi"/>
        </w:rPr>
        <w:t xml:space="preserve">s in our nature to create new ideas, however much of our thoughts are subconscious bias, distorted, partial and uninformed (Paul &amp; Elder,2006). </w:t>
      </w:r>
    </w:p>
    <w:p w14:paraId="1C0E78B1" w14:textId="02DB96AA" w:rsidR="005437DB" w:rsidRPr="0055277E" w:rsidRDefault="005437DB" w:rsidP="005437DB">
      <w:pPr>
        <w:rPr>
          <w:rFonts w:cstheme="minorHAnsi"/>
        </w:rPr>
      </w:pPr>
      <w:r w:rsidRPr="0055277E">
        <w:rPr>
          <w:rFonts w:cstheme="minorHAnsi"/>
        </w:rPr>
        <w:lastRenderedPageBreak/>
        <w:t xml:space="preserve">Critical thinking can be used for any subject or issue in which an individual enhances the quality of one’s individuals rational by analysing, reviewing, and reconstructing it (The Foundation for Critical Thinking, no date). </w:t>
      </w:r>
    </w:p>
    <w:p w14:paraId="086755E2" w14:textId="26B19A26" w:rsidR="005437DB" w:rsidRPr="0055277E" w:rsidRDefault="005437DB" w:rsidP="005437DB">
      <w:pPr>
        <w:rPr>
          <w:rFonts w:cstheme="minorHAnsi"/>
        </w:rPr>
      </w:pPr>
      <w:r w:rsidRPr="0055277E">
        <w:rPr>
          <w:rFonts w:cstheme="minorHAnsi"/>
        </w:rPr>
        <w:t>(Howlett et al.,2019)</w:t>
      </w:r>
      <w:r w:rsidRPr="0055277E">
        <w:rPr>
          <w:rFonts w:cstheme="minorHAnsi"/>
          <w:color w:val="000000"/>
          <w:shd w:val="clear" w:color="auto" w:fill="FFFFFF"/>
        </w:rPr>
        <w:t xml:space="preserve"> discussed that there are three factors that</w:t>
      </w:r>
      <w:r w:rsidR="00B85290">
        <w:rPr>
          <w:rFonts w:cstheme="minorHAnsi"/>
          <w:color w:val="000000"/>
          <w:shd w:val="clear" w:color="auto" w:fill="FFFFFF"/>
        </w:rPr>
        <w:t xml:space="preserve"> </w:t>
      </w:r>
      <w:r w:rsidRPr="0055277E">
        <w:rPr>
          <w:rFonts w:cstheme="minorHAnsi"/>
          <w:color w:val="000000"/>
          <w:shd w:val="clear" w:color="auto" w:fill="FFFFFF"/>
        </w:rPr>
        <w:t xml:space="preserve">professionals should consider in relation to critical thinking, Firstly, critiquing the ideas, </w:t>
      </w:r>
      <w:proofErr w:type="gramStart"/>
      <w:r w:rsidRPr="0055277E">
        <w:rPr>
          <w:rFonts w:cstheme="minorHAnsi"/>
          <w:color w:val="000000"/>
          <w:shd w:val="clear" w:color="auto" w:fill="FFFFFF"/>
        </w:rPr>
        <w:t>opinions</w:t>
      </w:r>
      <w:proofErr w:type="gramEnd"/>
      <w:r w:rsidRPr="0055277E">
        <w:rPr>
          <w:rFonts w:cstheme="minorHAnsi"/>
          <w:color w:val="000000"/>
          <w:shd w:val="clear" w:color="auto" w:fill="FFFFFF"/>
        </w:rPr>
        <w:t xml:space="preserve"> and arguments of others, secondly, how they construct and argument and opinions and thirdly, to identify when others are utilising critical thinking techniques.</w:t>
      </w:r>
    </w:p>
    <w:p w14:paraId="32DDE4C8" w14:textId="25BDD0D3" w:rsidR="005437DB" w:rsidRPr="0055277E" w:rsidRDefault="00657656" w:rsidP="005437DB">
      <w:pPr>
        <w:rPr>
          <w:rFonts w:cstheme="minorHAnsi"/>
        </w:rPr>
      </w:pPr>
      <w:r>
        <w:rPr>
          <w:rFonts w:cstheme="minorHAnsi"/>
          <w:color w:val="000000"/>
          <w:shd w:val="clear" w:color="auto" w:fill="FFFFFF"/>
        </w:rPr>
        <w:t>(</w:t>
      </w:r>
      <w:r w:rsidR="005437DB" w:rsidRPr="0055277E">
        <w:rPr>
          <w:rFonts w:cstheme="minorHAnsi"/>
          <w:color w:val="000000"/>
          <w:shd w:val="clear" w:color="auto" w:fill="FFFFFF"/>
        </w:rPr>
        <w:t>Paul and Elder</w:t>
      </w:r>
      <w:r>
        <w:rPr>
          <w:rFonts w:cstheme="minorHAnsi"/>
          <w:color w:val="000000"/>
          <w:shd w:val="clear" w:color="auto" w:fill="FFFFFF"/>
        </w:rPr>
        <w:t>,2006)</w:t>
      </w:r>
      <w:r w:rsidR="005437DB" w:rsidRPr="0055277E">
        <w:rPr>
          <w:rFonts w:cstheme="minorHAnsi"/>
          <w:color w:val="000000"/>
          <w:shd w:val="clear" w:color="auto" w:fill="FFFFFF"/>
        </w:rPr>
        <w:t xml:space="preserve"> describe critical thinkers as</w:t>
      </w:r>
      <w:r w:rsidR="005437DB" w:rsidRPr="0055277E">
        <w:rPr>
          <w:rFonts w:cstheme="minorHAnsi"/>
          <w:b/>
          <w:bCs/>
          <w:color w:val="000000"/>
          <w:shd w:val="clear" w:color="auto" w:fill="FFFFFF"/>
        </w:rPr>
        <w:t xml:space="preserve"> ‘</w:t>
      </w:r>
      <w:r w:rsidR="005437DB" w:rsidRPr="0055277E">
        <w:rPr>
          <w:rFonts w:cstheme="minorHAnsi"/>
        </w:rPr>
        <w:t xml:space="preserve">routinely applying the intellectual standards to the elements of reasoning </w:t>
      </w:r>
      <w:r w:rsidR="00A73346" w:rsidRPr="0055277E">
        <w:rPr>
          <w:rFonts w:cstheme="minorHAnsi"/>
        </w:rPr>
        <w:t>to</w:t>
      </w:r>
      <w:r w:rsidR="005437DB" w:rsidRPr="0055277E">
        <w:rPr>
          <w:rFonts w:cstheme="minorHAnsi"/>
        </w:rPr>
        <w:t xml:space="preserve"> develop intellectual </w:t>
      </w:r>
      <w:proofErr w:type="gramStart"/>
      <w:r w:rsidRPr="0055277E">
        <w:rPr>
          <w:rFonts w:cstheme="minorHAnsi"/>
        </w:rPr>
        <w:t>traits</w:t>
      </w:r>
      <w:r>
        <w:rPr>
          <w:rFonts w:cstheme="minorHAnsi"/>
        </w:rPr>
        <w:t>’</w:t>
      </w:r>
      <w:proofErr w:type="gramEnd"/>
      <w:r>
        <w:rPr>
          <w:rFonts w:cstheme="minorHAnsi"/>
        </w:rPr>
        <w:t xml:space="preserve">. </w:t>
      </w:r>
      <w:r w:rsidR="005437DB" w:rsidRPr="0055277E">
        <w:rPr>
          <w:rFonts w:cstheme="minorHAnsi"/>
        </w:rPr>
        <w:t xml:space="preserve">They have </w:t>
      </w:r>
      <w:r w:rsidR="00C4653D" w:rsidRPr="0055277E">
        <w:rPr>
          <w:rFonts w:cstheme="minorHAnsi"/>
        </w:rPr>
        <w:t>broken</w:t>
      </w:r>
      <w:r w:rsidR="005437DB" w:rsidRPr="0055277E">
        <w:rPr>
          <w:rFonts w:cstheme="minorHAnsi"/>
        </w:rPr>
        <w:t xml:space="preserve"> these main principles of critical thinking into three sections: The standards in which must be applied to the elements and then as we develop the consistent application of thinking results in the developments of intellectual traits (Paul</w:t>
      </w:r>
      <w:r w:rsidR="00455D09">
        <w:rPr>
          <w:rFonts w:cstheme="minorHAnsi"/>
        </w:rPr>
        <w:t xml:space="preserve"> </w:t>
      </w:r>
      <w:r w:rsidR="005437DB" w:rsidRPr="0055277E">
        <w:rPr>
          <w:rFonts w:cstheme="minorHAnsi"/>
        </w:rPr>
        <w:t>&amp;</w:t>
      </w:r>
      <w:r w:rsidR="00455D09">
        <w:rPr>
          <w:rFonts w:cstheme="minorHAnsi"/>
        </w:rPr>
        <w:t xml:space="preserve"> </w:t>
      </w:r>
      <w:r w:rsidR="005437DB" w:rsidRPr="0055277E">
        <w:rPr>
          <w:rFonts w:cstheme="minorHAnsi"/>
        </w:rPr>
        <w:t>Elder,2006).</w:t>
      </w:r>
    </w:p>
    <w:p w14:paraId="3650589D" w14:textId="474291F5" w:rsidR="001C6B07" w:rsidRDefault="00983208" w:rsidP="00211393">
      <w:pPr>
        <w:rPr>
          <w:rFonts w:cstheme="minorHAnsi"/>
        </w:rPr>
      </w:pPr>
      <w:r>
        <w:rPr>
          <w:rFonts w:cstheme="minorHAnsi"/>
        </w:rPr>
        <w:t>At</w:t>
      </w:r>
      <w:r w:rsidR="0034029A">
        <w:rPr>
          <w:rFonts w:cstheme="minorHAnsi"/>
        </w:rPr>
        <w:t xml:space="preserve"> </w:t>
      </w:r>
      <w:r w:rsidR="009025B8">
        <w:rPr>
          <w:rFonts w:cstheme="minorHAnsi"/>
        </w:rPr>
        <w:t>TC</w:t>
      </w:r>
      <w:r w:rsidR="000C09E4">
        <w:rPr>
          <w:rFonts w:cstheme="minorHAnsi"/>
        </w:rPr>
        <w:t>W</w:t>
      </w:r>
      <w:r w:rsidR="000451EA">
        <w:rPr>
          <w:rFonts w:cstheme="minorHAnsi"/>
        </w:rPr>
        <w:t xml:space="preserve"> </w:t>
      </w:r>
      <w:r w:rsidR="005437DB" w:rsidRPr="0055277E">
        <w:rPr>
          <w:rFonts w:cstheme="minorHAnsi"/>
        </w:rPr>
        <w:t>high attrition</w:t>
      </w:r>
      <w:r w:rsidR="000451EA">
        <w:rPr>
          <w:rFonts w:cstheme="minorHAnsi"/>
        </w:rPr>
        <w:t xml:space="preserve"> was an issue</w:t>
      </w:r>
      <w:r w:rsidR="00663E03">
        <w:rPr>
          <w:rFonts w:cstheme="minorHAnsi"/>
        </w:rPr>
        <w:t xml:space="preserve">, TCW </w:t>
      </w:r>
      <w:r w:rsidR="005437DB" w:rsidRPr="0055277E">
        <w:rPr>
          <w:rFonts w:cstheme="minorHAnsi"/>
        </w:rPr>
        <w:t xml:space="preserve">utilised a variety of analysis methods and studied data </w:t>
      </w:r>
      <w:r w:rsidR="00C2081B">
        <w:rPr>
          <w:rFonts w:cstheme="minorHAnsi"/>
        </w:rPr>
        <w:t xml:space="preserve">surrounding leaving details and exit interviews </w:t>
      </w:r>
      <w:r w:rsidR="005437DB" w:rsidRPr="0055277E">
        <w:rPr>
          <w:rFonts w:cstheme="minorHAnsi"/>
        </w:rPr>
        <w:t xml:space="preserve">to identify if this correlated. Initially this allowed </w:t>
      </w:r>
      <w:r w:rsidR="00790111">
        <w:rPr>
          <w:rFonts w:cstheme="minorHAnsi"/>
        </w:rPr>
        <w:t>TCW</w:t>
      </w:r>
      <w:r w:rsidR="005437DB" w:rsidRPr="0055277E">
        <w:rPr>
          <w:rFonts w:cstheme="minorHAnsi"/>
        </w:rPr>
        <w:t xml:space="preserve"> to identify patterns and trends within departments, once reviewed </w:t>
      </w:r>
      <w:r w:rsidR="0098202A">
        <w:rPr>
          <w:rFonts w:cstheme="minorHAnsi"/>
        </w:rPr>
        <w:t>the team</w:t>
      </w:r>
      <w:r w:rsidR="005437DB" w:rsidRPr="0055277E">
        <w:rPr>
          <w:rFonts w:cstheme="minorHAnsi"/>
        </w:rPr>
        <w:t xml:space="preserve"> engaged with stakeholders to collect their viewpoint before making any informed decisions or solutions regarding attrition.</w:t>
      </w:r>
      <w:r w:rsidR="007D5392">
        <w:rPr>
          <w:rFonts w:cstheme="minorHAnsi"/>
        </w:rPr>
        <w:t xml:space="preserve"> </w:t>
      </w:r>
      <w:r w:rsidR="0098202A">
        <w:rPr>
          <w:rFonts w:cstheme="minorHAnsi"/>
        </w:rPr>
        <w:t>Reflecting</w:t>
      </w:r>
      <w:r w:rsidR="00F37FBE">
        <w:rPr>
          <w:rFonts w:cstheme="minorHAnsi"/>
        </w:rPr>
        <w:t xml:space="preserve">, </w:t>
      </w:r>
      <w:r w:rsidR="008138E7">
        <w:rPr>
          <w:rFonts w:cstheme="minorHAnsi"/>
        </w:rPr>
        <w:t>on evidence that was available</w:t>
      </w:r>
      <w:r w:rsidR="00E54DB2">
        <w:rPr>
          <w:rFonts w:cstheme="minorHAnsi"/>
        </w:rPr>
        <w:t xml:space="preserve"> it</w:t>
      </w:r>
      <w:r w:rsidR="008138E7">
        <w:rPr>
          <w:rFonts w:cstheme="minorHAnsi"/>
        </w:rPr>
        <w:t xml:space="preserve"> would be beneficial to </w:t>
      </w:r>
      <w:r w:rsidR="008138E7" w:rsidRPr="00D67CC0">
        <w:rPr>
          <w:rFonts w:cstheme="minorHAnsi"/>
        </w:rPr>
        <w:t xml:space="preserve">delve into </w:t>
      </w:r>
      <w:r w:rsidR="00C61799" w:rsidRPr="00D67CC0">
        <w:rPr>
          <w:rFonts w:cstheme="minorHAnsi"/>
        </w:rPr>
        <w:t xml:space="preserve">further research </w:t>
      </w:r>
      <w:r w:rsidR="005D327C" w:rsidRPr="00D67CC0">
        <w:rPr>
          <w:rFonts w:cstheme="minorHAnsi"/>
        </w:rPr>
        <w:t>or statistics surrounding attrition and comparing this to competitors</w:t>
      </w:r>
      <w:r w:rsidR="0088535F" w:rsidRPr="00D67CC0">
        <w:rPr>
          <w:rFonts w:cstheme="minorHAnsi"/>
        </w:rPr>
        <w:t xml:space="preserve">. </w:t>
      </w:r>
      <w:r w:rsidR="00F92ECE" w:rsidRPr="00D67CC0">
        <w:rPr>
          <w:rFonts w:cstheme="minorHAnsi"/>
        </w:rPr>
        <w:t>Fishbone analysis</w:t>
      </w:r>
      <w:r w:rsidR="009202EA" w:rsidRPr="00D67CC0">
        <w:rPr>
          <w:rFonts w:cstheme="minorHAnsi"/>
        </w:rPr>
        <w:t xml:space="preserve"> would be a recommendation for future reference as</w:t>
      </w:r>
      <w:r w:rsidR="005F2D35" w:rsidRPr="00D67CC0">
        <w:rPr>
          <w:rFonts w:cstheme="minorHAnsi"/>
        </w:rPr>
        <w:t xml:space="preserve"> it</w:t>
      </w:r>
      <w:r w:rsidR="00F92ECE" w:rsidRPr="00D67CC0">
        <w:rPr>
          <w:rFonts w:cstheme="minorHAnsi"/>
        </w:rPr>
        <w:t xml:space="preserve"> ensures that first</w:t>
      </w:r>
      <w:r w:rsidR="00D30A71" w:rsidRPr="00D67CC0">
        <w:rPr>
          <w:rFonts w:cstheme="minorHAnsi"/>
        </w:rPr>
        <w:t>,</w:t>
      </w:r>
      <w:r w:rsidR="00D67CC0" w:rsidRPr="00D67CC0">
        <w:rPr>
          <w:rFonts w:cstheme="minorHAnsi"/>
        </w:rPr>
        <w:t xml:space="preserve"> you</w:t>
      </w:r>
      <w:r w:rsidR="00F92ECE" w:rsidRPr="00D67CC0">
        <w:rPr>
          <w:rFonts w:cstheme="minorHAnsi"/>
        </w:rPr>
        <w:t xml:space="preserve"> identify a problem, </w:t>
      </w:r>
      <w:r w:rsidR="009A5655" w:rsidRPr="00D67CC0">
        <w:rPr>
          <w:rFonts w:cstheme="minorHAnsi"/>
        </w:rPr>
        <w:t>recognise</w:t>
      </w:r>
      <w:r w:rsidR="00F92ECE" w:rsidRPr="00D67CC0">
        <w:rPr>
          <w:rFonts w:cstheme="minorHAnsi"/>
        </w:rPr>
        <w:t xml:space="preserve"> the major factors, the causes</w:t>
      </w:r>
      <w:r w:rsidR="00412C4D" w:rsidRPr="00D67CC0">
        <w:rPr>
          <w:rFonts w:cstheme="minorHAnsi"/>
        </w:rPr>
        <w:t>,</w:t>
      </w:r>
      <w:r w:rsidR="00F92ECE" w:rsidRPr="00D67CC0">
        <w:rPr>
          <w:rFonts w:cstheme="minorHAnsi"/>
        </w:rPr>
        <w:t xml:space="preserve"> and then you can analyse your findings (Mind Tools Content Team, no date). </w:t>
      </w:r>
      <w:r w:rsidR="00D67CC0" w:rsidRPr="00D67CC0">
        <w:rPr>
          <w:rFonts w:cstheme="minorHAnsi"/>
        </w:rPr>
        <w:t xml:space="preserve">This </w:t>
      </w:r>
      <w:r w:rsidR="009618C3" w:rsidRPr="00D67CC0">
        <w:rPr>
          <w:rFonts w:cstheme="minorHAnsi"/>
        </w:rPr>
        <w:t>produces</w:t>
      </w:r>
      <w:r w:rsidR="00F92ECE" w:rsidRPr="00D67CC0">
        <w:rPr>
          <w:rFonts w:cstheme="minorHAnsi"/>
        </w:rPr>
        <w:t xml:space="preserve"> a diagram of a team’s collaboration of ideas and different perspectives of the main issue, a larger insight can allow individuals to propose possible solutions and improvements (NHS England,2021). </w:t>
      </w:r>
    </w:p>
    <w:p w14:paraId="2B6D2D00" w14:textId="56E405AD" w:rsidR="005437DB" w:rsidRDefault="005437DB" w:rsidP="00C4653D">
      <w:pPr>
        <w:rPr>
          <w:rFonts w:cstheme="minorHAnsi"/>
        </w:rPr>
      </w:pPr>
      <w:r w:rsidRPr="0055277E">
        <w:rPr>
          <w:rFonts w:cstheme="minorHAnsi"/>
        </w:rPr>
        <w:t xml:space="preserve">Referring to the profession map, critical thinking is an aspect of the core knowledge section and supports the need for critical thinking within </w:t>
      </w:r>
      <w:r w:rsidR="002C5D86">
        <w:rPr>
          <w:rFonts w:cstheme="minorHAnsi"/>
        </w:rPr>
        <w:t>EBP</w:t>
      </w:r>
      <w:r w:rsidRPr="0055277E">
        <w:rPr>
          <w:rFonts w:cstheme="minorHAnsi"/>
        </w:rPr>
        <w:t xml:space="preserve">, supports the concept of the need to continuously ask good questions to find the best available evidence to support </w:t>
      </w:r>
      <w:r w:rsidR="00C4653D" w:rsidRPr="0055277E">
        <w:rPr>
          <w:rFonts w:cstheme="minorHAnsi"/>
        </w:rPr>
        <w:t>one’s</w:t>
      </w:r>
      <w:r w:rsidRPr="0055277E">
        <w:rPr>
          <w:rFonts w:cstheme="minorHAnsi"/>
        </w:rPr>
        <w:t xml:space="preserve"> decisions or ideas (Howlett et al.,2019).</w:t>
      </w:r>
      <w:r w:rsidR="00C4653D" w:rsidRPr="0055277E">
        <w:rPr>
          <w:rFonts w:cstheme="minorHAnsi"/>
        </w:rPr>
        <w:t xml:space="preserve"> </w:t>
      </w:r>
      <w:r w:rsidRPr="0055277E">
        <w:rPr>
          <w:rFonts w:cstheme="minorHAnsi"/>
        </w:rPr>
        <w:t>It</w:t>
      </w:r>
      <w:r w:rsidR="00F757BB">
        <w:rPr>
          <w:rFonts w:cstheme="minorHAnsi"/>
        </w:rPr>
        <w:t>’</w:t>
      </w:r>
      <w:r w:rsidRPr="0055277E">
        <w:rPr>
          <w:rFonts w:cstheme="minorHAnsi"/>
        </w:rPr>
        <w:t>s evident that within people management, critical thinking is an integral factor that contributes to organisational success, but it</w:t>
      </w:r>
      <w:r w:rsidR="00F757BB">
        <w:rPr>
          <w:rFonts w:cstheme="minorHAnsi"/>
        </w:rPr>
        <w:t>’</w:t>
      </w:r>
      <w:r w:rsidRPr="0055277E">
        <w:rPr>
          <w:rFonts w:cstheme="minorHAnsi"/>
        </w:rPr>
        <w:t>s frequently assumed that individuals within an organisation either implement it or they do</w:t>
      </w:r>
      <w:r w:rsidR="001B28D3">
        <w:rPr>
          <w:rFonts w:cstheme="minorHAnsi"/>
        </w:rPr>
        <w:t xml:space="preserve"> not</w:t>
      </w:r>
      <w:r w:rsidRPr="0055277E">
        <w:rPr>
          <w:rFonts w:cstheme="minorHAnsi"/>
        </w:rPr>
        <w:t xml:space="preserve"> (Bouygues,2022).</w:t>
      </w:r>
    </w:p>
    <w:p w14:paraId="01DF3A7A" w14:textId="08AB2F9E" w:rsidR="001E4AD3" w:rsidRPr="00173EB6" w:rsidRDefault="00E02513" w:rsidP="00443B24">
      <w:pPr>
        <w:rPr>
          <w:rFonts w:cstheme="minorHAnsi"/>
          <w:color w:val="FF0000"/>
        </w:rPr>
      </w:pPr>
      <w:r>
        <w:rPr>
          <w:rFonts w:cstheme="minorHAnsi"/>
        </w:rPr>
        <w:t xml:space="preserve">A </w:t>
      </w:r>
      <w:r w:rsidRPr="00954FE6">
        <w:rPr>
          <w:rFonts w:cstheme="minorHAnsi"/>
        </w:rPr>
        <w:t xml:space="preserve">consideration </w:t>
      </w:r>
      <w:r w:rsidR="00BF0CC3" w:rsidRPr="00954FE6">
        <w:rPr>
          <w:rFonts w:cstheme="minorHAnsi"/>
        </w:rPr>
        <w:t xml:space="preserve">when </w:t>
      </w:r>
      <w:r w:rsidR="004E4384" w:rsidRPr="00954FE6">
        <w:rPr>
          <w:rFonts w:cstheme="minorHAnsi"/>
        </w:rPr>
        <w:t xml:space="preserve">critically reviewing evidence is </w:t>
      </w:r>
      <w:r w:rsidR="005C243D" w:rsidRPr="00954FE6">
        <w:rPr>
          <w:rFonts w:cstheme="minorHAnsi"/>
        </w:rPr>
        <w:t>biases, th</w:t>
      </w:r>
      <w:r w:rsidR="000E0E09" w:rsidRPr="00954FE6">
        <w:rPr>
          <w:rFonts w:cstheme="minorHAnsi"/>
        </w:rPr>
        <w:t>e thought</w:t>
      </w:r>
      <w:r w:rsidR="00674DF3" w:rsidRPr="00954FE6">
        <w:rPr>
          <w:rFonts w:cstheme="minorHAnsi"/>
        </w:rPr>
        <w:t>s</w:t>
      </w:r>
      <w:r w:rsidR="000E0E09" w:rsidRPr="00954FE6">
        <w:rPr>
          <w:rFonts w:cstheme="minorHAnsi"/>
        </w:rPr>
        <w:t xml:space="preserve"> we experience can </w:t>
      </w:r>
      <w:r w:rsidR="00D67CC0">
        <w:rPr>
          <w:rFonts w:cstheme="minorHAnsi"/>
        </w:rPr>
        <w:t>occur</w:t>
      </w:r>
      <w:r w:rsidR="000E0E09" w:rsidRPr="00954FE6">
        <w:rPr>
          <w:rFonts w:cstheme="minorHAnsi"/>
        </w:rPr>
        <w:t xml:space="preserve"> from </w:t>
      </w:r>
      <w:r w:rsidR="00EB564B" w:rsidRPr="00954FE6">
        <w:rPr>
          <w:rFonts w:cstheme="minorHAnsi"/>
        </w:rPr>
        <w:t>experiences</w:t>
      </w:r>
      <w:r w:rsidR="006B1C9A" w:rsidRPr="00954FE6">
        <w:rPr>
          <w:rFonts w:cstheme="minorHAnsi"/>
        </w:rPr>
        <w:t xml:space="preserve">, </w:t>
      </w:r>
      <w:r w:rsidR="009A5655" w:rsidRPr="00954FE6">
        <w:rPr>
          <w:rFonts w:cstheme="minorHAnsi"/>
        </w:rPr>
        <w:t>backgrounds,</w:t>
      </w:r>
      <w:r w:rsidR="006B1C9A" w:rsidRPr="00954FE6">
        <w:rPr>
          <w:rFonts w:cstheme="minorHAnsi"/>
        </w:rPr>
        <w:t xml:space="preserve"> or even cultural values</w:t>
      </w:r>
      <w:r w:rsidR="00072FA4">
        <w:rPr>
          <w:rFonts w:cstheme="minorHAnsi"/>
        </w:rPr>
        <w:t xml:space="preserve"> </w:t>
      </w:r>
      <w:r w:rsidR="00C8550D">
        <w:rPr>
          <w:rFonts w:cstheme="minorHAnsi"/>
        </w:rPr>
        <w:t>(CIM,</w:t>
      </w:r>
      <w:r w:rsidR="00C8550D">
        <w:t>2015)</w:t>
      </w:r>
      <w:r w:rsidR="00100CB7">
        <w:t>.</w:t>
      </w:r>
      <w:r w:rsidR="009A5655">
        <w:t xml:space="preserve"> </w:t>
      </w:r>
      <w:r w:rsidR="0089058D" w:rsidRPr="00954FE6">
        <w:rPr>
          <w:rFonts w:cstheme="minorHAnsi"/>
        </w:rPr>
        <w:t xml:space="preserve">These can influence </w:t>
      </w:r>
      <w:r w:rsidR="000D2826" w:rsidRPr="00954FE6">
        <w:rPr>
          <w:rFonts w:cstheme="minorHAnsi"/>
        </w:rPr>
        <w:t>stakeholders to</w:t>
      </w:r>
      <w:r w:rsidR="00BD61D8" w:rsidRPr="00954FE6">
        <w:rPr>
          <w:rFonts w:cstheme="minorHAnsi"/>
        </w:rPr>
        <w:t xml:space="preserve"> </w:t>
      </w:r>
      <w:r w:rsidR="00BD61D8" w:rsidRPr="006C7B4A">
        <w:rPr>
          <w:rFonts w:cstheme="minorHAnsi"/>
        </w:rPr>
        <w:t xml:space="preserve">make misinformed </w:t>
      </w:r>
      <w:r w:rsidR="00B51BAA" w:rsidRPr="006C7B4A">
        <w:rPr>
          <w:rFonts w:cstheme="minorHAnsi"/>
        </w:rPr>
        <w:t xml:space="preserve">decisions which result in </w:t>
      </w:r>
      <w:r w:rsidR="00B15460" w:rsidRPr="006C7B4A">
        <w:rPr>
          <w:rFonts w:cstheme="minorHAnsi"/>
        </w:rPr>
        <w:t xml:space="preserve">poor </w:t>
      </w:r>
      <w:r w:rsidR="00812F7B" w:rsidRPr="006C7B4A">
        <w:rPr>
          <w:rFonts w:cstheme="minorHAnsi"/>
        </w:rPr>
        <w:t>decisions.</w:t>
      </w:r>
      <w:r w:rsidR="00812C6D" w:rsidRPr="006C7B4A">
        <w:rPr>
          <w:rFonts w:cstheme="minorHAnsi"/>
        </w:rPr>
        <w:t xml:space="preserve"> </w:t>
      </w:r>
      <w:r w:rsidR="00944865" w:rsidRPr="006C7B4A">
        <w:rPr>
          <w:rFonts w:cstheme="minorHAnsi"/>
        </w:rPr>
        <w:t xml:space="preserve">Individuals </w:t>
      </w:r>
      <w:r w:rsidR="006B5003" w:rsidRPr="00173EB6">
        <w:rPr>
          <w:rFonts w:cstheme="minorHAnsi"/>
        </w:rPr>
        <w:t xml:space="preserve">need to take ownership of </w:t>
      </w:r>
      <w:r w:rsidR="001E4AD3" w:rsidRPr="00173EB6">
        <w:rPr>
          <w:rFonts w:cstheme="minorHAnsi"/>
        </w:rPr>
        <w:t>unconscious</w:t>
      </w:r>
      <w:r w:rsidR="006B5003" w:rsidRPr="00173EB6">
        <w:rPr>
          <w:rFonts w:cstheme="minorHAnsi"/>
        </w:rPr>
        <w:t xml:space="preserve"> biases and ensure </w:t>
      </w:r>
      <w:r w:rsidR="001E4AD3" w:rsidRPr="00173EB6">
        <w:rPr>
          <w:rFonts w:cstheme="minorHAnsi"/>
        </w:rPr>
        <w:t>you</w:t>
      </w:r>
      <w:r w:rsidR="006B5003" w:rsidRPr="00173EB6">
        <w:rPr>
          <w:rFonts w:cstheme="minorHAnsi"/>
        </w:rPr>
        <w:t xml:space="preserve"> educate yourself</w:t>
      </w:r>
      <w:r w:rsidR="000E355F">
        <w:rPr>
          <w:rFonts w:cstheme="minorHAnsi"/>
        </w:rPr>
        <w:t xml:space="preserve"> and</w:t>
      </w:r>
      <w:r w:rsidR="001011F7" w:rsidRPr="00173EB6">
        <w:rPr>
          <w:rFonts w:cstheme="minorHAnsi"/>
        </w:rPr>
        <w:t xml:space="preserve"> attention</w:t>
      </w:r>
      <w:r w:rsidR="006745BC">
        <w:rPr>
          <w:rFonts w:cstheme="minorHAnsi"/>
        </w:rPr>
        <w:t xml:space="preserve"> is paid</w:t>
      </w:r>
      <w:r w:rsidR="001011F7" w:rsidRPr="00173EB6">
        <w:rPr>
          <w:rFonts w:cstheme="minorHAnsi"/>
        </w:rPr>
        <w:t xml:space="preserve"> to your thoughts to ensure you can identify</w:t>
      </w:r>
      <w:r w:rsidR="001E4AD3" w:rsidRPr="00173EB6">
        <w:rPr>
          <w:rFonts w:cstheme="minorHAnsi"/>
        </w:rPr>
        <w:t xml:space="preserve"> assumptions that you currently preserve </w:t>
      </w:r>
      <w:r w:rsidR="009D6D6D" w:rsidRPr="00173EB6">
        <w:rPr>
          <w:rFonts w:cstheme="minorHAnsi"/>
        </w:rPr>
        <w:t>(Acton,2022).</w:t>
      </w:r>
    </w:p>
    <w:p w14:paraId="6C07C4EB" w14:textId="0ED00F8D" w:rsidR="008E13FF" w:rsidRPr="009A5655" w:rsidRDefault="006745BC" w:rsidP="009A5655">
      <w:pPr>
        <w:pStyle w:val="NormalWeb"/>
        <w:shd w:val="clear" w:color="auto" w:fill="FFFFFF"/>
        <w:rPr>
          <w:rFonts w:asciiTheme="minorHAnsi" w:hAnsiTheme="minorHAnsi" w:cstheme="minorHAnsi"/>
          <w:color w:val="0000FF"/>
          <w:sz w:val="22"/>
          <w:szCs w:val="22"/>
          <w:u w:val="single"/>
        </w:rPr>
      </w:pPr>
      <w:r>
        <w:rPr>
          <w:rFonts w:asciiTheme="minorHAnsi" w:hAnsiTheme="minorHAnsi" w:cstheme="minorHAnsi"/>
          <w:sz w:val="22"/>
          <w:szCs w:val="22"/>
        </w:rPr>
        <w:t>W</w:t>
      </w:r>
      <w:r w:rsidR="00C6470A" w:rsidRPr="00173EB6">
        <w:rPr>
          <w:rFonts w:asciiTheme="minorHAnsi" w:hAnsiTheme="minorHAnsi" w:cstheme="minorHAnsi"/>
          <w:sz w:val="22"/>
          <w:szCs w:val="22"/>
        </w:rPr>
        <w:t>e are subject to f</w:t>
      </w:r>
      <w:r w:rsidR="001C72C2" w:rsidRPr="00173EB6">
        <w:rPr>
          <w:rFonts w:asciiTheme="minorHAnsi" w:hAnsiTheme="minorHAnsi" w:cstheme="minorHAnsi"/>
          <w:sz w:val="22"/>
          <w:szCs w:val="22"/>
        </w:rPr>
        <w:t xml:space="preserve">ollowing the latest </w:t>
      </w:r>
      <w:r w:rsidR="00954FE6" w:rsidRPr="00173EB6">
        <w:rPr>
          <w:rFonts w:asciiTheme="minorHAnsi" w:hAnsiTheme="minorHAnsi" w:cstheme="minorHAnsi"/>
          <w:sz w:val="22"/>
          <w:szCs w:val="22"/>
        </w:rPr>
        <w:t>trends</w:t>
      </w:r>
      <w:r w:rsidR="001C72C2" w:rsidRPr="00173EB6">
        <w:rPr>
          <w:rFonts w:asciiTheme="minorHAnsi" w:hAnsiTheme="minorHAnsi" w:cstheme="minorHAnsi"/>
          <w:sz w:val="22"/>
          <w:szCs w:val="22"/>
        </w:rPr>
        <w:t>, new approaches, systems and techniques</w:t>
      </w:r>
      <w:r w:rsidR="00FD1D76" w:rsidRPr="00173EB6">
        <w:rPr>
          <w:rFonts w:asciiTheme="minorHAnsi" w:hAnsiTheme="minorHAnsi" w:cstheme="minorHAnsi"/>
          <w:sz w:val="22"/>
          <w:szCs w:val="22"/>
        </w:rPr>
        <w:t xml:space="preserve">, </w:t>
      </w:r>
      <w:r w:rsidR="00890589" w:rsidRPr="00173EB6">
        <w:rPr>
          <w:rFonts w:asciiTheme="minorHAnsi" w:hAnsiTheme="minorHAnsi" w:cstheme="minorHAnsi"/>
          <w:sz w:val="22"/>
          <w:szCs w:val="22"/>
        </w:rPr>
        <w:t>individuals</w:t>
      </w:r>
      <w:r w:rsidR="00FD1D76" w:rsidRPr="00173EB6">
        <w:rPr>
          <w:rFonts w:asciiTheme="minorHAnsi" w:hAnsiTheme="minorHAnsi" w:cstheme="minorHAnsi"/>
          <w:sz w:val="22"/>
          <w:szCs w:val="22"/>
        </w:rPr>
        <w:t xml:space="preserve"> are </w:t>
      </w:r>
      <w:r w:rsidR="00890589" w:rsidRPr="00173EB6">
        <w:rPr>
          <w:rFonts w:asciiTheme="minorHAnsi" w:hAnsiTheme="minorHAnsi" w:cstheme="minorHAnsi"/>
          <w:sz w:val="22"/>
          <w:szCs w:val="22"/>
        </w:rPr>
        <w:t>easily</w:t>
      </w:r>
      <w:r w:rsidR="00FD1D76" w:rsidRPr="00173EB6">
        <w:rPr>
          <w:rFonts w:asciiTheme="minorHAnsi" w:hAnsiTheme="minorHAnsi" w:cstheme="minorHAnsi"/>
          <w:sz w:val="22"/>
          <w:szCs w:val="22"/>
        </w:rPr>
        <w:t xml:space="preserve"> influence</w:t>
      </w:r>
      <w:r w:rsidR="00890589" w:rsidRPr="00173EB6">
        <w:rPr>
          <w:rFonts w:asciiTheme="minorHAnsi" w:hAnsiTheme="minorHAnsi" w:cstheme="minorHAnsi"/>
          <w:sz w:val="22"/>
          <w:szCs w:val="22"/>
        </w:rPr>
        <w:t>d</w:t>
      </w:r>
      <w:r w:rsidR="00FD1D76" w:rsidRPr="00173EB6">
        <w:rPr>
          <w:rFonts w:asciiTheme="minorHAnsi" w:hAnsiTheme="minorHAnsi" w:cstheme="minorHAnsi"/>
          <w:sz w:val="22"/>
          <w:szCs w:val="22"/>
        </w:rPr>
        <w:t xml:space="preserve"> to </w:t>
      </w:r>
      <w:r w:rsidR="00D057D5" w:rsidRPr="00173EB6">
        <w:rPr>
          <w:rFonts w:asciiTheme="minorHAnsi" w:hAnsiTheme="minorHAnsi" w:cstheme="minorHAnsi"/>
          <w:sz w:val="22"/>
          <w:szCs w:val="22"/>
        </w:rPr>
        <w:t xml:space="preserve">immediately change what they are currently doing </w:t>
      </w:r>
      <w:r w:rsidR="0020040F" w:rsidRPr="00173EB6">
        <w:rPr>
          <w:rFonts w:asciiTheme="minorHAnsi" w:hAnsiTheme="minorHAnsi" w:cstheme="minorHAnsi"/>
          <w:sz w:val="22"/>
          <w:szCs w:val="22"/>
        </w:rPr>
        <w:t xml:space="preserve">and refer to the latest trend </w:t>
      </w:r>
      <w:r w:rsidR="00CF7D6D" w:rsidRPr="00173EB6">
        <w:rPr>
          <w:rFonts w:asciiTheme="minorHAnsi" w:hAnsiTheme="minorHAnsi" w:cstheme="minorHAnsi"/>
          <w:sz w:val="22"/>
          <w:szCs w:val="22"/>
        </w:rPr>
        <w:t>(Briner,2023</w:t>
      </w:r>
      <w:r w:rsidR="00E06E98" w:rsidRPr="00173EB6">
        <w:rPr>
          <w:rFonts w:asciiTheme="minorHAnsi" w:hAnsiTheme="minorHAnsi" w:cstheme="minorHAnsi"/>
          <w:sz w:val="22"/>
          <w:szCs w:val="22"/>
        </w:rPr>
        <w:t>a</w:t>
      </w:r>
      <w:r w:rsidR="00CF7D6D" w:rsidRPr="00173EB6">
        <w:rPr>
          <w:rFonts w:asciiTheme="minorHAnsi" w:hAnsiTheme="minorHAnsi" w:cstheme="minorHAnsi"/>
          <w:sz w:val="22"/>
          <w:szCs w:val="22"/>
        </w:rPr>
        <w:t>)</w:t>
      </w:r>
      <w:r w:rsidR="001F7EAB" w:rsidRPr="00173EB6">
        <w:rPr>
          <w:rFonts w:asciiTheme="minorHAnsi" w:hAnsiTheme="minorHAnsi" w:cstheme="minorHAnsi"/>
          <w:sz w:val="22"/>
          <w:szCs w:val="22"/>
        </w:rPr>
        <w:t>.</w:t>
      </w:r>
      <w:r w:rsidR="00E37700" w:rsidRPr="00173EB6">
        <w:rPr>
          <w:rFonts w:asciiTheme="minorHAnsi" w:hAnsiTheme="minorHAnsi" w:cstheme="minorHAnsi"/>
          <w:sz w:val="22"/>
          <w:szCs w:val="22"/>
        </w:rPr>
        <w:t xml:space="preserve"> </w:t>
      </w:r>
      <w:r w:rsidR="00D9283A" w:rsidRPr="00173EB6">
        <w:rPr>
          <w:rStyle w:val="Hyperlink"/>
          <w:rFonts w:asciiTheme="minorHAnsi" w:hAnsiTheme="minorHAnsi" w:cstheme="minorHAnsi"/>
          <w:color w:val="auto"/>
          <w:sz w:val="22"/>
          <w:szCs w:val="22"/>
          <w:u w:val="none"/>
        </w:rPr>
        <w:t xml:space="preserve">Fads can trigger </w:t>
      </w:r>
      <w:r w:rsidR="00F43BCF" w:rsidRPr="00173EB6">
        <w:rPr>
          <w:rStyle w:val="Hyperlink"/>
          <w:rFonts w:asciiTheme="minorHAnsi" w:hAnsiTheme="minorHAnsi" w:cstheme="minorHAnsi"/>
          <w:color w:val="auto"/>
          <w:sz w:val="22"/>
          <w:szCs w:val="22"/>
          <w:u w:val="none"/>
        </w:rPr>
        <w:t xml:space="preserve">organisational </w:t>
      </w:r>
      <w:r w:rsidR="00CC0CAD" w:rsidRPr="00173EB6">
        <w:rPr>
          <w:rStyle w:val="Hyperlink"/>
          <w:rFonts w:asciiTheme="minorHAnsi" w:hAnsiTheme="minorHAnsi" w:cstheme="minorHAnsi"/>
          <w:color w:val="auto"/>
          <w:sz w:val="22"/>
          <w:szCs w:val="22"/>
          <w:u w:val="none"/>
        </w:rPr>
        <w:t>change</w:t>
      </w:r>
      <w:r>
        <w:rPr>
          <w:rStyle w:val="Hyperlink"/>
          <w:rFonts w:asciiTheme="minorHAnsi" w:hAnsiTheme="minorHAnsi" w:cstheme="minorHAnsi"/>
          <w:color w:val="auto"/>
          <w:sz w:val="22"/>
          <w:szCs w:val="22"/>
          <w:u w:val="none"/>
        </w:rPr>
        <w:t>,</w:t>
      </w:r>
      <w:r w:rsidR="00527D45" w:rsidRPr="00173EB6">
        <w:rPr>
          <w:rStyle w:val="Hyperlink"/>
          <w:rFonts w:asciiTheme="minorHAnsi" w:hAnsiTheme="minorHAnsi" w:cstheme="minorHAnsi"/>
          <w:color w:val="auto"/>
          <w:sz w:val="22"/>
          <w:szCs w:val="22"/>
          <w:u w:val="none"/>
        </w:rPr>
        <w:t xml:space="preserve"> encourages one</w:t>
      </w:r>
      <w:r w:rsidR="00F3656B">
        <w:rPr>
          <w:rStyle w:val="Hyperlink"/>
          <w:rFonts w:asciiTheme="minorHAnsi" w:hAnsiTheme="minorHAnsi" w:cstheme="minorHAnsi"/>
          <w:color w:val="auto"/>
          <w:sz w:val="22"/>
          <w:szCs w:val="22"/>
          <w:u w:val="none"/>
        </w:rPr>
        <w:t>-</w:t>
      </w:r>
      <w:r w:rsidR="00527D45" w:rsidRPr="00173EB6">
        <w:rPr>
          <w:rStyle w:val="Hyperlink"/>
          <w:rFonts w:asciiTheme="minorHAnsi" w:hAnsiTheme="minorHAnsi" w:cstheme="minorHAnsi"/>
          <w:color w:val="auto"/>
          <w:sz w:val="22"/>
          <w:szCs w:val="22"/>
          <w:u w:val="none"/>
        </w:rPr>
        <w:t>size fits all</w:t>
      </w:r>
      <w:r w:rsidR="006D5FF2" w:rsidRPr="00173EB6">
        <w:rPr>
          <w:rStyle w:val="Hyperlink"/>
          <w:rFonts w:asciiTheme="minorHAnsi" w:hAnsiTheme="minorHAnsi" w:cstheme="minorHAnsi"/>
          <w:color w:val="auto"/>
          <w:sz w:val="22"/>
          <w:szCs w:val="22"/>
          <w:u w:val="none"/>
        </w:rPr>
        <w:t xml:space="preserve"> however </w:t>
      </w:r>
      <w:r w:rsidR="005441E7" w:rsidRPr="00173EB6">
        <w:rPr>
          <w:rStyle w:val="Hyperlink"/>
          <w:rFonts w:asciiTheme="minorHAnsi" w:hAnsiTheme="minorHAnsi" w:cstheme="minorHAnsi"/>
          <w:color w:val="auto"/>
          <w:sz w:val="22"/>
          <w:szCs w:val="22"/>
          <w:u w:val="none"/>
        </w:rPr>
        <w:t xml:space="preserve">it may not be supported by realistic evidence </w:t>
      </w:r>
      <w:r w:rsidR="006C395F" w:rsidRPr="00173EB6">
        <w:rPr>
          <w:rStyle w:val="Hyperlink"/>
          <w:rFonts w:asciiTheme="minorHAnsi" w:hAnsiTheme="minorHAnsi" w:cstheme="minorHAnsi"/>
          <w:color w:val="auto"/>
          <w:sz w:val="22"/>
          <w:szCs w:val="22"/>
          <w:u w:val="none"/>
        </w:rPr>
        <w:t>or longstanding effectiveness</w:t>
      </w:r>
      <w:r w:rsidR="00527D45" w:rsidRPr="00173EB6">
        <w:rPr>
          <w:rStyle w:val="Hyperlink"/>
          <w:rFonts w:asciiTheme="minorHAnsi" w:hAnsiTheme="minorHAnsi" w:cstheme="minorHAnsi"/>
          <w:color w:val="auto"/>
          <w:sz w:val="22"/>
          <w:szCs w:val="22"/>
          <w:u w:val="none"/>
        </w:rPr>
        <w:t xml:space="preserve"> </w:t>
      </w:r>
      <w:r w:rsidR="00E3206C" w:rsidRPr="00173EB6">
        <w:rPr>
          <w:rFonts w:asciiTheme="minorHAnsi" w:hAnsiTheme="minorHAnsi" w:cstheme="minorHAnsi"/>
          <w:sz w:val="22"/>
          <w:szCs w:val="22"/>
        </w:rPr>
        <w:t>(Miller&amp;Hartwick,20</w:t>
      </w:r>
      <w:r w:rsidR="00E37700" w:rsidRPr="00173EB6">
        <w:rPr>
          <w:rFonts w:asciiTheme="minorHAnsi" w:hAnsiTheme="minorHAnsi" w:cstheme="minorHAnsi"/>
          <w:sz w:val="22"/>
          <w:szCs w:val="22"/>
        </w:rPr>
        <w:t>02</w:t>
      </w:r>
      <w:r w:rsidR="00E3206C" w:rsidRPr="00173EB6">
        <w:rPr>
          <w:rFonts w:asciiTheme="minorHAnsi" w:hAnsiTheme="minorHAnsi" w:cstheme="minorHAnsi"/>
          <w:sz w:val="22"/>
          <w:szCs w:val="22"/>
        </w:rPr>
        <w:t>).</w:t>
      </w:r>
      <w:r w:rsidR="00E06E98" w:rsidRPr="00173EB6">
        <w:rPr>
          <w:rFonts w:asciiTheme="minorHAnsi" w:hAnsiTheme="minorHAnsi" w:cstheme="minorHAnsi"/>
          <w:color w:val="0000FF"/>
          <w:sz w:val="22"/>
          <w:szCs w:val="22"/>
        </w:rPr>
        <w:t xml:space="preserve"> </w:t>
      </w:r>
      <w:r w:rsidR="004F491A" w:rsidRPr="00173EB6">
        <w:rPr>
          <w:rFonts w:asciiTheme="minorHAnsi" w:hAnsiTheme="minorHAnsi" w:cstheme="minorHAnsi"/>
          <w:sz w:val="22"/>
          <w:szCs w:val="22"/>
        </w:rPr>
        <w:t>HR professionals</w:t>
      </w:r>
      <w:r w:rsidR="004F491A" w:rsidRPr="006C7B4A">
        <w:rPr>
          <w:rFonts w:asciiTheme="minorHAnsi" w:hAnsiTheme="minorHAnsi" w:cstheme="minorHAnsi"/>
          <w:sz w:val="22"/>
          <w:szCs w:val="22"/>
        </w:rPr>
        <w:t xml:space="preserve"> need to ensure </w:t>
      </w:r>
      <w:r w:rsidR="00C91AD1">
        <w:rPr>
          <w:rFonts w:asciiTheme="minorHAnsi" w:hAnsiTheme="minorHAnsi" w:cstheme="minorHAnsi"/>
          <w:sz w:val="22"/>
          <w:szCs w:val="22"/>
        </w:rPr>
        <w:t>they aren’t</w:t>
      </w:r>
      <w:r w:rsidR="004F491A" w:rsidRPr="006C7B4A">
        <w:rPr>
          <w:rFonts w:asciiTheme="minorHAnsi" w:hAnsiTheme="minorHAnsi" w:cstheme="minorHAnsi"/>
          <w:sz w:val="22"/>
          <w:szCs w:val="22"/>
        </w:rPr>
        <w:t xml:space="preserve"> subject to new </w:t>
      </w:r>
      <w:r w:rsidR="00AA71E1" w:rsidRPr="006C7B4A">
        <w:rPr>
          <w:rFonts w:asciiTheme="minorHAnsi" w:hAnsiTheme="minorHAnsi" w:cstheme="minorHAnsi"/>
          <w:sz w:val="22"/>
          <w:szCs w:val="22"/>
        </w:rPr>
        <w:t>fads by ensuring they follow a more EBP approach</w:t>
      </w:r>
      <w:r w:rsidR="00E06E98">
        <w:rPr>
          <w:rFonts w:asciiTheme="minorHAnsi" w:hAnsiTheme="minorHAnsi" w:cstheme="minorHAnsi"/>
          <w:sz w:val="22"/>
          <w:szCs w:val="22"/>
        </w:rPr>
        <w:t xml:space="preserve"> (Briner,2023b)</w:t>
      </w:r>
      <w:r w:rsidR="009A5655">
        <w:rPr>
          <w:rFonts w:asciiTheme="minorHAnsi" w:hAnsiTheme="minorHAnsi" w:cstheme="minorHAnsi"/>
          <w:sz w:val="22"/>
          <w:szCs w:val="22"/>
        </w:rPr>
        <w:t>.</w:t>
      </w:r>
    </w:p>
    <w:p w14:paraId="7B50C0F2" w14:textId="77777777" w:rsidR="00B461D1" w:rsidRDefault="00B461D1" w:rsidP="009D3537">
      <w:pPr>
        <w:rPr>
          <w:rFonts w:cstheme="minorHAnsi"/>
          <w:b/>
          <w:bCs/>
        </w:rPr>
      </w:pPr>
    </w:p>
    <w:p w14:paraId="7D0D5B04" w14:textId="77777777" w:rsidR="00B461D1" w:rsidRDefault="00B461D1" w:rsidP="009D3537">
      <w:pPr>
        <w:rPr>
          <w:rFonts w:cstheme="minorHAnsi"/>
          <w:b/>
          <w:bCs/>
        </w:rPr>
      </w:pPr>
    </w:p>
    <w:p w14:paraId="46092C89" w14:textId="640709BC" w:rsidR="005437DB" w:rsidRPr="0055277E" w:rsidRDefault="00AE129D" w:rsidP="009D3537">
      <w:pPr>
        <w:rPr>
          <w:rFonts w:cstheme="minorHAnsi"/>
          <w:b/>
          <w:bCs/>
        </w:rPr>
      </w:pPr>
      <w:r w:rsidRPr="0055277E">
        <w:rPr>
          <w:rFonts w:cstheme="minorHAnsi"/>
          <w:b/>
          <w:bCs/>
        </w:rPr>
        <w:lastRenderedPageBreak/>
        <w:t>Decision-making processes</w:t>
      </w:r>
      <w:r w:rsidR="00D732FD">
        <w:rPr>
          <w:rFonts w:cstheme="minorHAnsi"/>
          <w:b/>
          <w:bCs/>
        </w:rPr>
        <w:t xml:space="preserve"> </w:t>
      </w:r>
      <w:r w:rsidRPr="0055277E">
        <w:rPr>
          <w:rFonts w:cstheme="minorHAnsi"/>
          <w:b/>
          <w:bCs/>
        </w:rPr>
        <w:t>(AC1.4)</w:t>
      </w:r>
    </w:p>
    <w:p w14:paraId="7CE42FA3" w14:textId="184C9D02" w:rsidR="005437DB" w:rsidRDefault="005437DB" w:rsidP="00116C26">
      <w:pPr>
        <w:rPr>
          <w:rFonts w:cstheme="minorHAnsi"/>
        </w:rPr>
      </w:pPr>
      <w:r w:rsidRPr="0055277E">
        <w:rPr>
          <w:rFonts w:cstheme="minorHAnsi"/>
        </w:rPr>
        <w:t xml:space="preserve">HR practitioners are known for their strong relationships with stakeholders and can have a heavy influence on the decisions that are made within the organisation, due to their day-to-day involvement with both management and employees </w:t>
      </w:r>
      <w:r w:rsidR="003E4669" w:rsidRPr="0055277E">
        <w:rPr>
          <w:rFonts w:cstheme="minorHAnsi"/>
        </w:rPr>
        <w:t>(Taylor &amp; Woodhams,2022)</w:t>
      </w:r>
      <w:r w:rsidRPr="0055277E">
        <w:rPr>
          <w:rFonts w:cstheme="minorHAnsi"/>
          <w:b/>
          <w:bCs/>
        </w:rPr>
        <w:t>.</w:t>
      </w:r>
      <w:r w:rsidR="00116C26" w:rsidRPr="0055277E">
        <w:rPr>
          <w:rFonts w:cstheme="minorHAnsi"/>
        </w:rPr>
        <w:t xml:space="preserve"> </w:t>
      </w:r>
    </w:p>
    <w:p w14:paraId="6A3E4120" w14:textId="29936C5C" w:rsidR="005437DB" w:rsidRPr="0055277E" w:rsidRDefault="005437DB" w:rsidP="005635CF">
      <w:pPr>
        <w:rPr>
          <w:rFonts w:cstheme="minorHAnsi"/>
        </w:rPr>
      </w:pPr>
      <w:r w:rsidRPr="0055277E">
        <w:rPr>
          <w:rFonts w:cstheme="minorHAnsi"/>
        </w:rPr>
        <w:t>Action learning encourage collaboration, a variety of perspectives while being open and honest with the intention to learn new competences</w:t>
      </w:r>
      <w:r w:rsidRPr="0055277E">
        <w:rPr>
          <w:rFonts w:cstheme="minorHAnsi"/>
          <w:b/>
          <w:bCs/>
        </w:rPr>
        <w:t xml:space="preserve">, </w:t>
      </w:r>
      <w:r w:rsidRPr="0055277E">
        <w:rPr>
          <w:rFonts w:cstheme="minorHAnsi"/>
        </w:rPr>
        <w:t>it can be defined as ‘concrete experience, through group discussion, trial and error, discovery and learning from each other’ (Zuber‐Skerritt, 2002, pg114-115)</w:t>
      </w:r>
      <w:r w:rsidR="005635CF" w:rsidRPr="0055277E">
        <w:rPr>
          <w:rFonts w:cstheme="minorHAnsi"/>
        </w:rPr>
        <w:t xml:space="preserve">. </w:t>
      </w:r>
      <w:r w:rsidRPr="0055277E">
        <w:rPr>
          <w:rFonts w:cstheme="minorHAnsi"/>
        </w:rPr>
        <w:t>This process is seen as a great advantage when there is ‘no simple solution to a shared problem, or when no one knows a way forward in a complex situation’ (Zuber‐Skerritt,</w:t>
      </w:r>
      <w:r w:rsidR="00173EB6">
        <w:rPr>
          <w:rFonts w:cstheme="minorHAnsi"/>
        </w:rPr>
        <w:t xml:space="preserve"> </w:t>
      </w:r>
      <w:r w:rsidRPr="0055277E">
        <w:rPr>
          <w:rFonts w:cstheme="minorHAnsi"/>
        </w:rPr>
        <w:t>2002, PG115).</w:t>
      </w:r>
      <w:r w:rsidR="005635CF" w:rsidRPr="0055277E">
        <w:rPr>
          <w:rFonts w:cstheme="minorHAnsi"/>
        </w:rPr>
        <w:t xml:space="preserve"> </w:t>
      </w:r>
      <w:r w:rsidRPr="0055277E">
        <w:rPr>
          <w:rFonts w:cstheme="minorHAnsi"/>
        </w:rPr>
        <w:t xml:space="preserve">Action learning may be seen as a preferred method by HR as it encourages key stakeholders to converge their ideas and perspectives of their own experiences of the issues they face. </w:t>
      </w:r>
    </w:p>
    <w:p w14:paraId="7427C43F" w14:textId="2A92D864" w:rsidR="005437DB" w:rsidRPr="0055277E" w:rsidRDefault="00E377D0" w:rsidP="00271C59">
      <w:pPr>
        <w:rPr>
          <w:rFonts w:cstheme="minorHAnsi"/>
        </w:rPr>
      </w:pPr>
      <w:r>
        <w:rPr>
          <w:rFonts w:cstheme="minorHAnsi"/>
        </w:rPr>
        <w:t>TCW</w:t>
      </w:r>
      <w:r w:rsidR="005437DB" w:rsidRPr="0055277E">
        <w:rPr>
          <w:rFonts w:cstheme="minorHAnsi"/>
        </w:rPr>
        <w:t xml:space="preserve"> had an issue with employee turnover, especially occurring with new starters within the business.</w:t>
      </w:r>
      <w:r w:rsidR="00886E46">
        <w:rPr>
          <w:rFonts w:cstheme="minorHAnsi"/>
        </w:rPr>
        <w:t xml:space="preserve"> </w:t>
      </w:r>
      <w:r w:rsidR="005437DB" w:rsidRPr="0055277E">
        <w:rPr>
          <w:rFonts w:cstheme="minorHAnsi"/>
        </w:rPr>
        <w:t xml:space="preserve">When using the action learning approach, </w:t>
      </w:r>
      <w:r w:rsidR="00C21ED1">
        <w:rPr>
          <w:rFonts w:cstheme="minorHAnsi"/>
        </w:rPr>
        <w:t>t</w:t>
      </w:r>
      <w:r w:rsidR="005437DB" w:rsidRPr="0055277E">
        <w:rPr>
          <w:rFonts w:cstheme="minorHAnsi"/>
        </w:rPr>
        <w:t>he HR &amp; Recruitment teams me</w:t>
      </w:r>
      <w:r w:rsidR="004944B2">
        <w:rPr>
          <w:rFonts w:cstheme="minorHAnsi"/>
        </w:rPr>
        <w:t>t</w:t>
      </w:r>
      <w:r w:rsidR="005437DB" w:rsidRPr="0055277E">
        <w:rPr>
          <w:rFonts w:cstheme="minorHAnsi"/>
        </w:rPr>
        <w:t xml:space="preserve"> with senior managers and identified there were flaws in our recruitment process where our historic interviewing procedures were outdated as interviews were purely conducted personality/best fit. When issues were identified and gathered a range of perspectives, we concluded that a competency/value-based approach would enhance our talent and reduce the turnover.</w:t>
      </w:r>
      <w:r w:rsidR="00271C59" w:rsidRPr="0055277E">
        <w:rPr>
          <w:rFonts w:cstheme="minorHAnsi"/>
        </w:rPr>
        <w:t xml:space="preserve"> </w:t>
      </w:r>
      <w:r w:rsidR="005437DB" w:rsidRPr="0055277E">
        <w:rPr>
          <w:rFonts w:cstheme="minorHAnsi"/>
          <w:color w:val="212529"/>
          <w:shd w:val="clear" w:color="auto" w:fill="FFFFFF"/>
        </w:rPr>
        <w:t>It</w:t>
      </w:r>
      <w:r w:rsidR="00F757BB">
        <w:rPr>
          <w:rFonts w:cstheme="minorHAnsi"/>
          <w:color w:val="212529"/>
          <w:shd w:val="clear" w:color="auto" w:fill="FFFFFF"/>
        </w:rPr>
        <w:t>’</w:t>
      </w:r>
      <w:r w:rsidR="005437DB" w:rsidRPr="0055277E">
        <w:rPr>
          <w:rFonts w:cstheme="minorHAnsi"/>
          <w:color w:val="212529"/>
          <w:shd w:val="clear" w:color="auto" w:fill="FFFFFF"/>
        </w:rPr>
        <w:t>s evident that this method facilitates teams to build shared commitment to team goals while encouraging creativity to overcome a shared issue to ensure effective conclusions are achieved (WIAL, no date).</w:t>
      </w:r>
    </w:p>
    <w:p w14:paraId="5F76BF9F" w14:textId="40C17A62" w:rsidR="005437DB" w:rsidRPr="00B35275" w:rsidRDefault="005437DB" w:rsidP="00B35275">
      <w:pPr>
        <w:rPr>
          <w:rFonts w:cstheme="minorHAnsi"/>
        </w:rPr>
      </w:pPr>
      <w:r w:rsidRPr="0055277E">
        <w:rPr>
          <w:rFonts w:cstheme="minorHAnsi"/>
        </w:rPr>
        <w:t xml:space="preserve">Edward De Bono has created a ‘six hats’ approach, this encourages individuals within an organisation to consider the many different factors that can contribute to decision making </w:t>
      </w:r>
      <w:r w:rsidR="003E4669" w:rsidRPr="0055277E">
        <w:rPr>
          <w:rFonts w:cstheme="minorHAnsi"/>
        </w:rPr>
        <w:t>(Taylor &amp; Woodhams, 2022)</w:t>
      </w:r>
      <w:r w:rsidR="00271C59" w:rsidRPr="0055277E">
        <w:rPr>
          <w:rFonts w:cstheme="minorHAnsi"/>
        </w:rPr>
        <w:t xml:space="preserve">. </w:t>
      </w:r>
      <w:r w:rsidRPr="0055277E">
        <w:rPr>
          <w:rFonts w:cstheme="minorHAnsi"/>
        </w:rPr>
        <w:t xml:space="preserve">When using this </w:t>
      </w:r>
      <w:r w:rsidR="003E4669" w:rsidRPr="0055277E">
        <w:rPr>
          <w:rFonts w:cstheme="minorHAnsi"/>
        </w:rPr>
        <w:t>model,</w:t>
      </w:r>
      <w:r w:rsidRPr="0055277E">
        <w:rPr>
          <w:rFonts w:cstheme="minorHAnsi"/>
        </w:rPr>
        <w:t xml:space="preserve"> it forces you to carefully consider each 6 factors without having to argue individual opinions or make decision based on impulse, by considering each perspective allows the collection of insights that will lead to better decision making</w:t>
      </w:r>
      <w:r w:rsidRPr="0055277E">
        <w:rPr>
          <w:rFonts w:cstheme="minorHAnsi"/>
          <w:b/>
          <w:bCs/>
        </w:rPr>
        <w:t xml:space="preserve"> </w:t>
      </w:r>
      <w:r w:rsidRPr="0055277E">
        <w:rPr>
          <w:rFonts w:cstheme="minorHAnsi"/>
        </w:rPr>
        <w:t>(Mind Tool Content Team, no date, b)</w:t>
      </w:r>
      <w:r w:rsidR="00271C59" w:rsidRPr="0055277E">
        <w:rPr>
          <w:rFonts w:cstheme="minorHAnsi"/>
        </w:rPr>
        <w:t>.</w:t>
      </w:r>
      <w:r w:rsidR="00581796" w:rsidRPr="0055277E">
        <w:rPr>
          <w:rFonts w:cstheme="minorHAnsi"/>
        </w:rPr>
        <w:t xml:space="preserve"> </w:t>
      </w:r>
      <w:r w:rsidR="00271C59" w:rsidRPr="0055277E">
        <w:rPr>
          <w:rFonts w:cstheme="minorHAnsi"/>
        </w:rPr>
        <w:t>It’s</w:t>
      </w:r>
      <w:r w:rsidRPr="0055277E">
        <w:rPr>
          <w:rFonts w:cstheme="minorHAnsi"/>
        </w:rPr>
        <w:t xml:space="preserve"> important to be aware individuals will </w:t>
      </w:r>
      <w:r w:rsidR="00F87D88">
        <w:rPr>
          <w:rFonts w:cstheme="minorHAnsi"/>
        </w:rPr>
        <w:t xml:space="preserve">not </w:t>
      </w:r>
      <w:r w:rsidRPr="0055277E">
        <w:rPr>
          <w:rFonts w:cstheme="minorHAnsi"/>
        </w:rPr>
        <w:t xml:space="preserve">have a similar interpretation of a problem or decision however this model encourages a ‘deeper consideration using a number of parallel perspectives to inform a considered judgement’ </w:t>
      </w:r>
      <w:r w:rsidR="003E4669" w:rsidRPr="0055277E">
        <w:rPr>
          <w:rFonts w:cstheme="minorHAnsi"/>
        </w:rPr>
        <w:t>(Taylor &amp; Woodhams,2022, pg.115)</w:t>
      </w:r>
      <w:r w:rsidR="00B35275">
        <w:rPr>
          <w:rFonts w:cstheme="minorHAnsi"/>
        </w:rPr>
        <w:t xml:space="preserve">. </w:t>
      </w:r>
      <w:r w:rsidRPr="0055277E">
        <w:rPr>
          <w:rFonts w:cstheme="minorHAnsi"/>
        </w:rPr>
        <w:t>However, there are limitations regarding this approach, conflicts can occur within the group as there are a variety of stakeholders involved, arriving at a consensus can be difficult and time consuming as it may take time to agree on a suitable direction to take (Rangi &amp; Aithal,2017).</w:t>
      </w:r>
    </w:p>
    <w:p w14:paraId="5D1EFC59" w14:textId="1A0FEA2F" w:rsidR="0027252C" w:rsidRPr="00987012" w:rsidRDefault="005437DB" w:rsidP="008A732E">
      <w:pPr>
        <w:rPr>
          <w:rFonts w:eastAsia="Times New Roman" w:cstheme="minorHAnsi"/>
          <w:kern w:val="0"/>
          <w:highlight w:val="yellow"/>
          <w:lang w:eastAsia="en-GB"/>
          <w14:ligatures w14:val="none"/>
        </w:rPr>
      </w:pPr>
      <w:r w:rsidRPr="0055277E">
        <w:rPr>
          <w:rStyle w:val="Hyperlink"/>
          <w:rFonts w:cstheme="minorHAnsi"/>
          <w:color w:val="auto"/>
          <w:u w:val="none"/>
        </w:rPr>
        <w:t>A SWOT analysis can be conducted as a decision-making tool to identify an organisations strategic direction or future objectives within the environment it operates in, it</w:t>
      </w:r>
      <w:r w:rsidR="00F757BB">
        <w:rPr>
          <w:rStyle w:val="Hyperlink"/>
          <w:rFonts w:cstheme="minorHAnsi"/>
          <w:color w:val="auto"/>
          <w:u w:val="none"/>
        </w:rPr>
        <w:t>’</w:t>
      </w:r>
      <w:r w:rsidRPr="0055277E">
        <w:rPr>
          <w:rStyle w:val="Hyperlink"/>
          <w:rFonts w:cstheme="minorHAnsi"/>
          <w:color w:val="auto"/>
          <w:u w:val="none"/>
        </w:rPr>
        <w:t xml:space="preserve">s a planning tool which delves into the organisation’s strengths, weaknesses, </w:t>
      </w:r>
      <w:proofErr w:type="gramStart"/>
      <w:r w:rsidRPr="0055277E">
        <w:rPr>
          <w:rStyle w:val="Hyperlink"/>
          <w:rFonts w:cstheme="minorHAnsi"/>
          <w:color w:val="auto"/>
          <w:u w:val="none"/>
        </w:rPr>
        <w:t>opportunities</w:t>
      </w:r>
      <w:proofErr w:type="gramEnd"/>
      <w:r w:rsidRPr="0055277E">
        <w:rPr>
          <w:rStyle w:val="Hyperlink"/>
          <w:rFonts w:cstheme="minorHAnsi"/>
          <w:color w:val="auto"/>
          <w:u w:val="none"/>
        </w:rPr>
        <w:t xml:space="preserve"> and threats (SHRM,2022</w:t>
      </w:r>
      <w:r w:rsidRPr="00787AFE">
        <w:rPr>
          <w:rStyle w:val="Hyperlink"/>
          <w:rFonts w:cstheme="minorHAnsi"/>
          <w:color w:val="auto"/>
          <w:u w:val="none"/>
        </w:rPr>
        <w:t>)</w:t>
      </w:r>
      <w:r w:rsidR="0027252C" w:rsidRPr="00787AFE">
        <w:rPr>
          <w:rStyle w:val="Hyperlink"/>
          <w:rFonts w:cstheme="minorHAnsi"/>
          <w:color w:val="4472C4" w:themeColor="accent1"/>
          <w:u w:val="none"/>
        </w:rPr>
        <w:t xml:space="preserve">. </w:t>
      </w:r>
      <w:r w:rsidRPr="00787AFE">
        <w:rPr>
          <w:rFonts w:cstheme="minorHAnsi"/>
          <w:color w:val="202020"/>
          <w:shd w:val="clear" w:color="auto" w:fill="FFFFFF"/>
        </w:rPr>
        <w:t xml:space="preserve">It </w:t>
      </w:r>
      <w:r w:rsidR="00085EFE" w:rsidRPr="00787AFE">
        <w:rPr>
          <w:rFonts w:cstheme="minorHAnsi"/>
          <w:color w:val="202020"/>
          <w:shd w:val="clear" w:color="auto" w:fill="FFFFFF"/>
        </w:rPr>
        <w:t>contains</w:t>
      </w:r>
      <w:r w:rsidRPr="00787AFE">
        <w:rPr>
          <w:rFonts w:cstheme="minorHAnsi"/>
          <w:color w:val="202020"/>
          <w:shd w:val="clear" w:color="auto" w:fill="FFFFFF"/>
        </w:rPr>
        <w:t xml:space="preserve"> stating the objective of project </w:t>
      </w:r>
      <w:r w:rsidR="0096018F" w:rsidRPr="00787AFE">
        <w:rPr>
          <w:rFonts w:cstheme="minorHAnsi"/>
          <w:color w:val="202020"/>
          <w:shd w:val="clear" w:color="auto" w:fill="FFFFFF"/>
        </w:rPr>
        <w:t>to</w:t>
      </w:r>
      <w:r w:rsidRPr="00787AFE">
        <w:rPr>
          <w:rFonts w:cstheme="minorHAnsi"/>
          <w:color w:val="202020"/>
          <w:shd w:val="clear" w:color="auto" w:fill="FFFFFF"/>
        </w:rPr>
        <w:t xml:space="preserve"> identif</w:t>
      </w:r>
      <w:r w:rsidR="0096018F" w:rsidRPr="00787AFE">
        <w:rPr>
          <w:rFonts w:cstheme="minorHAnsi"/>
          <w:color w:val="202020"/>
          <w:shd w:val="clear" w:color="auto" w:fill="FFFFFF"/>
        </w:rPr>
        <w:t>y</w:t>
      </w:r>
      <w:r w:rsidRPr="00787AFE">
        <w:rPr>
          <w:rFonts w:cstheme="minorHAnsi"/>
          <w:color w:val="202020"/>
          <w:shd w:val="clear" w:color="auto" w:fill="FFFFFF"/>
        </w:rPr>
        <w:t xml:space="preserve"> the internal and external factors that are either supportive or </w:t>
      </w:r>
      <w:r w:rsidR="0096018F" w:rsidRPr="00787AFE">
        <w:rPr>
          <w:rFonts w:cstheme="minorHAnsi"/>
          <w:color w:val="202020"/>
          <w:shd w:val="clear" w:color="auto" w:fill="FFFFFF"/>
        </w:rPr>
        <w:t>adverse</w:t>
      </w:r>
      <w:r w:rsidRPr="00787AFE">
        <w:rPr>
          <w:rFonts w:cstheme="minorHAnsi"/>
          <w:color w:val="202020"/>
          <w:shd w:val="clear" w:color="auto" w:fill="FFFFFF"/>
        </w:rPr>
        <w:t xml:space="preserve"> to </w:t>
      </w:r>
      <w:r w:rsidR="0096018F" w:rsidRPr="00787AFE">
        <w:rPr>
          <w:rFonts w:cstheme="minorHAnsi"/>
          <w:color w:val="202020"/>
          <w:shd w:val="clear" w:color="auto" w:fill="FFFFFF"/>
        </w:rPr>
        <w:t>succeeding</w:t>
      </w:r>
      <w:r w:rsidRPr="00787AFE">
        <w:rPr>
          <w:rFonts w:cstheme="minorHAnsi"/>
          <w:color w:val="202020"/>
          <w:shd w:val="clear" w:color="auto" w:fill="FFFFFF"/>
        </w:rPr>
        <w:t xml:space="preserve"> that objective. SWOT is </w:t>
      </w:r>
      <w:r w:rsidR="0096018F" w:rsidRPr="00787AFE">
        <w:rPr>
          <w:rFonts w:cstheme="minorHAnsi"/>
          <w:color w:val="202020"/>
          <w:shd w:val="clear" w:color="auto" w:fill="FFFFFF"/>
        </w:rPr>
        <w:t>utilised as</w:t>
      </w:r>
      <w:r w:rsidRPr="00787AFE">
        <w:rPr>
          <w:rFonts w:cstheme="minorHAnsi"/>
          <w:color w:val="202020"/>
          <w:shd w:val="clear" w:color="auto" w:fill="FFFFFF"/>
        </w:rPr>
        <w:t xml:space="preserve"> a </w:t>
      </w:r>
      <w:r w:rsidR="00C27CA0" w:rsidRPr="00787AFE">
        <w:rPr>
          <w:rFonts w:cstheme="minorHAnsi"/>
          <w:color w:val="202020"/>
          <w:shd w:val="clear" w:color="auto" w:fill="FFFFFF"/>
        </w:rPr>
        <w:t>tactical</w:t>
      </w:r>
      <w:r w:rsidRPr="00787AFE">
        <w:rPr>
          <w:rFonts w:cstheme="minorHAnsi"/>
          <w:color w:val="202020"/>
          <w:shd w:val="clear" w:color="auto" w:fill="FFFFFF"/>
        </w:rPr>
        <w:t xml:space="preserve"> process</w:t>
      </w:r>
      <w:r w:rsidRPr="0055277E">
        <w:rPr>
          <w:rFonts w:cstheme="minorHAnsi"/>
          <w:color w:val="202020"/>
          <w:shd w:val="clear" w:color="auto" w:fill="FFFFFF"/>
        </w:rPr>
        <w:t xml:space="preserve"> and is also a part of the core knowledge within the CIPD professional map (CIPD,2023d)</w:t>
      </w:r>
      <w:r w:rsidR="00997291" w:rsidRPr="0055277E">
        <w:rPr>
          <w:rFonts w:cstheme="minorHAnsi"/>
          <w:color w:val="202020"/>
          <w:shd w:val="clear" w:color="auto" w:fill="FFFFFF"/>
        </w:rPr>
        <w:t>.</w:t>
      </w:r>
      <w:r w:rsidR="00997291" w:rsidRPr="0055277E">
        <w:rPr>
          <w:rFonts w:cstheme="minorHAnsi"/>
        </w:rPr>
        <w:t xml:space="preserve"> </w:t>
      </w:r>
    </w:p>
    <w:p w14:paraId="0B6D55F2" w14:textId="5222F1FC" w:rsidR="005437DB" w:rsidRPr="0055277E" w:rsidRDefault="005437DB" w:rsidP="009B6BAB">
      <w:pPr>
        <w:rPr>
          <w:rFonts w:cstheme="minorHAnsi"/>
        </w:rPr>
      </w:pPr>
      <w:r w:rsidRPr="0055277E">
        <w:rPr>
          <w:rFonts w:cstheme="minorHAnsi"/>
        </w:rPr>
        <w:t>SWOT analysis has been praised for its quick and simple framework, it encourages the development of strategic thinking</w:t>
      </w:r>
      <w:r w:rsidR="00B35275">
        <w:rPr>
          <w:rFonts w:cstheme="minorHAnsi"/>
        </w:rPr>
        <w:t xml:space="preserve">, </w:t>
      </w:r>
      <w:r w:rsidRPr="0055277E">
        <w:rPr>
          <w:rFonts w:cstheme="minorHAnsi"/>
        </w:rPr>
        <w:t xml:space="preserve">providing a deeper understanding of strengths and weaknesses </w:t>
      </w:r>
      <w:r w:rsidRPr="0055277E">
        <w:rPr>
          <w:rFonts w:cstheme="minorHAnsi"/>
          <w:color w:val="202020"/>
          <w:shd w:val="clear" w:color="auto" w:fill="FFFFFF"/>
        </w:rPr>
        <w:t>(CIPD,2023d)</w:t>
      </w:r>
      <w:r w:rsidRPr="0055277E">
        <w:rPr>
          <w:rFonts w:cstheme="minorHAnsi"/>
        </w:rPr>
        <w:t xml:space="preserve">. SWOT can also be used alongside other tools to strengthen knowledge </w:t>
      </w:r>
      <w:r w:rsidR="009B6BAB">
        <w:rPr>
          <w:rFonts w:cstheme="minorHAnsi"/>
        </w:rPr>
        <w:t xml:space="preserve">of </w:t>
      </w:r>
      <w:r w:rsidRPr="0055277E">
        <w:rPr>
          <w:rFonts w:cstheme="minorHAnsi"/>
        </w:rPr>
        <w:t>an existing issue or opportunity.</w:t>
      </w:r>
      <w:r w:rsidR="009B6BAB">
        <w:rPr>
          <w:rFonts w:cstheme="minorHAnsi"/>
        </w:rPr>
        <w:t xml:space="preserve"> </w:t>
      </w:r>
      <w:r w:rsidRPr="0055277E">
        <w:rPr>
          <w:rFonts w:cstheme="minorHAnsi"/>
        </w:rPr>
        <w:t xml:space="preserve">It </w:t>
      </w:r>
      <w:r w:rsidR="00C97B2E">
        <w:rPr>
          <w:rFonts w:cstheme="minorHAnsi"/>
        </w:rPr>
        <w:t xml:space="preserve">can </w:t>
      </w:r>
      <w:r w:rsidRPr="0055277E">
        <w:rPr>
          <w:rFonts w:cstheme="minorHAnsi"/>
        </w:rPr>
        <w:t xml:space="preserve">foresee future threats that may occur externally and allows them to create a strategic plan to avoid or mitigate the impact this may have on the business </w:t>
      </w:r>
      <w:r w:rsidRPr="0055277E">
        <w:rPr>
          <w:rFonts w:cstheme="minorHAnsi"/>
          <w:color w:val="202020"/>
          <w:shd w:val="clear" w:color="auto" w:fill="FFFFFF"/>
        </w:rPr>
        <w:t>(CIPD,2023d).</w:t>
      </w:r>
      <w:r w:rsidRPr="0055277E">
        <w:rPr>
          <w:rFonts w:cstheme="minorHAnsi"/>
        </w:rPr>
        <w:t xml:space="preserve"> </w:t>
      </w:r>
      <w:r w:rsidRPr="0055277E">
        <w:rPr>
          <w:rFonts w:eastAsia="Times New Roman" w:cstheme="minorHAnsi"/>
          <w:color w:val="202020"/>
          <w:kern w:val="0"/>
          <w:lang w:eastAsia="en-GB"/>
          <w14:ligatures w14:val="none"/>
        </w:rPr>
        <w:t>Despite its simplicity, a criticism of SWOT is that it</w:t>
      </w:r>
      <w:r w:rsidR="00F757BB">
        <w:rPr>
          <w:rFonts w:eastAsia="Times New Roman" w:cstheme="minorHAnsi"/>
          <w:color w:val="202020"/>
          <w:kern w:val="0"/>
          <w:lang w:eastAsia="en-GB"/>
          <w14:ligatures w14:val="none"/>
        </w:rPr>
        <w:t>’</w:t>
      </w:r>
      <w:r w:rsidRPr="0055277E">
        <w:rPr>
          <w:rFonts w:eastAsia="Times New Roman" w:cstheme="minorHAnsi"/>
          <w:color w:val="202020"/>
          <w:kern w:val="0"/>
          <w:lang w:eastAsia="en-GB"/>
          <w14:ligatures w14:val="none"/>
        </w:rPr>
        <w:t xml:space="preserve">s more apparent to hold subjective views due to it being </w:t>
      </w:r>
      <w:r w:rsidR="00D05A86" w:rsidRPr="0055277E">
        <w:rPr>
          <w:rFonts w:eastAsia="Times New Roman" w:cstheme="minorHAnsi"/>
          <w:color w:val="202020"/>
          <w:kern w:val="0"/>
          <w:lang w:eastAsia="en-GB"/>
          <w14:ligatures w14:val="none"/>
        </w:rPr>
        <w:t>like</w:t>
      </w:r>
      <w:r w:rsidRPr="0055277E">
        <w:rPr>
          <w:rFonts w:eastAsia="Times New Roman" w:cstheme="minorHAnsi"/>
          <w:color w:val="202020"/>
          <w:kern w:val="0"/>
          <w:lang w:eastAsia="en-GB"/>
          <w14:ligatures w14:val="none"/>
        </w:rPr>
        <w:t xml:space="preserve"> a brainstorming exercise </w:t>
      </w:r>
      <w:r w:rsidRPr="0055277E">
        <w:rPr>
          <w:rFonts w:cstheme="minorHAnsi"/>
        </w:rPr>
        <w:t>(</w:t>
      </w:r>
      <w:proofErr w:type="spellStart"/>
      <w:r w:rsidRPr="0055277E">
        <w:rPr>
          <w:rFonts w:cstheme="minorHAnsi"/>
        </w:rPr>
        <w:t>Phadermrod</w:t>
      </w:r>
      <w:proofErr w:type="spellEnd"/>
      <w:r w:rsidRPr="0055277E">
        <w:rPr>
          <w:rFonts w:cstheme="minorHAnsi"/>
        </w:rPr>
        <w:t xml:space="preserve"> et al.,2019).</w:t>
      </w:r>
    </w:p>
    <w:p w14:paraId="715760EA" w14:textId="6962080D" w:rsidR="006874C9" w:rsidRPr="004A66D2" w:rsidRDefault="005437DB" w:rsidP="004A66D2">
      <w:pPr>
        <w:shd w:val="clear" w:color="auto" w:fill="FFFFFF"/>
        <w:spacing w:before="100" w:beforeAutospacing="1" w:after="0" w:line="240" w:lineRule="auto"/>
        <w:rPr>
          <w:rFonts w:cstheme="minorHAnsi"/>
        </w:rPr>
      </w:pPr>
      <w:r w:rsidRPr="0055277E">
        <w:rPr>
          <w:rFonts w:cstheme="minorHAnsi"/>
        </w:rPr>
        <w:lastRenderedPageBreak/>
        <w:t xml:space="preserve">SWOT analysis </w:t>
      </w:r>
      <w:r w:rsidR="000A652F">
        <w:rPr>
          <w:rFonts w:cstheme="minorHAnsi"/>
        </w:rPr>
        <w:t>can</w:t>
      </w:r>
      <w:r w:rsidRPr="0055277E">
        <w:rPr>
          <w:rFonts w:cstheme="minorHAnsi"/>
        </w:rPr>
        <w:t xml:space="preserve"> be based on assumptions that may be un</w:t>
      </w:r>
      <w:r w:rsidR="00B53864">
        <w:rPr>
          <w:rFonts w:cstheme="minorHAnsi"/>
        </w:rPr>
        <w:t>supported</w:t>
      </w:r>
      <w:r w:rsidRPr="0055277E">
        <w:rPr>
          <w:rFonts w:cstheme="minorHAnsi"/>
        </w:rPr>
        <w:t>, the data used to base decisions on can be difficult to obtain especially in larger organisations which can result in the framework having a lack detailed evidence (</w:t>
      </w:r>
      <w:r w:rsidRPr="0055277E">
        <w:rPr>
          <w:rFonts w:cstheme="minorHAnsi"/>
          <w:color w:val="202020"/>
          <w:shd w:val="clear" w:color="auto" w:fill="FFFFFF"/>
        </w:rPr>
        <w:t>CIPD,2023d).</w:t>
      </w:r>
      <w:r w:rsidR="004A66D2">
        <w:rPr>
          <w:rFonts w:cstheme="minorHAnsi"/>
        </w:rPr>
        <w:t xml:space="preserve"> </w:t>
      </w:r>
      <w:r w:rsidRPr="0055277E">
        <w:rPr>
          <w:rFonts w:cstheme="minorHAnsi"/>
          <w:lang w:eastAsia="en-GB"/>
        </w:rPr>
        <w:t xml:space="preserve">SWOT serves as an excellent initial approach for conducting an analytical framework. </w:t>
      </w:r>
      <w:r w:rsidR="00AA0DBA">
        <w:rPr>
          <w:rFonts w:cstheme="minorHAnsi"/>
          <w:lang w:eastAsia="en-GB"/>
        </w:rPr>
        <w:t>I</w:t>
      </w:r>
      <w:r w:rsidRPr="0055277E">
        <w:rPr>
          <w:rFonts w:cstheme="minorHAnsi"/>
          <w:lang w:eastAsia="en-GB"/>
        </w:rPr>
        <w:t>ntegrating SWOT with additional tools unveils crucial factors and considerations, enabling the exploration of a range of options that can contribute to the development and refinement of the ultimate strategy</w:t>
      </w:r>
      <w:r w:rsidR="003E4669" w:rsidRPr="0055277E">
        <w:rPr>
          <w:rFonts w:cstheme="minorHAnsi"/>
        </w:rPr>
        <w:t xml:space="preserve"> (Taylor &amp; Woodhams,2022).</w:t>
      </w:r>
    </w:p>
    <w:p w14:paraId="6726A08F" w14:textId="77777777" w:rsidR="004A66D2" w:rsidRDefault="004A66D2" w:rsidP="0059330A">
      <w:pPr>
        <w:rPr>
          <w:rFonts w:cstheme="minorHAnsi"/>
          <w:b/>
          <w:bCs/>
          <w:shd w:val="clear" w:color="auto" w:fill="FFFFFF"/>
        </w:rPr>
      </w:pPr>
    </w:p>
    <w:p w14:paraId="20533867" w14:textId="59748BDE" w:rsidR="0059330A" w:rsidRPr="0059330A" w:rsidRDefault="00997291" w:rsidP="0059330A">
      <w:pPr>
        <w:rPr>
          <w:rFonts w:cstheme="minorHAnsi"/>
          <w:b/>
          <w:bCs/>
          <w:color w:val="FF0000"/>
          <w:shd w:val="clear" w:color="auto" w:fill="FFFFFF"/>
        </w:rPr>
      </w:pPr>
      <w:r w:rsidRPr="0055277E">
        <w:rPr>
          <w:rFonts w:cstheme="minorHAnsi"/>
          <w:b/>
          <w:bCs/>
          <w:shd w:val="clear" w:color="auto" w:fill="FFFFFF"/>
        </w:rPr>
        <w:t xml:space="preserve">Ethics </w:t>
      </w:r>
      <w:r w:rsidR="00CC5990" w:rsidRPr="0055277E">
        <w:rPr>
          <w:rFonts w:cstheme="minorHAnsi"/>
          <w:b/>
          <w:bCs/>
          <w:shd w:val="clear" w:color="auto" w:fill="FFFFFF"/>
        </w:rPr>
        <w:t>(AC1.5)</w:t>
      </w:r>
      <w:r w:rsidR="00487B89">
        <w:rPr>
          <w:rFonts w:cstheme="minorHAnsi"/>
          <w:b/>
          <w:bCs/>
          <w:shd w:val="clear" w:color="auto" w:fill="FFFFFF"/>
        </w:rPr>
        <w:t xml:space="preserve"> </w:t>
      </w:r>
    </w:p>
    <w:p w14:paraId="4353A437" w14:textId="575290D8" w:rsidR="00C75A02" w:rsidRPr="004944B2" w:rsidRDefault="00C75A02" w:rsidP="004944B2">
      <w:pPr>
        <w:rPr>
          <w:rStyle w:val="Hyperlink"/>
          <w:rFonts w:cstheme="minorHAnsi"/>
          <w:b/>
          <w:bCs/>
        </w:rPr>
      </w:pPr>
      <w:r w:rsidRPr="0055277E">
        <w:rPr>
          <w:rFonts w:cstheme="minorHAnsi"/>
          <w:shd w:val="clear" w:color="auto" w:fill="FFFFFF"/>
        </w:rPr>
        <w:t xml:space="preserve">Ethics </w:t>
      </w:r>
      <w:r w:rsidR="00E11C03">
        <w:rPr>
          <w:rFonts w:cstheme="minorHAnsi"/>
          <w:shd w:val="clear" w:color="auto" w:fill="FFFFFF"/>
        </w:rPr>
        <w:t>is</w:t>
      </w:r>
      <w:r w:rsidRPr="0055277E">
        <w:rPr>
          <w:rFonts w:cstheme="minorHAnsi"/>
          <w:shd w:val="clear" w:color="auto" w:fill="FFFFFF"/>
        </w:rPr>
        <w:t xml:space="preserve"> considered as a theory of identifying right from wrong, however there is no distinct answer </w:t>
      </w:r>
      <w:r w:rsidR="00CF5B82" w:rsidRPr="0055277E">
        <w:rPr>
          <w:rFonts w:cstheme="minorHAnsi"/>
        </w:rPr>
        <w:t>(Kew &amp; Stredwick,2016)</w:t>
      </w:r>
      <w:r w:rsidRPr="0055277E">
        <w:rPr>
          <w:rFonts w:cstheme="minorHAnsi"/>
          <w:shd w:val="clear" w:color="auto" w:fill="FFFFFF"/>
        </w:rPr>
        <w:t xml:space="preserve">. There are a variety of ethical frameworks that individuals from different societies and cultures adopt, for example these include utilitarianism, </w:t>
      </w:r>
      <w:proofErr w:type="gramStart"/>
      <w:r w:rsidRPr="0055277E">
        <w:rPr>
          <w:rFonts w:cstheme="minorHAnsi"/>
          <w:shd w:val="clear" w:color="auto" w:fill="FFFFFF"/>
        </w:rPr>
        <w:t>deontology</w:t>
      </w:r>
      <w:proofErr w:type="gramEnd"/>
      <w:r w:rsidRPr="0055277E">
        <w:rPr>
          <w:rFonts w:cstheme="minorHAnsi"/>
          <w:shd w:val="clear" w:color="auto" w:fill="FFFFFF"/>
        </w:rPr>
        <w:t xml:space="preserve"> and </w:t>
      </w:r>
      <w:r w:rsidRPr="00064F5D">
        <w:rPr>
          <w:rFonts w:cstheme="minorHAnsi"/>
          <w:shd w:val="clear" w:color="auto" w:fill="FFFFFF"/>
        </w:rPr>
        <w:t xml:space="preserve">egoism </w:t>
      </w:r>
      <w:r w:rsidR="003E4669" w:rsidRPr="00064F5D">
        <w:rPr>
          <w:rFonts w:cstheme="minorHAnsi"/>
          <w:shd w:val="clear" w:color="auto" w:fill="FFFFFF"/>
        </w:rPr>
        <w:t>(</w:t>
      </w:r>
      <w:r w:rsidR="003E4669" w:rsidRPr="00064F5D">
        <w:rPr>
          <w:rFonts w:cstheme="minorHAnsi"/>
        </w:rPr>
        <w:t>Taylor</w:t>
      </w:r>
      <w:r w:rsidR="003E4669" w:rsidRPr="0055277E">
        <w:rPr>
          <w:rFonts w:cstheme="minorHAnsi"/>
        </w:rPr>
        <w:t xml:space="preserve"> &amp; Woodhams,2022). </w:t>
      </w:r>
      <w:r w:rsidRPr="0055277E">
        <w:rPr>
          <w:rFonts w:cstheme="minorHAnsi"/>
          <w:shd w:val="clear" w:color="auto" w:fill="FFFFFF"/>
        </w:rPr>
        <w:t>Ethical practice is key to achieving success, those who do</w:t>
      </w:r>
      <w:r w:rsidR="004C5735">
        <w:rPr>
          <w:rFonts w:cstheme="minorHAnsi"/>
          <w:shd w:val="clear" w:color="auto" w:fill="FFFFFF"/>
        </w:rPr>
        <w:t xml:space="preserve"> no</w:t>
      </w:r>
      <w:r w:rsidRPr="0055277E">
        <w:rPr>
          <w:rFonts w:cstheme="minorHAnsi"/>
          <w:shd w:val="clear" w:color="auto" w:fill="FFFFFF"/>
        </w:rPr>
        <w:t xml:space="preserve">t act ethically may have a substantial impact on the reputation of the business. Ethical practice can mitigate risk and can be seen as a competitive advantage </w:t>
      </w:r>
      <w:r w:rsidRPr="0055277E">
        <w:rPr>
          <w:rFonts w:cstheme="minorHAnsi"/>
        </w:rPr>
        <w:t>(CIPD,2022).</w:t>
      </w:r>
    </w:p>
    <w:p w14:paraId="0A9AF900" w14:textId="7D19C078" w:rsidR="00C75A02" w:rsidRPr="0055277E" w:rsidRDefault="00C75A02" w:rsidP="003148E2">
      <w:pPr>
        <w:pStyle w:val="NormalWeb"/>
        <w:shd w:val="clear" w:color="auto" w:fill="FFFFFF"/>
        <w:spacing w:before="0" w:beforeAutospacing="0"/>
        <w:rPr>
          <w:rFonts w:asciiTheme="minorHAnsi" w:eastAsia="Arial" w:hAnsiTheme="minorHAnsi" w:cstheme="minorHAnsi"/>
          <w:color w:val="0000FF"/>
          <w:sz w:val="22"/>
          <w:szCs w:val="22"/>
          <w:u w:val="single"/>
        </w:rPr>
      </w:pPr>
      <w:r w:rsidRPr="0055277E">
        <w:rPr>
          <w:rFonts w:asciiTheme="minorHAnsi" w:hAnsiTheme="minorHAnsi" w:cstheme="minorHAnsi"/>
          <w:sz w:val="22"/>
          <w:szCs w:val="22"/>
        </w:rPr>
        <w:t xml:space="preserve">Utilitarianism is a method for deciding if morally the right course of action should be taken in any given situation, it supports maximising the benefits for all however it ignores if these benefits are produced by lies, manipulation or </w:t>
      </w:r>
      <w:r w:rsidR="00B53864" w:rsidRPr="0055277E">
        <w:rPr>
          <w:rFonts w:asciiTheme="minorHAnsi" w:hAnsiTheme="minorHAnsi" w:cstheme="minorHAnsi"/>
          <w:sz w:val="22"/>
          <w:szCs w:val="22"/>
        </w:rPr>
        <w:t>intimidation</w:t>
      </w:r>
      <w:r w:rsidRPr="0055277E">
        <w:rPr>
          <w:rFonts w:asciiTheme="minorHAnsi" w:hAnsiTheme="minorHAnsi" w:cstheme="minorHAnsi"/>
          <w:sz w:val="22"/>
          <w:szCs w:val="22"/>
        </w:rPr>
        <w:t xml:space="preserve"> (Santa Clara University,2014</w:t>
      </w:r>
      <w:r w:rsidR="00C926C6" w:rsidRPr="0055277E">
        <w:rPr>
          <w:rFonts w:asciiTheme="minorHAnsi" w:hAnsiTheme="minorHAnsi" w:cstheme="minorHAnsi"/>
          <w:sz w:val="22"/>
          <w:szCs w:val="22"/>
        </w:rPr>
        <w:t>).</w:t>
      </w:r>
      <w:r w:rsidR="00C926C6" w:rsidRPr="0055277E">
        <w:rPr>
          <w:rFonts w:asciiTheme="minorHAnsi" w:hAnsiTheme="minorHAnsi" w:cstheme="minorHAnsi"/>
          <w:color w:val="212529"/>
          <w:sz w:val="22"/>
          <w:szCs w:val="22"/>
        </w:rPr>
        <w:t xml:space="preserve"> Utilitarianism</w:t>
      </w:r>
      <w:r w:rsidRPr="0055277E">
        <w:rPr>
          <w:rFonts w:asciiTheme="minorHAnsi" w:hAnsiTheme="minorHAnsi" w:cstheme="minorHAnsi"/>
          <w:color w:val="212529"/>
          <w:sz w:val="22"/>
          <w:szCs w:val="22"/>
        </w:rPr>
        <w:t xml:space="preserve"> can influence moral decision making within people management</w:t>
      </w:r>
      <w:r w:rsidR="00C926C6">
        <w:rPr>
          <w:rFonts w:asciiTheme="minorHAnsi" w:hAnsiTheme="minorHAnsi" w:cstheme="minorHAnsi"/>
          <w:color w:val="212529"/>
          <w:sz w:val="22"/>
          <w:szCs w:val="22"/>
        </w:rPr>
        <w:t>. I</w:t>
      </w:r>
      <w:r w:rsidRPr="0055277E">
        <w:rPr>
          <w:rFonts w:asciiTheme="minorHAnsi" w:hAnsiTheme="minorHAnsi" w:cstheme="minorHAnsi"/>
          <w:color w:val="212529"/>
          <w:sz w:val="22"/>
          <w:szCs w:val="22"/>
        </w:rPr>
        <w:t>f organisation</w:t>
      </w:r>
      <w:r w:rsidR="00B766BD">
        <w:rPr>
          <w:rFonts w:asciiTheme="minorHAnsi" w:hAnsiTheme="minorHAnsi" w:cstheme="minorHAnsi"/>
          <w:color w:val="212529"/>
          <w:sz w:val="22"/>
          <w:szCs w:val="22"/>
        </w:rPr>
        <w:t>s</w:t>
      </w:r>
      <w:r w:rsidRPr="0055277E">
        <w:rPr>
          <w:rFonts w:asciiTheme="minorHAnsi" w:hAnsiTheme="minorHAnsi" w:cstheme="minorHAnsi"/>
          <w:color w:val="212529"/>
          <w:sz w:val="22"/>
          <w:szCs w:val="22"/>
        </w:rPr>
        <w:t xml:space="preserve"> were to adopt a flexible working </w:t>
      </w:r>
      <w:r w:rsidR="00C926C6" w:rsidRPr="0055277E">
        <w:rPr>
          <w:rFonts w:asciiTheme="minorHAnsi" w:hAnsiTheme="minorHAnsi" w:cstheme="minorHAnsi"/>
          <w:color w:val="212529"/>
          <w:sz w:val="22"/>
          <w:szCs w:val="22"/>
        </w:rPr>
        <w:t>policy,</w:t>
      </w:r>
      <w:r w:rsidRPr="0055277E">
        <w:rPr>
          <w:rFonts w:asciiTheme="minorHAnsi" w:hAnsiTheme="minorHAnsi" w:cstheme="minorHAnsi"/>
          <w:color w:val="212529"/>
          <w:sz w:val="22"/>
          <w:szCs w:val="22"/>
        </w:rPr>
        <w:t xml:space="preserve"> it would identify the impact and benefits that a large proportion of employees would achieve from this. An organisation would measure the impact of the detriment this may </w:t>
      </w:r>
      <w:r w:rsidR="00F712DC">
        <w:rPr>
          <w:rFonts w:asciiTheme="minorHAnsi" w:hAnsiTheme="minorHAnsi" w:cstheme="minorHAnsi"/>
          <w:color w:val="212529"/>
          <w:sz w:val="22"/>
          <w:szCs w:val="22"/>
        </w:rPr>
        <w:t xml:space="preserve">cause </w:t>
      </w:r>
      <w:r w:rsidRPr="0055277E">
        <w:rPr>
          <w:rFonts w:asciiTheme="minorHAnsi" w:hAnsiTheme="minorHAnsi" w:cstheme="minorHAnsi"/>
          <w:color w:val="212529"/>
          <w:sz w:val="22"/>
          <w:szCs w:val="22"/>
        </w:rPr>
        <w:t>such as cost and working patterns however, this approach would favour the policy due to the impact on wellbeing and happiness on which employees would experience.</w:t>
      </w:r>
      <w:r w:rsidRPr="004944B2">
        <w:rPr>
          <w:rFonts w:asciiTheme="minorHAnsi" w:eastAsia="Arial" w:hAnsiTheme="minorHAnsi" w:cstheme="minorHAnsi"/>
          <w:color w:val="0000FF"/>
          <w:sz w:val="22"/>
          <w:szCs w:val="22"/>
        </w:rPr>
        <w:t xml:space="preserve"> </w:t>
      </w:r>
      <w:r w:rsidRPr="0055277E">
        <w:rPr>
          <w:rFonts w:asciiTheme="minorHAnsi" w:hAnsiTheme="minorHAnsi" w:cstheme="minorHAnsi"/>
          <w:color w:val="212529"/>
          <w:sz w:val="22"/>
          <w:szCs w:val="22"/>
        </w:rPr>
        <w:t xml:space="preserve">Despite this maximising the benefit for employees, organisations can see the impact by increased efficiency, productivity, and an enhanced positive culture </w:t>
      </w:r>
      <w:r w:rsidR="003E4669" w:rsidRPr="0055277E">
        <w:rPr>
          <w:rFonts w:asciiTheme="minorHAnsi" w:hAnsiTheme="minorHAnsi" w:cstheme="minorHAnsi"/>
          <w:color w:val="212529"/>
          <w:sz w:val="22"/>
          <w:szCs w:val="22"/>
        </w:rPr>
        <w:t>(</w:t>
      </w:r>
      <w:r w:rsidR="003E4669" w:rsidRPr="0055277E">
        <w:rPr>
          <w:rFonts w:asciiTheme="minorHAnsi" w:hAnsiTheme="minorHAnsi" w:cstheme="minorHAnsi"/>
          <w:sz w:val="22"/>
          <w:szCs w:val="22"/>
        </w:rPr>
        <w:t>Taylor &amp; Woodhams,2022).</w:t>
      </w:r>
    </w:p>
    <w:p w14:paraId="764F3476" w14:textId="51BFA8A0" w:rsidR="00C75A02" w:rsidRPr="0055277E" w:rsidRDefault="00C75A02" w:rsidP="00C75A02">
      <w:pPr>
        <w:spacing w:after="0" w:line="240" w:lineRule="auto"/>
        <w:rPr>
          <w:rFonts w:cstheme="minorHAnsi"/>
          <w:color w:val="0000FF"/>
          <w:u w:val="single"/>
        </w:rPr>
      </w:pPr>
      <w:r w:rsidRPr="0055277E">
        <w:rPr>
          <w:rFonts w:eastAsia="Times New Roman" w:cstheme="minorHAnsi"/>
          <w:kern w:val="0"/>
          <w:lang w:eastAsia="en-GB"/>
          <w14:ligatures w14:val="none"/>
        </w:rPr>
        <w:t xml:space="preserve">Deontological theories emphasise on the current behaviour rather than consequences </w:t>
      </w:r>
      <w:r w:rsidR="003E4669" w:rsidRPr="0055277E">
        <w:rPr>
          <w:rFonts w:cstheme="minorHAnsi"/>
        </w:rPr>
        <w:t xml:space="preserve">(Taylor &amp; Woodhams,2022). </w:t>
      </w:r>
      <w:r w:rsidR="00790EFD">
        <w:rPr>
          <w:rFonts w:eastAsia="Times New Roman" w:cstheme="minorHAnsi"/>
          <w:kern w:val="0"/>
          <w:lang w:eastAsia="en-GB"/>
          <w14:ligatures w14:val="none"/>
        </w:rPr>
        <w:t>S</w:t>
      </w:r>
      <w:r w:rsidRPr="0055277E">
        <w:rPr>
          <w:rFonts w:eastAsia="Times New Roman" w:cstheme="minorHAnsi"/>
          <w:kern w:val="0"/>
          <w:lang w:eastAsia="en-GB"/>
          <w14:ligatures w14:val="none"/>
        </w:rPr>
        <w:t>ome actions are always wrong it may unintentionally lead to a more favourable outcome</w:t>
      </w:r>
      <w:r w:rsidRPr="0055277E">
        <w:rPr>
          <w:rFonts w:eastAsia="Times New Roman" w:cstheme="minorHAnsi"/>
          <w:b/>
          <w:bCs/>
          <w:kern w:val="0"/>
          <w:lang w:eastAsia="en-GB"/>
          <w14:ligatures w14:val="none"/>
        </w:rPr>
        <w:t xml:space="preserve"> </w:t>
      </w:r>
      <w:r w:rsidRPr="0055277E">
        <w:rPr>
          <w:rFonts w:cstheme="minorHAnsi"/>
        </w:rPr>
        <w:t xml:space="preserve">(Shakil,2013). </w:t>
      </w:r>
      <w:r w:rsidRPr="0055277E">
        <w:rPr>
          <w:rFonts w:eastAsia="Times New Roman" w:cstheme="minorHAnsi"/>
          <w:kern w:val="0"/>
          <w:lang w:eastAsia="en-GB"/>
          <w14:ligatures w14:val="none"/>
        </w:rPr>
        <w:t>Deontology can be u</w:t>
      </w:r>
      <w:r w:rsidR="00031120">
        <w:rPr>
          <w:rFonts w:eastAsia="Times New Roman" w:cstheme="minorHAnsi"/>
          <w:kern w:val="0"/>
          <w:lang w:eastAsia="en-GB"/>
          <w14:ligatures w14:val="none"/>
        </w:rPr>
        <w:t>tilised</w:t>
      </w:r>
      <w:r w:rsidRPr="0055277E">
        <w:rPr>
          <w:rFonts w:eastAsia="Times New Roman" w:cstheme="minorHAnsi"/>
          <w:kern w:val="0"/>
          <w:lang w:eastAsia="en-GB"/>
          <w14:ligatures w14:val="none"/>
        </w:rPr>
        <w:t xml:space="preserve"> during a disciplinary process, for example, a top performer who is already on a final written warning has been invited into a meeting to discuss their high absences and timekeeping issues. Despite the employee being one of the high performers there are policies and procedures in place to follow regardless of whom the individual is, all employees should be treated fairly.</w:t>
      </w:r>
    </w:p>
    <w:p w14:paraId="579C8D4D" w14:textId="77777777" w:rsidR="00C75A02" w:rsidRPr="0055277E" w:rsidRDefault="00C75A02" w:rsidP="00C75A02">
      <w:pPr>
        <w:spacing w:after="0" w:line="240" w:lineRule="auto"/>
        <w:rPr>
          <w:rFonts w:eastAsia="Times New Roman" w:cstheme="minorHAnsi"/>
          <w:kern w:val="0"/>
          <w:lang w:eastAsia="en-GB"/>
          <w14:ligatures w14:val="none"/>
        </w:rPr>
      </w:pPr>
    </w:p>
    <w:p w14:paraId="2BE59552" w14:textId="2FF3C6A4" w:rsidR="00C75A02" w:rsidRPr="0055277E" w:rsidRDefault="00C75A02" w:rsidP="00C75A02">
      <w:pPr>
        <w:spacing w:after="0" w:line="240" w:lineRule="auto"/>
        <w:rPr>
          <w:rFonts w:cstheme="minorHAnsi"/>
        </w:rPr>
      </w:pPr>
      <w:r w:rsidRPr="0055277E">
        <w:rPr>
          <w:rFonts w:eastAsia="Times New Roman" w:cstheme="minorHAnsi"/>
          <w:kern w:val="0"/>
          <w:lang w:eastAsia="en-GB"/>
          <w14:ligatures w14:val="none"/>
        </w:rPr>
        <w:t>Egoism is an additional perspective which can influence decision</w:t>
      </w:r>
      <w:r w:rsidR="00790771">
        <w:rPr>
          <w:rFonts w:eastAsia="Times New Roman" w:cstheme="minorHAnsi"/>
          <w:kern w:val="0"/>
          <w:lang w:eastAsia="en-GB"/>
          <w14:ligatures w14:val="none"/>
        </w:rPr>
        <w:t>s</w:t>
      </w:r>
      <w:r w:rsidRPr="0055277E">
        <w:rPr>
          <w:rFonts w:eastAsia="Times New Roman" w:cstheme="minorHAnsi"/>
          <w:kern w:val="0"/>
          <w:lang w:eastAsia="en-GB"/>
          <w14:ligatures w14:val="none"/>
        </w:rPr>
        <w:t xml:space="preserve">, this </w:t>
      </w:r>
      <w:r w:rsidR="00790771">
        <w:rPr>
          <w:rFonts w:eastAsia="Times New Roman" w:cstheme="minorHAnsi"/>
          <w:kern w:val="0"/>
          <w:lang w:eastAsia="en-GB"/>
          <w14:ligatures w14:val="none"/>
        </w:rPr>
        <w:t>occurs</w:t>
      </w:r>
      <w:r w:rsidRPr="0055277E">
        <w:rPr>
          <w:rFonts w:eastAsia="Times New Roman" w:cstheme="minorHAnsi"/>
          <w:kern w:val="0"/>
          <w:lang w:eastAsia="en-GB"/>
          <w14:ligatures w14:val="none"/>
        </w:rPr>
        <w:t xml:space="preserve"> when an individual is fulfilling their own needs to achieve their desired outcome </w:t>
      </w:r>
      <w:r w:rsidRPr="0055277E">
        <w:rPr>
          <w:rFonts w:cstheme="minorHAnsi"/>
        </w:rPr>
        <w:t xml:space="preserve">(Debeljak &amp; Krkač,2008). This ethical method can be observed during an annual performance review, whereby a </w:t>
      </w:r>
      <w:r w:rsidR="003148E2" w:rsidRPr="0055277E">
        <w:rPr>
          <w:rFonts w:cstheme="minorHAnsi"/>
        </w:rPr>
        <w:t>manager’s</w:t>
      </w:r>
      <w:r w:rsidRPr="0055277E">
        <w:rPr>
          <w:rFonts w:cstheme="minorHAnsi"/>
        </w:rPr>
        <w:t xml:space="preserve"> bias, or favouritism can come into effect rather than constructively reviewing the </w:t>
      </w:r>
      <w:r w:rsidR="00094B52" w:rsidRPr="0055277E">
        <w:rPr>
          <w:rFonts w:cstheme="minorHAnsi"/>
        </w:rPr>
        <w:t>employees’</w:t>
      </w:r>
      <w:r w:rsidRPr="0055277E">
        <w:rPr>
          <w:rFonts w:cstheme="minorHAnsi"/>
        </w:rPr>
        <w:t xml:space="preserve"> capabilities and contributions.</w:t>
      </w:r>
    </w:p>
    <w:p w14:paraId="219E362B" w14:textId="77777777" w:rsidR="00C75A02" w:rsidRPr="0055277E" w:rsidRDefault="00C75A02" w:rsidP="00C75A02">
      <w:pPr>
        <w:spacing w:after="0" w:line="240" w:lineRule="auto"/>
        <w:rPr>
          <w:rFonts w:cstheme="minorHAnsi"/>
        </w:rPr>
      </w:pPr>
    </w:p>
    <w:p w14:paraId="4D90DF1F" w14:textId="34373E38" w:rsidR="00C75A02" w:rsidRDefault="00C75A02" w:rsidP="00C75A02">
      <w:pPr>
        <w:spacing w:after="0" w:line="240" w:lineRule="auto"/>
        <w:rPr>
          <w:rFonts w:cstheme="minorHAnsi"/>
        </w:rPr>
      </w:pPr>
      <w:r w:rsidRPr="0055277E">
        <w:rPr>
          <w:rStyle w:val="Hyperlink"/>
          <w:rFonts w:cstheme="minorHAnsi"/>
          <w:color w:val="auto"/>
          <w:u w:val="none"/>
        </w:rPr>
        <w:t>Each theor</w:t>
      </w:r>
      <w:r w:rsidR="00094B52">
        <w:rPr>
          <w:rStyle w:val="Hyperlink"/>
          <w:rFonts w:cstheme="minorHAnsi"/>
          <w:color w:val="auto"/>
          <w:u w:val="none"/>
        </w:rPr>
        <w:t>y</w:t>
      </w:r>
      <w:r w:rsidRPr="0055277E">
        <w:rPr>
          <w:rStyle w:val="Hyperlink"/>
          <w:rFonts w:cstheme="minorHAnsi"/>
          <w:color w:val="auto"/>
          <w:u w:val="none"/>
        </w:rPr>
        <w:t xml:space="preserve"> can be used in a variety of situations, however, there needs to be careful consideration on what ethical perspective </w:t>
      </w:r>
      <w:r w:rsidR="00790EFD">
        <w:rPr>
          <w:rStyle w:val="Hyperlink"/>
          <w:rFonts w:cstheme="minorHAnsi"/>
          <w:color w:val="auto"/>
          <w:u w:val="none"/>
        </w:rPr>
        <w:t xml:space="preserve">to utilise </w:t>
      </w:r>
      <w:r w:rsidRPr="0055277E">
        <w:rPr>
          <w:rStyle w:val="Hyperlink"/>
          <w:rFonts w:cstheme="minorHAnsi"/>
          <w:color w:val="auto"/>
          <w:u w:val="none"/>
        </w:rPr>
        <w:t>and be mindful that the decisions that are made do</w:t>
      </w:r>
      <w:r w:rsidR="004C5735">
        <w:rPr>
          <w:rStyle w:val="Hyperlink"/>
          <w:rFonts w:cstheme="minorHAnsi"/>
          <w:color w:val="auto"/>
          <w:u w:val="none"/>
        </w:rPr>
        <w:t xml:space="preserve"> not</w:t>
      </w:r>
      <w:r w:rsidRPr="0055277E">
        <w:rPr>
          <w:rStyle w:val="Hyperlink"/>
          <w:rFonts w:cstheme="minorHAnsi"/>
          <w:color w:val="auto"/>
          <w:u w:val="none"/>
        </w:rPr>
        <w:t xml:space="preserve"> happen subconsciously.</w:t>
      </w:r>
      <w:r w:rsidRPr="0055277E">
        <w:rPr>
          <w:rFonts w:cstheme="minorHAnsi"/>
        </w:rPr>
        <w:t xml:space="preserve"> </w:t>
      </w:r>
      <w:r w:rsidRPr="0055277E">
        <w:rPr>
          <w:rFonts w:eastAsia="Times New Roman" w:cstheme="minorHAnsi"/>
          <w:kern w:val="0"/>
          <w:lang w:eastAsia="en-GB"/>
          <w14:ligatures w14:val="none"/>
        </w:rPr>
        <w:t>Gaining an understanding of a variety of ethical perspectives can allow employees within an organisation to gain a range of different perceptions and values while counteracting each other’s biases. In addition, to support ethical decision making, all organisations should follow their own code of ethics or implement a handbook that is accessible to all, it sets</w:t>
      </w:r>
      <w:r w:rsidR="0058683F">
        <w:rPr>
          <w:rFonts w:eastAsia="Times New Roman" w:cstheme="minorHAnsi"/>
          <w:kern w:val="0"/>
          <w:lang w:eastAsia="en-GB"/>
          <w14:ligatures w14:val="none"/>
        </w:rPr>
        <w:t xml:space="preserve"> </w:t>
      </w:r>
      <w:r w:rsidRPr="0055277E">
        <w:rPr>
          <w:rFonts w:eastAsia="Times New Roman" w:cstheme="minorHAnsi"/>
          <w:kern w:val="0"/>
          <w:lang w:eastAsia="en-GB"/>
          <w14:ligatures w14:val="none"/>
        </w:rPr>
        <w:t>clear expectation</w:t>
      </w:r>
      <w:r w:rsidR="0058683F">
        <w:rPr>
          <w:rFonts w:eastAsia="Times New Roman" w:cstheme="minorHAnsi"/>
          <w:kern w:val="0"/>
          <w:lang w:eastAsia="en-GB"/>
          <w14:ligatures w14:val="none"/>
        </w:rPr>
        <w:t>s</w:t>
      </w:r>
      <w:r w:rsidRPr="0055277E">
        <w:rPr>
          <w:rFonts w:eastAsia="Times New Roman" w:cstheme="minorHAnsi"/>
          <w:kern w:val="0"/>
          <w:lang w:eastAsia="en-GB"/>
          <w14:ligatures w14:val="none"/>
        </w:rPr>
        <w:t xml:space="preserve"> of what is expected. Within the people </w:t>
      </w:r>
      <w:r w:rsidR="0058683F">
        <w:rPr>
          <w:rFonts w:eastAsia="Times New Roman" w:cstheme="minorHAnsi"/>
          <w:kern w:val="0"/>
          <w:lang w:eastAsia="en-GB"/>
          <w14:ligatures w14:val="none"/>
        </w:rPr>
        <w:t>practices</w:t>
      </w:r>
      <w:r w:rsidRPr="0055277E">
        <w:rPr>
          <w:rFonts w:eastAsia="Times New Roman" w:cstheme="minorHAnsi"/>
          <w:kern w:val="0"/>
          <w:lang w:eastAsia="en-GB"/>
          <w14:ligatures w14:val="none"/>
        </w:rPr>
        <w:t xml:space="preserve">, a code of ethics ensures that a fair and unbiased procedures are implemented to all employees, it ensures that issues are handled appropriately by both HR professionals and managers </w:t>
      </w:r>
      <w:r w:rsidRPr="0055277E">
        <w:rPr>
          <w:rFonts w:cstheme="minorHAnsi"/>
        </w:rPr>
        <w:t>(Olanipekun &amp; Jayeoba,2022).</w:t>
      </w:r>
    </w:p>
    <w:p w14:paraId="1A31E0E2" w14:textId="77777777" w:rsidR="00533A8E" w:rsidRDefault="00533A8E" w:rsidP="00C75A02">
      <w:pPr>
        <w:spacing w:after="0" w:line="240" w:lineRule="auto"/>
        <w:rPr>
          <w:rFonts w:cstheme="minorHAnsi"/>
        </w:rPr>
      </w:pPr>
    </w:p>
    <w:p w14:paraId="213A0478" w14:textId="4E151270" w:rsidR="0059330A" w:rsidRDefault="000C2FFF" w:rsidP="006A52F5">
      <w:pPr>
        <w:spacing w:after="0" w:line="240" w:lineRule="auto"/>
        <w:rPr>
          <w:rFonts w:cstheme="minorHAnsi"/>
        </w:rPr>
      </w:pPr>
      <w:r>
        <w:rPr>
          <w:rFonts w:cstheme="minorHAnsi"/>
        </w:rPr>
        <w:lastRenderedPageBreak/>
        <w:t xml:space="preserve">The CIPD also supports ethical decision-making, they have identified 8 </w:t>
      </w:r>
      <w:r w:rsidR="00FC3F1F">
        <w:rPr>
          <w:rFonts w:cstheme="minorHAnsi"/>
        </w:rPr>
        <w:t>lenses which describe perspectives and viewpoints</w:t>
      </w:r>
      <w:r w:rsidR="00E6674C">
        <w:rPr>
          <w:rFonts w:cstheme="minorHAnsi"/>
        </w:rPr>
        <w:t xml:space="preserve">, ‘none of which represent ‘right’ or ‘wrong’ </w:t>
      </w:r>
      <w:r w:rsidR="002A0902">
        <w:rPr>
          <w:rFonts w:cstheme="minorHAnsi"/>
        </w:rPr>
        <w:t>ways of decision making within the workplace’</w:t>
      </w:r>
      <w:r w:rsidR="00E0673A">
        <w:rPr>
          <w:rFonts w:cstheme="minorHAnsi"/>
        </w:rPr>
        <w:t xml:space="preserve"> </w:t>
      </w:r>
      <w:r w:rsidR="003B4656">
        <w:t xml:space="preserve">CIPD,2015). </w:t>
      </w:r>
      <w:r w:rsidR="00F0506E">
        <w:t>Each lens can propose a different viewpoint</w:t>
      </w:r>
      <w:r w:rsidR="00C13DED">
        <w:t>, when challenged with an ethical problem</w:t>
      </w:r>
      <w:r w:rsidR="008602B4">
        <w:t xml:space="preserve">, organisations can utilise each lens </w:t>
      </w:r>
      <w:r w:rsidR="00455103">
        <w:t xml:space="preserve">to gain a broader understanding </w:t>
      </w:r>
      <w:r w:rsidR="00BE717C">
        <w:t xml:space="preserve">to result in </w:t>
      </w:r>
      <w:r w:rsidR="00813CB1">
        <w:t xml:space="preserve">better informed </w:t>
      </w:r>
      <w:r w:rsidR="006A52F5">
        <w:t>decisions.</w:t>
      </w:r>
    </w:p>
    <w:p w14:paraId="65889C32" w14:textId="377424DD" w:rsidR="00C5141D" w:rsidRPr="006A52F5" w:rsidRDefault="00C5141D" w:rsidP="006A52F5">
      <w:pPr>
        <w:spacing w:after="0" w:line="240" w:lineRule="auto"/>
        <w:rPr>
          <w:rFonts w:cstheme="minorHAnsi"/>
          <w:color w:val="FF0000"/>
        </w:rPr>
      </w:pPr>
    </w:p>
    <w:p w14:paraId="30D912FA" w14:textId="13C6D639" w:rsidR="005437DB" w:rsidRPr="0055277E" w:rsidRDefault="00C5141D">
      <w:pPr>
        <w:rPr>
          <w:rFonts w:cstheme="minorHAnsi"/>
          <w:b/>
          <w:bCs/>
          <w:lang w:val="it-IT"/>
        </w:rPr>
      </w:pPr>
      <w:r w:rsidRPr="0055277E">
        <w:rPr>
          <w:rFonts w:cstheme="minorHAnsi"/>
          <w:b/>
          <w:bCs/>
          <w:lang w:val="it-IT"/>
        </w:rPr>
        <w:t>Financial</w:t>
      </w:r>
      <w:r w:rsidR="00AC44C5" w:rsidRPr="0055277E">
        <w:rPr>
          <w:rFonts w:cstheme="minorHAnsi"/>
          <w:b/>
          <w:bCs/>
          <w:lang w:val="it-IT"/>
        </w:rPr>
        <w:t xml:space="preserve"> &amp; N</w:t>
      </w:r>
      <w:r w:rsidRPr="0055277E">
        <w:rPr>
          <w:rFonts w:cstheme="minorHAnsi"/>
          <w:b/>
          <w:bCs/>
          <w:lang w:val="it-IT"/>
        </w:rPr>
        <w:t>on</w:t>
      </w:r>
      <w:r w:rsidR="00AC44C5" w:rsidRPr="0055277E">
        <w:rPr>
          <w:rFonts w:cstheme="minorHAnsi"/>
          <w:b/>
          <w:bCs/>
          <w:lang w:val="it-IT"/>
        </w:rPr>
        <w:t>-</w:t>
      </w:r>
      <w:r w:rsidRPr="0055277E">
        <w:rPr>
          <w:rFonts w:cstheme="minorHAnsi"/>
          <w:b/>
          <w:bCs/>
        </w:rPr>
        <w:t>financial</w:t>
      </w:r>
      <w:r w:rsidRPr="0055277E">
        <w:rPr>
          <w:rFonts w:cstheme="minorHAnsi"/>
          <w:b/>
          <w:bCs/>
          <w:lang w:val="it-IT"/>
        </w:rPr>
        <w:t xml:space="preserve"> </w:t>
      </w:r>
      <w:r w:rsidR="00AC44C5" w:rsidRPr="0055277E">
        <w:rPr>
          <w:rFonts w:cstheme="minorHAnsi"/>
          <w:b/>
          <w:bCs/>
          <w:lang w:val="it-IT"/>
        </w:rPr>
        <w:t xml:space="preserve">performance </w:t>
      </w:r>
      <w:r w:rsidR="000C4A08" w:rsidRPr="0055277E">
        <w:rPr>
          <w:rFonts w:cstheme="minorHAnsi"/>
          <w:b/>
          <w:bCs/>
        </w:rPr>
        <w:t>measures (AC3.1)</w:t>
      </w:r>
    </w:p>
    <w:p w14:paraId="7C37DC58" w14:textId="523C53F7" w:rsidR="00C5141D" w:rsidRPr="0055277E" w:rsidRDefault="00C5141D" w:rsidP="00C5141D">
      <w:pPr>
        <w:rPr>
          <w:rFonts w:cstheme="minorHAnsi"/>
        </w:rPr>
      </w:pPr>
      <w:r w:rsidRPr="0055277E">
        <w:rPr>
          <w:rFonts w:cstheme="minorHAnsi"/>
        </w:rPr>
        <w:t xml:space="preserve">There are a variety of financial measures that organisations record to measure performance and profitability. </w:t>
      </w:r>
      <w:r w:rsidR="00DB2418">
        <w:rPr>
          <w:rFonts w:cstheme="minorHAnsi"/>
        </w:rPr>
        <w:t>For example,</w:t>
      </w:r>
      <w:r w:rsidRPr="0055277E">
        <w:rPr>
          <w:rFonts w:cstheme="minorHAnsi"/>
        </w:rPr>
        <w:t xml:space="preserve"> financial statement analysis, in which ‘</w:t>
      </w:r>
      <w:r w:rsidRPr="0055277E">
        <w:rPr>
          <w:rFonts w:cstheme="minorHAnsi"/>
          <w:color w:val="181818"/>
          <w:shd w:val="clear" w:color="auto" w:fill="FFFFFF"/>
        </w:rPr>
        <w:t>is the process an individual goes through to analyse a company’s various financial documents in order to make an informed decision about that business.’</w:t>
      </w:r>
      <w:r w:rsidRPr="0055277E">
        <w:rPr>
          <w:rFonts w:cstheme="minorHAnsi"/>
        </w:rPr>
        <w:t xml:space="preserve"> (Stobierski, 2019).</w:t>
      </w:r>
    </w:p>
    <w:p w14:paraId="060D0D57" w14:textId="77777777" w:rsidR="00C5141D" w:rsidRPr="0055277E" w:rsidRDefault="00C5141D" w:rsidP="00C5141D">
      <w:pPr>
        <w:rPr>
          <w:rFonts w:cstheme="minorHAnsi"/>
        </w:rPr>
      </w:pPr>
      <w:r w:rsidRPr="0055277E">
        <w:rPr>
          <w:rFonts w:cstheme="minorHAnsi"/>
        </w:rPr>
        <w:t>Another financial measurement is return on investment (ROI), this is a financial ratio that calculates gain or loss from a specific investment plan. The formula that can be used are:</w:t>
      </w:r>
    </w:p>
    <w:p w14:paraId="3DC56F57" w14:textId="77777777" w:rsidR="00C5141D" w:rsidRPr="0055277E" w:rsidRDefault="00C5141D" w:rsidP="00C5141D">
      <w:pPr>
        <w:pStyle w:val="NormalWeb"/>
        <w:numPr>
          <w:ilvl w:val="0"/>
          <w:numId w:val="2"/>
        </w:numPr>
        <w:shd w:val="clear" w:color="auto" w:fill="FFFFFF"/>
        <w:rPr>
          <w:rFonts w:asciiTheme="minorHAnsi" w:hAnsiTheme="minorHAnsi" w:cstheme="minorHAnsi"/>
          <w:b/>
          <w:bCs/>
          <w:sz w:val="22"/>
          <w:szCs w:val="22"/>
        </w:rPr>
      </w:pPr>
      <w:r w:rsidRPr="0055277E">
        <w:rPr>
          <w:rStyle w:val="Strong"/>
          <w:rFonts w:asciiTheme="minorHAnsi" w:eastAsia="Arial" w:hAnsiTheme="minorHAnsi" w:cstheme="minorHAnsi"/>
          <w:b w:val="0"/>
          <w:bCs w:val="0"/>
          <w:sz w:val="22"/>
          <w:szCs w:val="22"/>
        </w:rPr>
        <w:t>ROI = Net Income / Cost of Investment</w:t>
      </w:r>
    </w:p>
    <w:p w14:paraId="5A4D20F0" w14:textId="77777777" w:rsidR="00C5141D" w:rsidRPr="0055277E" w:rsidRDefault="00C5141D" w:rsidP="00C5141D">
      <w:pPr>
        <w:pStyle w:val="NormalWeb"/>
        <w:numPr>
          <w:ilvl w:val="0"/>
          <w:numId w:val="2"/>
        </w:numPr>
        <w:shd w:val="clear" w:color="auto" w:fill="FFFFFF"/>
        <w:rPr>
          <w:rFonts w:asciiTheme="minorHAnsi" w:hAnsiTheme="minorHAnsi" w:cstheme="minorHAnsi"/>
          <w:b/>
          <w:bCs/>
          <w:sz w:val="22"/>
          <w:szCs w:val="22"/>
        </w:rPr>
      </w:pPr>
      <w:r w:rsidRPr="0055277E">
        <w:rPr>
          <w:rStyle w:val="Strong"/>
          <w:rFonts w:asciiTheme="minorHAnsi" w:eastAsia="Arial" w:hAnsiTheme="minorHAnsi" w:cstheme="minorHAnsi"/>
          <w:b w:val="0"/>
          <w:bCs w:val="0"/>
          <w:sz w:val="22"/>
          <w:szCs w:val="22"/>
        </w:rPr>
        <w:t>ROI = Investment Gain / Investment Base</w:t>
      </w:r>
    </w:p>
    <w:p w14:paraId="75C3BFC2" w14:textId="7F66133A" w:rsidR="00C5141D" w:rsidRPr="0055277E" w:rsidRDefault="00C5141D" w:rsidP="00EE38EC">
      <w:pPr>
        <w:rPr>
          <w:rFonts w:cstheme="minorHAnsi"/>
        </w:rPr>
      </w:pPr>
      <w:r w:rsidRPr="0055277E">
        <w:rPr>
          <w:rFonts w:cstheme="minorHAnsi"/>
        </w:rPr>
        <w:t>This formular is universally understood, an easy measure of profitability</w:t>
      </w:r>
      <w:r w:rsidR="0078475F">
        <w:rPr>
          <w:rFonts w:cstheme="minorHAnsi"/>
        </w:rPr>
        <w:t xml:space="preserve">, </w:t>
      </w:r>
      <w:r w:rsidRPr="0055277E">
        <w:rPr>
          <w:rFonts w:cstheme="minorHAnsi"/>
        </w:rPr>
        <w:t>used as a comparison tool (Bharti AXA, no date).</w:t>
      </w:r>
      <w:r w:rsidR="00EE38EC">
        <w:rPr>
          <w:rFonts w:cstheme="minorHAnsi"/>
        </w:rPr>
        <w:t xml:space="preserve"> </w:t>
      </w:r>
      <w:r w:rsidRPr="0055277E">
        <w:rPr>
          <w:rFonts w:cstheme="minorHAnsi"/>
        </w:rPr>
        <w:t>Despite this, limitations</w:t>
      </w:r>
      <w:r w:rsidR="00D87CCE">
        <w:rPr>
          <w:rFonts w:cstheme="minorHAnsi"/>
        </w:rPr>
        <w:t xml:space="preserve"> can occur</w:t>
      </w:r>
      <w:r w:rsidRPr="0055277E">
        <w:rPr>
          <w:rFonts w:cstheme="minorHAnsi"/>
        </w:rPr>
        <w:t xml:space="preserve">, organisations need to be mindful that this formular disregards the factor of time and is susceptible to manipulation. An </w:t>
      </w:r>
      <w:r w:rsidRPr="0055277E">
        <w:rPr>
          <w:rFonts w:cstheme="minorHAnsi"/>
          <w:shd w:val="clear" w:color="auto" w:fill="FFFFFF"/>
        </w:rPr>
        <w:t xml:space="preserve">investor needs to compare two investments under an identical </w:t>
      </w:r>
      <w:proofErr w:type="gramStart"/>
      <w:r w:rsidRPr="0055277E">
        <w:rPr>
          <w:rFonts w:cstheme="minorHAnsi"/>
          <w:shd w:val="clear" w:color="auto" w:fill="FFFFFF"/>
        </w:rPr>
        <w:t>time period</w:t>
      </w:r>
      <w:proofErr w:type="gramEnd"/>
      <w:r w:rsidRPr="0055277E">
        <w:rPr>
          <w:rFonts w:cstheme="minorHAnsi"/>
          <w:shd w:val="clear" w:color="auto" w:fill="FFFFFF"/>
        </w:rPr>
        <w:t xml:space="preserve"> and same circumstances while accounting for all possible costs incurred when each investment increases in value </w:t>
      </w:r>
      <w:r w:rsidRPr="0055277E">
        <w:rPr>
          <w:rFonts w:cstheme="minorHAnsi"/>
        </w:rPr>
        <w:t>(</w:t>
      </w:r>
      <w:proofErr w:type="spellStart"/>
      <w:r w:rsidRPr="0055277E">
        <w:rPr>
          <w:rFonts w:cstheme="minorHAnsi"/>
        </w:rPr>
        <w:t>Vipon</w:t>
      </w:r>
      <w:proofErr w:type="spellEnd"/>
      <w:r w:rsidRPr="0055277E">
        <w:rPr>
          <w:rFonts w:cstheme="minorHAnsi"/>
        </w:rPr>
        <w:t xml:space="preserve">, no date). </w:t>
      </w:r>
    </w:p>
    <w:p w14:paraId="73ACF257" w14:textId="4B6F2D11" w:rsidR="00C5141D" w:rsidRPr="0055277E" w:rsidRDefault="00E25AC6" w:rsidP="00834F0F">
      <w:pPr>
        <w:rPr>
          <w:rFonts w:cstheme="minorHAnsi"/>
        </w:rPr>
      </w:pPr>
      <w:r w:rsidRPr="0055277E">
        <w:rPr>
          <w:rFonts w:cstheme="minorHAnsi"/>
        </w:rPr>
        <w:t>O</w:t>
      </w:r>
      <w:r w:rsidR="00C5141D" w:rsidRPr="0055277E">
        <w:rPr>
          <w:rFonts w:cstheme="minorHAnsi"/>
        </w:rPr>
        <w:t>rganisations</w:t>
      </w:r>
      <w:r>
        <w:rPr>
          <w:rFonts w:cstheme="minorHAnsi"/>
        </w:rPr>
        <w:t xml:space="preserve"> need</w:t>
      </w:r>
      <w:r w:rsidR="00C5141D" w:rsidRPr="0055277E">
        <w:rPr>
          <w:rFonts w:cstheme="minorHAnsi"/>
        </w:rPr>
        <w:t xml:space="preserve"> to recognise the importance of non-financial indicators can affect profitability and reputatio</w:t>
      </w:r>
      <w:r w:rsidR="0085240F">
        <w:rPr>
          <w:rFonts w:cstheme="minorHAnsi"/>
        </w:rPr>
        <w:t>n</w:t>
      </w:r>
      <w:r w:rsidR="00C5141D" w:rsidRPr="0055277E">
        <w:rPr>
          <w:rFonts w:cstheme="minorHAnsi"/>
        </w:rPr>
        <w:t>.</w:t>
      </w:r>
      <w:r w:rsidR="00834F0F">
        <w:rPr>
          <w:rFonts w:cstheme="minorHAnsi"/>
        </w:rPr>
        <w:t xml:space="preserve"> </w:t>
      </w:r>
      <w:r w:rsidR="00D17E4E">
        <w:rPr>
          <w:rFonts w:cstheme="minorHAnsi"/>
        </w:rPr>
        <w:t>At</w:t>
      </w:r>
      <w:r w:rsidR="009025B8">
        <w:rPr>
          <w:rFonts w:cstheme="minorHAnsi"/>
        </w:rPr>
        <w:t xml:space="preserve"> TCW</w:t>
      </w:r>
      <w:r w:rsidR="00C5141D" w:rsidRPr="0055277E">
        <w:rPr>
          <w:rFonts w:cstheme="minorHAnsi"/>
        </w:rPr>
        <w:t>,</w:t>
      </w:r>
      <w:r w:rsidR="00834F0F">
        <w:rPr>
          <w:rFonts w:cstheme="minorHAnsi"/>
        </w:rPr>
        <w:t xml:space="preserve"> c</w:t>
      </w:r>
      <w:r w:rsidR="00FB4040">
        <w:rPr>
          <w:rFonts w:cstheme="minorHAnsi"/>
        </w:rPr>
        <w:t xml:space="preserve">ustomers are </w:t>
      </w:r>
      <w:r w:rsidR="00C5141D" w:rsidRPr="0055277E">
        <w:rPr>
          <w:rFonts w:cstheme="minorHAnsi"/>
        </w:rPr>
        <w:t>encourage</w:t>
      </w:r>
      <w:r w:rsidR="00FB4040">
        <w:rPr>
          <w:rFonts w:cstheme="minorHAnsi"/>
        </w:rPr>
        <w:t xml:space="preserve">d </w:t>
      </w:r>
      <w:r w:rsidR="00C5141D" w:rsidRPr="0055277E">
        <w:rPr>
          <w:rFonts w:cstheme="minorHAnsi"/>
        </w:rPr>
        <w:t xml:space="preserve">to provide feedback surrounding the process via </w:t>
      </w:r>
      <w:r w:rsidR="00834F0F" w:rsidRPr="0055277E">
        <w:rPr>
          <w:rFonts w:cstheme="minorHAnsi"/>
        </w:rPr>
        <w:t>Trustpilot</w:t>
      </w:r>
      <w:r w:rsidR="00C5141D" w:rsidRPr="0055277E">
        <w:rPr>
          <w:rFonts w:cstheme="minorHAnsi"/>
        </w:rPr>
        <w:t xml:space="preserve">. </w:t>
      </w:r>
      <w:r w:rsidR="00B87C29">
        <w:rPr>
          <w:rFonts w:cstheme="minorHAnsi"/>
        </w:rPr>
        <w:t>A</w:t>
      </w:r>
      <w:r w:rsidR="00C5141D" w:rsidRPr="0055277E">
        <w:rPr>
          <w:rFonts w:cstheme="minorHAnsi"/>
        </w:rPr>
        <w:t>llowing customers to submit feedback on a public platform demonstrates that the organisation is acting with integrity and contributing to a positive brand image.</w:t>
      </w:r>
      <w:r w:rsidR="00424E25">
        <w:rPr>
          <w:rFonts w:cstheme="minorHAnsi"/>
        </w:rPr>
        <w:t xml:space="preserve"> Additionally, TCW can identify strategies for continuous</w:t>
      </w:r>
      <w:r w:rsidR="00C5141D" w:rsidRPr="0055277E">
        <w:rPr>
          <w:rFonts w:cstheme="minorHAnsi"/>
        </w:rPr>
        <w:t xml:space="preserve"> improvement within each department and service we provide. By evaluating the data and identifying key trends</w:t>
      </w:r>
      <w:r w:rsidR="0085240F">
        <w:rPr>
          <w:rFonts w:cstheme="minorHAnsi"/>
        </w:rPr>
        <w:t xml:space="preserve">. </w:t>
      </w:r>
      <w:r w:rsidR="002047DF">
        <w:rPr>
          <w:rFonts w:cstheme="minorHAnsi"/>
        </w:rPr>
        <w:t>TCW</w:t>
      </w:r>
      <w:r w:rsidR="00C5141D" w:rsidRPr="0055277E">
        <w:rPr>
          <w:rFonts w:cstheme="minorHAnsi"/>
        </w:rPr>
        <w:t xml:space="preserve"> can use this information to enhance a service </w:t>
      </w:r>
      <w:r w:rsidR="00F678C6">
        <w:rPr>
          <w:rFonts w:cstheme="minorHAnsi"/>
        </w:rPr>
        <w:t>which</w:t>
      </w:r>
      <w:r w:rsidR="00C5141D" w:rsidRPr="0055277E">
        <w:rPr>
          <w:rFonts w:cstheme="minorHAnsi"/>
        </w:rPr>
        <w:t xml:space="preserve"> potentially lead</w:t>
      </w:r>
      <w:r w:rsidR="00A35F19">
        <w:rPr>
          <w:rFonts w:cstheme="minorHAnsi"/>
        </w:rPr>
        <w:t>s</w:t>
      </w:r>
      <w:r w:rsidR="00C5141D" w:rsidRPr="0055277E">
        <w:rPr>
          <w:rFonts w:cstheme="minorHAnsi"/>
        </w:rPr>
        <w:t xml:space="preserve"> to increased profitability and customer satisfaction</w:t>
      </w:r>
      <w:r w:rsidR="00A35F19">
        <w:rPr>
          <w:rFonts w:cstheme="minorHAnsi"/>
        </w:rPr>
        <w:t xml:space="preserve">. </w:t>
      </w:r>
      <w:r w:rsidR="00C5141D" w:rsidRPr="0055277E">
        <w:rPr>
          <w:rFonts w:cstheme="minorHAnsi"/>
        </w:rPr>
        <w:t xml:space="preserve">In addition, high customer satisfaction also contributes to employee motivation and boosts </w:t>
      </w:r>
      <w:proofErr w:type="gramStart"/>
      <w:r w:rsidR="00C5141D" w:rsidRPr="0055277E">
        <w:rPr>
          <w:rFonts w:cstheme="minorHAnsi"/>
        </w:rPr>
        <w:t>moral</w:t>
      </w:r>
      <w:r w:rsidR="00A90E35">
        <w:t>(</w:t>
      </w:r>
      <w:proofErr w:type="gramEnd"/>
      <w:r w:rsidR="00A90E35">
        <w:t>Peek,2023).</w:t>
      </w:r>
    </w:p>
    <w:p w14:paraId="377FF40B" w14:textId="47E47D48" w:rsidR="006E2B36" w:rsidRPr="0055277E" w:rsidRDefault="002F7AFD" w:rsidP="00BA0D4D">
      <w:pPr>
        <w:rPr>
          <w:rFonts w:cstheme="minorHAnsi"/>
        </w:rPr>
      </w:pPr>
      <w:r>
        <w:rPr>
          <w:rFonts w:cstheme="minorHAnsi"/>
        </w:rPr>
        <w:t>W</w:t>
      </w:r>
      <w:r w:rsidR="000B6485">
        <w:rPr>
          <w:rFonts w:cstheme="minorHAnsi"/>
        </w:rPr>
        <w:t xml:space="preserve">e </w:t>
      </w:r>
      <w:r w:rsidR="00C5141D" w:rsidRPr="0055277E">
        <w:rPr>
          <w:rFonts w:cstheme="minorHAnsi"/>
        </w:rPr>
        <w:t xml:space="preserve">cannot always guarantee the sample size or the validity of the responses. </w:t>
      </w:r>
      <w:r w:rsidR="00572D75">
        <w:rPr>
          <w:rFonts w:cstheme="minorHAnsi"/>
        </w:rPr>
        <w:t xml:space="preserve">On occasion, </w:t>
      </w:r>
      <w:r w:rsidR="00C5141D" w:rsidRPr="0055277E">
        <w:rPr>
          <w:rFonts w:cstheme="minorHAnsi"/>
        </w:rPr>
        <w:t>it can be difficult to identify positive responses as individuals are more likely to leave a review when they have had a negative experience. Regardless of the negative feedback the organisation can utilise this to their advantage and address existing concerns and issues that are apparent</w:t>
      </w:r>
      <w:r w:rsidR="00F51E6B">
        <w:rPr>
          <w:rFonts w:cstheme="minorHAnsi"/>
        </w:rPr>
        <w:t xml:space="preserve"> </w:t>
      </w:r>
      <w:r w:rsidR="00F51E6B">
        <w:t>(Andrade,2020).</w:t>
      </w:r>
    </w:p>
    <w:p w14:paraId="28CF497E" w14:textId="092DBA97" w:rsidR="006E2B36" w:rsidRDefault="006D2D14" w:rsidP="00C5141D">
      <w:pPr>
        <w:rPr>
          <w:rFonts w:cstheme="minorHAnsi"/>
          <w:b/>
          <w:bCs/>
        </w:rPr>
      </w:pPr>
      <w:r w:rsidRPr="0055277E">
        <w:rPr>
          <w:rFonts w:cstheme="minorHAnsi"/>
          <w:b/>
          <w:bCs/>
        </w:rPr>
        <w:t>Adding Value</w:t>
      </w:r>
      <w:r w:rsidR="00A87D7F">
        <w:rPr>
          <w:rFonts w:cstheme="minorHAnsi"/>
          <w:b/>
          <w:bCs/>
        </w:rPr>
        <w:t xml:space="preserve"> (3.2)</w:t>
      </w:r>
    </w:p>
    <w:p w14:paraId="0A12FE7E" w14:textId="45915393" w:rsidR="00630751" w:rsidRPr="0055277E" w:rsidRDefault="00A076DC" w:rsidP="001B71CF">
      <w:pPr>
        <w:rPr>
          <w:rFonts w:cstheme="minorHAnsi"/>
        </w:rPr>
      </w:pPr>
      <w:r w:rsidRPr="001B71CF">
        <w:t xml:space="preserve">Value </w:t>
      </w:r>
      <w:r w:rsidR="001B71CF" w:rsidRPr="001B71CF">
        <w:t>appears</w:t>
      </w:r>
      <w:r w:rsidRPr="001B71CF">
        <w:t xml:space="preserve"> across a broad spectrum </w:t>
      </w:r>
      <w:r w:rsidR="00C0738E" w:rsidRPr="001B71CF">
        <w:t>and</w:t>
      </w:r>
      <w:r w:rsidR="00C0738E" w:rsidRPr="0055277E">
        <w:rPr>
          <w:rFonts w:cstheme="minorHAnsi"/>
        </w:rPr>
        <w:t xml:space="preserve"> it</w:t>
      </w:r>
      <w:r w:rsidR="001B71CF">
        <w:rPr>
          <w:rFonts w:cstheme="minorHAnsi"/>
        </w:rPr>
        <w:t>’</w:t>
      </w:r>
      <w:r w:rsidR="00C0738E" w:rsidRPr="0055277E">
        <w:rPr>
          <w:rFonts w:cstheme="minorHAnsi"/>
        </w:rPr>
        <w:t>s easily to think of value as a sign of worth, however not all value has an economic worth (CIPD,2017). I</w:t>
      </w:r>
      <w:r w:rsidR="006D2D14" w:rsidRPr="0055277E">
        <w:rPr>
          <w:rFonts w:cstheme="minorHAnsi"/>
        </w:rPr>
        <w:t>t</w:t>
      </w:r>
      <w:r w:rsidR="00775DB4">
        <w:rPr>
          <w:rFonts w:cstheme="minorHAnsi"/>
        </w:rPr>
        <w:t xml:space="preserve">’s </w:t>
      </w:r>
      <w:r w:rsidR="00607110" w:rsidRPr="0055277E">
        <w:rPr>
          <w:rFonts w:cstheme="minorHAnsi"/>
        </w:rPr>
        <w:t>evident that</w:t>
      </w:r>
      <w:r w:rsidR="00720626" w:rsidRPr="0055277E">
        <w:rPr>
          <w:rFonts w:cstheme="minorHAnsi"/>
        </w:rPr>
        <w:t xml:space="preserve"> the opportunities for HR </w:t>
      </w:r>
      <w:r w:rsidR="00731761" w:rsidRPr="0055277E">
        <w:rPr>
          <w:rFonts w:cstheme="minorHAnsi"/>
        </w:rPr>
        <w:t>have</w:t>
      </w:r>
      <w:r w:rsidR="00720626" w:rsidRPr="0055277E">
        <w:rPr>
          <w:rFonts w:cstheme="minorHAnsi"/>
        </w:rPr>
        <w:t xml:space="preserve"> increasingly </w:t>
      </w:r>
      <w:r w:rsidR="00DF5ABB" w:rsidRPr="0055277E">
        <w:rPr>
          <w:rFonts w:cstheme="minorHAnsi"/>
        </w:rPr>
        <w:t>expanded</w:t>
      </w:r>
      <w:r w:rsidR="00720626" w:rsidRPr="0055277E">
        <w:rPr>
          <w:rFonts w:cstheme="minorHAnsi"/>
        </w:rPr>
        <w:t xml:space="preserve"> in recent years </w:t>
      </w:r>
      <w:r w:rsidR="00703A40" w:rsidRPr="0055277E">
        <w:rPr>
          <w:rFonts w:cstheme="minorHAnsi"/>
        </w:rPr>
        <w:t xml:space="preserve">and has allowed people </w:t>
      </w:r>
      <w:r w:rsidR="00587676" w:rsidRPr="0055277E">
        <w:rPr>
          <w:rFonts w:cstheme="minorHAnsi"/>
        </w:rPr>
        <w:t>professionals</w:t>
      </w:r>
      <w:r w:rsidR="00703A40" w:rsidRPr="0055277E">
        <w:rPr>
          <w:rFonts w:cstheme="minorHAnsi"/>
        </w:rPr>
        <w:t xml:space="preserve"> </w:t>
      </w:r>
      <w:r w:rsidR="00587676" w:rsidRPr="0055277E">
        <w:rPr>
          <w:rFonts w:cstheme="minorHAnsi"/>
        </w:rPr>
        <w:t>to experiment with new approaches</w:t>
      </w:r>
      <w:r w:rsidR="00910924">
        <w:rPr>
          <w:rFonts w:cstheme="minorHAnsi"/>
        </w:rPr>
        <w:t>/</w:t>
      </w:r>
      <w:r w:rsidR="000A2EBC" w:rsidRPr="0055277E">
        <w:rPr>
          <w:rFonts w:cstheme="minorHAnsi"/>
        </w:rPr>
        <w:t xml:space="preserve">methods to be more strategic </w:t>
      </w:r>
      <w:r w:rsidR="00006304" w:rsidRPr="0055277E">
        <w:rPr>
          <w:rFonts w:cstheme="minorHAnsi"/>
        </w:rPr>
        <w:t xml:space="preserve">to achieve sustainable competitiveness </w:t>
      </w:r>
      <w:r w:rsidR="00731761" w:rsidRPr="0055277E">
        <w:rPr>
          <w:rFonts w:cstheme="minorHAnsi"/>
        </w:rPr>
        <w:t>(Taylor &amp; Woodhams,2022).</w:t>
      </w:r>
      <w:r w:rsidR="00ED55FB" w:rsidRPr="0055277E">
        <w:rPr>
          <w:rFonts w:cstheme="minorHAnsi"/>
        </w:rPr>
        <w:t xml:space="preserve"> </w:t>
      </w:r>
      <w:r w:rsidR="00BF367A" w:rsidRPr="0055277E">
        <w:rPr>
          <w:rFonts w:cstheme="minorHAnsi"/>
        </w:rPr>
        <w:t>People practices can be seen to add value by ‘</w:t>
      </w:r>
      <w:r w:rsidR="00630751" w:rsidRPr="0055277E">
        <w:rPr>
          <w:rFonts w:cstheme="minorHAnsi"/>
        </w:rPr>
        <w:t>delivering business objectives, providing an excellent administrative service</w:t>
      </w:r>
      <w:r w:rsidR="00C3352B">
        <w:rPr>
          <w:rFonts w:cstheme="minorHAnsi"/>
        </w:rPr>
        <w:t xml:space="preserve">’ </w:t>
      </w:r>
      <w:r w:rsidR="00830AFB" w:rsidRPr="0055277E">
        <w:rPr>
          <w:rFonts w:cstheme="minorHAnsi"/>
        </w:rPr>
        <w:t>(Taylor,2018</w:t>
      </w:r>
      <w:r w:rsidR="00BF367A" w:rsidRPr="0055277E">
        <w:rPr>
          <w:rFonts w:cstheme="minorHAnsi"/>
        </w:rPr>
        <w:t>, pg.</w:t>
      </w:r>
      <w:r w:rsidR="00ED55FB" w:rsidRPr="0055277E">
        <w:rPr>
          <w:rFonts w:cstheme="minorHAnsi"/>
        </w:rPr>
        <w:t>11</w:t>
      </w:r>
      <w:r w:rsidR="00830AFB" w:rsidRPr="0055277E">
        <w:rPr>
          <w:rFonts w:cstheme="minorHAnsi"/>
        </w:rPr>
        <w:t>)</w:t>
      </w:r>
      <w:r w:rsidR="00D515B6">
        <w:rPr>
          <w:rFonts w:cstheme="minorHAnsi"/>
        </w:rPr>
        <w:t>.</w:t>
      </w:r>
    </w:p>
    <w:p w14:paraId="65F7D2EB" w14:textId="102CD4FA" w:rsidR="005E22E8" w:rsidRDefault="00CA0BC9" w:rsidP="003C7868">
      <w:pPr>
        <w:rPr>
          <w:rFonts w:cstheme="minorHAnsi"/>
        </w:rPr>
      </w:pPr>
      <w:r w:rsidRPr="0055277E">
        <w:rPr>
          <w:rFonts w:cstheme="minorHAnsi"/>
        </w:rPr>
        <w:t xml:space="preserve">Effective </w:t>
      </w:r>
      <w:r w:rsidR="000E22D2" w:rsidRPr="0055277E">
        <w:rPr>
          <w:rFonts w:cstheme="minorHAnsi"/>
        </w:rPr>
        <w:t xml:space="preserve">procedures such has </w:t>
      </w:r>
      <w:r w:rsidR="0030264E" w:rsidRPr="0055277E">
        <w:rPr>
          <w:rFonts w:cstheme="minorHAnsi"/>
        </w:rPr>
        <w:t>enhanced</w:t>
      </w:r>
      <w:r w:rsidR="000E22D2" w:rsidRPr="0055277E">
        <w:rPr>
          <w:rFonts w:cstheme="minorHAnsi"/>
        </w:rPr>
        <w:t xml:space="preserve"> training programmes</w:t>
      </w:r>
      <w:r w:rsidR="0030264E" w:rsidRPr="0055277E">
        <w:rPr>
          <w:rFonts w:cstheme="minorHAnsi"/>
        </w:rPr>
        <w:t xml:space="preserve">, robust induction </w:t>
      </w:r>
      <w:r w:rsidR="00320EC7" w:rsidRPr="0055277E">
        <w:rPr>
          <w:rFonts w:cstheme="minorHAnsi"/>
        </w:rPr>
        <w:t xml:space="preserve">and effective performance management procedures can lead to </w:t>
      </w:r>
      <w:r w:rsidR="00E8613B" w:rsidRPr="0055277E">
        <w:rPr>
          <w:rFonts w:cstheme="minorHAnsi"/>
        </w:rPr>
        <w:t>an enhanced culture and improved performance within an organisation</w:t>
      </w:r>
      <w:r w:rsidR="002E2050" w:rsidRPr="0055277E">
        <w:rPr>
          <w:rFonts w:cstheme="minorHAnsi"/>
        </w:rPr>
        <w:t xml:space="preserve">. </w:t>
      </w:r>
      <w:r w:rsidR="003C7868">
        <w:rPr>
          <w:rFonts w:cstheme="minorHAnsi"/>
        </w:rPr>
        <w:t>C</w:t>
      </w:r>
      <w:r w:rsidR="004C2AA9" w:rsidRPr="0055277E">
        <w:rPr>
          <w:rFonts w:cstheme="minorHAnsi"/>
        </w:rPr>
        <w:t xml:space="preserve">onducting </w:t>
      </w:r>
      <w:r w:rsidR="00CB2A6D" w:rsidRPr="0055277E">
        <w:rPr>
          <w:rFonts w:cstheme="minorHAnsi"/>
        </w:rPr>
        <w:t xml:space="preserve">engagement </w:t>
      </w:r>
      <w:r w:rsidR="0028776B" w:rsidRPr="0055277E">
        <w:rPr>
          <w:rFonts w:cstheme="minorHAnsi"/>
        </w:rPr>
        <w:t>surveys</w:t>
      </w:r>
      <w:r w:rsidR="00CB2A6D" w:rsidRPr="0055277E">
        <w:rPr>
          <w:rFonts w:cstheme="minorHAnsi"/>
        </w:rPr>
        <w:t xml:space="preserve"> </w:t>
      </w:r>
      <w:r w:rsidR="00BC7944" w:rsidRPr="0055277E">
        <w:rPr>
          <w:rFonts w:cstheme="minorHAnsi"/>
        </w:rPr>
        <w:t xml:space="preserve">is a great tool </w:t>
      </w:r>
      <w:r w:rsidR="002A5BFE" w:rsidRPr="0055277E">
        <w:rPr>
          <w:rFonts w:cstheme="minorHAnsi"/>
        </w:rPr>
        <w:t xml:space="preserve">to gain a further insight into </w:t>
      </w:r>
      <w:r w:rsidR="002A5BFE" w:rsidRPr="0055277E">
        <w:rPr>
          <w:rFonts w:cstheme="minorHAnsi"/>
        </w:rPr>
        <w:lastRenderedPageBreak/>
        <w:t xml:space="preserve">how </w:t>
      </w:r>
      <w:r w:rsidR="00EC50B7" w:rsidRPr="0055277E">
        <w:rPr>
          <w:rFonts w:cstheme="minorHAnsi"/>
        </w:rPr>
        <w:t xml:space="preserve">people </w:t>
      </w:r>
      <w:r w:rsidR="0057159D" w:rsidRPr="0055277E">
        <w:rPr>
          <w:rFonts w:cstheme="minorHAnsi"/>
        </w:rPr>
        <w:t xml:space="preserve">practices are influencing the employee journey. </w:t>
      </w:r>
      <w:r w:rsidR="003C7868" w:rsidRPr="0055277E">
        <w:rPr>
          <w:rFonts w:cstheme="minorHAnsi"/>
        </w:rPr>
        <w:t>S</w:t>
      </w:r>
      <w:r w:rsidR="00845547" w:rsidRPr="0055277E">
        <w:rPr>
          <w:rFonts w:cstheme="minorHAnsi"/>
        </w:rPr>
        <w:t>urvey</w:t>
      </w:r>
      <w:r w:rsidR="003C7868">
        <w:rPr>
          <w:rFonts w:cstheme="minorHAnsi"/>
        </w:rPr>
        <w:t>’s</w:t>
      </w:r>
      <w:r w:rsidR="00845547" w:rsidRPr="0055277E">
        <w:rPr>
          <w:rFonts w:cstheme="minorHAnsi"/>
        </w:rPr>
        <w:t xml:space="preserve"> allows employees to feel like they have a chance to be heard, </w:t>
      </w:r>
      <w:r w:rsidR="008D0308">
        <w:rPr>
          <w:rFonts w:cstheme="minorHAnsi"/>
        </w:rPr>
        <w:t>avoiding</w:t>
      </w:r>
      <w:r w:rsidR="00845547" w:rsidRPr="0055277E">
        <w:rPr>
          <w:rFonts w:cstheme="minorHAnsi"/>
        </w:rPr>
        <w:t xml:space="preserve"> </w:t>
      </w:r>
      <w:r w:rsidR="007D09FB" w:rsidRPr="0055277E">
        <w:rPr>
          <w:rFonts w:cstheme="minorHAnsi"/>
        </w:rPr>
        <w:t>regular reviews send a message to the workforce</w:t>
      </w:r>
      <w:r w:rsidR="00393296" w:rsidRPr="0055277E">
        <w:rPr>
          <w:rFonts w:cstheme="minorHAnsi"/>
        </w:rPr>
        <w:t xml:space="preserve">, as in the organisation doesn’t value </w:t>
      </w:r>
      <w:r w:rsidR="001F3BD7" w:rsidRPr="0055277E">
        <w:rPr>
          <w:rFonts w:cstheme="minorHAnsi"/>
        </w:rPr>
        <w:t xml:space="preserve">their opinions </w:t>
      </w:r>
      <w:r w:rsidR="000132F7" w:rsidRPr="0055277E">
        <w:rPr>
          <w:rFonts w:cstheme="minorHAnsi"/>
        </w:rPr>
        <w:t xml:space="preserve">(Judd et al.,2018). </w:t>
      </w:r>
      <w:r w:rsidR="000606E8" w:rsidRPr="0055277E">
        <w:rPr>
          <w:rFonts w:cstheme="minorHAnsi"/>
        </w:rPr>
        <w:t xml:space="preserve">By gaining this </w:t>
      </w:r>
      <w:r w:rsidR="0038665C" w:rsidRPr="0055277E">
        <w:rPr>
          <w:rFonts w:cstheme="minorHAnsi"/>
        </w:rPr>
        <w:t xml:space="preserve">data from the workforce </w:t>
      </w:r>
      <w:r w:rsidR="00115475" w:rsidRPr="0055277E">
        <w:rPr>
          <w:rFonts w:cstheme="minorHAnsi"/>
        </w:rPr>
        <w:t xml:space="preserve">can allow both stakeholders and people practices </w:t>
      </w:r>
      <w:r w:rsidR="006874C9" w:rsidRPr="0055277E">
        <w:rPr>
          <w:rFonts w:cstheme="minorHAnsi"/>
        </w:rPr>
        <w:t>identifying</w:t>
      </w:r>
      <w:r w:rsidR="0011135D" w:rsidRPr="0055277E">
        <w:rPr>
          <w:rFonts w:cstheme="minorHAnsi"/>
        </w:rPr>
        <w:t xml:space="preserve"> trends and</w:t>
      </w:r>
      <w:r w:rsidR="00115475" w:rsidRPr="0055277E">
        <w:rPr>
          <w:rFonts w:cstheme="minorHAnsi"/>
        </w:rPr>
        <w:t xml:space="preserve"> potential </w:t>
      </w:r>
      <w:r w:rsidR="0011135D" w:rsidRPr="0055277E">
        <w:rPr>
          <w:rFonts w:cstheme="minorHAnsi"/>
        </w:rPr>
        <w:t xml:space="preserve">opportunities for improvement whilst being transparent </w:t>
      </w:r>
      <w:r w:rsidR="00CA6B31" w:rsidRPr="0055277E">
        <w:rPr>
          <w:rFonts w:cstheme="minorHAnsi"/>
        </w:rPr>
        <w:t>to build trust and employee empathy</w:t>
      </w:r>
      <w:r w:rsidR="00E42637" w:rsidRPr="0055277E">
        <w:rPr>
          <w:rFonts w:cstheme="minorHAnsi"/>
        </w:rPr>
        <w:t xml:space="preserve"> (Craig,2018).</w:t>
      </w:r>
    </w:p>
    <w:p w14:paraId="2B965260" w14:textId="23A703B5" w:rsidR="00DA54BA" w:rsidRPr="00326225" w:rsidRDefault="007F14FA" w:rsidP="00326225">
      <w:r>
        <w:rPr>
          <w:rFonts w:cstheme="minorHAnsi"/>
        </w:rPr>
        <w:t>Peopl</w:t>
      </w:r>
      <w:r w:rsidR="002F0A1B">
        <w:rPr>
          <w:rFonts w:cstheme="minorHAnsi"/>
        </w:rPr>
        <w:t xml:space="preserve">e practices add value </w:t>
      </w:r>
      <w:r w:rsidR="005C24DB">
        <w:rPr>
          <w:rFonts w:cstheme="minorHAnsi"/>
        </w:rPr>
        <w:t xml:space="preserve">by </w:t>
      </w:r>
      <w:r w:rsidR="000B4B7B">
        <w:rPr>
          <w:rFonts w:cstheme="minorHAnsi"/>
        </w:rPr>
        <w:t>monitoring</w:t>
      </w:r>
      <w:r w:rsidR="005C24DB">
        <w:rPr>
          <w:rFonts w:cstheme="minorHAnsi"/>
        </w:rPr>
        <w:t xml:space="preserve"> and advising </w:t>
      </w:r>
      <w:r w:rsidR="00010D91">
        <w:rPr>
          <w:rFonts w:cstheme="minorHAnsi"/>
        </w:rPr>
        <w:t>stakeholders on absence management</w:t>
      </w:r>
      <w:r w:rsidR="00803BBD">
        <w:rPr>
          <w:rFonts w:cstheme="minorHAnsi"/>
        </w:rPr>
        <w:t xml:space="preserve">, it can identify trends and </w:t>
      </w:r>
      <w:r w:rsidR="007842FF">
        <w:rPr>
          <w:rFonts w:cstheme="minorHAnsi"/>
        </w:rPr>
        <w:t>exploring underlying issues that may be contributing to an increase in absences</w:t>
      </w:r>
      <w:r w:rsidR="00DA54BA">
        <w:rPr>
          <w:rFonts w:cstheme="minorHAnsi"/>
        </w:rPr>
        <w:t xml:space="preserve"> </w:t>
      </w:r>
      <w:r w:rsidR="00A57480">
        <w:t>(CIPD, 2023f)</w:t>
      </w:r>
      <w:r w:rsidR="00326225">
        <w:t xml:space="preserve">. They </w:t>
      </w:r>
      <w:r w:rsidR="0012322F">
        <w:t xml:space="preserve">can implement policies </w:t>
      </w:r>
      <w:r w:rsidR="00C57853">
        <w:t>for</w:t>
      </w:r>
      <w:r w:rsidR="0012322F">
        <w:t xml:space="preserve"> </w:t>
      </w:r>
      <w:r w:rsidR="00985710">
        <w:t>absenteeism</w:t>
      </w:r>
      <w:r w:rsidR="00C57853">
        <w:t>,</w:t>
      </w:r>
      <w:r w:rsidR="00985710">
        <w:t xml:space="preserve"> while ensuring that stakeholders are being fair and consistent to each employee.</w:t>
      </w:r>
      <w:r w:rsidR="007B55B4">
        <w:t xml:space="preserve"> The policy should consist of supporting employees needs while </w:t>
      </w:r>
      <w:r w:rsidR="00322A97">
        <w:t xml:space="preserve">stating clear and precise guidance to avoid </w:t>
      </w:r>
      <w:r w:rsidR="00D515B6">
        <w:t>any trigger points being hit or to avoid unauthorised absences</w:t>
      </w:r>
      <w:r w:rsidR="002F7AFD">
        <w:t xml:space="preserve"> </w:t>
      </w:r>
      <w:r w:rsidR="00A57480">
        <w:t>(CIPD,2023f)</w:t>
      </w:r>
      <w:r w:rsidR="00D515B6">
        <w:t>.</w:t>
      </w:r>
      <w:r w:rsidR="00634B7F">
        <w:t xml:space="preserve"> In addition</w:t>
      </w:r>
      <w:r w:rsidR="0058067C">
        <w:t>, it</w:t>
      </w:r>
      <w:r w:rsidR="00F757BB">
        <w:t>’</w:t>
      </w:r>
      <w:r w:rsidR="0058067C">
        <w:t xml:space="preserve">s essential to collaborate with stakeholders to ensure all paperwork regarding absences is documented correctly to eliminate any risks </w:t>
      </w:r>
      <w:r w:rsidR="00AD472C">
        <w:t xml:space="preserve">and ensures we have </w:t>
      </w:r>
      <w:r w:rsidR="00356691">
        <w:t>offered reasonable adjustments for example if suitable due to the nature of the absence.</w:t>
      </w:r>
    </w:p>
    <w:p w14:paraId="74492457" w14:textId="6527A780" w:rsidR="00594019" w:rsidRPr="0038384C" w:rsidRDefault="0038384C" w:rsidP="0038384C">
      <w:pPr>
        <w:rPr>
          <w:b/>
          <w:bCs/>
          <w:u w:val="single"/>
          <w:lang w:eastAsia="en-GB"/>
        </w:rPr>
      </w:pPr>
      <w:r>
        <w:rPr>
          <w:b/>
          <w:bCs/>
          <w:u w:val="single"/>
          <w:lang w:eastAsia="en-GB"/>
        </w:rPr>
        <w:t>Analysis of data and graphical representation (AC2.1, 2.2 and 2.3)</w:t>
      </w:r>
    </w:p>
    <w:p w14:paraId="70BE09FE" w14:textId="1D89F2C6" w:rsidR="001E5DA7" w:rsidRDefault="00F05819" w:rsidP="002F7AFD">
      <w:r>
        <w:t xml:space="preserve">Below in an in-depth quantitative analysis of the data provided regarding equality, diversity, and inclusion. </w:t>
      </w:r>
    </w:p>
    <w:p w14:paraId="202A5B9E" w14:textId="605324F7" w:rsidR="00F05819" w:rsidRDefault="00F05819" w:rsidP="00F05819">
      <w:r>
        <w:t>Figure 1.1</w:t>
      </w:r>
    </w:p>
    <w:tbl>
      <w:tblPr>
        <w:tblpPr w:leftFromText="180" w:rightFromText="180" w:vertAnchor="text" w:horzAnchor="page" w:tblpX="2154" w:tblpY="-26"/>
        <w:tblW w:w="2760" w:type="dxa"/>
        <w:tblLook w:val="04A0" w:firstRow="1" w:lastRow="0" w:firstColumn="1" w:lastColumn="0" w:noHBand="0" w:noVBand="1"/>
      </w:tblPr>
      <w:tblGrid>
        <w:gridCol w:w="1512"/>
        <w:gridCol w:w="1248"/>
      </w:tblGrid>
      <w:tr w:rsidR="00F05819" w:rsidRPr="00096D24" w14:paraId="251B6C60" w14:textId="77777777" w:rsidTr="000A76C5">
        <w:trPr>
          <w:trHeight w:val="171"/>
        </w:trPr>
        <w:tc>
          <w:tcPr>
            <w:tcW w:w="1512" w:type="dxa"/>
            <w:tcBorders>
              <w:top w:val="nil"/>
              <w:left w:val="nil"/>
              <w:bottom w:val="single" w:sz="4" w:space="0" w:color="8EA9DB"/>
              <w:right w:val="nil"/>
            </w:tcBorders>
            <w:shd w:val="clear" w:color="D9E1F2" w:fill="D9E1F2"/>
            <w:noWrap/>
            <w:vAlign w:val="bottom"/>
            <w:hideMark/>
          </w:tcPr>
          <w:p w14:paraId="14098EF9" w14:textId="77777777" w:rsidR="00F05819" w:rsidRPr="00096D24" w:rsidRDefault="00F05819" w:rsidP="000A76C5">
            <w:pPr>
              <w:spacing w:after="0" w:line="240" w:lineRule="auto"/>
              <w:rPr>
                <w:rFonts w:ascii="Calibri" w:eastAsia="Times New Roman" w:hAnsi="Calibri" w:cs="Calibri"/>
                <w:b/>
                <w:bCs/>
                <w:color w:val="000000"/>
                <w:kern w:val="0"/>
                <w:lang w:eastAsia="en-GB"/>
                <w14:ligatures w14:val="none"/>
              </w:rPr>
            </w:pPr>
            <w:r w:rsidRPr="00096D24">
              <w:rPr>
                <w:rFonts w:ascii="Calibri" w:eastAsia="Times New Roman" w:hAnsi="Calibri" w:cs="Calibri"/>
                <w:b/>
                <w:bCs/>
                <w:color w:val="000000"/>
                <w:kern w:val="0"/>
                <w:lang w:eastAsia="en-GB"/>
                <w14:ligatures w14:val="none"/>
              </w:rPr>
              <w:t>Row Labels</w:t>
            </w:r>
          </w:p>
        </w:tc>
        <w:tc>
          <w:tcPr>
            <w:tcW w:w="1248" w:type="dxa"/>
            <w:tcBorders>
              <w:top w:val="nil"/>
              <w:left w:val="nil"/>
              <w:bottom w:val="single" w:sz="4" w:space="0" w:color="8EA9DB"/>
              <w:right w:val="nil"/>
            </w:tcBorders>
            <w:shd w:val="clear" w:color="D9E1F2" w:fill="D9E1F2"/>
            <w:noWrap/>
            <w:vAlign w:val="bottom"/>
            <w:hideMark/>
          </w:tcPr>
          <w:p w14:paraId="4DBEA060" w14:textId="77777777" w:rsidR="00F05819" w:rsidRPr="00096D24" w:rsidRDefault="00F05819" w:rsidP="000A76C5">
            <w:pPr>
              <w:spacing w:after="0" w:line="240" w:lineRule="auto"/>
              <w:rPr>
                <w:rFonts w:ascii="Calibri" w:eastAsia="Times New Roman" w:hAnsi="Calibri" w:cs="Calibri"/>
                <w:b/>
                <w:bCs/>
                <w:color w:val="000000"/>
                <w:kern w:val="0"/>
                <w:lang w:eastAsia="en-GB"/>
                <w14:ligatures w14:val="none"/>
              </w:rPr>
            </w:pPr>
            <w:r w:rsidRPr="00096D24">
              <w:rPr>
                <w:rFonts w:ascii="Calibri" w:eastAsia="Times New Roman" w:hAnsi="Calibri" w:cs="Calibri"/>
                <w:b/>
                <w:bCs/>
                <w:color w:val="000000"/>
                <w:kern w:val="0"/>
                <w:lang w:eastAsia="en-GB"/>
                <w14:ligatures w14:val="none"/>
              </w:rPr>
              <w:t>Count of ID</w:t>
            </w:r>
          </w:p>
        </w:tc>
      </w:tr>
      <w:tr w:rsidR="00F05819" w:rsidRPr="00096D24" w14:paraId="20477D8E" w14:textId="77777777" w:rsidTr="000A76C5">
        <w:trPr>
          <w:trHeight w:val="171"/>
        </w:trPr>
        <w:tc>
          <w:tcPr>
            <w:tcW w:w="1512" w:type="dxa"/>
            <w:tcBorders>
              <w:top w:val="nil"/>
              <w:left w:val="nil"/>
              <w:bottom w:val="nil"/>
              <w:right w:val="nil"/>
            </w:tcBorders>
            <w:shd w:val="clear" w:color="auto" w:fill="auto"/>
            <w:noWrap/>
            <w:vAlign w:val="bottom"/>
            <w:hideMark/>
          </w:tcPr>
          <w:p w14:paraId="28196F20" w14:textId="77777777" w:rsidR="00F05819" w:rsidRPr="00096D24" w:rsidRDefault="00F05819" w:rsidP="000A76C5">
            <w:pPr>
              <w:spacing w:after="0" w:line="240" w:lineRule="auto"/>
              <w:rPr>
                <w:rFonts w:ascii="Calibri" w:eastAsia="Times New Roman" w:hAnsi="Calibri" w:cs="Calibri"/>
                <w:color w:val="000000"/>
                <w:kern w:val="0"/>
                <w:lang w:eastAsia="en-GB"/>
                <w14:ligatures w14:val="none"/>
              </w:rPr>
            </w:pPr>
            <w:r w:rsidRPr="00096D24">
              <w:rPr>
                <w:rFonts w:ascii="Calibri" w:eastAsia="Times New Roman" w:hAnsi="Calibri" w:cs="Calibri"/>
                <w:color w:val="000000"/>
                <w:kern w:val="0"/>
                <w:lang w:eastAsia="en-GB"/>
                <w14:ligatures w14:val="none"/>
              </w:rPr>
              <w:t>Female</w:t>
            </w:r>
          </w:p>
        </w:tc>
        <w:tc>
          <w:tcPr>
            <w:tcW w:w="1248" w:type="dxa"/>
            <w:tcBorders>
              <w:top w:val="nil"/>
              <w:left w:val="nil"/>
              <w:bottom w:val="nil"/>
              <w:right w:val="nil"/>
            </w:tcBorders>
            <w:shd w:val="clear" w:color="auto" w:fill="auto"/>
            <w:noWrap/>
            <w:vAlign w:val="bottom"/>
            <w:hideMark/>
          </w:tcPr>
          <w:p w14:paraId="72C8E6B4" w14:textId="77777777" w:rsidR="00F05819" w:rsidRPr="00096D24" w:rsidRDefault="00F05819" w:rsidP="000A76C5">
            <w:pPr>
              <w:spacing w:after="0" w:line="240" w:lineRule="auto"/>
              <w:jc w:val="right"/>
              <w:rPr>
                <w:rFonts w:ascii="Calibri" w:eastAsia="Times New Roman" w:hAnsi="Calibri" w:cs="Calibri"/>
                <w:color w:val="000000"/>
                <w:kern w:val="0"/>
                <w:lang w:eastAsia="en-GB"/>
                <w14:ligatures w14:val="none"/>
              </w:rPr>
            </w:pPr>
            <w:r w:rsidRPr="00096D24">
              <w:rPr>
                <w:rFonts w:ascii="Calibri" w:eastAsia="Times New Roman" w:hAnsi="Calibri" w:cs="Calibri"/>
                <w:color w:val="000000"/>
                <w:kern w:val="0"/>
                <w:lang w:eastAsia="en-GB"/>
                <w14:ligatures w14:val="none"/>
              </w:rPr>
              <w:t>45.38%</w:t>
            </w:r>
          </w:p>
        </w:tc>
      </w:tr>
      <w:tr w:rsidR="00F05819" w:rsidRPr="00096D24" w14:paraId="701E1049" w14:textId="77777777" w:rsidTr="000A76C5">
        <w:trPr>
          <w:trHeight w:val="171"/>
        </w:trPr>
        <w:tc>
          <w:tcPr>
            <w:tcW w:w="1512" w:type="dxa"/>
            <w:tcBorders>
              <w:top w:val="nil"/>
              <w:left w:val="nil"/>
              <w:bottom w:val="nil"/>
              <w:right w:val="nil"/>
            </w:tcBorders>
            <w:shd w:val="clear" w:color="auto" w:fill="auto"/>
            <w:noWrap/>
            <w:vAlign w:val="bottom"/>
            <w:hideMark/>
          </w:tcPr>
          <w:p w14:paraId="71A8754B" w14:textId="77777777" w:rsidR="00F05819" w:rsidRPr="00096D24" w:rsidRDefault="00F05819" w:rsidP="000A76C5">
            <w:pPr>
              <w:spacing w:after="0" w:line="240" w:lineRule="auto"/>
              <w:rPr>
                <w:rFonts w:ascii="Calibri" w:eastAsia="Times New Roman" w:hAnsi="Calibri" w:cs="Calibri"/>
                <w:color w:val="000000"/>
                <w:kern w:val="0"/>
                <w:lang w:eastAsia="en-GB"/>
                <w14:ligatures w14:val="none"/>
              </w:rPr>
            </w:pPr>
            <w:r w:rsidRPr="00096D24">
              <w:rPr>
                <w:rFonts w:ascii="Calibri" w:eastAsia="Times New Roman" w:hAnsi="Calibri" w:cs="Calibri"/>
                <w:color w:val="000000"/>
                <w:kern w:val="0"/>
                <w:lang w:eastAsia="en-GB"/>
                <w14:ligatures w14:val="none"/>
              </w:rPr>
              <w:t>Male</w:t>
            </w:r>
          </w:p>
        </w:tc>
        <w:tc>
          <w:tcPr>
            <w:tcW w:w="1248" w:type="dxa"/>
            <w:tcBorders>
              <w:top w:val="nil"/>
              <w:left w:val="nil"/>
              <w:bottom w:val="nil"/>
              <w:right w:val="nil"/>
            </w:tcBorders>
            <w:shd w:val="clear" w:color="auto" w:fill="auto"/>
            <w:noWrap/>
            <w:vAlign w:val="bottom"/>
            <w:hideMark/>
          </w:tcPr>
          <w:p w14:paraId="66A8ADBD" w14:textId="77777777" w:rsidR="00F05819" w:rsidRPr="00096D24" w:rsidRDefault="00F05819" w:rsidP="000A76C5">
            <w:pPr>
              <w:spacing w:after="0" w:line="240" w:lineRule="auto"/>
              <w:jc w:val="right"/>
              <w:rPr>
                <w:rFonts w:ascii="Calibri" w:eastAsia="Times New Roman" w:hAnsi="Calibri" w:cs="Calibri"/>
                <w:color w:val="000000"/>
                <w:kern w:val="0"/>
                <w:lang w:eastAsia="en-GB"/>
                <w14:ligatures w14:val="none"/>
              </w:rPr>
            </w:pPr>
            <w:r w:rsidRPr="00096D24">
              <w:rPr>
                <w:rFonts w:ascii="Calibri" w:eastAsia="Times New Roman" w:hAnsi="Calibri" w:cs="Calibri"/>
                <w:color w:val="000000"/>
                <w:kern w:val="0"/>
                <w:lang w:eastAsia="en-GB"/>
                <w14:ligatures w14:val="none"/>
              </w:rPr>
              <w:t>53.85%</w:t>
            </w:r>
          </w:p>
        </w:tc>
      </w:tr>
      <w:tr w:rsidR="00F05819" w:rsidRPr="00096D24" w14:paraId="5E82340A" w14:textId="77777777" w:rsidTr="000A76C5">
        <w:trPr>
          <w:trHeight w:val="171"/>
        </w:trPr>
        <w:tc>
          <w:tcPr>
            <w:tcW w:w="1512" w:type="dxa"/>
            <w:tcBorders>
              <w:top w:val="nil"/>
              <w:left w:val="nil"/>
              <w:bottom w:val="nil"/>
              <w:right w:val="nil"/>
            </w:tcBorders>
            <w:shd w:val="clear" w:color="auto" w:fill="auto"/>
            <w:noWrap/>
            <w:vAlign w:val="bottom"/>
            <w:hideMark/>
          </w:tcPr>
          <w:p w14:paraId="4C63BE8C" w14:textId="77777777" w:rsidR="00F05819" w:rsidRPr="00096D24" w:rsidRDefault="00F05819" w:rsidP="000A76C5">
            <w:pPr>
              <w:spacing w:after="0" w:line="240" w:lineRule="auto"/>
              <w:rPr>
                <w:rFonts w:ascii="Calibri" w:eastAsia="Times New Roman" w:hAnsi="Calibri" w:cs="Calibri"/>
                <w:color w:val="000000"/>
                <w:kern w:val="0"/>
                <w:lang w:eastAsia="en-GB"/>
                <w14:ligatures w14:val="none"/>
              </w:rPr>
            </w:pPr>
            <w:r w:rsidRPr="00096D24">
              <w:rPr>
                <w:rFonts w:ascii="Calibri" w:eastAsia="Times New Roman" w:hAnsi="Calibri" w:cs="Calibri"/>
                <w:color w:val="000000"/>
                <w:kern w:val="0"/>
                <w:lang w:eastAsia="en-GB"/>
                <w14:ligatures w14:val="none"/>
              </w:rPr>
              <w:t>Non-binary</w:t>
            </w:r>
          </w:p>
        </w:tc>
        <w:tc>
          <w:tcPr>
            <w:tcW w:w="1248" w:type="dxa"/>
            <w:tcBorders>
              <w:top w:val="nil"/>
              <w:left w:val="nil"/>
              <w:bottom w:val="nil"/>
              <w:right w:val="nil"/>
            </w:tcBorders>
            <w:shd w:val="clear" w:color="auto" w:fill="auto"/>
            <w:noWrap/>
            <w:vAlign w:val="bottom"/>
            <w:hideMark/>
          </w:tcPr>
          <w:p w14:paraId="2991EEC8" w14:textId="77777777" w:rsidR="00F05819" w:rsidRPr="00096D24" w:rsidRDefault="00F05819" w:rsidP="000A76C5">
            <w:pPr>
              <w:spacing w:after="0" w:line="240" w:lineRule="auto"/>
              <w:jc w:val="right"/>
              <w:rPr>
                <w:rFonts w:ascii="Calibri" w:eastAsia="Times New Roman" w:hAnsi="Calibri" w:cs="Calibri"/>
                <w:color w:val="000000"/>
                <w:kern w:val="0"/>
                <w:lang w:eastAsia="en-GB"/>
                <w14:ligatures w14:val="none"/>
              </w:rPr>
            </w:pPr>
            <w:r w:rsidRPr="00096D24">
              <w:rPr>
                <w:rFonts w:ascii="Calibri" w:eastAsia="Times New Roman" w:hAnsi="Calibri" w:cs="Calibri"/>
                <w:color w:val="000000"/>
                <w:kern w:val="0"/>
                <w:lang w:eastAsia="en-GB"/>
                <w14:ligatures w14:val="none"/>
              </w:rPr>
              <w:t>0.77%</w:t>
            </w:r>
          </w:p>
        </w:tc>
      </w:tr>
      <w:tr w:rsidR="00F05819" w:rsidRPr="00096D24" w14:paraId="27A756BA" w14:textId="77777777" w:rsidTr="000A76C5">
        <w:trPr>
          <w:trHeight w:val="171"/>
        </w:trPr>
        <w:tc>
          <w:tcPr>
            <w:tcW w:w="1512" w:type="dxa"/>
            <w:tcBorders>
              <w:top w:val="single" w:sz="4" w:space="0" w:color="8EA9DB"/>
              <w:left w:val="nil"/>
              <w:bottom w:val="nil"/>
              <w:right w:val="nil"/>
            </w:tcBorders>
            <w:shd w:val="clear" w:color="D9E1F2" w:fill="D9E1F2"/>
            <w:noWrap/>
            <w:vAlign w:val="bottom"/>
            <w:hideMark/>
          </w:tcPr>
          <w:p w14:paraId="4413451D" w14:textId="77777777" w:rsidR="00F05819" w:rsidRPr="00096D24" w:rsidRDefault="00F05819" w:rsidP="000A76C5">
            <w:pPr>
              <w:spacing w:after="0" w:line="240" w:lineRule="auto"/>
              <w:rPr>
                <w:rFonts w:ascii="Calibri" w:eastAsia="Times New Roman" w:hAnsi="Calibri" w:cs="Calibri"/>
                <w:b/>
                <w:bCs/>
                <w:color w:val="000000"/>
                <w:kern w:val="0"/>
                <w:lang w:eastAsia="en-GB"/>
                <w14:ligatures w14:val="none"/>
              </w:rPr>
            </w:pPr>
            <w:r w:rsidRPr="00096D24">
              <w:rPr>
                <w:rFonts w:ascii="Calibri" w:eastAsia="Times New Roman" w:hAnsi="Calibri" w:cs="Calibri"/>
                <w:b/>
                <w:bCs/>
                <w:color w:val="000000"/>
                <w:kern w:val="0"/>
                <w:lang w:eastAsia="en-GB"/>
                <w14:ligatures w14:val="none"/>
              </w:rPr>
              <w:t>Grand Total</w:t>
            </w:r>
          </w:p>
        </w:tc>
        <w:tc>
          <w:tcPr>
            <w:tcW w:w="1248" w:type="dxa"/>
            <w:tcBorders>
              <w:top w:val="single" w:sz="4" w:space="0" w:color="8EA9DB"/>
              <w:left w:val="nil"/>
              <w:bottom w:val="nil"/>
              <w:right w:val="nil"/>
            </w:tcBorders>
            <w:shd w:val="clear" w:color="D9E1F2" w:fill="D9E1F2"/>
            <w:noWrap/>
            <w:vAlign w:val="bottom"/>
            <w:hideMark/>
          </w:tcPr>
          <w:p w14:paraId="324F4F70" w14:textId="77777777" w:rsidR="00F05819" w:rsidRPr="00096D24" w:rsidRDefault="00F05819" w:rsidP="000A76C5">
            <w:pPr>
              <w:spacing w:after="0" w:line="240" w:lineRule="auto"/>
              <w:jc w:val="right"/>
              <w:rPr>
                <w:rFonts w:ascii="Calibri" w:eastAsia="Times New Roman" w:hAnsi="Calibri" w:cs="Calibri"/>
                <w:b/>
                <w:bCs/>
                <w:color w:val="000000"/>
                <w:kern w:val="0"/>
                <w:lang w:eastAsia="en-GB"/>
                <w14:ligatures w14:val="none"/>
              </w:rPr>
            </w:pPr>
            <w:r w:rsidRPr="00096D24">
              <w:rPr>
                <w:rFonts w:ascii="Calibri" w:eastAsia="Times New Roman" w:hAnsi="Calibri" w:cs="Calibri"/>
                <w:b/>
                <w:bCs/>
                <w:color w:val="000000"/>
                <w:kern w:val="0"/>
                <w:lang w:eastAsia="en-GB"/>
                <w14:ligatures w14:val="none"/>
              </w:rPr>
              <w:t>100.00%</w:t>
            </w:r>
          </w:p>
        </w:tc>
      </w:tr>
      <w:tr w:rsidR="00F05819" w:rsidRPr="00096D24" w14:paraId="5E4D627B" w14:textId="77777777" w:rsidTr="000A76C5">
        <w:trPr>
          <w:trHeight w:val="171"/>
        </w:trPr>
        <w:tc>
          <w:tcPr>
            <w:tcW w:w="1512" w:type="dxa"/>
            <w:tcBorders>
              <w:top w:val="nil"/>
              <w:left w:val="nil"/>
              <w:bottom w:val="nil"/>
              <w:right w:val="nil"/>
            </w:tcBorders>
            <w:shd w:val="clear" w:color="auto" w:fill="auto"/>
            <w:noWrap/>
            <w:vAlign w:val="bottom"/>
            <w:hideMark/>
          </w:tcPr>
          <w:p w14:paraId="59B6EBA5" w14:textId="77777777" w:rsidR="00F05819" w:rsidRPr="00096D24" w:rsidRDefault="00F05819" w:rsidP="000A76C5">
            <w:pPr>
              <w:spacing w:after="0" w:line="240" w:lineRule="auto"/>
              <w:jc w:val="right"/>
              <w:rPr>
                <w:rFonts w:ascii="Calibri" w:eastAsia="Times New Roman" w:hAnsi="Calibri" w:cs="Calibri"/>
                <w:b/>
                <w:bCs/>
                <w:color w:val="000000"/>
                <w:kern w:val="0"/>
                <w:lang w:eastAsia="en-GB"/>
                <w14:ligatures w14:val="none"/>
              </w:rPr>
            </w:pPr>
          </w:p>
        </w:tc>
        <w:tc>
          <w:tcPr>
            <w:tcW w:w="1248" w:type="dxa"/>
            <w:tcBorders>
              <w:top w:val="nil"/>
              <w:left w:val="nil"/>
              <w:bottom w:val="nil"/>
              <w:right w:val="nil"/>
            </w:tcBorders>
            <w:shd w:val="clear" w:color="auto" w:fill="auto"/>
            <w:noWrap/>
            <w:vAlign w:val="bottom"/>
            <w:hideMark/>
          </w:tcPr>
          <w:p w14:paraId="597AFD1F" w14:textId="77777777" w:rsidR="00F05819" w:rsidRPr="00096D24" w:rsidRDefault="00F05819" w:rsidP="000A76C5">
            <w:pPr>
              <w:spacing w:after="0" w:line="240" w:lineRule="auto"/>
              <w:rPr>
                <w:rFonts w:ascii="Times New Roman" w:eastAsia="Times New Roman" w:hAnsi="Times New Roman" w:cs="Times New Roman"/>
                <w:kern w:val="0"/>
                <w:sz w:val="20"/>
                <w:szCs w:val="20"/>
                <w:lang w:eastAsia="en-GB"/>
                <w14:ligatures w14:val="none"/>
              </w:rPr>
            </w:pPr>
          </w:p>
        </w:tc>
      </w:tr>
      <w:tr w:rsidR="00F05819" w:rsidRPr="00096D24" w14:paraId="5189A940" w14:textId="77777777" w:rsidTr="000A76C5">
        <w:trPr>
          <w:trHeight w:val="171"/>
        </w:trPr>
        <w:tc>
          <w:tcPr>
            <w:tcW w:w="1512" w:type="dxa"/>
            <w:tcBorders>
              <w:top w:val="nil"/>
              <w:left w:val="nil"/>
              <w:bottom w:val="nil"/>
              <w:right w:val="nil"/>
            </w:tcBorders>
            <w:shd w:val="clear" w:color="auto" w:fill="auto"/>
            <w:noWrap/>
            <w:vAlign w:val="bottom"/>
          </w:tcPr>
          <w:p w14:paraId="59C7E8D1" w14:textId="77777777" w:rsidR="00F05819" w:rsidRDefault="00F05819" w:rsidP="000A76C5">
            <w:pPr>
              <w:spacing w:after="0" w:line="240" w:lineRule="auto"/>
              <w:jc w:val="right"/>
              <w:rPr>
                <w:rFonts w:ascii="Calibri" w:eastAsia="Times New Roman" w:hAnsi="Calibri" w:cs="Calibri"/>
                <w:b/>
                <w:bCs/>
                <w:color w:val="000000"/>
                <w:kern w:val="0"/>
                <w:lang w:eastAsia="en-GB"/>
                <w14:ligatures w14:val="none"/>
              </w:rPr>
            </w:pPr>
          </w:p>
          <w:p w14:paraId="653B757C" w14:textId="77777777" w:rsidR="00F05819" w:rsidRPr="00096D24" w:rsidRDefault="00F05819" w:rsidP="000A76C5">
            <w:pPr>
              <w:spacing w:after="0" w:line="240" w:lineRule="auto"/>
              <w:jc w:val="right"/>
              <w:rPr>
                <w:rFonts w:ascii="Calibri" w:eastAsia="Times New Roman" w:hAnsi="Calibri" w:cs="Calibri"/>
                <w:b/>
                <w:bCs/>
                <w:color w:val="000000"/>
                <w:kern w:val="0"/>
                <w:lang w:eastAsia="en-GB"/>
                <w14:ligatures w14:val="none"/>
              </w:rPr>
            </w:pPr>
          </w:p>
        </w:tc>
        <w:tc>
          <w:tcPr>
            <w:tcW w:w="1248" w:type="dxa"/>
            <w:tcBorders>
              <w:top w:val="nil"/>
              <w:left w:val="nil"/>
              <w:bottom w:val="nil"/>
              <w:right w:val="nil"/>
            </w:tcBorders>
            <w:shd w:val="clear" w:color="auto" w:fill="auto"/>
            <w:noWrap/>
            <w:vAlign w:val="bottom"/>
          </w:tcPr>
          <w:p w14:paraId="351714E7" w14:textId="77777777" w:rsidR="00F05819" w:rsidRPr="00096D24" w:rsidRDefault="00F05819" w:rsidP="000A76C5">
            <w:pPr>
              <w:spacing w:after="0" w:line="240" w:lineRule="auto"/>
              <w:rPr>
                <w:rFonts w:ascii="Times New Roman" w:eastAsia="Times New Roman" w:hAnsi="Times New Roman" w:cs="Times New Roman"/>
                <w:kern w:val="0"/>
                <w:sz w:val="20"/>
                <w:szCs w:val="20"/>
                <w:lang w:eastAsia="en-GB"/>
                <w14:ligatures w14:val="none"/>
              </w:rPr>
            </w:pPr>
          </w:p>
        </w:tc>
      </w:tr>
    </w:tbl>
    <w:p w14:paraId="292ED318" w14:textId="77777777" w:rsidR="00F05819" w:rsidRDefault="00F05819" w:rsidP="00F05819"/>
    <w:p w14:paraId="04650734" w14:textId="77777777" w:rsidR="00F05819" w:rsidRDefault="00F05819" w:rsidP="00F05819"/>
    <w:p w14:paraId="32D2144F" w14:textId="77777777" w:rsidR="00F05819" w:rsidRDefault="00F05819" w:rsidP="00F05819"/>
    <w:p w14:paraId="04F2B1B8" w14:textId="77777777" w:rsidR="00F05819" w:rsidRDefault="00F05819" w:rsidP="00F05819"/>
    <w:p w14:paraId="663EC7B6" w14:textId="77777777" w:rsidR="001E5DA7" w:rsidRDefault="001E5DA7" w:rsidP="00F05819"/>
    <w:p w14:paraId="6D98980A" w14:textId="0F4F09FC" w:rsidR="00F05819" w:rsidRDefault="00F05819" w:rsidP="00F05819">
      <w:r>
        <w:t>Figure 1.2</w:t>
      </w:r>
    </w:p>
    <w:p w14:paraId="120D9A51" w14:textId="77777777" w:rsidR="00F05819" w:rsidRDefault="00F05819" w:rsidP="00F05819">
      <w:r>
        <w:rPr>
          <w:noProof/>
        </w:rPr>
        <w:drawing>
          <wp:anchor distT="0" distB="0" distL="114300" distR="114300" simplePos="0" relativeHeight="251660288" behindDoc="0" locked="0" layoutInCell="1" allowOverlap="1" wp14:anchorId="43C50B94" wp14:editId="2284EBB4">
            <wp:simplePos x="0" y="0"/>
            <wp:positionH relativeFrom="margin">
              <wp:posOffset>440690</wp:posOffset>
            </wp:positionH>
            <wp:positionV relativeFrom="paragraph">
              <wp:posOffset>189230</wp:posOffset>
            </wp:positionV>
            <wp:extent cx="4775835" cy="3143885"/>
            <wp:effectExtent l="0" t="0" r="5715" b="18415"/>
            <wp:wrapSquare wrapText="bothSides"/>
            <wp:docPr id="1767348609" name="Chart 1">
              <a:extLst xmlns:a="http://schemas.openxmlformats.org/drawingml/2006/main">
                <a:ext uri="{FF2B5EF4-FFF2-40B4-BE49-F238E27FC236}">
                  <a16:creationId xmlns:a16="http://schemas.microsoft.com/office/drawing/2014/main" id="{47C4EDE1-1C63-0C3B-F9E0-3114BE7C848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page">
              <wp14:pctWidth>0</wp14:pctWidth>
            </wp14:sizeRelH>
            <wp14:sizeRelV relativeFrom="page">
              <wp14:pctHeight>0</wp14:pctHeight>
            </wp14:sizeRelV>
          </wp:anchor>
        </w:drawing>
      </w:r>
    </w:p>
    <w:p w14:paraId="2EE5D172" w14:textId="77777777" w:rsidR="00F05819" w:rsidRDefault="00F05819" w:rsidP="00F05819"/>
    <w:p w14:paraId="41A0C8D9" w14:textId="77777777" w:rsidR="00F05819" w:rsidRDefault="00F05819" w:rsidP="00F05819"/>
    <w:p w14:paraId="5045FCC8" w14:textId="77777777" w:rsidR="00F05819" w:rsidRDefault="00F05819" w:rsidP="00F05819"/>
    <w:p w14:paraId="27FF573B" w14:textId="77777777" w:rsidR="00F05819" w:rsidRDefault="00F05819" w:rsidP="00F05819"/>
    <w:p w14:paraId="09C22C5B" w14:textId="77777777" w:rsidR="00F05819" w:rsidRDefault="00F05819" w:rsidP="00F05819"/>
    <w:p w14:paraId="792C6231" w14:textId="77777777" w:rsidR="00F05819" w:rsidRDefault="00F05819" w:rsidP="00F05819"/>
    <w:p w14:paraId="36BFE86A" w14:textId="77777777" w:rsidR="00F05819" w:rsidRDefault="00F05819" w:rsidP="00F05819"/>
    <w:p w14:paraId="7B43F2A9" w14:textId="77777777" w:rsidR="00F05819" w:rsidRDefault="00F05819" w:rsidP="00F05819"/>
    <w:p w14:paraId="2AA73461" w14:textId="77777777" w:rsidR="001E5DA7" w:rsidRDefault="001E5DA7" w:rsidP="001E5DA7">
      <w:pPr>
        <w:rPr>
          <w:b/>
          <w:bCs/>
          <w:lang w:eastAsia="en-GB"/>
        </w:rPr>
      </w:pPr>
    </w:p>
    <w:p w14:paraId="3B8F47E9" w14:textId="77777777" w:rsidR="001E5DA7" w:rsidRDefault="001E5DA7" w:rsidP="001E5DA7">
      <w:pPr>
        <w:rPr>
          <w:b/>
          <w:bCs/>
          <w:lang w:eastAsia="en-GB"/>
        </w:rPr>
      </w:pPr>
    </w:p>
    <w:p w14:paraId="18EDA94E" w14:textId="661935CD" w:rsidR="00F05819" w:rsidRDefault="001E5DA7" w:rsidP="001E5DA7">
      <w:pPr>
        <w:rPr>
          <w:b/>
          <w:bCs/>
          <w:lang w:eastAsia="en-GB"/>
        </w:rPr>
      </w:pPr>
      <w:r w:rsidRPr="00C61B5F">
        <w:rPr>
          <w:noProof/>
          <w:lang w:eastAsia="en-GB"/>
        </w:rPr>
        <w:lastRenderedPageBreak/>
        <w:drawing>
          <wp:anchor distT="0" distB="0" distL="114300" distR="114300" simplePos="0" relativeHeight="251659264" behindDoc="0" locked="0" layoutInCell="1" allowOverlap="1" wp14:anchorId="0FD8A1AC" wp14:editId="7E5B0A1F">
            <wp:simplePos x="0" y="0"/>
            <wp:positionH relativeFrom="column">
              <wp:posOffset>-13335</wp:posOffset>
            </wp:positionH>
            <wp:positionV relativeFrom="paragraph">
              <wp:posOffset>400685</wp:posOffset>
            </wp:positionV>
            <wp:extent cx="5867400" cy="2449195"/>
            <wp:effectExtent l="0" t="0" r="0" b="8255"/>
            <wp:wrapSquare wrapText="bothSides"/>
            <wp:docPr id="895846631"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846631" name="Picture 1" descr="A screenshot of a graph&#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867400" cy="2449195"/>
                    </a:xfrm>
                    <a:prstGeom prst="rect">
                      <a:avLst/>
                    </a:prstGeom>
                  </pic:spPr>
                </pic:pic>
              </a:graphicData>
            </a:graphic>
            <wp14:sizeRelH relativeFrom="page">
              <wp14:pctWidth>0</wp14:pctWidth>
            </wp14:sizeRelH>
            <wp14:sizeRelV relativeFrom="page">
              <wp14:pctHeight>0</wp14:pctHeight>
            </wp14:sizeRelV>
          </wp:anchor>
        </w:drawing>
      </w:r>
      <w:r w:rsidR="00F05819">
        <w:rPr>
          <w:lang w:eastAsia="en-GB"/>
        </w:rPr>
        <w:t>Figure 1.3</w:t>
      </w:r>
    </w:p>
    <w:p w14:paraId="3639190B" w14:textId="77777777" w:rsidR="0038384C" w:rsidRDefault="0038384C" w:rsidP="00F05819">
      <w:pPr>
        <w:rPr>
          <w:lang w:eastAsia="en-GB"/>
        </w:rPr>
      </w:pPr>
    </w:p>
    <w:p w14:paraId="66F66F13" w14:textId="77777777" w:rsidR="00B461D1" w:rsidRDefault="00B461D1" w:rsidP="00F05819">
      <w:pPr>
        <w:rPr>
          <w:lang w:eastAsia="en-GB"/>
        </w:rPr>
      </w:pPr>
    </w:p>
    <w:p w14:paraId="601A54C4" w14:textId="77777777" w:rsidR="00B461D1" w:rsidRDefault="00B461D1" w:rsidP="00F05819">
      <w:pPr>
        <w:rPr>
          <w:lang w:eastAsia="en-GB"/>
        </w:rPr>
      </w:pPr>
    </w:p>
    <w:p w14:paraId="7084D2ED" w14:textId="17101C4C" w:rsidR="00F05819" w:rsidRPr="003D7E4D" w:rsidRDefault="00F05819" w:rsidP="00F05819">
      <w:pPr>
        <w:rPr>
          <w:b/>
          <w:bCs/>
          <w:lang w:eastAsia="en-GB"/>
        </w:rPr>
      </w:pPr>
      <w:r>
        <w:rPr>
          <w:lang w:eastAsia="en-GB"/>
        </w:rPr>
        <w:t>Figure 1.4</w:t>
      </w:r>
    </w:p>
    <w:p w14:paraId="3C3B1278" w14:textId="7E839446" w:rsidR="0038384C" w:rsidRPr="00B461D1" w:rsidRDefault="00F05819" w:rsidP="00B461D1">
      <w:pPr>
        <w:rPr>
          <w:noProof/>
        </w:rPr>
      </w:pPr>
      <w:r>
        <w:rPr>
          <w:noProof/>
        </w:rPr>
        <w:drawing>
          <wp:inline distT="0" distB="0" distL="0" distR="0" wp14:anchorId="2BEA1A7E" wp14:editId="4F070D65">
            <wp:extent cx="5731510" cy="2875280"/>
            <wp:effectExtent l="0" t="0" r="2540" b="1270"/>
            <wp:docPr id="1767666596" name="Chart 1">
              <a:extLst xmlns:a="http://schemas.openxmlformats.org/drawingml/2006/main">
                <a:ext uri="{FF2B5EF4-FFF2-40B4-BE49-F238E27FC236}">
                  <a16:creationId xmlns:a16="http://schemas.microsoft.com/office/drawing/2014/main" id="{46F994F5-880B-58D7-7A77-F0B20D8208B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E353003" w14:textId="77777777" w:rsidR="0038384C" w:rsidRDefault="0038384C" w:rsidP="00F05819">
      <w:pPr>
        <w:rPr>
          <w:rFonts w:eastAsia="Times New Roman" w:cstheme="minorHAnsi"/>
          <w:b/>
          <w:bCs/>
          <w:kern w:val="0"/>
          <w:szCs w:val="24"/>
          <w:lang w:eastAsia="en-GB"/>
          <w14:ligatures w14:val="none"/>
        </w:rPr>
      </w:pPr>
    </w:p>
    <w:p w14:paraId="54337C95" w14:textId="77777777" w:rsidR="00B461D1" w:rsidRDefault="00B461D1" w:rsidP="00F05819">
      <w:pPr>
        <w:rPr>
          <w:rFonts w:eastAsia="Times New Roman" w:cstheme="minorHAnsi"/>
          <w:b/>
          <w:bCs/>
          <w:kern w:val="0"/>
          <w:szCs w:val="24"/>
          <w:lang w:eastAsia="en-GB"/>
          <w14:ligatures w14:val="none"/>
        </w:rPr>
      </w:pPr>
    </w:p>
    <w:p w14:paraId="527492B4" w14:textId="77777777" w:rsidR="00B461D1" w:rsidRDefault="00B461D1" w:rsidP="00F05819">
      <w:pPr>
        <w:rPr>
          <w:rFonts w:eastAsia="Times New Roman" w:cstheme="minorHAnsi"/>
          <w:b/>
          <w:bCs/>
          <w:kern w:val="0"/>
          <w:szCs w:val="24"/>
          <w:lang w:eastAsia="en-GB"/>
          <w14:ligatures w14:val="none"/>
        </w:rPr>
      </w:pPr>
    </w:p>
    <w:p w14:paraId="20A26A68" w14:textId="77777777" w:rsidR="00B461D1" w:rsidRDefault="00B461D1" w:rsidP="00F05819">
      <w:pPr>
        <w:rPr>
          <w:rFonts w:eastAsia="Times New Roman" w:cstheme="minorHAnsi"/>
          <w:b/>
          <w:bCs/>
          <w:kern w:val="0"/>
          <w:szCs w:val="24"/>
          <w:lang w:eastAsia="en-GB"/>
          <w14:ligatures w14:val="none"/>
        </w:rPr>
      </w:pPr>
    </w:p>
    <w:p w14:paraId="4508D400" w14:textId="77777777" w:rsidR="00B461D1" w:rsidRDefault="00B461D1" w:rsidP="00F05819">
      <w:pPr>
        <w:rPr>
          <w:rFonts w:eastAsia="Times New Roman" w:cstheme="minorHAnsi"/>
          <w:b/>
          <w:bCs/>
          <w:kern w:val="0"/>
          <w:szCs w:val="24"/>
          <w:lang w:eastAsia="en-GB"/>
          <w14:ligatures w14:val="none"/>
        </w:rPr>
      </w:pPr>
    </w:p>
    <w:p w14:paraId="650CE8B6" w14:textId="77777777" w:rsidR="00B461D1" w:rsidRDefault="00B461D1" w:rsidP="00F05819">
      <w:pPr>
        <w:rPr>
          <w:rFonts w:eastAsia="Times New Roman" w:cstheme="minorHAnsi"/>
          <w:b/>
          <w:bCs/>
          <w:kern w:val="0"/>
          <w:szCs w:val="24"/>
          <w:lang w:eastAsia="en-GB"/>
          <w14:ligatures w14:val="none"/>
        </w:rPr>
      </w:pPr>
    </w:p>
    <w:p w14:paraId="4658D2E8" w14:textId="77777777" w:rsidR="00F05819" w:rsidRPr="00F14232" w:rsidRDefault="00F05819" w:rsidP="00F05819">
      <w:pPr>
        <w:rPr>
          <w:rFonts w:eastAsia="Times New Roman" w:cstheme="minorHAnsi"/>
          <w:kern w:val="0"/>
          <w:szCs w:val="24"/>
          <w:lang w:eastAsia="en-GB"/>
          <w14:ligatures w14:val="none"/>
        </w:rPr>
      </w:pPr>
      <w:r w:rsidRPr="00F14232">
        <w:rPr>
          <w:rFonts w:eastAsia="Times New Roman" w:cstheme="minorHAnsi"/>
          <w:kern w:val="0"/>
          <w:szCs w:val="24"/>
          <w:lang w:eastAsia="en-GB"/>
          <w14:ligatures w14:val="none"/>
        </w:rPr>
        <w:lastRenderedPageBreak/>
        <w:t>Figure 1.5</w:t>
      </w:r>
    </w:p>
    <w:tbl>
      <w:tblPr>
        <w:tblW w:w="7780" w:type="dxa"/>
        <w:tblInd w:w="632" w:type="dxa"/>
        <w:tblLook w:val="04A0" w:firstRow="1" w:lastRow="0" w:firstColumn="1" w:lastColumn="0" w:noHBand="0" w:noVBand="1"/>
      </w:tblPr>
      <w:tblGrid>
        <w:gridCol w:w="3800"/>
        <w:gridCol w:w="1640"/>
        <w:gridCol w:w="1220"/>
        <w:gridCol w:w="1120"/>
      </w:tblGrid>
      <w:tr w:rsidR="00F05819" w:rsidRPr="00F14232" w14:paraId="0F5E7E1A" w14:textId="77777777" w:rsidTr="000A76C5">
        <w:trPr>
          <w:trHeight w:val="300"/>
        </w:trPr>
        <w:tc>
          <w:tcPr>
            <w:tcW w:w="3800" w:type="dxa"/>
            <w:tcBorders>
              <w:top w:val="nil"/>
              <w:left w:val="nil"/>
              <w:bottom w:val="nil"/>
              <w:right w:val="nil"/>
            </w:tcBorders>
            <w:shd w:val="clear" w:color="D9E1F2" w:fill="D9E1F2"/>
            <w:noWrap/>
            <w:vAlign w:val="bottom"/>
            <w:hideMark/>
          </w:tcPr>
          <w:p w14:paraId="589FED37" w14:textId="77777777" w:rsidR="00F05819" w:rsidRPr="00F14232" w:rsidRDefault="00F05819" w:rsidP="000A76C5">
            <w:pPr>
              <w:spacing w:after="0" w:line="240" w:lineRule="auto"/>
              <w:rPr>
                <w:rFonts w:ascii="Calibri" w:eastAsia="Times New Roman" w:hAnsi="Calibri" w:cs="Calibri"/>
                <w:b/>
                <w:bCs/>
                <w:color w:val="000000"/>
                <w:kern w:val="0"/>
                <w:lang w:eastAsia="en-GB"/>
                <w14:ligatures w14:val="none"/>
              </w:rPr>
            </w:pPr>
            <w:r w:rsidRPr="00F14232">
              <w:rPr>
                <w:rFonts w:ascii="Calibri" w:eastAsia="Times New Roman" w:hAnsi="Calibri" w:cs="Calibri"/>
                <w:b/>
                <w:bCs/>
                <w:color w:val="000000"/>
                <w:kern w:val="0"/>
                <w:lang w:eastAsia="en-GB"/>
                <w14:ligatures w14:val="none"/>
              </w:rPr>
              <w:t>Sum of id</w:t>
            </w:r>
          </w:p>
        </w:tc>
        <w:tc>
          <w:tcPr>
            <w:tcW w:w="1640" w:type="dxa"/>
            <w:tcBorders>
              <w:top w:val="nil"/>
              <w:left w:val="nil"/>
              <w:bottom w:val="nil"/>
              <w:right w:val="nil"/>
            </w:tcBorders>
            <w:shd w:val="clear" w:color="D9E1F2" w:fill="D9E1F2"/>
            <w:noWrap/>
            <w:vAlign w:val="bottom"/>
            <w:hideMark/>
          </w:tcPr>
          <w:p w14:paraId="0A5C3625" w14:textId="77777777" w:rsidR="00F05819" w:rsidRPr="00F14232" w:rsidRDefault="00F05819" w:rsidP="000A76C5">
            <w:pPr>
              <w:spacing w:after="0" w:line="240" w:lineRule="auto"/>
              <w:rPr>
                <w:rFonts w:ascii="Calibri" w:eastAsia="Times New Roman" w:hAnsi="Calibri" w:cs="Calibri"/>
                <w:b/>
                <w:bCs/>
                <w:color w:val="000000"/>
                <w:kern w:val="0"/>
                <w:lang w:eastAsia="en-GB"/>
                <w14:ligatures w14:val="none"/>
              </w:rPr>
            </w:pPr>
            <w:r w:rsidRPr="00F14232">
              <w:rPr>
                <w:rFonts w:ascii="Calibri" w:eastAsia="Times New Roman" w:hAnsi="Calibri" w:cs="Calibri"/>
                <w:b/>
                <w:bCs/>
                <w:color w:val="000000"/>
                <w:kern w:val="0"/>
                <w:lang w:eastAsia="en-GB"/>
                <w14:ligatures w14:val="none"/>
              </w:rPr>
              <w:t>Column Labels</w:t>
            </w:r>
          </w:p>
        </w:tc>
        <w:tc>
          <w:tcPr>
            <w:tcW w:w="1220" w:type="dxa"/>
            <w:tcBorders>
              <w:top w:val="nil"/>
              <w:left w:val="nil"/>
              <w:bottom w:val="nil"/>
              <w:right w:val="nil"/>
            </w:tcBorders>
            <w:shd w:val="clear" w:color="D9E1F2" w:fill="D9E1F2"/>
            <w:noWrap/>
            <w:vAlign w:val="bottom"/>
            <w:hideMark/>
          </w:tcPr>
          <w:p w14:paraId="0E95D0C8" w14:textId="77777777" w:rsidR="00F05819" w:rsidRPr="00F14232" w:rsidRDefault="00F05819" w:rsidP="000A76C5">
            <w:pPr>
              <w:spacing w:after="0" w:line="240" w:lineRule="auto"/>
              <w:rPr>
                <w:rFonts w:ascii="Calibri" w:eastAsia="Times New Roman" w:hAnsi="Calibri" w:cs="Calibri"/>
                <w:b/>
                <w:bCs/>
                <w:color w:val="000000"/>
                <w:kern w:val="0"/>
                <w:lang w:eastAsia="en-GB"/>
                <w14:ligatures w14:val="none"/>
              </w:rPr>
            </w:pPr>
          </w:p>
        </w:tc>
        <w:tc>
          <w:tcPr>
            <w:tcW w:w="1120" w:type="dxa"/>
            <w:tcBorders>
              <w:top w:val="nil"/>
              <w:left w:val="nil"/>
              <w:bottom w:val="nil"/>
              <w:right w:val="nil"/>
            </w:tcBorders>
            <w:shd w:val="clear" w:color="D9E1F2" w:fill="D9E1F2"/>
            <w:noWrap/>
            <w:vAlign w:val="bottom"/>
            <w:hideMark/>
          </w:tcPr>
          <w:p w14:paraId="247749FF" w14:textId="77777777" w:rsidR="00F05819" w:rsidRPr="00F14232" w:rsidRDefault="00F05819" w:rsidP="000A76C5">
            <w:pPr>
              <w:spacing w:after="0" w:line="240" w:lineRule="auto"/>
              <w:rPr>
                <w:rFonts w:ascii="Times New Roman" w:eastAsia="Times New Roman" w:hAnsi="Times New Roman" w:cs="Times New Roman"/>
                <w:kern w:val="0"/>
                <w:sz w:val="20"/>
                <w:szCs w:val="20"/>
                <w:lang w:eastAsia="en-GB"/>
                <w14:ligatures w14:val="none"/>
              </w:rPr>
            </w:pPr>
          </w:p>
        </w:tc>
      </w:tr>
      <w:tr w:rsidR="00F05819" w:rsidRPr="00F14232" w14:paraId="63FC6437" w14:textId="77777777" w:rsidTr="000A76C5">
        <w:trPr>
          <w:trHeight w:val="300"/>
        </w:trPr>
        <w:tc>
          <w:tcPr>
            <w:tcW w:w="3800" w:type="dxa"/>
            <w:tcBorders>
              <w:top w:val="nil"/>
              <w:left w:val="nil"/>
              <w:bottom w:val="single" w:sz="4" w:space="0" w:color="8EA9DB"/>
              <w:right w:val="nil"/>
            </w:tcBorders>
            <w:shd w:val="clear" w:color="D9E1F2" w:fill="D9E1F2"/>
            <w:noWrap/>
            <w:vAlign w:val="bottom"/>
            <w:hideMark/>
          </w:tcPr>
          <w:p w14:paraId="37186358" w14:textId="77777777" w:rsidR="00F05819" w:rsidRPr="00F14232" w:rsidRDefault="00F05819" w:rsidP="000A76C5">
            <w:pPr>
              <w:spacing w:after="0" w:line="240" w:lineRule="auto"/>
              <w:rPr>
                <w:rFonts w:ascii="Calibri" w:eastAsia="Times New Roman" w:hAnsi="Calibri" w:cs="Calibri"/>
                <w:b/>
                <w:bCs/>
                <w:color w:val="000000"/>
                <w:kern w:val="0"/>
                <w:lang w:eastAsia="en-GB"/>
                <w14:ligatures w14:val="none"/>
              </w:rPr>
            </w:pPr>
            <w:r w:rsidRPr="00F14232">
              <w:rPr>
                <w:rFonts w:ascii="Calibri" w:eastAsia="Times New Roman" w:hAnsi="Calibri" w:cs="Calibri"/>
                <w:b/>
                <w:bCs/>
                <w:color w:val="000000"/>
                <w:kern w:val="0"/>
                <w:lang w:eastAsia="en-GB"/>
                <w14:ligatures w14:val="none"/>
              </w:rPr>
              <w:t>Row Labels</w:t>
            </w:r>
          </w:p>
        </w:tc>
        <w:tc>
          <w:tcPr>
            <w:tcW w:w="1640" w:type="dxa"/>
            <w:tcBorders>
              <w:top w:val="nil"/>
              <w:left w:val="nil"/>
              <w:bottom w:val="single" w:sz="4" w:space="0" w:color="8EA9DB"/>
              <w:right w:val="nil"/>
            </w:tcBorders>
            <w:shd w:val="clear" w:color="D9E1F2" w:fill="D9E1F2"/>
            <w:noWrap/>
            <w:vAlign w:val="bottom"/>
            <w:hideMark/>
          </w:tcPr>
          <w:p w14:paraId="3DA7EDC7" w14:textId="77777777" w:rsidR="00F05819" w:rsidRPr="00F14232" w:rsidRDefault="00F05819" w:rsidP="000A76C5">
            <w:pPr>
              <w:spacing w:after="0" w:line="240" w:lineRule="auto"/>
              <w:rPr>
                <w:rFonts w:ascii="Calibri" w:eastAsia="Times New Roman" w:hAnsi="Calibri" w:cs="Calibri"/>
                <w:b/>
                <w:bCs/>
                <w:color w:val="000000"/>
                <w:kern w:val="0"/>
                <w:lang w:eastAsia="en-GB"/>
                <w14:ligatures w14:val="none"/>
              </w:rPr>
            </w:pPr>
            <w:r w:rsidRPr="00F14232">
              <w:rPr>
                <w:rFonts w:ascii="Calibri" w:eastAsia="Times New Roman" w:hAnsi="Calibri" w:cs="Calibri"/>
                <w:b/>
                <w:bCs/>
                <w:color w:val="000000"/>
                <w:kern w:val="0"/>
                <w:lang w:eastAsia="en-GB"/>
                <w14:ligatures w14:val="none"/>
              </w:rPr>
              <w:t>Disabled</w:t>
            </w:r>
          </w:p>
        </w:tc>
        <w:tc>
          <w:tcPr>
            <w:tcW w:w="1220" w:type="dxa"/>
            <w:tcBorders>
              <w:top w:val="nil"/>
              <w:left w:val="nil"/>
              <w:bottom w:val="single" w:sz="4" w:space="0" w:color="8EA9DB"/>
              <w:right w:val="nil"/>
            </w:tcBorders>
            <w:shd w:val="clear" w:color="D9E1F2" w:fill="D9E1F2"/>
            <w:noWrap/>
            <w:vAlign w:val="bottom"/>
            <w:hideMark/>
          </w:tcPr>
          <w:p w14:paraId="6E59B7B8" w14:textId="77777777" w:rsidR="00F05819" w:rsidRPr="00F14232" w:rsidRDefault="00F05819" w:rsidP="000A76C5">
            <w:pPr>
              <w:spacing w:after="0" w:line="240" w:lineRule="auto"/>
              <w:rPr>
                <w:rFonts w:ascii="Calibri" w:eastAsia="Times New Roman" w:hAnsi="Calibri" w:cs="Calibri"/>
                <w:b/>
                <w:bCs/>
                <w:color w:val="000000"/>
                <w:kern w:val="0"/>
                <w:lang w:eastAsia="en-GB"/>
                <w14:ligatures w14:val="none"/>
              </w:rPr>
            </w:pPr>
            <w:r w:rsidRPr="00F14232">
              <w:rPr>
                <w:rFonts w:ascii="Calibri" w:eastAsia="Times New Roman" w:hAnsi="Calibri" w:cs="Calibri"/>
                <w:b/>
                <w:bCs/>
                <w:color w:val="000000"/>
                <w:kern w:val="0"/>
                <w:lang w:eastAsia="en-GB"/>
                <w14:ligatures w14:val="none"/>
              </w:rPr>
              <w:t>Not disabled</w:t>
            </w:r>
          </w:p>
        </w:tc>
        <w:tc>
          <w:tcPr>
            <w:tcW w:w="1120" w:type="dxa"/>
            <w:tcBorders>
              <w:top w:val="nil"/>
              <w:left w:val="nil"/>
              <w:bottom w:val="single" w:sz="4" w:space="0" w:color="8EA9DB"/>
              <w:right w:val="nil"/>
            </w:tcBorders>
            <w:shd w:val="clear" w:color="D9E1F2" w:fill="D9E1F2"/>
            <w:noWrap/>
            <w:vAlign w:val="bottom"/>
            <w:hideMark/>
          </w:tcPr>
          <w:p w14:paraId="02E9F22D" w14:textId="77777777" w:rsidR="00F05819" w:rsidRPr="00F14232" w:rsidRDefault="00F05819" w:rsidP="000A76C5">
            <w:pPr>
              <w:spacing w:after="0" w:line="240" w:lineRule="auto"/>
              <w:rPr>
                <w:rFonts w:ascii="Calibri" w:eastAsia="Times New Roman" w:hAnsi="Calibri" w:cs="Calibri"/>
                <w:b/>
                <w:bCs/>
                <w:color w:val="000000"/>
                <w:kern w:val="0"/>
                <w:lang w:eastAsia="en-GB"/>
                <w14:ligatures w14:val="none"/>
              </w:rPr>
            </w:pPr>
            <w:r w:rsidRPr="00F14232">
              <w:rPr>
                <w:rFonts w:ascii="Calibri" w:eastAsia="Times New Roman" w:hAnsi="Calibri" w:cs="Calibri"/>
                <w:b/>
                <w:bCs/>
                <w:color w:val="000000"/>
                <w:kern w:val="0"/>
                <w:lang w:eastAsia="en-GB"/>
                <w14:ligatures w14:val="none"/>
              </w:rPr>
              <w:t>Grand Total</w:t>
            </w:r>
          </w:p>
        </w:tc>
      </w:tr>
      <w:tr w:rsidR="00F05819" w:rsidRPr="00F14232" w14:paraId="5F175F43" w14:textId="77777777" w:rsidTr="000A76C5">
        <w:trPr>
          <w:trHeight w:val="300"/>
        </w:trPr>
        <w:tc>
          <w:tcPr>
            <w:tcW w:w="3800" w:type="dxa"/>
            <w:tcBorders>
              <w:top w:val="nil"/>
              <w:left w:val="nil"/>
              <w:bottom w:val="nil"/>
              <w:right w:val="nil"/>
            </w:tcBorders>
            <w:shd w:val="clear" w:color="auto" w:fill="auto"/>
            <w:noWrap/>
            <w:vAlign w:val="bottom"/>
            <w:hideMark/>
          </w:tcPr>
          <w:p w14:paraId="649D70D7" w14:textId="77777777" w:rsidR="00F05819" w:rsidRPr="00F14232" w:rsidRDefault="00F05819" w:rsidP="000A76C5">
            <w:pPr>
              <w:spacing w:after="0" w:line="240" w:lineRule="auto"/>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Business Services</w:t>
            </w:r>
          </w:p>
        </w:tc>
        <w:tc>
          <w:tcPr>
            <w:tcW w:w="1640" w:type="dxa"/>
            <w:tcBorders>
              <w:top w:val="nil"/>
              <w:left w:val="nil"/>
              <w:bottom w:val="nil"/>
              <w:right w:val="nil"/>
            </w:tcBorders>
            <w:shd w:val="clear" w:color="auto" w:fill="auto"/>
            <w:noWrap/>
            <w:vAlign w:val="bottom"/>
            <w:hideMark/>
          </w:tcPr>
          <w:p w14:paraId="06FED74E"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0.00%</w:t>
            </w:r>
          </w:p>
        </w:tc>
        <w:tc>
          <w:tcPr>
            <w:tcW w:w="1220" w:type="dxa"/>
            <w:tcBorders>
              <w:top w:val="nil"/>
              <w:left w:val="nil"/>
              <w:bottom w:val="nil"/>
              <w:right w:val="nil"/>
            </w:tcBorders>
            <w:shd w:val="clear" w:color="auto" w:fill="auto"/>
            <w:noWrap/>
            <w:vAlign w:val="bottom"/>
            <w:hideMark/>
          </w:tcPr>
          <w:p w14:paraId="79966DBA"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100.00%</w:t>
            </w:r>
          </w:p>
        </w:tc>
        <w:tc>
          <w:tcPr>
            <w:tcW w:w="1120" w:type="dxa"/>
            <w:tcBorders>
              <w:top w:val="nil"/>
              <w:left w:val="nil"/>
              <w:bottom w:val="nil"/>
              <w:right w:val="nil"/>
            </w:tcBorders>
            <w:shd w:val="clear" w:color="auto" w:fill="auto"/>
            <w:noWrap/>
            <w:vAlign w:val="bottom"/>
            <w:hideMark/>
          </w:tcPr>
          <w:p w14:paraId="1AFC60B9"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100.00%</w:t>
            </w:r>
          </w:p>
        </w:tc>
      </w:tr>
      <w:tr w:rsidR="00F05819" w:rsidRPr="00F14232" w14:paraId="334147E4" w14:textId="77777777" w:rsidTr="000A76C5">
        <w:trPr>
          <w:trHeight w:val="300"/>
        </w:trPr>
        <w:tc>
          <w:tcPr>
            <w:tcW w:w="3800" w:type="dxa"/>
            <w:tcBorders>
              <w:top w:val="nil"/>
              <w:left w:val="nil"/>
              <w:bottom w:val="nil"/>
              <w:right w:val="nil"/>
            </w:tcBorders>
            <w:shd w:val="clear" w:color="auto" w:fill="auto"/>
            <w:noWrap/>
            <w:vAlign w:val="bottom"/>
            <w:hideMark/>
          </w:tcPr>
          <w:p w14:paraId="1EAE872D" w14:textId="77777777" w:rsidR="00F05819" w:rsidRPr="00F14232" w:rsidRDefault="00F05819" w:rsidP="000A76C5">
            <w:pPr>
              <w:spacing w:after="0" w:line="240" w:lineRule="auto"/>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Community Engagement and Partnerships</w:t>
            </w:r>
          </w:p>
        </w:tc>
        <w:tc>
          <w:tcPr>
            <w:tcW w:w="1640" w:type="dxa"/>
            <w:tcBorders>
              <w:top w:val="nil"/>
              <w:left w:val="nil"/>
              <w:bottom w:val="nil"/>
              <w:right w:val="nil"/>
            </w:tcBorders>
            <w:shd w:val="clear" w:color="auto" w:fill="auto"/>
            <w:noWrap/>
            <w:vAlign w:val="bottom"/>
            <w:hideMark/>
          </w:tcPr>
          <w:p w14:paraId="28848A2A"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16.48%</w:t>
            </w:r>
          </w:p>
        </w:tc>
        <w:tc>
          <w:tcPr>
            <w:tcW w:w="1220" w:type="dxa"/>
            <w:tcBorders>
              <w:top w:val="nil"/>
              <w:left w:val="nil"/>
              <w:bottom w:val="nil"/>
              <w:right w:val="nil"/>
            </w:tcBorders>
            <w:shd w:val="clear" w:color="auto" w:fill="auto"/>
            <w:noWrap/>
            <w:vAlign w:val="bottom"/>
            <w:hideMark/>
          </w:tcPr>
          <w:p w14:paraId="7FB5254D"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83.52%</w:t>
            </w:r>
          </w:p>
        </w:tc>
        <w:tc>
          <w:tcPr>
            <w:tcW w:w="1120" w:type="dxa"/>
            <w:tcBorders>
              <w:top w:val="nil"/>
              <w:left w:val="nil"/>
              <w:bottom w:val="nil"/>
              <w:right w:val="nil"/>
            </w:tcBorders>
            <w:shd w:val="clear" w:color="auto" w:fill="auto"/>
            <w:noWrap/>
            <w:vAlign w:val="bottom"/>
            <w:hideMark/>
          </w:tcPr>
          <w:p w14:paraId="6364F614"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100.00%</w:t>
            </w:r>
          </w:p>
        </w:tc>
      </w:tr>
      <w:tr w:rsidR="00F05819" w:rsidRPr="00F14232" w14:paraId="5E08580B" w14:textId="77777777" w:rsidTr="000A76C5">
        <w:trPr>
          <w:trHeight w:val="300"/>
        </w:trPr>
        <w:tc>
          <w:tcPr>
            <w:tcW w:w="3800" w:type="dxa"/>
            <w:tcBorders>
              <w:top w:val="nil"/>
              <w:left w:val="nil"/>
              <w:bottom w:val="nil"/>
              <w:right w:val="nil"/>
            </w:tcBorders>
            <w:shd w:val="clear" w:color="auto" w:fill="auto"/>
            <w:noWrap/>
            <w:vAlign w:val="bottom"/>
            <w:hideMark/>
          </w:tcPr>
          <w:p w14:paraId="6A6FBB82" w14:textId="77777777" w:rsidR="00F05819" w:rsidRPr="00F14232" w:rsidRDefault="00F05819" w:rsidP="000A76C5">
            <w:pPr>
              <w:spacing w:after="0" w:line="240" w:lineRule="auto"/>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Customer Services</w:t>
            </w:r>
          </w:p>
        </w:tc>
        <w:tc>
          <w:tcPr>
            <w:tcW w:w="1640" w:type="dxa"/>
            <w:tcBorders>
              <w:top w:val="nil"/>
              <w:left w:val="nil"/>
              <w:bottom w:val="nil"/>
              <w:right w:val="nil"/>
            </w:tcBorders>
            <w:shd w:val="clear" w:color="auto" w:fill="auto"/>
            <w:noWrap/>
            <w:vAlign w:val="bottom"/>
            <w:hideMark/>
          </w:tcPr>
          <w:p w14:paraId="5B796795"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19.17%</w:t>
            </w:r>
          </w:p>
        </w:tc>
        <w:tc>
          <w:tcPr>
            <w:tcW w:w="1220" w:type="dxa"/>
            <w:tcBorders>
              <w:top w:val="nil"/>
              <w:left w:val="nil"/>
              <w:bottom w:val="nil"/>
              <w:right w:val="nil"/>
            </w:tcBorders>
            <w:shd w:val="clear" w:color="auto" w:fill="auto"/>
            <w:noWrap/>
            <w:vAlign w:val="bottom"/>
            <w:hideMark/>
          </w:tcPr>
          <w:p w14:paraId="5B87948C"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80.83%</w:t>
            </w:r>
          </w:p>
        </w:tc>
        <w:tc>
          <w:tcPr>
            <w:tcW w:w="1120" w:type="dxa"/>
            <w:tcBorders>
              <w:top w:val="nil"/>
              <w:left w:val="nil"/>
              <w:bottom w:val="nil"/>
              <w:right w:val="nil"/>
            </w:tcBorders>
            <w:shd w:val="clear" w:color="auto" w:fill="auto"/>
            <w:noWrap/>
            <w:vAlign w:val="bottom"/>
            <w:hideMark/>
          </w:tcPr>
          <w:p w14:paraId="7B5A9B64"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100.00%</w:t>
            </w:r>
          </w:p>
        </w:tc>
      </w:tr>
      <w:tr w:rsidR="00F05819" w:rsidRPr="00F14232" w14:paraId="2AA0E23D" w14:textId="77777777" w:rsidTr="000A76C5">
        <w:trPr>
          <w:trHeight w:val="300"/>
        </w:trPr>
        <w:tc>
          <w:tcPr>
            <w:tcW w:w="3800" w:type="dxa"/>
            <w:tcBorders>
              <w:top w:val="nil"/>
              <w:left w:val="nil"/>
              <w:bottom w:val="nil"/>
              <w:right w:val="nil"/>
            </w:tcBorders>
            <w:shd w:val="clear" w:color="auto" w:fill="auto"/>
            <w:noWrap/>
            <w:vAlign w:val="bottom"/>
            <w:hideMark/>
          </w:tcPr>
          <w:p w14:paraId="01267CA2" w14:textId="77777777" w:rsidR="00F05819" w:rsidRPr="00F14232" w:rsidRDefault="00F05819" w:rsidP="000A76C5">
            <w:pPr>
              <w:spacing w:after="0" w:line="240" w:lineRule="auto"/>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Directors</w:t>
            </w:r>
          </w:p>
        </w:tc>
        <w:tc>
          <w:tcPr>
            <w:tcW w:w="1640" w:type="dxa"/>
            <w:tcBorders>
              <w:top w:val="nil"/>
              <w:left w:val="nil"/>
              <w:bottom w:val="nil"/>
              <w:right w:val="nil"/>
            </w:tcBorders>
            <w:shd w:val="clear" w:color="auto" w:fill="auto"/>
            <w:noWrap/>
            <w:vAlign w:val="bottom"/>
            <w:hideMark/>
          </w:tcPr>
          <w:p w14:paraId="3C881623"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0.00%</w:t>
            </w:r>
          </w:p>
        </w:tc>
        <w:tc>
          <w:tcPr>
            <w:tcW w:w="1220" w:type="dxa"/>
            <w:tcBorders>
              <w:top w:val="nil"/>
              <w:left w:val="nil"/>
              <w:bottom w:val="nil"/>
              <w:right w:val="nil"/>
            </w:tcBorders>
            <w:shd w:val="clear" w:color="auto" w:fill="auto"/>
            <w:noWrap/>
            <w:vAlign w:val="bottom"/>
            <w:hideMark/>
          </w:tcPr>
          <w:p w14:paraId="4BC61AE7"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100.00%</w:t>
            </w:r>
          </w:p>
        </w:tc>
        <w:tc>
          <w:tcPr>
            <w:tcW w:w="1120" w:type="dxa"/>
            <w:tcBorders>
              <w:top w:val="nil"/>
              <w:left w:val="nil"/>
              <w:bottom w:val="nil"/>
              <w:right w:val="nil"/>
            </w:tcBorders>
            <w:shd w:val="clear" w:color="auto" w:fill="auto"/>
            <w:noWrap/>
            <w:vAlign w:val="bottom"/>
            <w:hideMark/>
          </w:tcPr>
          <w:p w14:paraId="0A02DB39"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100.00%</w:t>
            </w:r>
          </w:p>
        </w:tc>
      </w:tr>
      <w:tr w:rsidR="00F05819" w:rsidRPr="00F14232" w14:paraId="24A6B202" w14:textId="77777777" w:rsidTr="000A76C5">
        <w:trPr>
          <w:trHeight w:val="300"/>
        </w:trPr>
        <w:tc>
          <w:tcPr>
            <w:tcW w:w="3800" w:type="dxa"/>
            <w:tcBorders>
              <w:top w:val="nil"/>
              <w:left w:val="nil"/>
              <w:bottom w:val="nil"/>
              <w:right w:val="nil"/>
            </w:tcBorders>
            <w:shd w:val="clear" w:color="auto" w:fill="auto"/>
            <w:noWrap/>
            <w:vAlign w:val="bottom"/>
            <w:hideMark/>
          </w:tcPr>
          <w:p w14:paraId="79141167" w14:textId="77777777" w:rsidR="00F05819" w:rsidRPr="00F14232" w:rsidRDefault="00F05819" w:rsidP="000A76C5">
            <w:pPr>
              <w:spacing w:after="0" w:line="240" w:lineRule="auto"/>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Facilities</w:t>
            </w:r>
          </w:p>
        </w:tc>
        <w:tc>
          <w:tcPr>
            <w:tcW w:w="1640" w:type="dxa"/>
            <w:tcBorders>
              <w:top w:val="nil"/>
              <w:left w:val="nil"/>
              <w:bottom w:val="nil"/>
              <w:right w:val="nil"/>
            </w:tcBorders>
            <w:shd w:val="clear" w:color="auto" w:fill="auto"/>
            <w:noWrap/>
            <w:vAlign w:val="bottom"/>
            <w:hideMark/>
          </w:tcPr>
          <w:p w14:paraId="11EC950E"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0.00%</w:t>
            </w:r>
          </w:p>
        </w:tc>
        <w:tc>
          <w:tcPr>
            <w:tcW w:w="1220" w:type="dxa"/>
            <w:tcBorders>
              <w:top w:val="nil"/>
              <w:left w:val="nil"/>
              <w:bottom w:val="nil"/>
              <w:right w:val="nil"/>
            </w:tcBorders>
            <w:shd w:val="clear" w:color="auto" w:fill="auto"/>
            <w:noWrap/>
            <w:vAlign w:val="bottom"/>
            <w:hideMark/>
          </w:tcPr>
          <w:p w14:paraId="3C1EFEA5"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100.00%</w:t>
            </w:r>
          </w:p>
        </w:tc>
        <w:tc>
          <w:tcPr>
            <w:tcW w:w="1120" w:type="dxa"/>
            <w:tcBorders>
              <w:top w:val="nil"/>
              <w:left w:val="nil"/>
              <w:bottom w:val="nil"/>
              <w:right w:val="nil"/>
            </w:tcBorders>
            <w:shd w:val="clear" w:color="auto" w:fill="auto"/>
            <w:noWrap/>
            <w:vAlign w:val="bottom"/>
            <w:hideMark/>
          </w:tcPr>
          <w:p w14:paraId="0C1BE180"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100.00%</w:t>
            </w:r>
          </w:p>
        </w:tc>
      </w:tr>
      <w:tr w:rsidR="00F05819" w:rsidRPr="00F14232" w14:paraId="05BF1CB1" w14:textId="77777777" w:rsidTr="000A76C5">
        <w:trPr>
          <w:trHeight w:val="300"/>
        </w:trPr>
        <w:tc>
          <w:tcPr>
            <w:tcW w:w="3800" w:type="dxa"/>
            <w:tcBorders>
              <w:top w:val="nil"/>
              <w:left w:val="nil"/>
              <w:bottom w:val="nil"/>
              <w:right w:val="nil"/>
            </w:tcBorders>
            <w:shd w:val="clear" w:color="auto" w:fill="auto"/>
            <w:noWrap/>
            <w:vAlign w:val="bottom"/>
            <w:hideMark/>
          </w:tcPr>
          <w:p w14:paraId="2A07CDA5" w14:textId="77777777" w:rsidR="00F05819" w:rsidRPr="00F14232" w:rsidRDefault="00F05819" w:rsidP="000A76C5">
            <w:pPr>
              <w:spacing w:after="0" w:line="240" w:lineRule="auto"/>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Finance</w:t>
            </w:r>
          </w:p>
        </w:tc>
        <w:tc>
          <w:tcPr>
            <w:tcW w:w="1640" w:type="dxa"/>
            <w:tcBorders>
              <w:top w:val="nil"/>
              <w:left w:val="nil"/>
              <w:bottom w:val="nil"/>
              <w:right w:val="nil"/>
            </w:tcBorders>
            <w:shd w:val="clear" w:color="auto" w:fill="auto"/>
            <w:noWrap/>
            <w:vAlign w:val="bottom"/>
            <w:hideMark/>
          </w:tcPr>
          <w:p w14:paraId="08690165"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20.69%</w:t>
            </w:r>
          </w:p>
        </w:tc>
        <w:tc>
          <w:tcPr>
            <w:tcW w:w="1220" w:type="dxa"/>
            <w:tcBorders>
              <w:top w:val="nil"/>
              <w:left w:val="nil"/>
              <w:bottom w:val="nil"/>
              <w:right w:val="nil"/>
            </w:tcBorders>
            <w:shd w:val="clear" w:color="auto" w:fill="auto"/>
            <w:noWrap/>
            <w:vAlign w:val="bottom"/>
            <w:hideMark/>
          </w:tcPr>
          <w:p w14:paraId="3F6739FC"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79.31%</w:t>
            </w:r>
          </w:p>
        </w:tc>
        <w:tc>
          <w:tcPr>
            <w:tcW w:w="1120" w:type="dxa"/>
            <w:tcBorders>
              <w:top w:val="nil"/>
              <w:left w:val="nil"/>
              <w:bottom w:val="nil"/>
              <w:right w:val="nil"/>
            </w:tcBorders>
            <w:shd w:val="clear" w:color="auto" w:fill="auto"/>
            <w:noWrap/>
            <w:vAlign w:val="bottom"/>
            <w:hideMark/>
          </w:tcPr>
          <w:p w14:paraId="76285E85"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100.00%</w:t>
            </w:r>
          </w:p>
        </w:tc>
      </w:tr>
      <w:tr w:rsidR="00F05819" w:rsidRPr="00F14232" w14:paraId="0D441CF0" w14:textId="77777777" w:rsidTr="000A76C5">
        <w:trPr>
          <w:trHeight w:val="300"/>
        </w:trPr>
        <w:tc>
          <w:tcPr>
            <w:tcW w:w="3800" w:type="dxa"/>
            <w:tcBorders>
              <w:top w:val="nil"/>
              <w:left w:val="nil"/>
              <w:bottom w:val="nil"/>
              <w:right w:val="nil"/>
            </w:tcBorders>
            <w:shd w:val="clear" w:color="auto" w:fill="auto"/>
            <w:noWrap/>
            <w:vAlign w:val="bottom"/>
            <w:hideMark/>
          </w:tcPr>
          <w:p w14:paraId="0FBC55E5" w14:textId="77777777" w:rsidR="00F05819" w:rsidRPr="00F14232" w:rsidRDefault="00F05819" w:rsidP="000A76C5">
            <w:pPr>
              <w:spacing w:after="0" w:line="240" w:lineRule="auto"/>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Governance</w:t>
            </w:r>
          </w:p>
        </w:tc>
        <w:tc>
          <w:tcPr>
            <w:tcW w:w="1640" w:type="dxa"/>
            <w:tcBorders>
              <w:top w:val="nil"/>
              <w:left w:val="nil"/>
              <w:bottom w:val="nil"/>
              <w:right w:val="nil"/>
            </w:tcBorders>
            <w:shd w:val="clear" w:color="auto" w:fill="auto"/>
            <w:noWrap/>
            <w:vAlign w:val="bottom"/>
            <w:hideMark/>
          </w:tcPr>
          <w:p w14:paraId="4737F062"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0.00%</w:t>
            </w:r>
          </w:p>
        </w:tc>
        <w:tc>
          <w:tcPr>
            <w:tcW w:w="1220" w:type="dxa"/>
            <w:tcBorders>
              <w:top w:val="nil"/>
              <w:left w:val="nil"/>
              <w:bottom w:val="nil"/>
              <w:right w:val="nil"/>
            </w:tcBorders>
            <w:shd w:val="clear" w:color="auto" w:fill="auto"/>
            <w:noWrap/>
            <w:vAlign w:val="bottom"/>
            <w:hideMark/>
          </w:tcPr>
          <w:p w14:paraId="480DB04D"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100.00%</w:t>
            </w:r>
          </w:p>
        </w:tc>
        <w:tc>
          <w:tcPr>
            <w:tcW w:w="1120" w:type="dxa"/>
            <w:tcBorders>
              <w:top w:val="nil"/>
              <w:left w:val="nil"/>
              <w:bottom w:val="nil"/>
              <w:right w:val="nil"/>
            </w:tcBorders>
            <w:shd w:val="clear" w:color="auto" w:fill="auto"/>
            <w:noWrap/>
            <w:vAlign w:val="bottom"/>
            <w:hideMark/>
          </w:tcPr>
          <w:p w14:paraId="50314580"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100.00%</w:t>
            </w:r>
          </w:p>
        </w:tc>
      </w:tr>
      <w:tr w:rsidR="00F05819" w:rsidRPr="00F14232" w14:paraId="0B51DA0F" w14:textId="77777777" w:rsidTr="000A76C5">
        <w:trPr>
          <w:trHeight w:val="300"/>
        </w:trPr>
        <w:tc>
          <w:tcPr>
            <w:tcW w:w="3800" w:type="dxa"/>
            <w:tcBorders>
              <w:top w:val="nil"/>
              <w:left w:val="nil"/>
              <w:bottom w:val="nil"/>
              <w:right w:val="nil"/>
            </w:tcBorders>
            <w:shd w:val="clear" w:color="auto" w:fill="auto"/>
            <w:noWrap/>
            <w:vAlign w:val="bottom"/>
            <w:hideMark/>
          </w:tcPr>
          <w:p w14:paraId="0916EA13" w14:textId="77777777" w:rsidR="00F05819" w:rsidRPr="00F14232" w:rsidRDefault="00F05819" w:rsidP="000A76C5">
            <w:pPr>
              <w:spacing w:after="0" w:line="240" w:lineRule="auto"/>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Green Spaces</w:t>
            </w:r>
          </w:p>
        </w:tc>
        <w:tc>
          <w:tcPr>
            <w:tcW w:w="1640" w:type="dxa"/>
            <w:tcBorders>
              <w:top w:val="nil"/>
              <w:left w:val="nil"/>
              <w:bottom w:val="nil"/>
              <w:right w:val="nil"/>
            </w:tcBorders>
            <w:shd w:val="clear" w:color="auto" w:fill="auto"/>
            <w:noWrap/>
            <w:vAlign w:val="bottom"/>
            <w:hideMark/>
          </w:tcPr>
          <w:p w14:paraId="4F1E87EF"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8.70%</w:t>
            </w:r>
          </w:p>
        </w:tc>
        <w:tc>
          <w:tcPr>
            <w:tcW w:w="1220" w:type="dxa"/>
            <w:tcBorders>
              <w:top w:val="nil"/>
              <w:left w:val="nil"/>
              <w:bottom w:val="nil"/>
              <w:right w:val="nil"/>
            </w:tcBorders>
            <w:shd w:val="clear" w:color="auto" w:fill="auto"/>
            <w:noWrap/>
            <w:vAlign w:val="bottom"/>
            <w:hideMark/>
          </w:tcPr>
          <w:p w14:paraId="6151BC08"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91.30%</w:t>
            </w:r>
          </w:p>
        </w:tc>
        <w:tc>
          <w:tcPr>
            <w:tcW w:w="1120" w:type="dxa"/>
            <w:tcBorders>
              <w:top w:val="nil"/>
              <w:left w:val="nil"/>
              <w:bottom w:val="nil"/>
              <w:right w:val="nil"/>
            </w:tcBorders>
            <w:shd w:val="clear" w:color="auto" w:fill="auto"/>
            <w:noWrap/>
            <w:vAlign w:val="bottom"/>
            <w:hideMark/>
          </w:tcPr>
          <w:p w14:paraId="17A76171"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100.00%</w:t>
            </w:r>
          </w:p>
        </w:tc>
      </w:tr>
      <w:tr w:rsidR="00F05819" w:rsidRPr="00F14232" w14:paraId="07E7F4D2" w14:textId="77777777" w:rsidTr="000A76C5">
        <w:trPr>
          <w:trHeight w:val="300"/>
        </w:trPr>
        <w:tc>
          <w:tcPr>
            <w:tcW w:w="3800" w:type="dxa"/>
            <w:tcBorders>
              <w:top w:val="nil"/>
              <w:left w:val="nil"/>
              <w:bottom w:val="nil"/>
              <w:right w:val="nil"/>
            </w:tcBorders>
            <w:shd w:val="clear" w:color="auto" w:fill="auto"/>
            <w:noWrap/>
            <w:vAlign w:val="bottom"/>
            <w:hideMark/>
          </w:tcPr>
          <w:p w14:paraId="5E273927" w14:textId="77777777" w:rsidR="00F05819" w:rsidRPr="00F14232" w:rsidRDefault="00F05819" w:rsidP="000A76C5">
            <w:pPr>
              <w:spacing w:after="0" w:line="240" w:lineRule="auto"/>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Housing</w:t>
            </w:r>
          </w:p>
        </w:tc>
        <w:tc>
          <w:tcPr>
            <w:tcW w:w="1640" w:type="dxa"/>
            <w:tcBorders>
              <w:top w:val="nil"/>
              <w:left w:val="nil"/>
              <w:bottom w:val="nil"/>
              <w:right w:val="nil"/>
            </w:tcBorders>
            <w:shd w:val="clear" w:color="auto" w:fill="auto"/>
            <w:noWrap/>
            <w:vAlign w:val="bottom"/>
            <w:hideMark/>
          </w:tcPr>
          <w:p w14:paraId="21C886DB"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12.18%</w:t>
            </w:r>
          </w:p>
        </w:tc>
        <w:tc>
          <w:tcPr>
            <w:tcW w:w="1220" w:type="dxa"/>
            <w:tcBorders>
              <w:top w:val="nil"/>
              <w:left w:val="nil"/>
              <w:bottom w:val="nil"/>
              <w:right w:val="nil"/>
            </w:tcBorders>
            <w:shd w:val="clear" w:color="auto" w:fill="auto"/>
            <w:noWrap/>
            <w:vAlign w:val="bottom"/>
            <w:hideMark/>
          </w:tcPr>
          <w:p w14:paraId="24EA3270"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87.82%</w:t>
            </w:r>
          </w:p>
        </w:tc>
        <w:tc>
          <w:tcPr>
            <w:tcW w:w="1120" w:type="dxa"/>
            <w:tcBorders>
              <w:top w:val="nil"/>
              <w:left w:val="nil"/>
              <w:bottom w:val="nil"/>
              <w:right w:val="nil"/>
            </w:tcBorders>
            <w:shd w:val="clear" w:color="auto" w:fill="auto"/>
            <w:noWrap/>
            <w:vAlign w:val="bottom"/>
            <w:hideMark/>
          </w:tcPr>
          <w:p w14:paraId="479DB2FA"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100.00%</w:t>
            </w:r>
          </w:p>
        </w:tc>
      </w:tr>
      <w:tr w:rsidR="00F05819" w:rsidRPr="00F14232" w14:paraId="43E8BCC2" w14:textId="77777777" w:rsidTr="000A76C5">
        <w:trPr>
          <w:trHeight w:val="300"/>
        </w:trPr>
        <w:tc>
          <w:tcPr>
            <w:tcW w:w="3800" w:type="dxa"/>
            <w:tcBorders>
              <w:top w:val="nil"/>
              <w:left w:val="nil"/>
              <w:bottom w:val="nil"/>
              <w:right w:val="nil"/>
            </w:tcBorders>
            <w:shd w:val="clear" w:color="auto" w:fill="auto"/>
            <w:noWrap/>
            <w:vAlign w:val="bottom"/>
            <w:hideMark/>
          </w:tcPr>
          <w:p w14:paraId="68A7C127" w14:textId="77777777" w:rsidR="00F05819" w:rsidRPr="00F14232" w:rsidRDefault="00F05819" w:rsidP="000A76C5">
            <w:pPr>
              <w:spacing w:after="0" w:line="240" w:lineRule="auto"/>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Income Team</w:t>
            </w:r>
          </w:p>
        </w:tc>
        <w:tc>
          <w:tcPr>
            <w:tcW w:w="1640" w:type="dxa"/>
            <w:tcBorders>
              <w:top w:val="nil"/>
              <w:left w:val="nil"/>
              <w:bottom w:val="nil"/>
              <w:right w:val="nil"/>
            </w:tcBorders>
            <w:shd w:val="clear" w:color="auto" w:fill="auto"/>
            <w:noWrap/>
            <w:vAlign w:val="bottom"/>
            <w:hideMark/>
          </w:tcPr>
          <w:p w14:paraId="06A9DD19"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5.67%</w:t>
            </w:r>
          </w:p>
        </w:tc>
        <w:tc>
          <w:tcPr>
            <w:tcW w:w="1220" w:type="dxa"/>
            <w:tcBorders>
              <w:top w:val="nil"/>
              <w:left w:val="nil"/>
              <w:bottom w:val="nil"/>
              <w:right w:val="nil"/>
            </w:tcBorders>
            <w:shd w:val="clear" w:color="auto" w:fill="auto"/>
            <w:noWrap/>
            <w:vAlign w:val="bottom"/>
            <w:hideMark/>
          </w:tcPr>
          <w:p w14:paraId="3D93B916"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94.33%</w:t>
            </w:r>
          </w:p>
        </w:tc>
        <w:tc>
          <w:tcPr>
            <w:tcW w:w="1120" w:type="dxa"/>
            <w:tcBorders>
              <w:top w:val="nil"/>
              <w:left w:val="nil"/>
              <w:bottom w:val="nil"/>
              <w:right w:val="nil"/>
            </w:tcBorders>
            <w:shd w:val="clear" w:color="auto" w:fill="auto"/>
            <w:noWrap/>
            <w:vAlign w:val="bottom"/>
            <w:hideMark/>
          </w:tcPr>
          <w:p w14:paraId="673052E3"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100.00%</w:t>
            </w:r>
          </w:p>
        </w:tc>
      </w:tr>
      <w:tr w:rsidR="00F05819" w:rsidRPr="00F14232" w14:paraId="7F6A66AC" w14:textId="77777777" w:rsidTr="000A76C5">
        <w:trPr>
          <w:trHeight w:val="300"/>
        </w:trPr>
        <w:tc>
          <w:tcPr>
            <w:tcW w:w="3800" w:type="dxa"/>
            <w:tcBorders>
              <w:top w:val="nil"/>
              <w:left w:val="nil"/>
              <w:bottom w:val="nil"/>
              <w:right w:val="nil"/>
            </w:tcBorders>
            <w:shd w:val="clear" w:color="auto" w:fill="auto"/>
            <w:noWrap/>
            <w:vAlign w:val="bottom"/>
            <w:hideMark/>
          </w:tcPr>
          <w:p w14:paraId="529E46B3" w14:textId="77777777" w:rsidR="00F05819" w:rsidRPr="00F14232" w:rsidRDefault="00F05819" w:rsidP="000A76C5">
            <w:pPr>
              <w:spacing w:after="0" w:line="240" w:lineRule="auto"/>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IT</w:t>
            </w:r>
          </w:p>
        </w:tc>
        <w:tc>
          <w:tcPr>
            <w:tcW w:w="1640" w:type="dxa"/>
            <w:tcBorders>
              <w:top w:val="nil"/>
              <w:left w:val="nil"/>
              <w:bottom w:val="nil"/>
              <w:right w:val="nil"/>
            </w:tcBorders>
            <w:shd w:val="clear" w:color="auto" w:fill="auto"/>
            <w:noWrap/>
            <w:vAlign w:val="bottom"/>
            <w:hideMark/>
          </w:tcPr>
          <w:p w14:paraId="1D0B3445"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21.69%</w:t>
            </w:r>
          </w:p>
        </w:tc>
        <w:tc>
          <w:tcPr>
            <w:tcW w:w="1220" w:type="dxa"/>
            <w:tcBorders>
              <w:top w:val="nil"/>
              <w:left w:val="nil"/>
              <w:bottom w:val="nil"/>
              <w:right w:val="nil"/>
            </w:tcBorders>
            <w:shd w:val="clear" w:color="auto" w:fill="auto"/>
            <w:noWrap/>
            <w:vAlign w:val="bottom"/>
            <w:hideMark/>
          </w:tcPr>
          <w:p w14:paraId="51E0FC7A"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78.31%</w:t>
            </w:r>
          </w:p>
        </w:tc>
        <w:tc>
          <w:tcPr>
            <w:tcW w:w="1120" w:type="dxa"/>
            <w:tcBorders>
              <w:top w:val="nil"/>
              <w:left w:val="nil"/>
              <w:bottom w:val="nil"/>
              <w:right w:val="nil"/>
            </w:tcBorders>
            <w:shd w:val="clear" w:color="auto" w:fill="auto"/>
            <w:noWrap/>
            <w:vAlign w:val="bottom"/>
            <w:hideMark/>
          </w:tcPr>
          <w:p w14:paraId="3F42C41D"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100.00%</w:t>
            </w:r>
          </w:p>
        </w:tc>
      </w:tr>
      <w:tr w:rsidR="00F05819" w:rsidRPr="00F14232" w14:paraId="137CE7EA" w14:textId="77777777" w:rsidTr="000A76C5">
        <w:trPr>
          <w:trHeight w:val="300"/>
        </w:trPr>
        <w:tc>
          <w:tcPr>
            <w:tcW w:w="3800" w:type="dxa"/>
            <w:tcBorders>
              <w:top w:val="nil"/>
              <w:left w:val="nil"/>
              <w:bottom w:val="nil"/>
              <w:right w:val="nil"/>
            </w:tcBorders>
            <w:shd w:val="clear" w:color="auto" w:fill="auto"/>
            <w:noWrap/>
            <w:vAlign w:val="bottom"/>
            <w:hideMark/>
          </w:tcPr>
          <w:p w14:paraId="2FF1C208" w14:textId="77777777" w:rsidR="00F05819" w:rsidRPr="00F14232" w:rsidRDefault="00F05819" w:rsidP="000A76C5">
            <w:pPr>
              <w:spacing w:after="0" w:line="240" w:lineRule="auto"/>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Lettings</w:t>
            </w:r>
          </w:p>
        </w:tc>
        <w:tc>
          <w:tcPr>
            <w:tcW w:w="1640" w:type="dxa"/>
            <w:tcBorders>
              <w:top w:val="nil"/>
              <w:left w:val="nil"/>
              <w:bottom w:val="nil"/>
              <w:right w:val="nil"/>
            </w:tcBorders>
            <w:shd w:val="clear" w:color="auto" w:fill="auto"/>
            <w:noWrap/>
            <w:vAlign w:val="bottom"/>
            <w:hideMark/>
          </w:tcPr>
          <w:p w14:paraId="68AD75F6"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10.31%</w:t>
            </w:r>
          </w:p>
        </w:tc>
        <w:tc>
          <w:tcPr>
            <w:tcW w:w="1220" w:type="dxa"/>
            <w:tcBorders>
              <w:top w:val="nil"/>
              <w:left w:val="nil"/>
              <w:bottom w:val="nil"/>
              <w:right w:val="nil"/>
            </w:tcBorders>
            <w:shd w:val="clear" w:color="auto" w:fill="auto"/>
            <w:noWrap/>
            <w:vAlign w:val="bottom"/>
            <w:hideMark/>
          </w:tcPr>
          <w:p w14:paraId="61933C07"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89.69%</w:t>
            </w:r>
          </w:p>
        </w:tc>
        <w:tc>
          <w:tcPr>
            <w:tcW w:w="1120" w:type="dxa"/>
            <w:tcBorders>
              <w:top w:val="nil"/>
              <w:left w:val="nil"/>
              <w:bottom w:val="nil"/>
              <w:right w:val="nil"/>
            </w:tcBorders>
            <w:shd w:val="clear" w:color="auto" w:fill="auto"/>
            <w:noWrap/>
            <w:vAlign w:val="bottom"/>
            <w:hideMark/>
          </w:tcPr>
          <w:p w14:paraId="6872B454"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100.00%</w:t>
            </w:r>
          </w:p>
        </w:tc>
      </w:tr>
      <w:tr w:rsidR="00F05819" w:rsidRPr="00F14232" w14:paraId="54FE77B4" w14:textId="77777777" w:rsidTr="000A76C5">
        <w:trPr>
          <w:trHeight w:val="300"/>
        </w:trPr>
        <w:tc>
          <w:tcPr>
            <w:tcW w:w="3800" w:type="dxa"/>
            <w:tcBorders>
              <w:top w:val="nil"/>
              <w:left w:val="nil"/>
              <w:bottom w:val="nil"/>
              <w:right w:val="nil"/>
            </w:tcBorders>
            <w:shd w:val="clear" w:color="auto" w:fill="auto"/>
            <w:noWrap/>
            <w:vAlign w:val="bottom"/>
            <w:hideMark/>
          </w:tcPr>
          <w:p w14:paraId="39D9B6FA" w14:textId="77777777" w:rsidR="00F05819" w:rsidRPr="00F14232" w:rsidRDefault="00F05819" w:rsidP="000A76C5">
            <w:pPr>
              <w:spacing w:after="0" w:line="240" w:lineRule="auto"/>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Marketing</w:t>
            </w:r>
          </w:p>
        </w:tc>
        <w:tc>
          <w:tcPr>
            <w:tcW w:w="1640" w:type="dxa"/>
            <w:tcBorders>
              <w:top w:val="nil"/>
              <w:left w:val="nil"/>
              <w:bottom w:val="nil"/>
              <w:right w:val="nil"/>
            </w:tcBorders>
            <w:shd w:val="clear" w:color="auto" w:fill="auto"/>
            <w:noWrap/>
            <w:vAlign w:val="bottom"/>
            <w:hideMark/>
          </w:tcPr>
          <w:p w14:paraId="704D6CC9"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0.00%</w:t>
            </w:r>
          </w:p>
        </w:tc>
        <w:tc>
          <w:tcPr>
            <w:tcW w:w="1220" w:type="dxa"/>
            <w:tcBorders>
              <w:top w:val="nil"/>
              <w:left w:val="nil"/>
              <w:bottom w:val="nil"/>
              <w:right w:val="nil"/>
            </w:tcBorders>
            <w:shd w:val="clear" w:color="auto" w:fill="auto"/>
            <w:noWrap/>
            <w:vAlign w:val="bottom"/>
            <w:hideMark/>
          </w:tcPr>
          <w:p w14:paraId="65533E4C"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100.00%</w:t>
            </w:r>
          </w:p>
        </w:tc>
        <w:tc>
          <w:tcPr>
            <w:tcW w:w="1120" w:type="dxa"/>
            <w:tcBorders>
              <w:top w:val="nil"/>
              <w:left w:val="nil"/>
              <w:bottom w:val="nil"/>
              <w:right w:val="nil"/>
            </w:tcBorders>
            <w:shd w:val="clear" w:color="auto" w:fill="auto"/>
            <w:noWrap/>
            <w:vAlign w:val="bottom"/>
            <w:hideMark/>
          </w:tcPr>
          <w:p w14:paraId="4589DD60"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100.00%</w:t>
            </w:r>
          </w:p>
        </w:tc>
      </w:tr>
      <w:tr w:rsidR="00F05819" w:rsidRPr="00F14232" w14:paraId="6DDF43EA" w14:textId="77777777" w:rsidTr="000A76C5">
        <w:trPr>
          <w:trHeight w:val="300"/>
        </w:trPr>
        <w:tc>
          <w:tcPr>
            <w:tcW w:w="3800" w:type="dxa"/>
            <w:tcBorders>
              <w:top w:val="nil"/>
              <w:left w:val="nil"/>
              <w:bottom w:val="nil"/>
              <w:right w:val="nil"/>
            </w:tcBorders>
            <w:shd w:val="clear" w:color="auto" w:fill="auto"/>
            <w:noWrap/>
            <w:vAlign w:val="bottom"/>
            <w:hideMark/>
          </w:tcPr>
          <w:p w14:paraId="41430756" w14:textId="77777777" w:rsidR="00F05819" w:rsidRPr="00F14232" w:rsidRDefault="00F05819" w:rsidP="000A76C5">
            <w:pPr>
              <w:spacing w:after="0" w:line="240" w:lineRule="auto"/>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People Services</w:t>
            </w:r>
          </w:p>
        </w:tc>
        <w:tc>
          <w:tcPr>
            <w:tcW w:w="1640" w:type="dxa"/>
            <w:tcBorders>
              <w:top w:val="nil"/>
              <w:left w:val="nil"/>
              <w:bottom w:val="nil"/>
              <w:right w:val="nil"/>
            </w:tcBorders>
            <w:shd w:val="clear" w:color="auto" w:fill="auto"/>
            <w:noWrap/>
            <w:vAlign w:val="bottom"/>
            <w:hideMark/>
          </w:tcPr>
          <w:p w14:paraId="437D4B01"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18.18%</w:t>
            </w:r>
          </w:p>
        </w:tc>
        <w:tc>
          <w:tcPr>
            <w:tcW w:w="1220" w:type="dxa"/>
            <w:tcBorders>
              <w:top w:val="nil"/>
              <w:left w:val="nil"/>
              <w:bottom w:val="nil"/>
              <w:right w:val="nil"/>
            </w:tcBorders>
            <w:shd w:val="clear" w:color="auto" w:fill="auto"/>
            <w:noWrap/>
            <w:vAlign w:val="bottom"/>
            <w:hideMark/>
          </w:tcPr>
          <w:p w14:paraId="38B33A42"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81.82%</w:t>
            </w:r>
          </w:p>
        </w:tc>
        <w:tc>
          <w:tcPr>
            <w:tcW w:w="1120" w:type="dxa"/>
            <w:tcBorders>
              <w:top w:val="nil"/>
              <w:left w:val="nil"/>
              <w:bottom w:val="nil"/>
              <w:right w:val="nil"/>
            </w:tcBorders>
            <w:shd w:val="clear" w:color="auto" w:fill="auto"/>
            <w:noWrap/>
            <w:vAlign w:val="bottom"/>
            <w:hideMark/>
          </w:tcPr>
          <w:p w14:paraId="4ECEC819"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100.00%</w:t>
            </w:r>
          </w:p>
        </w:tc>
      </w:tr>
      <w:tr w:rsidR="00F05819" w:rsidRPr="00F14232" w14:paraId="6BB3743A" w14:textId="77777777" w:rsidTr="000A76C5">
        <w:trPr>
          <w:trHeight w:val="300"/>
        </w:trPr>
        <w:tc>
          <w:tcPr>
            <w:tcW w:w="3800" w:type="dxa"/>
            <w:tcBorders>
              <w:top w:val="nil"/>
              <w:left w:val="nil"/>
              <w:bottom w:val="nil"/>
              <w:right w:val="nil"/>
            </w:tcBorders>
            <w:shd w:val="clear" w:color="auto" w:fill="auto"/>
            <w:noWrap/>
            <w:vAlign w:val="bottom"/>
            <w:hideMark/>
          </w:tcPr>
          <w:p w14:paraId="293D6A3C" w14:textId="77777777" w:rsidR="00F05819" w:rsidRPr="00F14232" w:rsidRDefault="00F05819" w:rsidP="000A76C5">
            <w:pPr>
              <w:spacing w:after="0" w:line="240" w:lineRule="auto"/>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Property Team</w:t>
            </w:r>
          </w:p>
        </w:tc>
        <w:tc>
          <w:tcPr>
            <w:tcW w:w="1640" w:type="dxa"/>
            <w:tcBorders>
              <w:top w:val="nil"/>
              <w:left w:val="nil"/>
              <w:bottom w:val="nil"/>
              <w:right w:val="nil"/>
            </w:tcBorders>
            <w:shd w:val="clear" w:color="auto" w:fill="auto"/>
            <w:noWrap/>
            <w:vAlign w:val="bottom"/>
            <w:hideMark/>
          </w:tcPr>
          <w:p w14:paraId="34214DF3"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4.13%</w:t>
            </w:r>
          </w:p>
        </w:tc>
        <w:tc>
          <w:tcPr>
            <w:tcW w:w="1220" w:type="dxa"/>
            <w:tcBorders>
              <w:top w:val="nil"/>
              <w:left w:val="nil"/>
              <w:bottom w:val="nil"/>
              <w:right w:val="nil"/>
            </w:tcBorders>
            <w:shd w:val="clear" w:color="auto" w:fill="auto"/>
            <w:noWrap/>
            <w:vAlign w:val="bottom"/>
            <w:hideMark/>
          </w:tcPr>
          <w:p w14:paraId="7CB8280F"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95.87%</w:t>
            </w:r>
          </w:p>
        </w:tc>
        <w:tc>
          <w:tcPr>
            <w:tcW w:w="1120" w:type="dxa"/>
            <w:tcBorders>
              <w:top w:val="nil"/>
              <w:left w:val="nil"/>
              <w:bottom w:val="nil"/>
              <w:right w:val="nil"/>
            </w:tcBorders>
            <w:shd w:val="clear" w:color="auto" w:fill="auto"/>
            <w:noWrap/>
            <w:vAlign w:val="bottom"/>
            <w:hideMark/>
          </w:tcPr>
          <w:p w14:paraId="3FE5BDE9"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100.00%</w:t>
            </w:r>
          </w:p>
        </w:tc>
      </w:tr>
      <w:tr w:rsidR="00F05819" w:rsidRPr="00F14232" w14:paraId="311AE662" w14:textId="77777777" w:rsidTr="000A76C5">
        <w:trPr>
          <w:trHeight w:val="300"/>
        </w:trPr>
        <w:tc>
          <w:tcPr>
            <w:tcW w:w="3800" w:type="dxa"/>
            <w:tcBorders>
              <w:top w:val="nil"/>
              <w:left w:val="nil"/>
              <w:bottom w:val="nil"/>
              <w:right w:val="nil"/>
            </w:tcBorders>
            <w:shd w:val="clear" w:color="auto" w:fill="auto"/>
            <w:noWrap/>
            <w:vAlign w:val="bottom"/>
            <w:hideMark/>
          </w:tcPr>
          <w:p w14:paraId="5E7EB414" w14:textId="77777777" w:rsidR="00F05819" w:rsidRPr="00F14232" w:rsidRDefault="00F05819" w:rsidP="000A76C5">
            <w:pPr>
              <w:spacing w:after="0" w:line="240" w:lineRule="auto"/>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Regeneration</w:t>
            </w:r>
          </w:p>
        </w:tc>
        <w:tc>
          <w:tcPr>
            <w:tcW w:w="1640" w:type="dxa"/>
            <w:tcBorders>
              <w:top w:val="nil"/>
              <w:left w:val="nil"/>
              <w:bottom w:val="nil"/>
              <w:right w:val="nil"/>
            </w:tcBorders>
            <w:shd w:val="clear" w:color="auto" w:fill="auto"/>
            <w:noWrap/>
            <w:vAlign w:val="bottom"/>
            <w:hideMark/>
          </w:tcPr>
          <w:p w14:paraId="3DCF4965"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0.00%</w:t>
            </w:r>
          </w:p>
        </w:tc>
        <w:tc>
          <w:tcPr>
            <w:tcW w:w="1220" w:type="dxa"/>
            <w:tcBorders>
              <w:top w:val="nil"/>
              <w:left w:val="nil"/>
              <w:bottom w:val="nil"/>
              <w:right w:val="nil"/>
            </w:tcBorders>
            <w:shd w:val="clear" w:color="auto" w:fill="auto"/>
            <w:noWrap/>
            <w:vAlign w:val="bottom"/>
            <w:hideMark/>
          </w:tcPr>
          <w:p w14:paraId="543F7145"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100.00%</w:t>
            </w:r>
          </w:p>
        </w:tc>
        <w:tc>
          <w:tcPr>
            <w:tcW w:w="1120" w:type="dxa"/>
            <w:tcBorders>
              <w:top w:val="nil"/>
              <w:left w:val="nil"/>
              <w:bottom w:val="nil"/>
              <w:right w:val="nil"/>
            </w:tcBorders>
            <w:shd w:val="clear" w:color="auto" w:fill="auto"/>
            <w:noWrap/>
            <w:vAlign w:val="bottom"/>
            <w:hideMark/>
          </w:tcPr>
          <w:p w14:paraId="20E94C25"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100.00%</w:t>
            </w:r>
          </w:p>
        </w:tc>
      </w:tr>
      <w:tr w:rsidR="00F05819" w:rsidRPr="00F14232" w14:paraId="24620508" w14:textId="77777777" w:rsidTr="000A76C5">
        <w:trPr>
          <w:trHeight w:val="300"/>
        </w:trPr>
        <w:tc>
          <w:tcPr>
            <w:tcW w:w="3800" w:type="dxa"/>
            <w:tcBorders>
              <w:top w:val="nil"/>
              <w:left w:val="nil"/>
              <w:bottom w:val="nil"/>
              <w:right w:val="nil"/>
            </w:tcBorders>
            <w:shd w:val="clear" w:color="auto" w:fill="auto"/>
            <w:noWrap/>
            <w:vAlign w:val="bottom"/>
            <w:hideMark/>
          </w:tcPr>
          <w:p w14:paraId="70050741" w14:textId="77777777" w:rsidR="00F05819" w:rsidRPr="00F14232" w:rsidRDefault="00F05819" w:rsidP="000A76C5">
            <w:pPr>
              <w:spacing w:after="0" w:line="240" w:lineRule="auto"/>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Supported Housing</w:t>
            </w:r>
          </w:p>
        </w:tc>
        <w:tc>
          <w:tcPr>
            <w:tcW w:w="1640" w:type="dxa"/>
            <w:tcBorders>
              <w:top w:val="nil"/>
              <w:left w:val="nil"/>
              <w:bottom w:val="nil"/>
              <w:right w:val="nil"/>
            </w:tcBorders>
            <w:shd w:val="clear" w:color="auto" w:fill="auto"/>
            <w:noWrap/>
            <w:vAlign w:val="bottom"/>
            <w:hideMark/>
          </w:tcPr>
          <w:p w14:paraId="0BF437A9"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0.00%</w:t>
            </w:r>
          </w:p>
        </w:tc>
        <w:tc>
          <w:tcPr>
            <w:tcW w:w="1220" w:type="dxa"/>
            <w:tcBorders>
              <w:top w:val="nil"/>
              <w:left w:val="nil"/>
              <w:bottom w:val="nil"/>
              <w:right w:val="nil"/>
            </w:tcBorders>
            <w:shd w:val="clear" w:color="auto" w:fill="auto"/>
            <w:noWrap/>
            <w:vAlign w:val="bottom"/>
            <w:hideMark/>
          </w:tcPr>
          <w:p w14:paraId="3308095D"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100.00%</w:t>
            </w:r>
          </w:p>
        </w:tc>
        <w:tc>
          <w:tcPr>
            <w:tcW w:w="1120" w:type="dxa"/>
            <w:tcBorders>
              <w:top w:val="nil"/>
              <w:left w:val="nil"/>
              <w:bottom w:val="nil"/>
              <w:right w:val="nil"/>
            </w:tcBorders>
            <w:shd w:val="clear" w:color="auto" w:fill="auto"/>
            <w:noWrap/>
            <w:vAlign w:val="bottom"/>
            <w:hideMark/>
          </w:tcPr>
          <w:p w14:paraId="565C0CC0"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100.00%</w:t>
            </w:r>
          </w:p>
        </w:tc>
      </w:tr>
      <w:tr w:rsidR="00F05819" w:rsidRPr="00F14232" w14:paraId="7ACBB202" w14:textId="77777777" w:rsidTr="000A76C5">
        <w:trPr>
          <w:trHeight w:val="300"/>
        </w:trPr>
        <w:tc>
          <w:tcPr>
            <w:tcW w:w="3800" w:type="dxa"/>
            <w:tcBorders>
              <w:top w:val="nil"/>
              <w:left w:val="nil"/>
              <w:bottom w:val="nil"/>
              <w:right w:val="nil"/>
            </w:tcBorders>
            <w:shd w:val="clear" w:color="auto" w:fill="auto"/>
            <w:noWrap/>
            <w:vAlign w:val="bottom"/>
            <w:hideMark/>
          </w:tcPr>
          <w:p w14:paraId="5F67D13B" w14:textId="77777777" w:rsidR="00F05819" w:rsidRPr="00F14232" w:rsidRDefault="00F05819" w:rsidP="000A76C5">
            <w:pPr>
              <w:spacing w:after="0" w:line="240" w:lineRule="auto"/>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Tenancy Team</w:t>
            </w:r>
          </w:p>
        </w:tc>
        <w:tc>
          <w:tcPr>
            <w:tcW w:w="1640" w:type="dxa"/>
            <w:tcBorders>
              <w:top w:val="nil"/>
              <w:left w:val="nil"/>
              <w:bottom w:val="nil"/>
              <w:right w:val="nil"/>
            </w:tcBorders>
            <w:shd w:val="clear" w:color="auto" w:fill="auto"/>
            <w:noWrap/>
            <w:vAlign w:val="bottom"/>
            <w:hideMark/>
          </w:tcPr>
          <w:p w14:paraId="2CD2AFA8"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9.06%</w:t>
            </w:r>
          </w:p>
        </w:tc>
        <w:tc>
          <w:tcPr>
            <w:tcW w:w="1220" w:type="dxa"/>
            <w:tcBorders>
              <w:top w:val="nil"/>
              <w:left w:val="nil"/>
              <w:bottom w:val="nil"/>
              <w:right w:val="nil"/>
            </w:tcBorders>
            <w:shd w:val="clear" w:color="auto" w:fill="auto"/>
            <w:noWrap/>
            <w:vAlign w:val="bottom"/>
            <w:hideMark/>
          </w:tcPr>
          <w:p w14:paraId="29A9971A"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90.94%</w:t>
            </w:r>
          </w:p>
        </w:tc>
        <w:tc>
          <w:tcPr>
            <w:tcW w:w="1120" w:type="dxa"/>
            <w:tcBorders>
              <w:top w:val="nil"/>
              <w:left w:val="nil"/>
              <w:bottom w:val="nil"/>
              <w:right w:val="nil"/>
            </w:tcBorders>
            <w:shd w:val="clear" w:color="auto" w:fill="auto"/>
            <w:noWrap/>
            <w:vAlign w:val="bottom"/>
            <w:hideMark/>
          </w:tcPr>
          <w:p w14:paraId="6A167677" w14:textId="77777777" w:rsidR="00F05819" w:rsidRPr="00F14232" w:rsidRDefault="00F05819" w:rsidP="000A76C5">
            <w:pPr>
              <w:spacing w:after="0" w:line="240" w:lineRule="auto"/>
              <w:jc w:val="right"/>
              <w:rPr>
                <w:rFonts w:ascii="Calibri" w:eastAsia="Times New Roman" w:hAnsi="Calibri" w:cs="Calibri"/>
                <w:color w:val="000000"/>
                <w:kern w:val="0"/>
                <w:lang w:eastAsia="en-GB"/>
                <w14:ligatures w14:val="none"/>
              </w:rPr>
            </w:pPr>
            <w:r w:rsidRPr="00F14232">
              <w:rPr>
                <w:rFonts w:ascii="Calibri" w:eastAsia="Times New Roman" w:hAnsi="Calibri" w:cs="Calibri"/>
                <w:color w:val="000000"/>
                <w:kern w:val="0"/>
                <w:lang w:eastAsia="en-GB"/>
                <w14:ligatures w14:val="none"/>
              </w:rPr>
              <w:t>100.00%</w:t>
            </w:r>
          </w:p>
        </w:tc>
      </w:tr>
      <w:tr w:rsidR="00F05819" w:rsidRPr="00F14232" w14:paraId="5A273982" w14:textId="77777777" w:rsidTr="000A76C5">
        <w:trPr>
          <w:trHeight w:val="300"/>
        </w:trPr>
        <w:tc>
          <w:tcPr>
            <w:tcW w:w="3800" w:type="dxa"/>
            <w:tcBorders>
              <w:top w:val="single" w:sz="4" w:space="0" w:color="8EA9DB"/>
              <w:left w:val="nil"/>
              <w:bottom w:val="nil"/>
              <w:right w:val="nil"/>
            </w:tcBorders>
            <w:shd w:val="clear" w:color="D9E1F2" w:fill="D9E1F2"/>
            <w:noWrap/>
            <w:vAlign w:val="bottom"/>
            <w:hideMark/>
          </w:tcPr>
          <w:p w14:paraId="7378DD73" w14:textId="77777777" w:rsidR="00F05819" w:rsidRPr="00F14232" w:rsidRDefault="00F05819" w:rsidP="000A76C5">
            <w:pPr>
              <w:spacing w:after="0" w:line="240" w:lineRule="auto"/>
              <w:rPr>
                <w:rFonts w:ascii="Calibri" w:eastAsia="Times New Roman" w:hAnsi="Calibri" w:cs="Calibri"/>
                <w:b/>
                <w:bCs/>
                <w:color w:val="000000"/>
                <w:kern w:val="0"/>
                <w:lang w:eastAsia="en-GB"/>
                <w14:ligatures w14:val="none"/>
              </w:rPr>
            </w:pPr>
            <w:r w:rsidRPr="00F14232">
              <w:rPr>
                <w:rFonts w:ascii="Calibri" w:eastAsia="Times New Roman" w:hAnsi="Calibri" w:cs="Calibri"/>
                <w:b/>
                <w:bCs/>
                <w:color w:val="000000"/>
                <w:kern w:val="0"/>
                <w:lang w:eastAsia="en-GB"/>
                <w14:ligatures w14:val="none"/>
              </w:rPr>
              <w:t>Grand Total</w:t>
            </w:r>
          </w:p>
        </w:tc>
        <w:tc>
          <w:tcPr>
            <w:tcW w:w="1640" w:type="dxa"/>
            <w:tcBorders>
              <w:top w:val="single" w:sz="4" w:space="0" w:color="8EA9DB"/>
              <w:left w:val="nil"/>
              <w:bottom w:val="nil"/>
              <w:right w:val="nil"/>
            </w:tcBorders>
            <w:shd w:val="clear" w:color="D9E1F2" w:fill="D9E1F2"/>
            <w:noWrap/>
            <w:vAlign w:val="bottom"/>
            <w:hideMark/>
          </w:tcPr>
          <w:p w14:paraId="7ED4862D" w14:textId="77777777" w:rsidR="00F05819" w:rsidRPr="00F14232" w:rsidRDefault="00F05819" w:rsidP="000A76C5">
            <w:pPr>
              <w:spacing w:after="0" w:line="240" w:lineRule="auto"/>
              <w:jc w:val="right"/>
              <w:rPr>
                <w:rFonts w:ascii="Calibri" w:eastAsia="Times New Roman" w:hAnsi="Calibri" w:cs="Calibri"/>
                <w:b/>
                <w:bCs/>
                <w:color w:val="000000"/>
                <w:kern w:val="0"/>
                <w:lang w:eastAsia="en-GB"/>
                <w14:ligatures w14:val="none"/>
              </w:rPr>
            </w:pPr>
            <w:r w:rsidRPr="00F14232">
              <w:rPr>
                <w:rFonts w:ascii="Calibri" w:eastAsia="Times New Roman" w:hAnsi="Calibri" w:cs="Calibri"/>
                <w:b/>
                <w:bCs/>
                <w:color w:val="000000"/>
                <w:kern w:val="0"/>
                <w:lang w:eastAsia="en-GB"/>
                <w14:ligatures w14:val="none"/>
              </w:rPr>
              <w:t>6.13%</w:t>
            </w:r>
          </w:p>
        </w:tc>
        <w:tc>
          <w:tcPr>
            <w:tcW w:w="1220" w:type="dxa"/>
            <w:tcBorders>
              <w:top w:val="single" w:sz="4" w:space="0" w:color="8EA9DB"/>
              <w:left w:val="nil"/>
              <w:bottom w:val="nil"/>
              <w:right w:val="nil"/>
            </w:tcBorders>
            <w:shd w:val="clear" w:color="D9E1F2" w:fill="D9E1F2"/>
            <w:noWrap/>
            <w:vAlign w:val="bottom"/>
            <w:hideMark/>
          </w:tcPr>
          <w:p w14:paraId="3A2C60DD" w14:textId="77777777" w:rsidR="00F05819" w:rsidRPr="00F14232" w:rsidRDefault="00F05819" w:rsidP="000A76C5">
            <w:pPr>
              <w:spacing w:after="0" w:line="240" w:lineRule="auto"/>
              <w:jc w:val="right"/>
              <w:rPr>
                <w:rFonts w:ascii="Calibri" w:eastAsia="Times New Roman" w:hAnsi="Calibri" w:cs="Calibri"/>
                <w:b/>
                <w:bCs/>
                <w:color w:val="000000"/>
                <w:kern w:val="0"/>
                <w:lang w:eastAsia="en-GB"/>
                <w14:ligatures w14:val="none"/>
              </w:rPr>
            </w:pPr>
            <w:r w:rsidRPr="00F14232">
              <w:rPr>
                <w:rFonts w:ascii="Calibri" w:eastAsia="Times New Roman" w:hAnsi="Calibri" w:cs="Calibri"/>
                <w:b/>
                <w:bCs/>
                <w:color w:val="000000"/>
                <w:kern w:val="0"/>
                <w:lang w:eastAsia="en-GB"/>
                <w14:ligatures w14:val="none"/>
              </w:rPr>
              <w:t>93.87%</w:t>
            </w:r>
          </w:p>
        </w:tc>
        <w:tc>
          <w:tcPr>
            <w:tcW w:w="1120" w:type="dxa"/>
            <w:tcBorders>
              <w:top w:val="single" w:sz="4" w:space="0" w:color="8EA9DB"/>
              <w:left w:val="nil"/>
              <w:bottom w:val="nil"/>
              <w:right w:val="nil"/>
            </w:tcBorders>
            <w:shd w:val="clear" w:color="D9E1F2" w:fill="D9E1F2"/>
            <w:noWrap/>
            <w:vAlign w:val="bottom"/>
            <w:hideMark/>
          </w:tcPr>
          <w:p w14:paraId="538CC325" w14:textId="77777777" w:rsidR="00F05819" w:rsidRPr="00F14232" w:rsidRDefault="00F05819" w:rsidP="000A76C5">
            <w:pPr>
              <w:spacing w:after="0" w:line="240" w:lineRule="auto"/>
              <w:jc w:val="right"/>
              <w:rPr>
                <w:rFonts w:ascii="Calibri" w:eastAsia="Times New Roman" w:hAnsi="Calibri" w:cs="Calibri"/>
                <w:b/>
                <w:bCs/>
                <w:color w:val="000000"/>
                <w:kern w:val="0"/>
                <w:lang w:eastAsia="en-GB"/>
                <w14:ligatures w14:val="none"/>
              </w:rPr>
            </w:pPr>
            <w:r w:rsidRPr="00F14232">
              <w:rPr>
                <w:rFonts w:ascii="Calibri" w:eastAsia="Times New Roman" w:hAnsi="Calibri" w:cs="Calibri"/>
                <w:b/>
                <w:bCs/>
                <w:color w:val="000000"/>
                <w:kern w:val="0"/>
                <w:lang w:eastAsia="en-GB"/>
                <w14:ligatures w14:val="none"/>
              </w:rPr>
              <w:t>100.00%</w:t>
            </w:r>
          </w:p>
        </w:tc>
      </w:tr>
    </w:tbl>
    <w:p w14:paraId="07AEBB74" w14:textId="77777777" w:rsidR="00F05819" w:rsidRDefault="00F05819" w:rsidP="00F05819">
      <w:pPr>
        <w:rPr>
          <w:rFonts w:eastAsia="Times New Roman" w:cstheme="minorHAnsi"/>
          <w:kern w:val="0"/>
          <w:szCs w:val="24"/>
          <w:lang w:eastAsia="en-GB"/>
          <w14:ligatures w14:val="none"/>
        </w:rPr>
      </w:pPr>
    </w:p>
    <w:p w14:paraId="555A1181" w14:textId="77777777" w:rsidR="00F05819" w:rsidRPr="0007410A" w:rsidRDefault="00F05819" w:rsidP="00F05819">
      <w:pPr>
        <w:rPr>
          <w:rFonts w:eastAsia="Times New Roman" w:cstheme="minorHAnsi"/>
          <w:kern w:val="0"/>
          <w:szCs w:val="24"/>
          <w:lang w:eastAsia="en-GB"/>
          <w14:ligatures w14:val="none"/>
        </w:rPr>
      </w:pPr>
      <w:r w:rsidRPr="0007410A">
        <w:rPr>
          <w:rFonts w:eastAsia="Times New Roman" w:cstheme="minorHAnsi"/>
          <w:kern w:val="0"/>
          <w:szCs w:val="24"/>
          <w:lang w:eastAsia="en-GB"/>
          <w14:ligatures w14:val="none"/>
        </w:rPr>
        <w:t>Figure 1.</w:t>
      </w:r>
      <w:r>
        <w:rPr>
          <w:rFonts w:eastAsia="Times New Roman" w:cstheme="minorHAnsi"/>
          <w:kern w:val="0"/>
          <w:szCs w:val="24"/>
          <w:lang w:eastAsia="en-GB"/>
          <w14:ligatures w14:val="none"/>
        </w:rPr>
        <w:t>6</w:t>
      </w:r>
    </w:p>
    <w:p w14:paraId="7B5E5CD3" w14:textId="77777777" w:rsidR="00F05819" w:rsidRDefault="00F05819" w:rsidP="00F05819">
      <w:pPr>
        <w:rPr>
          <w:rFonts w:ascii="Arial" w:eastAsia="Times New Roman" w:hAnsi="Arial" w:cs="Arial"/>
          <w:kern w:val="0"/>
          <w:szCs w:val="24"/>
          <w:lang w:eastAsia="en-GB"/>
          <w14:ligatures w14:val="none"/>
        </w:rPr>
      </w:pPr>
      <w:r>
        <w:rPr>
          <w:noProof/>
        </w:rPr>
        <w:drawing>
          <wp:anchor distT="0" distB="0" distL="114300" distR="114300" simplePos="0" relativeHeight="251661312" behindDoc="0" locked="0" layoutInCell="1" allowOverlap="1" wp14:anchorId="5C99A951" wp14:editId="0E016929">
            <wp:simplePos x="0" y="0"/>
            <wp:positionH relativeFrom="column">
              <wp:posOffset>394636</wp:posOffset>
            </wp:positionH>
            <wp:positionV relativeFrom="paragraph">
              <wp:posOffset>50666</wp:posOffset>
            </wp:positionV>
            <wp:extent cx="5072514" cy="2733575"/>
            <wp:effectExtent l="0" t="0" r="13970" b="10160"/>
            <wp:wrapSquare wrapText="bothSides"/>
            <wp:docPr id="2128011681" name="Chart 2128011681">
              <a:extLst xmlns:a="http://schemas.openxmlformats.org/drawingml/2006/main">
                <a:ext uri="{FF2B5EF4-FFF2-40B4-BE49-F238E27FC236}">
                  <a16:creationId xmlns:a16="http://schemas.microsoft.com/office/drawing/2014/main" id="{BE4B09FF-CD38-B5CB-FE77-4A7A82D6D60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p>
    <w:p w14:paraId="6E1BF81F" w14:textId="77777777" w:rsidR="00F05819" w:rsidRDefault="00F05819" w:rsidP="00F05819">
      <w:pPr>
        <w:rPr>
          <w:rFonts w:ascii="Arial" w:eastAsia="Times New Roman" w:hAnsi="Arial" w:cs="Arial"/>
          <w:kern w:val="0"/>
          <w:szCs w:val="24"/>
          <w:lang w:eastAsia="en-GB"/>
          <w14:ligatures w14:val="none"/>
        </w:rPr>
      </w:pPr>
    </w:p>
    <w:p w14:paraId="420AA5A3" w14:textId="77777777" w:rsidR="00F05819" w:rsidRDefault="00F05819" w:rsidP="00F05819">
      <w:pPr>
        <w:rPr>
          <w:rFonts w:ascii="Arial" w:eastAsia="Times New Roman" w:hAnsi="Arial" w:cs="Arial"/>
          <w:kern w:val="0"/>
          <w:szCs w:val="24"/>
          <w:lang w:eastAsia="en-GB"/>
          <w14:ligatures w14:val="none"/>
        </w:rPr>
      </w:pPr>
    </w:p>
    <w:p w14:paraId="2D81391B" w14:textId="77777777" w:rsidR="00F05819" w:rsidRDefault="00F05819" w:rsidP="00F05819">
      <w:pPr>
        <w:rPr>
          <w:rFonts w:ascii="Arial" w:eastAsia="Times New Roman" w:hAnsi="Arial" w:cs="Arial"/>
          <w:kern w:val="0"/>
          <w:szCs w:val="24"/>
          <w:lang w:eastAsia="en-GB"/>
          <w14:ligatures w14:val="none"/>
        </w:rPr>
      </w:pPr>
    </w:p>
    <w:p w14:paraId="517880F2" w14:textId="77777777" w:rsidR="00F05819" w:rsidRDefault="00F05819" w:rsidP="00F05819">
      <w:pPr>
        <w:rPr>
          <w:rFonts w:ascii="Arial" w:eastAsia="Times New Roman" w:hAnsi="Arial" w:cs="Arial"/>
          <w:kern w:val="0"/>
          <w:szCs w:val="24"/>
          <w:lang w:eastAsia="en-GB"/>
          <w14:ligatures w14:val="none"/>
        </w:rPr>
      </w:pPr>
    </w:p>
    <w:p w14:paraId="16F7B057" w14:textId="77777777" w:rsidR="00F05819" w:rsidRDefault="00F05819" w:rsidP="00F05819">
      <w:pPr>
        <w:rPr>
          <w:rFonts w:ascii="Arial" w:eastAsia="Times New Roman" w:hAnsi="Arial" w:cs="Arial"/>
          <w:kern w:val="0"/>
          <w:szCs w:val="24"/>
          <w:lang w:eastAsia="en-GB"/>
          <w14:ligatures w14:val="none"/>
        </w:rPr>
      </w:pPr>
    </w:p>
    <w:p w14:paraId="3734A6B7" w14:textId="77777777" w:rsidR="00F05819" w:rsidRDefault="00F05819" w:rsidP="00F05819">
      <w:pPr>
        <w:rPr>
          <w:rFonts w:ascii="Arial" w:eastAsia="Times New Roman" w:hAnsi="Arial" w:cs="Arial"/>
          <w:kern w:val="0"/>
          <w:szCs w:val="24"/>
          <w:lang w:eastAsia="en-GB"/>
          <w14:ligatures w14:val="none"/>
        </w:rPr>
      </w:pPr>
    </w:p>
    <w:p w14:paraId="79EC7B4A" w14:textId="77777777" w:rsidR="00F05819" w:rsidRDefault="00F05819" w:rsidP="00F05819">
      <w:pPr>
        <w:rPr>
          <w:rFonts w:ascii="Arial" w:eastAsia="Times New Roman" w:hAnsi="Arial" w:cs="Arial"/>
          <w:kern w:val="0"/>
          <w:szCs w:val="24"/>
          <w:lang w:eastAsia="en-GB"/>
          <w14:ligatures w14:val="none"/>
        </w:rPr>
      </w:pPr>
    </w:p>
    <w:p w14:paraId="0042CAA9" w14:textId="77777777" w:rsidR="00F05819" w:rsidRDefault="00F05819" w:rsidP="00F05819">
      <w:pPr>
        <w:rPr>
          <w:rFonts w:ascii="Arial" w:eastAsia="Times New Roman" w:hAnsi="Arial" w:cs="Arial"/>
          <w:kern w:val="0"/>
          <w:szCs w:val="24"/>
          <w:lang w:eastAsia="en-GB"/>
          <w14:ligatures w14:val="none"/>
        </w:rPr>
      </w:pPr>
    </w:p>
    <w:p w14:paraId="55B18D7A" w14:textId="77777777" w:rsidR="00F05819" w:rsidRDefault="00F05819" w:rsidP="00F05819">
      <w:pPr>
        <w:rPr>
          <w:rFonts w:eastAsia="Times New Roman" w:cstheme="minorHAnsi"/>
          <w:kern w:val="0"/>
          <w:szCs w:val="24"/>
          <w:lang w:eastAsia="en-GB"/>
          <w14:ligatures w14:val="none"/>
        </w:rPr>
      </w:pPr>
    </w:p>
    <w:p w14:paraId="5D79859E" w14:textId="77777777" w:rsidR="00D515B6" w:rsidRDefault="00D515B6" w:rsidP="00F05819">
      <w:pPr>
        <w:rPr>
          <w:rFonts w:eastAsia="Times New Roman" w:cstheme="minorHAnsi"/>
          <w:kern w:val="0"/>
          <w:szCs w:val="24"/>
          <w:lang w:eastAsia="en-GB"/>
          <w14:ligatures w14:val="none"/>
        </w:rPr>
      </w:pPr>
    </w:p>
    <w:p w14:paraId="68DBF7DC" w14:textId="77777777" w:rsidR="002F7AFD" w:rsidRDefault="002F7AFD" w:rsidP="00F05819">
      <w:pPr>
        <w:rPr>
          <w:rFonts w:eastAsia="Times New Roman" w:cstheme="minorHAnsi"/>
          <w:kern w:val="0"/>
          <w:szCs w:val="24"/>
          <w:lang w:eastAsia="en-GB"/>
          <w14:ligatures w14:val="none"/>
        </w:rPr>
      </w:pPr>
    </w:p>
    <w:p w14:paraId="4C12B8EF" w14:textId="77777777" w:rsidR="002F7AFD" w:rsidRDefault="002F7AFD" w:rsidP="00F05819">
      <w:pPr>
        <w:rPr>
          <w:rFonts w:eastAsia="Times New Roman" w:cstheme="minorHAnsi"/>
          <w:kern w:val="0"/>
          <w:szCs w:val="24"/>
          <w:lang w:eastAsia="en-GB"/>
          <w14:ligatures w14:val="none"/>
        </w:rPr>
      </w:pPr>
    </w:p>
    <w:p w14:paraId="178D74CA" w14:textId="2BAE6C32" w:rsidR="00F05819" w:rsidRPr="0007410A" w:rsidRDefault="00F05819" w:rsidP="00F05819">
      <w:pPr>
        <w:rPr>
          <w:rFonts w:eastAsia="Times New Roman" w:cstheme="minorHAnsi"/>
          <w:kern w:val="0"/>
          <w:szCs w:val="24"/>
          <w:lang w:eastAsia="en-GB"/>
          <w14:ligatures w14:val="none"/>
        </w:rPr>
      </w:pPr>
      <w:r>
        <w:rPr>
          <w:rFonts w:eastAsia="Times New Roman" w:cstheme="minorHAnsi"/>
          <w:kern w:val="0"/>
          <w:szCs w:val="24"/>
          <w:lang w:eastAsia="en-GB"/>
          <w14:ligatures w14:val="none"/>
        </w:rPr>
        <w:lastRenderedPageBreak/>
        <w:t>Figure 1.7</w:t>
      </w:r>
    </w:p>
    <w:p w14:paraId="28C61957" w14:textId="77777777" w:rsidR="00F05819" w:rsidRDefault="00F05819" w:rsidP="00F05819">
      <w:pPr>
        <w:rPr>
          <w:rFonts w:ascii="Arial" w:eastAsia="Times New Roman" w:hAnsi="Arial" w:cs="Arial"/>
          <w:kern w:val="0"/>
          <w:szCs w:val="24"/>
          <w:lang w:eastAsia="en-GB"/>
          <w14:ligatures w14:val="none"/>
        </w:rPr>
      </w:pPr>
      <w:r>
        <w:rPr>
          <w:noProof/>
        </w:rPr>
        <w:drawing>
          <wp:anchor distT="0" distB="0" distL="114300" distR="114300" simplePos="0" relativeHeight="251662336" behindDoc="0" locked="0" layoutInCell="1" allowOverlap="1" wp14:anchorId="672C107A" wp14:editId="2080F635">
            <wp:simplePos x="0" y="0"/>
            <wp:positionH relativeFrom="column">
              <wp:posOffset>404161</wp:posOffset>
            </wp:positionH>
            <wp:positionV relativeFrom="paragraph">
              <wp:posOffset>23061</wp:posOffset>
            </wp:positionV>
            <wp:extent cx="5062888" cy="2897205"/>
            <wp:effectExtent l="0" t="0" r="4445" b="17780"/>
            <wp:wrapSquare wrapText="bothSides"/>
            <wp:docPr id="1490530638" name="Chart 1490530638">
              <a:extLst xmlns:a="http://schemas.openxmlformats.org/drawingml/2006/main">
                <a:ext uri="{FF2B5EF4-FFF2-40B4-BE49-F238E27FC236}">
                  <a16:creationId xmlns:a16="http://schemas.microsoft.com/office/drawing/2014/main" id="{0261C7D7-9967-4AE6-BBF3-F16C043250F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p>
    <w:p w14:paraId="52C6DBAC" w14:textId="77777777" w:rsidR="00F05819" w:rsidRDefault="00F05819" w:rsidP="00F05819">
      <w:pPr>
        <w:rPr>
          <w:rFonts w:ascii="Arial" w:eastAsia="Times New Roman" w:hAnsi="Arial" w:cs="Arial"/>
          <w:kern w:val="0"/>
          <w:szCs w:val="24"/>
          <w:lang w:eastAsia="en-GB"/>
          <w14:ligatures w14:val="none"/>
        </w:rPr>
      </w:pPr>
    </w:p>
    <w:p w14:paraId="31E630C0" w14:textId="77777777" w:rsidR="00F05819" w:rsidRDefault="00F05819" w:rsidP="00F05819">
      <w:pPr>
        <w:rPr>
          <w:rFonts w:ascii="Arial" w:eastAsia="Times New Roman" w:hAnsi="Arial" w:cs="Arial"/>
          <w:kern w:val="0"/>
          <w:szCs w:val="24"/>
          <w:lang w:eastAsia="en-GB"/>
          <w14:ligatures w14:val="none"/>
        </w:rPr>
      </w:pPr>
    </w:p>
    <w:p w14:paraId="66E8F25D" w14:textId="77777777" w:rsidR="00F05819" w:rsidRDefault="00F05819" w:rsidP="00F05819">
      <w:pPr>
        <w:rPr>
          <w:rFonts w:ascii="Arial" w:eastAsia="Times New Roman" w:hAnsi="Arial" w:cs="Arial"/>
          <w:kern w:val="0"/>
          <w:szCs w:val="24"/>
          <w:lang w:eastAsia="en-GB"/>
          <w14:ligatures w14:val="none"/>
        </w:rPr>
      </w:pPr>
    </w:p>
    <w:p w14:paraId="11A6D7F8" w14:textId="77777777" w:rsidR="00F05819" w:rsidRDefault="00F05819" w:rsidP="00F05819">
      <w:pPr>
        <w:rPr>
          <w:rFonts w:ascii="Arial" w:eastAsia="Times New Roman" w:hAnsi="Arial" w:cs="Arial"/>
          <w:kern w:val="0"/>
          <w:szCs w:val="24"/>
          <w:lang w:eastAsia="en-GB"/>
          <w14:ligatures w14:val="none"/>
        </w:rPr>
      </w:pPr>
    </w:p>
    <w:p w14:paraId="48B7F413" w14:textId="77777777" w:rsidR="00F05819" w:rsidRDefault="00F05819" w:rsidP="00F05819">
      <w:pPr>
        <w:rPr>
          <w:rFonts w:ascii="Arial" w:eastAsia="Times New Roman" w:hAnsi="Arial" w:cs="Arial"/>
          <w:kern w:val="0"/>
          <w:szCs w:val="24"/>
          <w:lang w:eastAsia="en-GB"/>
          <w14:ligatures w14:val="none"/>
        </w:rPr>
      </w:pPr>
    </w:p>
    <w:p w14:paraId="541B5278" w14:textId="77777777" w:rsidR="00F05819" w:rsidRDefault="00F05819" w:rsidP="00F05819">
      <w:pPr>
        <w:rPr>
          <w:rFonts w:ascii="Arial" w:eastAsia="Times New Roman" w:hAnsi="Arial" w:cs="Arial"/>
          <w:kern w:val="0"/>
          <w:szCs w:val="24"/>
          <w:lang w:eastAsia="en-GB"/>
          <w14:ligatures w14:val="none"/>
        </w:rPr>
      </w:pPr>
    </w:p>
    <w:p w14:paraId="3737B011" w14:textId="77777777" w:rsidR="00F05819" w:rsidRDefault="00F05819" w:rsidP="00F05819">
      <w:pPr>
        <w:rPr>
          <w:rFonts w:ascii="Arial" w:eastAsia="Times New Roman" w:hAnsi="Arial" w:cs="Arial"/>
          <w:kern w:val="0"/>
          <w:szCs w:val="24"/>
          <w:lang w:eastAsia="en-GB"/>
          <w14:ligatures w14:val="none"/>
        </w:rPr>
      </w:pPr>
    </w:p>
    <w:p w14:paraId="6E6A5A49" w14:textId="77777777" w:rsidR="00F05819" w:rsidRDefault="00F05819" w:rsidP="00F05819">
      <w:pPr>
        <w:rPr>
          <w:rFonts w:ascii="Arial" w:eastAsia="Times New Roman" w:hAnsi="Arial" w:cs="Arial"/>
          <w:kern w:val="0"/>
          <w:szCs w:val="24"/>
          <w:lang w:eastAsia="en-GB"/>
          <w14:ligatures w14:val="none"/>
        </w:rPr>
      </w:pPr>
    </w:p>
    <w:p w14:paraId="011681C2" w14:textId="77777777" w:rsidR="00F05819" w:rsidRDefault="00F05819" w:rsidP="00F05819">
      <w:pPr>
        <w:rPr>
          <w:rFonts w:ascii="Arial" w:eastAsia="Times New Roman" w:hAnsi="Arial" w:cs="Arial"/>
          <w:kern w:val="0"/>
          <w:szCs w:val="24"/>
          <w:lang w:eastAsia="en-GB"/>
          <w14:ligatures w14:val="none"/>
        </w:rPr>
      </w:pPr>
    </w:p>
    <w:p w14:paraId="577C9DDB" w14:textId="77777777" w:rsidR="00F05819" w:rsidRPr="00C02ED8" w:rsidRDefault="00F05819" w:rsidP="00F05819">
      <w:pPr>
        <w:rPr>
          <w:rFonts w:eastAsia="Times New Roman" w:cstheme="minorHAnsi"/>
          <w:kern w:val="0"/>
          <w:lang w:eastAsia="en-GB"/>
          <w14:ligatures w14:val="none"/>
        </w:rPr>
      </w:pPr>
    </w:p>
    <w:p w14:paraId="62C0C51B" w14:textId="77777777" w:rsidR="00F05819" w:rsidRPr="00C02ED8" w:rsidRDefault="00F05819" w:rsidP="00F05819">
      <w:pPr>
        <w:rPr>
          <w:rFonts w:eastAsia="Times New Roman" w:cstheme="minorHAnsi"/>
          <w:kern w:val="0"/>
          <w:lang w:eastAsia="en-GB"/>
          <w14:ligatures w14:val="none"/>
        </w:rPr>
      </w:pPr>
    </w:p>
    <w:p w14:paraId="18568D5B" w14:textId="054D7781" w:rsidR="00F05819" w:rsidRPr="003D7E4D" w:rsidRDefault="00F05819" w:rsidP="00F05819">
      <w:pPr>
        <w:rPr>
          <w:rFonts w:cstheme="minorHAnsi"/>
          <w:lang w:eastAsia="en-GB"/>
        </w:rPr>
      </w:pPr>
      <w:r w:rsidRPr="00C02ED8">
        <w:rPr>
          <w:rFonts w:cstheme="minorHAnsi"/>
          <w:lang w:eastAsia="en-GB"/>
        </w:rPr>
        <w:t>Figure1.2 states the gender by type, 54% women, 45% men and only 1% non-binary. The organisation is nearly equal on the representation between men and women, however there is a small percentage on non-binary employees. It might be beneficial for the company to invest in diversity initiatives to make the working environment more inclusive.</w:t>
      </w:r>
    </w:p>
    <w:p w14:paraId="4B7988CA" w14:textId="1E906B03" w:rsidR="00F05819" w:rsidRPr="00C02ED8" w:rsidRDefault="00F05819" w:rsidP="00F05819">
      <w:pPr>
        <w:rPr>
          <w:rFonts w:eastAsia="Times New Roman" w:cstheme="minorHAnsi"/>
          <w:kern w:val="0"/>
          <w:lang w:eastAsia="en-GB"/>
          <w14:ligatures w14:val="none"/>
        </w:rPr>
      </w:pPr>
      <w:r w:rsidRPr="00C02ED8">
        <w:rPr>
          <w:rFonts w:eastAsia="Times New Roman" w:cstheme="minorHAnsi"/>
          <w:kern w:val="0"/>
          <w:lang w:eastAsia="en-GB"/>
          <w14:ligatures w14:val="none"/>
        </w:rPr>
        <w:t xml:space="preserve">In addition, the Figure 1.4 relating to ethnicity clearly states that there is a large proportion of the workforce who are white British, </w:t>
      </w:r>
      <w:r w:rsidR="00CC10CA">
        <w:rPr>
          <w:rFonts w:eastAsia="Times New Roman" w:cstheme="minorHAnsi"/>
          <w:kern w:val="0"/>
          <w:lang w:eastAsia="en-GB"/>
          <w14:ligatures w14:val="none"/>
        </w:rPr>
        <w:t>a</w:t>
      </w:r>
      <w:r w:rsidRPr="00C02ED8">
        <w:rPr>
          <w:rFonts w:eastAsia="Times New Roman" w:cstheme="minorHAnsi"/>
          <w:kern w:val="0"/>
          <w:lang w:eastAsia="en-GB"/>
          <w14:ligatures w14:val="none"/>
        </w:rPr>
        <w:t>ddition</w:t>
      </w:r>
      <w:r w:rsidR="00CC10CA">
        <w:rPr>
          <w:rFonts w:eastAsia="Times New Roman" w:cstheme="minorHAnsi"/>
          <w:kern w:val="0"/>
          <w:lang w:eastAsia="en-GB"/>
          <w14:ligatures w14:val="none"/>
        </w:rPr>
        <w:t>ally</w:t>
      </w:r>
      <w:r w:rsidRPr="00C02ED8">
        <w:rPr>
          <w:rFonts w:eastAsia="Times New Roman" w:cstheme="minorHAnsi"/>
          <w:kern w:val="0"/>
          <w:lang w:eastAsia="en-GB"/>
          <w14:ligatures w14:val="none"/>
        </w:rPr>
        <w:t xml:space="preserve"> </w:t>
      </w:r>
      <w:r w:rsidR="00CC10CA" w:rsidRPr="00C02ED8">
        <w:rPr>
          <w:rFonts w:eastAsia="Times New Roman" w:cstheme="minorHAnsi"/>
          <w:kern w:val="0"/>
          <w:lang w:eastAsia="en-GB"/>
          <w14:ligatures w14:val="none"/>
        </w:rPr>
        <w:t>most of</w:t>
      </w:r>
      <w:r w:rsidRPr="00C02ED8">
        <w:rPr>
          <w:rFonts w:eastAsia="Times New Roman" w:cstheme="minorHAnsi"/>
          <w:kern w:val="0"/>
          <w:lang w:eastAsia="en-GB"/>
          <w14:ligatures w14:val="none"/>
        </w:rPr>
        <w:t xml:space="preserve"> each team within the organisation is white British. It</w:t>
      </w:r>
      <w:r w:rsidR="00F757BB">
        <w:rPr>
          <w:rFonts w:eastAsia="Times New Roman" w:cstheme="minorHAnsi"/>
          <w:kern w:val="0"/>
          <w:lang w:eastAsia="en-GB"/>
          <w14:ligatures w14:val="none"/>
        </w:rPr>
        <w:t>’s</w:t>
      </w:r>
      <w:r w:rsidRPr="00C02ED8">
        <w:rPr>
          <w:rFonts w:eastAsia="Times New Roman" w:cstheme="minorHAnsi"/>
          <w:kern w:val="0"/>
          <w:lang w:eastAsia="en-GB"/>
          <w14:ligatures w14:val="none"/>
        </w:rPr>
        <w:t xml:space="preserve"> evident that there is a lack of diversity and inclusion within the organisation, diversity refers to a broad range of people within the workforce, this can include individuals of different ages, cultural backgrounds, those with disabilities and different genders and sexual orientations </w:t>
      </w:r>
      <w:r w:rsidR="00BA31F1">
        <w:rPr>
          <w:rFonts w:cstheme="minorHAnsi"/>
        </w:rPr>
        <w:t>(ACAS, No date).</w:t>
      </w:r>
      <w:r w:rsidRPr="00C02ED8">
        <w:rPr>
          <w:rFonts w:cstheme="minorHAnsi"/>
        </w:rPr>
        <w:t xml:space="preserve"> </w:t>
      </w:r>
    </w:p>
    <w:p w14:paraId="10819815" w14:textId="36373A31" w:rsidR="00F05819" w:rsidRPr="00C02ED8" w:rsidRDefault="00F05819" w:rsidP="00F05819">
      <w:pPr>
        <w:rPr>
          <w:rFonts w:cstheme="minorHAnsi"/>
        </w:rPr>
      </w:pPr>
      <w:r w:rsidRPr="00C02ED8">
        <w:rPr>
          <w:rFonts w:eastAsia="Times New Roman" w:cstheme="minorHAnsi"/>
          <w:kern w:val="0"/>
          <w:lang w:eastAsia="en-GB"/>
          <w14:ligatures w14:val="none"/>
        </w:rPr>
        <w:t>If the organisation implemented a strategy to improve diversity, they may benefit by having greater opportunities, better decision making, increased creativity and innovation. Research has shown that diverse teams make better decisions 87% of the time</w:t>
      </w:r>
      <w:r w:rsidR="00B64303">
        <w:rPr>
          <w:rFonts w:eastAsia="Times New Roman" w:cstheme="minorHAnsi"/>
          <w:kern w:val="0"/>
          <w:lang w:eastAsia="en-GB"/>
          <w14:ligatures w14:val="none"/>
        </w:rPr>
        <w:t xml:space="preserve"> </w:t>
      </w:r>
      <w:r w:rsidR="00A9146F">
        <w:t>(Stahl,2021).</w:t>
      </w:r>
      <w:r w:rsidRPr="00C02ED8">
        <w:rPr>
          <w:rFonts w:eastAsia="Times New Roman" w:cstheme="minorHAnsi"/>
          <w:kern w:val="0"/>
          <w:lang w:eastAsia="en-GB"/>
          <w14:ligatures w14:val="none"/>
        </w:rPr>
        <w:t xml:space="preserve"> </w:t>
      </w:r>
    </w:p>
    <w:p w14:paraId="56B42A48" w14:textId="67AC24AA" w:rsidR="00F05819" w:rsidRPr="00C02ED8" w:rsidRDefault="00F05819" w:rsidP="00F05819">
      <w:pPr>
        <w:rPr>
          <w:rFonts w:cstheme="minorHAnsi"/>
          <w:b/>
          <w:bCs/>
        </w:rPr>
      </w:pPr>
      <w:r w:rsidRPr="00C02ED8">
        <w:rPr>
          <w:rFonts w:cstheme="minorHAnsi"/>
        </w:rPr>
        <w:t>It would be beneficial to implement inclusive policies</w:t>
      </w:r>
      <w:r w:rsidR="00CC10CA">
        <w:rPr>
          <w:rFonts w:cstheme="minorHAnsi"/>
        </w:rPr>
        <w:t xml:space="preserve">, </w:t>
      </w:r>
      <w:r w:rsidRPr="00C02ED8">
        <w:rPr>
          <w:rFonts w:cstheme="minorHAnsi"/>
        </w:rPr>
        <w:t>ensur</w:t>
      </w:r>
      <w:r w:rsidR="00CC10CA">
        <w:rPr>
          <w:rFonts w:cstheme="minorHAnsi"/>
        </w:rPr>
        <w:t>ing</w:t>
      </w:r>
      <w:r w:rsidRPr="00C02ED8">
        <w:rPr>
          <w:rFonts w:cstheme="minorHAnsi"/>
        </w:rPr>
        <w:t xml:space="preserve"> that guidelines and training is provided to managers to aid them in responding to diversity needs. </w:t>
      </w:r>
      <w:r w:rsidR="00CC10CA">
        <w:rPr>
          <w:rFonts w:cstheme="minorHAnsi"/>
        </w:rPr>
        <w:t>This</w:t>
      </w:r>
      <w:r w:rsidRPr="00C02ED8">
        <w:rPr>
          <w:rFonts w:cstheme="minorHAnsi"/>
        </w:rPr>
        <w:t xml:space="preserve"> can create an inclusive culture, with the use of open communication and appropriate channels for staff can ensure staff feel supported and valued</w:t>
      </w:r>
      <w:r w:rsidR="00BE556C">
        <w:rPr>
          <w:rFonts w:cstheme="minorHAnsi"/>
        </w:rPr>
        <w:t xml:space="preserve"> </w:t>
      </w:r>
      <w:r w:rsidR="00BE556C">
        <w:t>(CIPD,2022)</w:t>
      </w:r>
      <w:r w:rsidRPr="00C02ED8">
        <w:rPr>
          <w:rFonts w:cstheme="minorHAnsi"/>
        </w:rPr>
        <w:t xml:space="preserve">. </w:t>
      </w:r>
    </w:p>
    <w:p w14:paraId="58C6DF07" w14:textId="49870E78" w:rsidR="00F05819" w:rsidRPr="00C02ED8" w:rsidRDefault="00D420FD" w:rsidP="00D420FD">
      <w:pPr>
        <w:rPr>
          <w:rFonts w:eastAsia="Times New Roman" w:cstheme="minorHAnsi"/>
          <w:kern w:val="0"/>
          <w:lang w:eastAsia="en-GB"/>
          <w14:ligatures w14:val="none"/>
        </w:rPr>
      </w:pPr>
      <w:r>
        <w:rPr>
          <w:rFonts w:eastAsia="Times New Roman" w:cstheme="minorHAnsi"/>
          <w:kern w:val="0"/>
          <w:lang w:eastAsia="en-GB"/>
          <w14:ligatures w14:val="none"/>
        </w:rPr>
        <w:t>T</w:t>
      </w:r>
      <w:r w:rsidR="00F05819" w:rsidRPr="00C02ED8">
        <w:rPr>
          <w:rFonts w:eastAsia="Times New Roman" w:cstheme="minorHAnsi"/>
          <w:kern w:val="0"/>
          <w:lang w:eastAsia="en-GB"/>
          <w14:ligatures w14:val="none"/>
        </w:rPr>
        <w:t xml:space="preserve">o improve the diversity within the organisation </w:t>
      </w:r>
      <w:r w:rsidR="00DD4D14">
        <w:rPr>
          <w:rFonts w:eastAsia="Times New Roman" w:cstheme="minorHAnsi"/>
          <w:kern w:val="0"/>
          <w:lang w:eastAsia="en-GB"/>
          <w14:ligatures w14:val="none"/>
        </w:rPr>
        <w:t xml:space="preserve">an </w:t>
      </w:r>
      <w:r w:rsidR="00F05819" w:rsidRPr="00C02ED8">
        <w:rPr>
          <w:rFonts w:eastAsia="Times New Roman" w:cstheme="minorHAnsi"/>
          <w:kern w:val="0"/>
          <w:lang w:eastAsia="en-GB"/>
          <w14:ligatures w14:val="none"/>
        </w:rPr>
        <w:t xml:space="preserve">inclusive recruitment </w:t>
      </w:r>
      <w:r w:rsidR="00DD4D14" w:rsidRPr="00C02ED8">
        <w:rPr>
          <w:rFonts w:eastAsia="Times New Roman" w:cstheme="minorHAnsi"/>
          <w:kern w:val="0"/>
          <w:lang w:eastAsia="en-GB"/>
          <w14:ligatures w14:val="none"/>
        </w:rPr>
        <w:t>strategy</w:t>
      </w:r>
      <w:r w:rsidR="00DD4D14">
        <w:rPr>
          <w:rFonts w:eastAsia="Times New Roman" w:cstheme="minorHAnsi"/>
          <w:kern w:val="0"/>
          <w:lang w:eastAsia="en-GB"/>
          <w14:ligatures w14:val="none"/>
        </w:rPr>
        <w:t xml:space="preserve"> can be implemented</w:t>
      </w:r>
      <w:r w:rsidR="00F05819" w:rsidRPr="00C02ED8">
        <w:rPr>
          <w:rFonts w:eastAsia="Times New Roman" w:cstheme="minorHAnsi"/>
          <w:kern w:val="0"/>
          <w:lang w:eastAsia="en-GB"/>
          <w14:ligatures w14:val="none"/>
        </w:rPr>
        <w:t>. An organisation who has implemented this is South Wales Police ensures are committed to being a disability confident employer, they guarantee to interview all applicants with a disability who meet the</w:t>
      </w:r>
      <w:r w:rsidR="00DD4D14">
        <w:rPr>
          <w:rFonts w:eastAsia="Times New Roman" w:cstheme="minorHAnsi"/>
          <w:kern w:val="0"/>
          <w:lang w:eastAsia="en-GB"/>
          <w14:ligatures w14:val="none"/>
        </w:rPr>
        <w:t xml:space="preserve"> </w:t>
      </w:r>
      <w:r w:rsidR="00F05819" w:rsidRPr="00C02ED8">
        <w:rPr>
          <w:rFonts w:eastAsia="Times New Roman" w:cstheme="minorHAnsi"/>
          <w:kern w:val="0"/>
          <w:lang w:eastAsia="en-GB"/>
          <w14:ligatures w14:val="none"/>
        </w:rPr>
        <w:t xml:space="preserve">requirements, </w:t>
      </w:r>
      <w:r w:rsidR="00DD4D14">
        <w:rPr>
          <w:rFonts w:eastAsia="Times New Roman" w:cstheme="minorHAnsi"/>
          <w:kern w:val="0"/>
          <w:lang w:eastAsia="en-GB"/>
          <w14:ligatures w14:val="none"/>
        </w:rPr>
        <w:t>additionally</w:t>
      </w:r>
      <w:r w:rsidR="00F05819" w:rsidRPr="00C02ED8">
        <w:rPr>
          <w:rFonts w:eastAsia="Times New Roman" w:cstheme="minorHAnsi"/>
          <w:kern w:val="0"/>
          <w:lang w:eastAsia="en-GB"/>
          <w14:ligatures w14:val="none"/>
        </w:rPr>
        <w:t xml:space="preserve"> they offer equal opportunities, so no applicant or employee is treated less favourably in relation to any category under the equality Act 2010 </w:t>
      </w:r>
      <w:r w:rsidR="0096500B">
        <w:rPr>
          <w:rFonts w:eastAsia="Times New Roman" w:cstheme="minorHAnsi"/>
          <w:kern w:val="0"/>
          <w:lang w:eastAsia="en-GB"/>
          <w14:ligatures w14:val="none"/>
        </w:rPr>
        <w:t>(</w:t>
      </w:r>
      <w:r w:rsidR="0096500B">
        <w:rPr>
          <w:rFonts w:cstheme="minorHAnsi"/>
        </w:rPr>
        <w:t>SWP, No date).</w:t>
      </w:r>
    </w:p>
    <w:p w14:paraId="6678ED41" w14:textId="1FB99E40" w:rsidR="00F05819" w:rsidRPr="00FF432D" w:rsidRDefault="00F05819" w:rsidP="00DD4D14">
      <w:r w:rsidRPr="00C02ED8">
        <w:lastRenderedPageBreak/>
        <w:t>By implementing strategies</w:t>
      </w:r>
      <w:r>
        <w:t xml:space="preserve"> as stated above can</w:t>
      </w:r>
      <w:r w:rsidRPr="00C02ED8">
        <w:t xml:space="preserve"> be seen as a continuous process of improvement, and the organisation will have to adapt to the everchanging external factors that are related to this topic </w:t>
      </w:r>
      <w:r w:rsidR="00E30DE8">
        <w:t>(CIPD,2022).</w:t>
      </w:r>
    </w:p>
    <w:p w14:paraId="60316F90" w14:textId="77777777" w:rsidR="00F05819" w:rsidRPr="00A65698" w:rsidRDefault="00F05819" w:rsidP="00F05819">
      <w:pPr>
        <w:rPr>
          <w:lang w:eastAsia="en-GB"/>
        </w:rPr>
      </w:pPr>
      <w:r w:rsidRPr="00A65698">
        <w:rPr>
          <w:lang w:eastAsia="en-GB"/>
        </w:rPr>
        <w:t>Figure 1.8</w:t>
      </w:r>
    </w:p>
    <w:tbl>
      <w:tblPr>
        <w:tblW w:w="8041" w:type="dxa"/>
        <w:tblInd w:w="834" w:type="dxa"/>
        <w:tblLook w:val="04A0" w:firstRow="1" w:lastRow="0" w:firstColumn="1" w:lastColumn="0" w:noHBand="0" w:noVBand="1"/>
      </w:tblPr>
      <w:tblGrid>
        <w:gridCol w:w="1867"/>
        <w:gridCol w:w="2127"/>
        <w:gridCol w:w="1143"/>
        <w:gridCol w:w="1452"/>
        <w:gridCol w:w="1452"/>
      </w:tblGrid>
      <w:tr w:rsidR="0096500B" w:rsidRPr="00A65698" w14:paraId="1B8FC1C0" w14:textId="77777777" w:rsidTr="0096500B">
        <w:trPr>
          <w:trHeight w:val="316"/>
        </w:trPr>
        <w:tc>
          <w:tcPr>
            <w:tcW w:w="1867" w:type="dxa"/>
            <w:tcBorders>
              <w:top w:val="nil"/>
              <w:left w:val="nil"/>
              <w:bottom w:val="nil"/>
              <w:right w:val="nil"/>
            </w:tcBorders>
            <w:shd w:val="clear" w:color="D9E1F2" w:fill="D9E1F2"/>
            <w:noWrap/>
            <w:vAlign w:val="bottom"/>
            <w:hideMark/>
          </w:tcPr>
          <w:p w14:paraId="6391D7C7" w14:textId="77777777" w:rsidR="00F05819" w:rsidRPr="00A65698" w:rsidRDefault="00F05819" w:rsidP="000A76C5">
            <w:pPr>
              <w:spacing w:after="0" w:line="240" w:lineRule="auto"/>
              <w:rPr>
                <w:rFonts w:ascii="Calibri" w:eastAsia="Times New Roman" w:hAnsi="Calibri" w:cs="Calibri"/>
                <w:b/>
                <w:bCs/>
                <w:color w:val="000000"/>
                <w:kern w:val="0"/>
                <w:lang w:eastAsia="en-GB"/>
                <w14:ligatures w14:val="none"/>
              </w:rPr>
            </w:pPr>
            <w:r w:rsidRPr="00A65698">
              <w:rPr>
                <w:rFonts w:ascii="Calibri" w:eastAsia="Times New Roman" w:hAnsi="Calibri" w:cs="Calibri"/>
                <w:b/>
                <w:bCs/>
                <w:color w:val="000000"/>
                <w:kern w:val="0"/>
                <w:lang w:eastAsia="en-GB"/>
                <w14:ligatures w14:val="none"/>
              </w:rPr>
              <w:t>Sum of id</w:t>
            </w:r>
          </w:p>
        </w:tc>
        <w:tc>
          <w:tcPr>
            <w:tcW w:w="2127" w:type="dxa"/>
            <w:tcBorders>
              <w:top w:val="nil"/>
              <w:left w:val="nil"/>
              <w:bottom w:val="nil"/>
              <w:right w:val="nil"/>
            </w:tcBorders>
            <w:shd w:val="clear" w:color="D9E1F2" w:fill="D9E1F2"/>
            <w:noWrap/>
            <w:vAlign w:val="bottom"/>
            <w:hideMark/>
          </w:tcPr>
          <w:p w14:paraId="6D0FDFC8" w14:textId="77777777" w:rsidR="00F05819" w:rsidRPr="00A65698" w:rsidRDefault="00F05819" w:rsidP="000A76C5">
            <w:pPr>
              <w:spacing w:after="0" w:line="240" w:lineRule="auto"/>
              <w:rPr>
                <w:rFonts w:ascii="Calibri" w:eastAsia="Times New Roman" w:hAnsi="Calibri" w:cs="Calibri"/>
                <w:b/>
                <w:bCs/>
                <w:color w:val="000000"/>
                <w:kern w:val="0"/>
                <w:lang w:eastAsia="en-GB"/>
                <w14:ligatures w14:val="none"/>
              </w:rPr>
            </w:pPr>
            <w:r w:rsidRPr="00A65698">
              <w:rPr>
                <w:rFonts w:ascii="Calibri" w:eastAsia="Times New Roman" w:hAnsi="Calibri" w:cs="Calibri"/>
                <w:b/>
                <w:bCs/>
                <w:color w:val="000000"/>
                <w:kern w:val="0"/>
                <w:lang w:eastAsia="en-GB"/>
                <w14:ligatures w14:val="none"/>
              </w:rPr>
              <w:t>Column Labels</w:t>
            </w:r>
          </w:p>
        </w:tc>
        <w:tc>
          <w:tcPr>
            <w:tcW w:w="1143" w:type="dxa"/>
            <w:tcBorders>
              <w:top w:val="nil"/>
              <w:left w:val="nil"/>
              <w:bottom w:val="nil"/>
              <w:right w:val="nil"/>
            </w:tcBorders>
            <w:shd w:val="clear" w:color="D9E1F2" w:fill="D9E1F2"/>
            <w:noWrap/>
            <w:vAlign w:val="bottom"/>
            <w:hideMark/>
          </w:tcPr>
          <w:p w14:paraId="1508EA7A" w14:textId="77777777" w:rsidR="00F05819" w:rsidRPr="00A65698" w:rsidRDefault="00F05819" w:rsidP="000A76C5">
            <w:pPr>
              <w:spacing w:after="0" w:line="240" w:lineRule="auto"/>
              <w:rPr>
                <w:rFonts w:ascii="Calibri" w:eastAsia="Times New Roman" w:hAnsi="Calibri" w:cs="Calibri"/>
                <w:b/>
                <w:bCs/>
                <w:color w:val="000000"/>
                <w:kern w:val="0"/>
                <w:lang w:eastAsia="en-GB"/>
                <w14:ligatures w14:val="none"/>
              </w:rPr>
            </w:pPr>
          </w:p>
        </w:tc>
        <w:tc>
          <w:tcPr>
            <w:tcW w:w="1452" w:type="dxa"/>
            <w:tcBorders>
              <w:top w:val="nil"/>
              <w:left w:val="nil"/>
              <w:bottom w:val="nil"/>
              <w:right w:val="nil"/>
            </w:tcBorders>
            <w:shd w:val="clear" w:color="D9E1F2" w:fill="D9E1F2"/>
            <w:noWrap/>
            <w:vAlign w:val="bottom"/>
            <w:hideMark/>
          </w:tcPr>
          <w:p w14:paraId="121816AD" w14:textId="77777777" w:rsidR="00F05819" w:rsidRPr="00A65698" w:rsidRDefault="00F05819" w:rsidP="000A76C5">
            <w:pPr>
              <w:spacing w:after="0" w:line="240" w:lineRule="auto"/>
              <w:rPr>
                <w:rFonts w:ascii="Times New Roman" w:eastAsia="Times New Roman" w:hAnsi="Times New Roman" w:cs="Times New Roman"/>
                <w:kern w:val="0"/>
                <w:sz w:val="20"/>
                <w:szCs w:val="20"/>
                <w:lang w:eastAsia="en-GB"/>
                <w14:ligatures w14:val="none"/>
              </w:rPr>
            </w:pPr>
          </w:p>
        </w:tc>
        <w:tc>
          <w:tcPr>
            <w:tcW w:w="1452" w:type="dxa"/>
            <w:tcBorders>
              <w:top w:val="nil"/>
              <w:left w:val="nil"/>
              <w:bottom w:val="nil"/>
              <w:right w:val="nil"/>
            </w:tcBorders>
            <w:shd w:val="clear" w:color="D9E1F2" w:fill="D9E1F2"/>
            <w:noWrap/>
            <w:vAlign w:val="bottom"/>
            <w:hideMark/>
          </w:tcPr>
          <w:p w14:paraId="412AA1D8" w14:textId="77777777" w:rsidR="00F05819" w:rsidRPr="00A65698" w:rsidRDefault="00F05819" w:rsidP="000A76C5">
            <w:pPr>
              <w:spacing w:after="0" w:line="240" w:lineRule="auto"/>
              <w:rPr>
                <w:rFonts w:ascii="Times New Roman" w:eastAsia="Times New Roman" w:hAnsi="Times New Roman" w:cs="Times New Roman"/>
                <w:kern w:val="0"/>
                <w:sz w:val="20"/>
                <w:szCs w:val="20"/>
                <w:lang w:eastAsia="en-GB"/>
                <w14:ligatures w14:val="none"/>
              </w:rPr>
            </w:pPr>
          </w:p>
        </w:tc>
      </w:tr>
      <w:tr w:rsidR="00F05819" w:rsidRPr="00A65698" w14:paraId="18FD969F" w14:textId="77777777" w:rsidTr="0096500B">
        <w:trPr>
          <w:trHeight w:val="316"/>
        </w:trPr>
        <w:tc>
          <w:tcPr>
            <w:tcW w:w="1867" w:type="dxa"/>
            <w:tcBorders>
              <w:top w:val="nil"/>
              <w:left w:val="nil"/>
              <w:bottom w:val="single" w:sz="4" w:space="0" w:color="8EA9DB"/>
              <w:right w:val="nil"/>
            </w:tcBorders>
            <w:shd w:val="clear" w:color="D9E1F2" w:fill="D9E1F2"/>
            <w:noWrap/>
            <w:vAlign w:val="bottom"/>
            <w:hideMark/>
          </w:tcPr>
          <w:p w14:paraId="750893E6" w14:textId="77777777" w:rsidR="00F05819" w:rsidRPr="00A65698" w:rsidRDefault="00F05819" w:rsidP="000A76C5">
            <w:pPr>
              <w:spacing w:after="0" w:line="240" w:lineRule="auto"/>
              <w:rPr>
                <w:rFonts w:ascii="Calibri" w:eastAsia="Times New Roman" w:hAnsi="Calibri" w:cs="Calibri"/>
                <w:b/>
                <w:bCs/>
                <w:color w:val="000000"/>
                <w:kern w:val="0"/>
                <w:lang w:eastAsia="en-GB"/>
                <w14:ligatures w14:val="none"/>
              </w:rPr>
            </w:pPr>
            <w:r w:rsidRPr="00A65698">
              <w:rPr>
                <w:rFonts w:ascii="Calibri" w:eastAsia="Times New Roman" w:hAnsi="Calibri" w:cs="Calibri"/>
                <w:b/>
                <w:bCs/>
                <w:color w:val="000000"/>
                <w:kern w:val="0"/>
                <w:lang w:eastAsia="en-GB"/>
                <w14:ligatures w14:val="none"/>
              </w:rPr>
              <w:t>Row Labels</w:t>
            </w:r>
          </w:p>
        </w:tc>
        <w:tc>
          <w:tcPr>
            <w:tcW w:w="2127" w:type="dxa"/>
            <w:tcBorders>
              <w:top w:val="nil"/>
              <w:left w:val="nil"/>
              <w:bottom w:val="single" w:sz="4" w:space="0" w:color="8EA9DB"/>
              <w:right w:val="nil"/>
            </w:tcBorders>
            <w:shd w:val="clear" w:color="D9E1F2" w:fill="D9E1F2"/>
            <w:noWrap/>
            <w:vAlign w:val="bottom"/>
            <w:hideMark/>
          </w:tcPr>
          <w:p w14:paraId="651EE4C0" w14:textId="77777777" w:rsidR="00F05819" w:rsidRPr="00A65698" w:rsidRDefault="00F05819" w:rsidP="000A76C5">
            <w:pPr>
              <w:spacing w:after="0" w:line="240" w:lineRule="auto"/>
              <w:rPr>
                <w:rFonts w:ascii="Calibri" w:eastAsia="Times New Roman" w:hAnsi="Calibri" w:cs="Calibri"/>
                <w:b/>
                <w:bCs/>
                <w:color w:val="000000"/>
                <w:kern w:val="0"/>
                <w:lang w:eastAsia="en-GB"/>
                <w14:ligatures w14:val="none"/>
              </w:rPr>
            </w:pPr>
            <w:r w:rsidRPr="00A65698">
              <w:rPr>
                <w:rFonts w:ascii="Calibri" w:eastAsia="Times New Roman" w:hAnsi="Calibri" w:cs="Calibri"/>
                <w:b/>
                <w:bCs/>
                <w:color w:val="000000"/>
                <w:kern w:val="0"/>
                <w:lang w:eastAsia="en-GB"/>
                <w14:ligatures w14:val="none"/>
              </w:rPr>
              <w:t>Female</w:t>
            </w:r>
          </w:p>
        </w:tc>
        <w:tc>
          <w:tcPr>
            <w:tcW w:w="1143" w:type="dxa"/>
            <w:tcBorders>
              <w:top w:val="nil"/>
              <w:left w:val="nil"/>
              <w:bottom w:val="single" w:sz="4" w:space="0" w:color="8EA9DB"/>
              <w:right w:val="nil"/>
            </w:tcBorders>
            <w:shd w:val="clear" w:color="D9E1F2" w:fill="D9E1F2"/>
            <w:noWrap/>
            <w:vAlign w:val="bottom"/>
            <w:hideMark/>
          </w:tcPr>
          <w:p w14:paraId="6D3A7FE0" w14:textId="77777777" w:rsidR="00F05819" w:rsidRPr="00A65698" w:rsidRDefault="00F05819" w:rsidP="000A76C5">
            <w:pPr>
              <w:spacing w:after="0" w:line="240" w:lineRule="auto"/>
              <w:rPr>
                <w:rFonts w:ascii="Calibri" w:eastAsia="Times New Roman" w:hAnsi="Calibri" w:cs="Calibri"/>
                <w:b/>
                <w:bCs/>
                <w:color w:val="000000"/>
                <w:kern w:val="0"/>
                <w:lang w:eastAsia="en-GB"/>
                <w14:ligatures w14:val="none"/>
              </w:rPr>
            </w:pPr>
            <w:r w:rsidRPr="00A65698">
              <w:rPr>
                <w:rFonts w:ascii="Calibri" w:eastAsia="Times New Roman" w:hAnsi="Calibri" w:cs="Calibri"/>
                <w:b/>
                <w:bCs/>
                <w:color w:val="000000"/>
                <w:kern w:val="0"/>
                <w:lang w:eastAsia="en-GB"/>
                <w14:ligatures w14:val="none"/>
              </w:rPr>
              <w:t>Male</w:t>
            </w:r>
          </w:p>
        </w:tc>
        <w:tc>
          <w:tcPr>
            <w:tcW w:w="1452" w:type="dxa"/>
            <w:tcBorders>
              <w:top w:val="nil"/>
              <w:left w:val="nil"/>
              <w:bottom w:val="single" w:sz="4" w:space="0" w:color="8EA9DB"/>
              <w:right w:val="nil"/>
            </w:tcBorders>
            <w:shd w:val="clear" w:color="D9E1F2" w:fill="D9E1F2"/>
            <w:noWrap/>
            <w:vAlign w:val="bottom"/>
            <w:hideMark/>
          </w:tcPr>
          <w:p w14:paraId="7848A451" w14:textId="77777777" w:rsidR="00F05819" w:rsidRPr="00A65698" w:rsidRDefault="00F05819" w:rsidP="000A76C5">
            <w:pPr>
              <w:spacing w:after="0" w:line="240" w:lineRule="auto"/>
              <w:rPr>
                <w:rFonts w:ascii="Calibri" w:eastAsia="Times New Roman" w:hAnsi="Calibri" w:cs="Calibri"/>
                <w:b/>
                <w:bCs/>
                <w:color w:val="000000"/>
                <w:kern w:val="0"/>
                <w:lang w:eastAsia="en-GB"/>
                <w14:ligatures w14:val="none"/>
              </w:rPr>
            </w:pPr>
            <w:r w:rsidRPr="00A65698">
              <w:rPr>
                <w:rFonts w:ascii="Calibri" w:eastAsia="Times New Roman" w:hAnsi="Calibri" w:cs="Calibri"/>
                <w:b/>
                <w:bCs/>
                <w:color w:val="000000"/>
                <w:kern w:val="0"/>
                <w:lang w:eastAsia="en-GB"/>
                <w14:ligatures w14:val="none"/>
              </w:rPr>
              <w:t>Non-binary</w:t>
            </w:r>
          </w:p>
        </w:tc>
        <w:tc>
          <w:tcPr>
            <w:tcW w:w="1452" w:type="dxa"/>
            <w:tcBorders>
              <w:top w:val="nil"/>
              <w:left w:val="nil"/>
              <w:bottom w:val="single" w:sz="4" w:space="0" w:color="8EA9DB"/>
              <w:right w:val="nil"/>
            </w:tcBorders>
            <w:shd w:val="clear" w:color="D9E1F2" w:fill="D9E1F2"/>
            <w:noWrap/>
            <w:vAlign w:val="bottom"/>
            <w:hideMark/>
          </w:tcPr>
          <w:p w14:paraId="15D49FA7" w14:textId="77777777" w:rsidR="00F05819" w:rsidRPr="00A65698" w:rsidRDefault="00F05819" w:rsidP="000A76C5">
            <w:pPr>
              <w:spacing w:after="0" w:line="240" w:lineRule="auto"/>
              <w:rPr>
                <w:rFonts w:ascii="Calibri" w:eastAsia="Times New Roman" w:hAnsi="Calibri" w:cs="Calibri"/>
                <w:b/>
                <w:bCs/>
                <w:color w:val="000000"/>
                <w:kern w:val="0"/>
                <w:lang w:eastAsia="en-GB"/>
                <w14:ligatures w14:val="none"/>
              </w:rPr>
            </w:pPr>
            <w:r w:rsidRPr="00A65698">
              <w:rPr>
                <w:rFonts w:ascii="Calibri" w:eastAsia="Times New Roman" w:hAnsi="Calibri" w:cs="Calibri"/>
                <w:b/>
                <w:bCs/>
                <w:color w:val="000000"/>
                <w:kern w:val="0"/>
                <w:lang w:eastAsia="en-GB"/>
                <w14:ligatures w14:val="none"/>
              </w:rPr>
              <w:t>Grand Total</w:t>
            </w:r>
          </w:p>
        </w:tc>
      </w:tr>
      <w:tr w:rsidR="00F05819" w:rsidRPr="00A65698" w14:paraId="0A0A8561" w14:textId="77777777" w:rsidTr="0096500B">
        <w:trPr>
          <w:trHeight w:val="316"/>
        </w:trPr>
        <w:tc>
          <w:tcPr>
            <w:tcW w:w="1867" w:type="dxa"/>
            <w:tcBorders>
              <w:top w:val="nil"/>
              <w:left w:val="nil"/>
              <w:bottom w:val="nil"/>
              <w:right w:val="nil"/>
            </w:tcBorders>
            <w:shd w:val="clear" w:color="auto" w:fill="auto"/>
            <w:noWrap/>
            <w:vAlign w:val="bottom"/>
            <w:hideMark/>
          </w:tcPr>
          <w:p w14:paraId="53881A24" w14:textId="77777777" w:rsidR="00F05819" w:rsidRPr="00A65698" w:rsidRDefault="00F05819" w:rsidP="000A76C5">
            <w:pPr>
              <w:spacing w:after="0" w:line="240" w:lineRule="auto"/>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17500-27499</w:t>
            </w:r>
          </w:p>
        </w:tc>
        <w:tc>
          <w:tcPr>
            <w:tcW w:w="2127" w:type="dxa"/>
            <w:tcBorders>
              <w:top w:val="nil"/>
              <w:left w:val="nil"/>
              <w:bottom w:val="nil"/>
              <w:right w:val="nil"/>
            </w:tcBorders>
            <w:shd w:val="clear" w:color="auto" w:fill="auto"/>
            <w:noWrap/>
            <w:vAlign w:val="bottom"/>
            <w:hideMark/>
          </w:tcPr>
          <w:p w14:paraId="275FC2C0"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71.33%</w:t>
            </w:r>
          </w:p>
        </w:tc>
        <w:tc>
          <w:tcPr>
            <w:tcW w:w="1143" w:type="dxa"/>
            <w:tcBorders>
              <w:top w:val="nil"/>
              <w:left w:val="nil"/>
              <w:bottom w:val="nil"/>
              <w:right w:val="nil"/>
            </w:tcBorders>
            <w:shd w:val="clear" w:color="auto" w:fill="auto"/>
            <w:noWrap/>
            <w:vAlign w:val="bottom"/>
            <w:hideMark/>
          </w:tcPr>
          <w:p w14:paraId="1FBF1A44"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27.10%</w:t>
            </w:r>
          </w:p>
        </w:tc>
        <w:tc>
          <w:tcPr>
            <w:tcW w:w="1452" w:type="dxa"/>
            <w:tcBorders>
              <w:top w:val="nil"/>
              <w:left w:val="nil"/>
              <w:bottom w:val="nil"/>
              <w:right w:val="nil"/>
            </w:tcBorders>
            <w:shd w:val="clear" w:color="auto" w:fill="auto"/>
            <w:noWrap/>
            <w:vAlign w:val="bottom"/>
            <w:hideMark/>
          </w:tcPr>
          <w:p w14:paraId="015F665E"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1.57%</w:t>
            </w:r>
          </w:p>
        </w:tc>
        <w:tc>
          <w:tcPr>
            <w:tcW w:w="1452" w:type="dxa"/>
            <w:tcBorders>
              <w:top w:val="nil"/>
              <w:left w:val="nil"/>
              <w:bottom w:val="nil"/>
              <w:right w:val="nil"/>
            </w:tcBorders>
            <w:shd w:val="clear" w:color="auto" w:fill="auto"/>
            <w:noWrap/>
            <w:vAlign w:val="bottom"/>
            <w:hideMark/>
          </w:tcPr>
          <w:p w14:paraId="43E6D873"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100.00%</w:t>
            </w:r>
          </w:p>
        </w:tc>
      </w:tr>
      <w:tr w:rsidR="00F05819" w:rsidRPr="00A65698" w14:paraId="1734A860" w14:textId="77777777" w:rsidTr="0096500B">
        <w:trPr>
          <w:trHeight w:val="316"/>
        </w:trPr>
        <w:tc>
          <w:tcPr>
            <w:tcW w:w="1867" w:type="dxa"/>
            <w:tcBorders>
              <w:top w:val="nil"/>
              <w:left w:val="nil"/>
              <w:bottom w:val="nil"/>
              <w:right w:val="nil"/>
            </w:tcBorders>
            <w:shd w:val="clear" w:color="auto" w:fill="auto"/>
            <w:noWrap/>
            <w:vAlign w:val="bottom"/>
            <w:hideMark/>
          </w:tcPr>
          <w:p w14:paraId="50AB91C2" w14:textId="77777777" w:rsidR="00F05819" w:rsidRPr="00A65698" w:rsidRDefault="00F05819" w:rsidP="000A76C5">
            <w:pPr>
              <w:spacing w:after="0" w:line="240" w:lineRule="auto"/>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27500-37499</w:t>
            </w:r>
          </w:p>
        </w:tc>
        <w:tc>
          <w:tcPr>
            <w:tcW w:w="2127" w:type="dxa"/>
            <w:tcBorders>
              <w:top w:val="nil"/>
              <w:left w:val="nil"/>
              <w:bottom w:val="nil"/>
              <w:right w:val="nil"/>
            </w:tcBorders>
            <w:shd w:val="clear" w:color="auto" w:fill="auto"/>
            <w:noWrap/>
            <w:vAlign w:val="bottom"/>
            <w:hideMark/>
          </w:tcPr>
          <w:p w14:paraId="6103B02B"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19.28%</w:t>
            </w:r>
          </w:p>
        </w:tc>
        <w:tc>
          <w:tcPr>
            <w:tcW w:w="1143" w:type="dxa"/>
            <w:tcBorders>
              <w:top w:val="nil"/>
              <w:left w:val="nil"/>
              <w:bottom w:val="nil"/>
              <w:right w:val="nil"/>
            </w:tcBorders>
            <w:shd w:val="clear" w:color="auto" w:fill="auto"/>
            <w:noWrap/>
            <w:vAlign w:val="bottom"/>
            <w:hideMark/>
          </w:tcPr>
          <w:p w14:paraId="658A42A7"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80.72%</w:t>
            </w:r>
          </w:p>
        </w:tc>
        <w:tc>
          <w:tcPr>
            <w:tcW w:w="1452" w:type="dxa"/>
            <w:tcBorders>
              <w:top w:val="nil"/>
              <w:left w:val="nil"/>
              <w:bottom w:val="nil"/>
              <w:right w:val="nil"/>
            </w:tcBorders>
            <w:shd w:val="clear" w:color="auto" w:fill="auto"/>
            <w:noWrap/>
            <w:vAlign w:val="bottom"/>
            <w:hideMark/>
          </w:tcPr>
          <w:p w14:paraId="042BE321"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0.00%</w:t>
            </w:r>
          </w:p>
        </w:tc>
        <w:tc>
          <w:tcPr>
            <w:tcW w:w="1452" w:type="dxa"/>
            <w:tcBorders>
              <w:top w:val="nil"/>
              <w:left w:val="nil"/>
              <w:bottom w:val="nil"/>
              <w:right w:val="nil"/>
            </w:tcBorders>
            <w:shd w:val="clear" w:color="auto" w:fill="auto"/>
            <w:noWrap/>
            <w:vAlign w:val="bottom"/>
            <w:hideMark/>
          </w:tcPr>
          <w:p w14:paraId="22B51007"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100.00%</w:t>
            </w:r>
          </w:p>
        </w:tc>
      </w:tr>
      <w:tr w:rsidR="00F05819" w:rsidRPr="00A65698" w14:paraId="34EA1AEF" w14:textId="77777777" w:rsidTr="0096500B">
        <w:trPr>
          <w:trHeight w:val="316"/>
        </w:trPr>
        <w:tc>
          <w:tcPr>
            <w:tcW w:w="1867" w:type="dxa"/>
            <w:tcBorders>
              <w:top w:val="nil"/>
              <w:left w:val="nil"/>
              <w:bottom w:val="nil"/>
              <w:right w:val="nil"/>
            </w:tcBorders>
            <w:shd w:val="clear" w:color="auto" w:fill="auto"/>
            <w:noWrap/>
            <w:vAlign w:val="bottom"/>
            <w:hideMark/>
          </w:tcPr>
          <w:p w14:paraId="5A2C1775" w14:textId="77777777" w:rsidR="00F05819" w:rsidRPr="00A65698" w:rsidRDefault="00F05819" w:rsidP="000A76C5">
            <w:pPr>
              <w:spacing w:after="0" w:line="240" w:lineRule="auto"/>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37500-47499</w:t>
            </w:r>
          </w:p>
        </w:tc>
        <w:tc>
          <w:tcPr>
            <w:tcW w:w="2127" w:type="dxa"/>
            <w:tcBorders>
              <w:top w:val="nil"/>
              <w:left w:val="nil"/>
              <w:bottom w:val="nil"/>
              <w:right w:val="nil"/>
            </w:tcBorders>
            <w:shd w:val="clear" w:color="auto" w:fill="auto"/>
            <w:noWrap/>
            <w:vAlign w:val="bottom"/>
            <w:hideMark/>
          </w:tcPr>
          <w:p w14:paraId="688CC043"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52.69%</w:t>
            </w:r>
          </w:p>
        </w:tc>
        <w:tc>
          <w:tcPr>
            <w:tcW w:w="1143" w:type="dxa"/>
            <w:tcBorders>
              <w:top w:val="nil"/>
              <w:left w:val="nil"/>
              <w:bottom w:val="nil"/>
              <w:right w:val="nil"/>
            </w:tcBorders>
            <w:shd w:val="clear" w:color="auto" w:fill="auto"/>
            <w:noWrap/>
            <w:vAlign w:val="bottom"/>
            <w:hideMark/>
          </w:tcPr>
          <w:p w14:paraId="7AB8C598"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47.31%</w:t>
            </w:r>
          </w:p>
        </w:tc>
        <w:tc>
          <w:tcPr>
            <w:tcW w:w="1452" w:type="dxa"/>
            <w:tcBorders>
              <w:top w:val="nil"/>
              <w:left w:val="nil"/>
              <w:bottom w:val="nil"/>
              <w:right w:val="nil"/>
            </w:tcBorders>
            <w:shd w:val="clear" w:color="auto" w:fill="auto"/>
            <w:noWrap/>
            <w:vAlign w:val="bottom"/>
            <w:hideMark/>
          </w:tcPr>
          <w:p w14:paraId="1D8150B5"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0.00%</w:t>
            </w:r>
          </w:p>
        </w:tc>
        <w:tc>
          <w:tcPr>
            <w:tcW w:w="1452" w:type="dxa"/>
            <w:tcBorders>
              <w:top w:val="nil"/>
              <w:left w:val="nil"/>
              <w:bottom w:val="nil"/>
              <w:right w:val="nil"/>
            </w:tcBorders>
            <w:shd w:val="clear" w:color="auto" w:fill="auto"/>
            <w:noWrap/>
            <w:vAlign w:val="bottom"/>
            <w:hideMark/>
          </w:tcPr>
          <w:p w14:paraId="0501E63B"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100.00%</w:t>
            </w:r>
          </w:p>
        </w:tc>
      </w:tr>
      <w:tr w:rsidR="00F05819" w:rsidRPr="00A65698" w14:paraId="11707510" w14:textId="77777777" w:rsidTr="0096500B">
        <w:trPr>
          <w:trHeight w:val="316"/>
        </w:trPr>
        <w:tc>
          <w:tcPr>
            <w:tcW w:w="1867" w:type="dxa"/>
            <w:tcBorders>
              <w:top w:val="nil"/>
              <w:left w:val="nil"/>
              <w:bottom w:val="nil"/>
              <w:right w:val="nil"/>
            </w:tcBorders>
            <w:shd w:val="clear" w:color="auto" w:fill="auto"/>
            <w:noWrap/>
            <w:vAlign w:val="bottom"/>
            <w:hideMark/>
          </w:tcPr>
          <w:p w14:paraId="141810D4" w14:textId="77777777" w:rsidR="00F05819" w:rsidRPr="00A65698" w:rsidRDefault="00F05819" w:rsidP="000A76C5">
            <w:pPr>
              <w:spacing w:after="0" w:line="240" w:lineRule="auto"/>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47500-57499</w:t>
            </w:r>
          </w:p>
        </w:tc>
        <w:tc>
          <w:tcPr>
            <w:tcW w:w="2127" w:type="dxa"/>
            <w:tcBorders>
              <w:top w:val="nil"/>
              <w:left w:val="nil"/>
              <w:bottom w:val="nil"/>
              <w:right w:val="nil"/>
            </w:tcBorders>
            <w:shd w:val="clear" w:color="auto" w:fill="auto"/>
            <w:noWrap/>
            <w:vAlign w:val="bottom"/>
            <w:hideMark/>
          </w:tcPr>
          <w:p w14:paraId="7A4A4BDC"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23.91%</w:t>
            </w:r>
          </w:p>
        </w:tc>
        <w:tc>
          <w:tcPr>
            <w:tcW w:w="1143" w:type="dxa"/>
            <w:tcBorders>
              <w:top w:val="nil"/>
              <w:left w:val="nil"/>
              <w:bottom w:val="nil"/>
              <w:right w:val="nil"/>
            </w:tcBorders>
            <w:shd w:val="clear" w:color="auto" w:fill="auto"/>
            <w:noWrap/>
            <w:vAlign w:val="bottom"/>
            <w:hideMark/>
          </w:tcPr>
          <w:p w14:paraId="0F4D35A1"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76.09%</w:t>
            </w:r>
          </w:p>
        </w:tc>
        <w:tc>
          <w:tcPr>
            <w:tcW w:w="1452" w:type="dxa"/>
            <w:tcBorders>
              <w:top w:val="nil"/>
              <w:left w:val="nil"/>
              <w:bottom w:val="nil"/>
              <w:right w:val="nil"/>
            </w:tcBorders>
            <w:shd w:val="clear" w:color="auto" w:fill="auto"/>
            <w:noWrap/>
            <w:vAlign w:val="bottom"/>
            <w:hideMark/>
          </w:tcPr>
          <w:p w14:paraId="200F1AF6"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0.00%</w:t>
            </w:r>
          </w:p>
        </w:tc>
        <w:tc>
          <w:tcPr>
            <w:tcW w:w="1452" w:type="dxa"/>
            <w:tcBorders>
              <w:top w:val="nil"/>
              <w:left w:val="nil"/>
              <w:bottom w:val="nil"/>
              <w:right w:val="nil"/>
            </w:tcBorders>
            <w:shd w:val="clear" w:color="auto" w:fill="auto"/>
            <w:noWrap/>
            <w:vAlign w:val="bottom"/>
            <w:hideMark/>
          </w:tcPr>
          <w:p w14:paraId="7E8A0F0E"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100.00%</w:t>
            </w:r>
          </w:p>
        </w:tc>
      </w:tr>
      <w:tr w:rsidR="00F05819" w:rsidRPr="00A65698" w14:paraId="69846E7F" w14:textId="77777777" w:rsidTr="0096500B">
        <w:trPr>
          <w:trHeight w:val="316"/>
        </w:trPr>
        <w:tc>
          <w:tcPr>
            <w:tcW w:w="1867" w:type="dxa"/>
            <w:tcBorders>
              <w:top w:val="nil"/>
              <w:left w:val="nil"/>
              <w:bottom w:val="nil"/>
              <w:right w:val="nil"/>
            </w:tcBorders>
            <w:shd w:val="clear" w:color="auto" w:fill="auto"/>
            <w:noWrap/>
            <w:vAlign w:val="bottom"/>
            <w:hideMark/>
          </w:tcPr>
          <w:p w14:paraId="2247ACB9" w14:textId="77777777" w:rsidR="00F05819" w:rsidRPr="00A65698" w:rsidRDefault="00F05819" w:rsidP="000A76C5">
            <w:pPr>
              <w:spacing w:after="0" w:line="240" w:lineRule="auto"/>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57500-67499</w:t>
            </w:r>
          </w:p>
        </w:tc>
        <w:tc>
          <w:tcPr>
            <w:tcW w:w="2127" w:type="dxa"/>
            <w:tcBorders>
              <w:top w:val="nil"/>
              <w:left w:val="nil"/>
              <w:bottom w:val="nil"/>
              <w:right w:val="nil"/>
            </w:tcBorders>
            <w:shd w:val="clear" w:color="auto" w:fill="auto"/>
            <w:noWrap/>
            <w:vAlign w:val="bottom"/>
            <w:hideMark/>
          </w:tcPr>
          <w:p w14:paraId="32B9FABE"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45.02%</w:t>
            </w:r>
          </w:p>
        </w:tc>
        <w:tc>
          <w:tcPr>
            <w:tcW w:w="1143" w:type="dxa"/>
            <w:tcBorders>
              <w:top w:val="nil"/>
              <w:left w:val="nil"/>
              <w:bottom w:val="nil"/>
              <w:right w:val="nil"/>
            </w:tcBorders>
            <w:shd w:val="clear" w:color="auto" w:fill="auto"/>
            <w:noWrap/>
            <w:vAlign w:val="bottom"/>
            <w:hideMark/>
          </w:tcPr>
          <w:p w14:paraId="23D51415"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54.98%</w:t>
            </w:r>
          </w:p>
        </w:tc>
        <w:tc>
          <w:tcPr>
            <w:tcW w:w="1452" w:type="dxa"/>
            <w:tcBorders>
              <w:top w:val="nil"/>
              <w:left w:val="nil"/>
              <w:bottom w:val="nil"/>
              <w:right w:val="nil"/>
            </w:tcBorders>
            <w:shd w:val="clear" w:color="auto" w:fill="auto"/>
            <w:noWrap/>
            <w:vAlign w:val="bottom"/>
            <w:hideMark/>
          </w:tcPr>
          <w:p w14:paraId="407020ED"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0.00%</w:t>
            </w:r>
          </w:p>
        </w:tc>
        <w:tc>
          <w:tcPr>
            <w:tcW w:w="1452" w:type="dxa"/>
            <w:tcBorders>
              <w:top w:val="nil"/>
              <w:left w:val="nil"/>
              <w:bottom w:val="nil"/>
              <w:right w:val="nil"/>
            </w:tcBorders>
            <w:shd w:val="clear" w:color="auto" w:fill="auto"/>
            <w:noWrap/>
            <w:vAlign w:val="bottom"/>
            <w:hideMark/>
          </w:tcPr>
          <w:p w14:paraId="28ABFFE3"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100.00%</w:t>
            </w:r>
          </w:p>
        </w:tc>
      </w:tr>
      <w:tr w:rsidR="00F05819" w:rsidRPr="00A65698" w14:paraId="4B00A218" w14:textId="77777777" w:rsidTr="0096500B">
        <w:trPr>
          <w:trHeight w:val="316"/>
        </w:trPr>
        <w:tc>
          <w:tcPr>
            <w:tcW w:w="1867" w:type="dxa"/>
            <w:tcBorders>
              <w:top w:val="nil"/>
              <w:left w:val="nil"/>
              <w:bottom w:val="nil"/>
              <w:right w:val="nil"/>
            </w:tcBorders>
            <w:shd w:val="clear" w:color="auto" w:fill="auto"/>
            <w:noWrap/>
            <w:vAlign w:val="bottom"/>
            <w:hideMark/>
          </w:tcPr>
          <w:p w14:paraId="188FDF79" w14:textId="77777777" w:rsidR="00F05819" w:rsidRPr="00A65698" w:rsidRDefault="00F05819" w:rsidP="000A76C5">
            <w:pPr>
              <w:spacing w:after="0" w:line="240" w:lineRule="auto"/>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67500-77499</w:t>
            </w:r>
          </w:p>
        </w:tc>
        <w:tc>
          <w:tcPr>
            <w:tcW w:w="2127" w:type="dxa"/>
            <w:tcBorders>
              <w:top w:val="nil"/>
              <w:left w:val="nil"/>
              <w:bottom w:val="nil"/>
              <w:right w:val="nil"/>
            </w:tcBorders>
            <w:shd w:val="clear" w:color="auto" w:fill="auto"/>
            <w:noWrap/>
            <w:vAlign w:val="bottom"/>
            <w:hideMark/>
          </w:tcPr>
          <w:p w14:paraId="627CD68F"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60.75%</w:t>
            </w:r>
          </w:p>
        </w:tc>
        <w:tc>
          <w:tcPr>
            <w:tcW w:w="1143" w:type="dxa"/>
            <w:tcBorders>
              <w:top w:val="nil"/>
              <w:left w:val="nil"/>
              <w:bottom w:val="nil"/>
              <w:right w:val="nil"/>
            </w:tcBorders>
            <w:shd w:val="clear" w:color="auto" w:fill="auto"/>
            <w:noWrap/>
            <w:vAlign w:val="bottom"/>
            <w:hideMark/>
          </w:tcPr>
          <w:p w14:paraId="6A400F3A"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39.25%</w:t>
            </w:r>
          </w:p>
        </w:tc>
        <w:tc>
          <w:tcPr>
            <w:tcW w:w="1452" w:type="dxa"/>
            <w:tcBorders>
              <w:top w:val="nil"/>
              <w:left w:val="nil"/>
              <w:bottom w:val="nil"/>
              <w:right w:val="nil"/>
            </w:tcBorders>
            <w:shd w:val="clear" w:color="auto" w:fill="auto"/>
            <w:noWrap/>
            <w:vAlign w:val="bottom"/>
            <w:hideMark/>
          </w:tcPr>
          <w:p w14:paraId="369517C3"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0.00%</w:t>
            </w:r>
          </w:p>
        </w:tc>
        <w:tc>
          <w:tcPr>
            <w:tcW w:w="1452" w:type="dxa"/>
            <w:tcBorders>
              <w:top w:val="nil"/>
              <w:left w:val="nil"/>
              <w:bottom w:val="nil"/>
              <w:right w:val="nil"/>
            </w:tcBorders>
            <w:shd w:val="clear" w:color="auto" w:fill="auto"/>
            <w:noWrap/>
            <w:vAlign w:val="bottom"/>
            <w:hideMark/>
          </w:tcPr>
          <w:p w14:paraId="10BD58B4"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100.00%</w:t>
            </w:r>
          </w:p>
        </w:tc>
      </w:tr>
      <w:tr w:rsidR="00F05819" w:rsidRPr="00A65698" w14:paraId="4A2DBC36" w14:textId="77777777" w:rsidTr="0096500B">
        <w:trPr>
          <w:trHeight w:val="316"/>
        </w:trPr>
        <w:tc>
          <w:tcPr>
            <w:tcW w:w="1867" w:type="dxa"/>
            <w:tcBorders>
              <w:top w:val="nil"/>
              <w:left w:val="nil"/>
              <w:bottom w:val="nil"/>
              <w:right w:val="nil"/>
            </w:tcBorders>
            <w:shd w:val="clear" w:color="auto" w:fill="auto"/>
            <w:noWrap/>
            <w:vAlign w:val="bottom"/>
            <w:hideMark/>
          </w:tcPr>
          <w:p w14:paraId="72574F1A" w14:textId="77777777" w:rsidR="00F05819" w:rsidRPr="00A65698" w:rsidRDefault="00F05819" w:rsidP="000A76C5">
            <w:pPr>
              <w:spacing w:after="0" w:line="240" w:lineRule="auto"/>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97500-107499</w:t>
            </w:r>
          </w:p>
        </w:tc>
        <w:tc>
          <w:tcPr>
            <w:tcW w:w="2127" w:type="dxa"/>
            <w:tcBorders>
              <w:top w:val="nil"/>
              <w:left w:val="nil"/>
              <w:bottom w:val="nil"/>
              <w:right w:val="nil"/>
            </w:tcBorders>
            <w:shd w:val="clear" w:color="auto" w:fill="auto"/>
            <w:noWrap/>
            <w:vAlign w:val="bottom"/>
            <w:hideMark/>
          </w:tcPr>
          <w:p w14:paraId="1A82973A"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67.65%</w:t>
            </w:r>
          </w:p>
        </w:tc>
        <w:tc>
          <w:tcPr>
            <w:tcW w:w="1143" w:type="dxa"/>
            <w:tcBorders>
              <w:top w:val="nil"/>
              <w:left w:val="nil"/>
              <w:bottom w:val="nil"/>
              <w:right w:val="nil"/>
            </w:tcBorders>
            <w:shd w:val="clear" w:color="auto" w:fill="auto"/>
            <w:noWrap/>
            <w:vAlign w:val="bottom"/>
            <w:hideMark/>
          </w:tcPr>
          <w:p w14:paraId="1EF04C70"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32.35%</w:t>
            </w:r>
          </w:p>
        </w:tc>
        <w:tc>
          <w:tcPr>
            <w:tcW w:w="1452" w:type="dxa"/>
            <w:tcBorders>
              <w:top w:val="nil"/>
              <w:left w:val="nil"/>
              <w:bottom w:val="nil"/>
              <w:right w:val="nil"/>
            </w:tcBorders>
            <w:shd w:val="clear" w:color="auto" w:fill="auto"/>
            <w:noWrap/>
            <w:vAlign w:val="bottom"/>
            <w:hideMark/>
          </w:tcPr>
          <w:p w14:paraId="03B1194B"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0.00%</w:t>
            </w:r>
          </w:p>
        </w:tc>
        <w:tc>
          <w:tcPr>
            <w:tcW w:w="1452" w:type="dxa"/>
            <w:tcBorders>
              <w:top w:val="nil"/>
              <w:left w:val="nil"/>
              <w:bottom w:val="nil"/>
              <w:right w:val="nil"/>
            </w:tcBorders>
            <w:shd w:val="clear" w:color="auto" w:fill="auto"/>
            <w:noWrap/>
            <w:vAlign w:val="bottom"/>
            <w:hideMark/>
          </w:tcPr>
          <w:p w14:paraId="3C23F2FE"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100.00%</w:t>
            </w:r>
          </w:p>
        </w:tc>
      </w:tr>
      <w:tr w:rsidR="00F05819" w:rsidRPr="00A65698" w14:paraId="16D9DDCF" w14:textId="77777777" w:rsidTr="0096500B">
        <w:trPr>
          <w:trHeight w:val="316"/>
        </w:trPr>
        <w:tc>
          <w:tcPr>
            <w:tcW w:w="1867" w:type="dxa"/>
            <w:tcBorders>
              <w:top w:val="nil"/>
              <w:left w:val="nil"/>
              <w:bottom w:val="nil"/>
              <w:right w:val="nil"/>
            </w:tcBorders>
            <w:shd w:val="clear" w:color="auto" w:fill="auto"/>
            <w:noWrap/>
            <w:vAlign w:val="bottom"/>
            <w:hideMark/>
          </w:tcPr>
          <w:p w14:paraId="579A3776" w14:textId="77777777" w:rsidR="00F05819" w:rsidRPr="00A65698" w:rsidRDefault="00F05819" w:rsidP="000A76C5">
            <w:pPr>
              <w:spacing w:after="0" w:line="240" w:lineRule="auto"/>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137500-147499</w:t>
            </w:r>
          </w:p>
        </w:tc>
        <w:tc>
          <w:tcPr>
            <w:tcW w:w="2127" w:type="dxa"/>
            <w:tcBorders>
              <w:top w:val="nil"/>
              <w:left w:val="nil"/>
              <w:bottom w:val="nil"/>
              <w:right w:val="nil"/>
            </w:tcBorders>
            <w:shd w:val="clear" w:color="auto" w:fill="auto"/>
            <w:noWrap/>
            <w:vAlign w:val="bottom"/>
            <w:hideMark/>
          </w:tcPr>
          <w:p w14:paraId="524E8D85"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100.00%</w:t>
            </w:r>
          </w:p>
        </w:tc>
        <w:tc>
          <w:tcPr>
            <w:tcW w:w="1143" w:type="dxa"/>
            <w:tcBorders>
              <w:top w:val="nil"/>
              <w:left w:val="nil"/>
              <w:bottom w:val="nil"/>
              <w:right w:val="nil"/>
            </w:tcBorders>
            <w:shd w:val="clear" w:color="auto" w:fill="auto"/>
            <w:noWrap/>
            <w:vAlign w:val="bottom"/>
            <w:hideMark/>
          </w:tcPr>
          <w:p w14:paraId="2A98177C"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0.00%</w:t>
            </w:r>
          </w:p>
        </w:tc>
        <w:tc>
          <w:tcPr>
            <w:tcW w:w="1452" w:type="dxa"/>
            <w:tcBorders>
              <w:top w:val="nil"/>
              <w:left w:val="nil"/>
              <w:bottom w:val="nil"/>
              <w:right w:val="nil"/>
            </w:tcBorders>
            <w:shd w:val="clear" w:color="auto" w:fill="auto"/>
            <w:noWrap/>
            <w:vAlign w:val="bottom"/>
            <w:hideMark/>
          </w:tcPr>
          <w:p w14:paraId="27C9C6AA"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0.00%</w:t>
            </w:r>
          </w:p>
        </w:tc>
        <w:tc>
          <w:tcPr>
            <w:tcW w:w="1452" w:type="dxa"/>
            <w:tcBorders>
              <w:top w:val="nil"/>
              <w:left w:val="nil"/>
              <w:bottom w:val="nil"/>
              <w:right w:val="nil"/>
            </w:tcBorders>
            <w:shd w:val="clear" w:color="auto" w:fill="auto"/>
            <w:noWrap/>
            <w:vAlign w:val="bottom"/>
            <w:hideMark/>
          </w:tcPr>
          <w:p w14:paraId="02D740B4" w14:textId="77777777" w:rsidR="00F05819" w:rsidRPr="00A65698" w:rsidRDefault="00F05819" w:rsidP="000A76C5">
            <w:pPr>
              <w:spacing w:after="0" w:line="240" w:lineRule="auto"/>
              <w:jc w:val="right"/>
              <w:rPr>
                <w:rFonts w:ascii="Calibri" w:eastAsia="Times New Roman" w:hAnsi="Calibri" w:cs="Calibri"/>
                <w:color w:val="000000"/>
                <w:kern w:val="0"/>
                <w:lang w:eastAsia="en-GB"/>
                <w14:ligatures w14:val="none"/>
              </w:rPr>
            </w:pPr>
            <w:r w:rsidRPr="00A65698">
              <w:rPr>
                <w:rFonts w:ascii="Calibri" w:eastAsia="Times New Roman" w:hAnsi="Calibri" w:cs="Calibri"/>
                <w:color w:val="000000"/>
                <w:kern w:val="0"/>
                <w:lang w:eastAsia="en-GB"/>
                <w14:ligatures w14:val="none"/>
              </w:rPr>
              <w:t>100.00%</w:t>
            </w:r>
          </w:p>
        </w:tc>
      </w:tr>
      <w:tr w:rsidR="00F05819" w:rsidRPr="00A65698" w14:paraId="3E7CF129" w14:textId="77777777" w:rsidTr="0096500B">
        <w:trPr>
          <w:trHeight w:val="316"/>
        </w:trPr>
        <w:tc>
          <w:tcPr>
            <w:tcW w:w="1867" w:type="dxa"/>
            <w:tcBorders>
              <w:top w:val="single" w:sz="4" w:space="0" w:color="8EA9DB"/>
              <w:left w:val="nil"/>
              <w:bottom w:val="nil"/>
              <w:right w:val="nil"/>
            </w:tcBorders>
            <w:shd w:val="clear" w:color="D9E1F2" w:fill="D9E1F2"/>
            <w:noWrap/>
            <w:vAlign w:val="bottom"/>
            <w:hideMark/>
          </w:tcPr>
          <w:p w14:paraId="3F1F0C51" w14:textId="77777777" w:rsidR="00F05819" w:rsidRPr="00A65698" w:rsidRDefault="00F05819" w:rsidP="000A76C5">
            <w:pPr>
              <w:spacing w:after="0" w:line="240" w:lineRule="auto"/>
              <w:rPr>
                <w:rFonts w:ascii="Calibri" w:eastAsia="Times New Roman" w:hAnsi="Calibri" w:cs="Calibri"/>
                <w:b/>
                <w:bCs/>
                <w:color w:val="000000"/>
                <w:kern w:val="0"/>
                <w:lang w:eastAsia="en-GB"/>
                <w14:ligatures w14:val="none"/>
              </w:rPr>
            </w:pPr>
            <w:r w:rsidRPr="00A65698">
              <w:rPr>
                <w:rFonts w:ascii="Calibri" w:eastAsia="Times New Roman" w:hAnsi="Calibri" w:cs="Calibri"/>
                <w:b/>
                <w:bCs/>
                <w:color w:val="000000"/>
                <w:kern w:val="0"/>
                <w:lang w:eastAsia="en-GB"/>
                <w14:ligatures w14:val="none"/>
              </w:rPr>
              <w:t>Grand Total</w:t>
            </w:r>
          </w:p>
        </w:tc>
        <w:tc>
          <w:tcPr>
            <w:tcW w:w="2127" w:type="dxa"/>
            <w:tcBorders>
              <w:top w:val="single" w:sz="4" w:space="0" w:color="8EA9DB"/>
              <w:left w:val="nil"/>
              <w:bottom w:val="nil"/>
              <w:right w:val="nil"/>
            </w:tcBorders>
            <w:shd w:val="clear" w:color="D9E1F2" w:fill="D9E1F2"/>
            <w:noWrap/>
            <w:vAlign w:val="bottom"/>
            <w:hideMark/>
          </w:tcPr>
          <w:p w14:paraId="25286029" w14:textId="77777777" w:rsidR="00F05819" w:rsidRPr="00A65698" w:rsidRDefault="00F05819" w:rsidP="000A76C5">
            <w:pPr>
              <w:spacing w:after="0" w:line="240" w:lineRule="auto"/>
              <w:jc w:val="right"/>
              <w:rPr>
                <w:rFonts w:ascii="Calibri" w:eastAsia="Times New Roman" w:hAnsi="Calibri" w:cs="Calibri"/>
                <w:b/>
                <w:bCs/>
                <w:color w:val="000000"/>
                <w:kern w:val="0"/>
                <w:lang w:eastAsia="en-GB"/>
                <w14:ligatures w14:val="none"/>
              </w:rPr>
            </w:pPr>
            <w:r w:rsidRPr="00A65698">
              <w:rPr>
                <w:rFonts w:ascii="Calibri" w:eastAsia="Times New Roman" w:hAnsi="Calibri" w:cs="Calibri"/>
                <w:b/>
                <w:bCs/>
                <w:color w:val="000000"/>
                <w:kern w:val="0"/>
                <w:lang w:eastAsia="en-GB"/>
                <w14:ligatures w14:val="none"/>
              </w:rPr>
              <w:t>39.53%</w:t>
            </w:r>
          </w:p>
        </w:tc>
        <w:tc>
          <w:tcPr>
            <w:tcW w:w="1143" w:type="dxa"/>
            <w:tcBorders>
              <w:top w:val="single" w:sz="4" w:space="0" w:color="8EA9DB"/>
              <w:left w:val="nil"/>
              <w:bottom w:val="nil"/>
              <w:right w:val="nil"/>
            </w:tcBorders>
            <w:shd w:val="clear" w:color="D9E1F2" w:fill="D9E1F2"/>
            <w:noWrap/>
            <w:vAlign w:val="bottom"/>
            <w:hideMark/>
          </w:tcPr>
          <w:p w14:paraId="18FDCB7B" w14:textId="77777777" w:rsidR="00F05819" w:rsidRPr="00A65698" w:rsidRDefault="00F05819" w:rsidP="000A76C5">
            <w:pPr>
              <w:spacing w:after="0" w:line="240" w:lineRule="auto"/>
              <w:jc w:val="right"/>
              <w:rPr>
                <w:rFonts w:ascii="Calibri" w:eastAsia="Times New Roman" w:hAnsi="Calibri" w:cs="Calibri"/>
                <w:b/>
                <w:bCs/>
                <w:color w:val="000000"/>
                <w:kern w:val="0"/>
                <w:lang w:eastAsia="en-GB"/>
                <w14:ligatures w14:val="none"/>
              </w:rPr>
            </w:pPr>
            <w:r w:rsidRPr="00A65698">
              <w:rPr>
                <w:rFonts w:ascii="Calibri" w:eastAsia="Times New Roman" w:hAnsi="Calibri" w:cs="Calibri"/>
                <w:b/>
                <w:bCs/>
                <w:color w:val="000000"/>
                <w:kern w:val="0"/>
                <w:lang w:eastAsia="en-GB"/>
                <w14:ligatures w14:val="none"/>
              </w:rPr>
              <w:t>59.97%</w:t>
            </w:r>
          </w:p>
        </w:tc>
        <w:tc>
          <w:tcPr>
            <w:tcW w:w="1452" w:type="dxa"/>
            <w:tcBorders>
              <w:top w:val="single" w:sz="4" w:space="0" w:color="8EA9DB"/>
              <w:left w:val="nil"/>
              <w:bottom w:val="nil"/>
              <w:right w:val="nil"/>
            </w:tcBorders>
            <w:shd w:val="clear" w:color="D9E1F2" w:fill="D9E1F2"/>
            <w:noWrap/>
            <w:vAlign w:val="bottom"/>
            <w:hideMark/>
          </w:tcPr>
          <w:p w14:paraId="5B73E534" w14:textId="77777777" w:rsidR="00F05819" w:rsidRPr="00A65698" w:rsidRDefault="00F05819" w:rsidP="000A76C5">
            <w:pPr>
              <w:spacing w:after="0" w:line="240" w:lineRule="auto"/>
              <w:jc w:val="right"/>
              <w:rPr>
                <w:rFonts w:ascii="Calibri" w:eastAsia="Times New Roman" w:hAnsi="Calibri" w:cs="Calibri"/>
                <w:b/>
                <w:bCs/>
                <w:color w:val="000000"/>
                <w:kern w:val="0"/>
                <w:lang w:eastAsia="en-GB"/>
                <w14:ligatures w14:val="none"/>
              </w:rPr>
            </w:pPr>
            <w:r w:rsidRPr="00A65698">
              <w:rPr>
                <w:rFonts w:ascii="Calibri" w:eastAsia="Times New Roman" w:hAnsi="Calibri" w:cs="Calibri"/>
                <w:b/>
                <w:bCs/>
                <w:color w:val="000000"/>
                <w:kern w:val="0"/>
                <w:lang w:eastAsia="en-GB"/>
                <w14:ligatures w14:val="none"/>
              </w:rPr>
              <w:t>0.49%</w:t>
            </w:r>
          </w:p>
        </w:tc>
        <w:tc>
          <w:tcPr>
            <w:tcW w:w="1452" w:type="dxa"/>
            <w:tcBorders>
              <w:top w:val="single" w:sz="4" w:space="0" w:color="8EA9DB"/>
              <w:left w:val="nil"/>
              <w:bottom w:val="nil"/>
              <w:right w:val="nil"/>
            </w:tcBorders>
            <w:shd w:val="clear" w:color="D9E1F2" w:fill="D9E1F2"/>
            <w:noWrap/>
            <w:vAlign w:val="bottom"/>
            <w:hideMark/>
          </w:tcPr>
          <w:p w14:paraId="082CEC96" w14:textId="77777777" w:rsidR="00F05819" w:rsidRPr="00A65698" w:rsidRDefault="00F05819" w:rsidP="000A76C5">
            <w:pPr>
              <w:spacing w:after="0" w:line="240" w:lineRule="auto"/>
              <w:jc w:val="right"/>
              <w:rPr>
                <w:rFonts w:ascii="Calibri" w:eastAsia="Times New Roman" w:hAnsi="Calibri" w:cs="Calibri"/>
                <w:b/>
                <w:bCs/>
                <w:color w:val="000000"/>
                <w:kern w:val="0"/>
                <w:lang w:eastAsia="en-GB"/>
                <w14:ligatures w14:val="none"/>
              </w:rPr>
            </w:pPr>
            <w:r w:rsidRPr="00A65698">
              <w:rPr>
                <w:rFonts w:ascii="Calibri" w:eastAsia="Times New Roman" w:hAnsi="Calibri" w:cs="Calibri"/>
                <w:b/>
                <w:bCs/>
                <w:color w:val="000000"/>
                <w:kern w:val="0"/>
                <w:lang w:eastAsia="en-GB"/>
                <w14:ligatures w14:val="none"/>
              </w:rPr>
              <w:t>100.00%</w:t>
            </w:r>
          </w:p>
        </w:tc>
      </w:tr>
    </w:tbl>
    <w:p w14:paraId="19BF704B" w14:textId="77777777" w:rsidR="00F05819" w:rsidRDefault="00F05819" w:rsidP="00F05819">
      <w:pPr>
        <w:tabs>
          <w:tab w:val="left" w:pos="3058"/>
        </w:tabs>
        <w:jc w:val="both"/>
        <w:rPr>
          <w:lang w:eastAsia="en-GB"/>
        </w:rPr>
      </w:pPr>
    </w:p>
    <w:p w14:paraId="6043BF5E" w14:textId="5EB83010" w:rsidR="00F05819" w:rsidRPr="00FF432D" w:rsidRDefault="00E30DE8" w:rsidP="00F05819">
      <w:pPr>
        <w:tabs>
          <w:tab w:val="left" w:pos="3058"/>
        </w:tabs>
        <w:jc w:val="both"/>
        <w:rPr>
          <w:lang w:eastAsia="en-GB"/>
        </w:rPr>
      </w:pPr>
      <w:r>
        <w:rPr>
          <w:noProof/>
        </w:rPr>
        <w:drawing>
          <wp:anchor distT="0" distB="0" distL="114300" distR="114300" simplePos="0" relativeHeight="251664384" behindDoc="0" locked="0" layoutInCell="1" allowOverlap="1" wp14:anchorId="0E721996" wp14:editId="117F0583">
            <wp:simplePos x="0" y="0"/>
            <wp:positionH relativeFrom="column">
              <wp:posOffset>312420</wp:posOffset>
            </wp:positionH>
            <wp:positionV relativeFrom="paragraph">
              <wp:posOffset>285115</wp:posOffset>
            </wp:positionV>
            <wp:extent cx="5554980" cy="3089275"/>
            <wp:effectExtent l="0" t="0" r="7620" b="15875"/>
            <wp:wrapSquare wrapText="bothSides"/>
            <wp:docPr id="935634967" name="Chart 1">
              <a:extLst xmlns:a="http://schemas.openxmlformats.org/drawingml/2006/main">
                <a:ext uri="{FF2B5EF4-FFF2-40B4-BE49-F238E27FC236}">
                  <a16:creationId xmlns:a16="http://schemas.microsoft.com/office/drawing/2014/main" id="{CDBCF41C-A476-7918-D44A-F2D3E4F2D7D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r w:rsidR="00F05819">
        <w:rPr>
          <w:lang w:eastAsia="en-GB"/>
        </w:rPr>
        <w:t>Figure 1.9</w:t>
      </w:r>
    </w:p>
    <w:p w14:paraId="221155FD" w14:textId="209712C7" w:rsidR="00F05819" w:rsidRDefault="00F05819" w:rsidP="00F05819">
      <w:pPr>
        <w:tabs>
          <w:tab w:val="left" w:pos="3058"/>
        </w:tabs>
        <w:rPr>
          <w:noProof/>
        </w:rPr>
      </w:pPr>
      <w:r w:rsidRPr="0067605E">
        <w:rPr>
          <w:noProof/>
        </w:rPr>
        <w:t xml:space="preserve"> </w:t>
      </w:r>
    </w:p>
    <w:p w14:paraId="76770A24" w14:textId="77777777" w:rsidR="00F05819" w:rsidRDefault="00F05819" w:rsidP="00F05819">
      <w:pPr>
        <w:tabs>
          <w:tab w:val="left" w:pos="3058"/>
        </w:tabs>
        <w:rPr>
          <w:noProof/>
        </w:rPr>
      </w:pPr>
      <w:r>
        <w:rPr>
          <w:noProof/>
        </w:rPr>
        <w:lastRenderedPageBreak/>
        <w:drawing>
          <wp:anchor distT="0" distB="0" distL="114300" distR="114300" simplePos="0" relativeHeight="251663360" behindDoc="0" locked="0" layoutInCell="1" allowOverlap="1" wp14:anchorId="6BC5E959" wp14:editId="2295EF19">
            <wp:simplePos x="0" y="0"/>
            <wp:positionH relativeFrom="margin">
              <wp:align>right</wp:align>
            </wp:positionH>
            <wp:positionV relativeFrom="paragraph">
              <wp:posOffset>288290</wp:posOffset>
            </wp:positionV>
            <wp:extent cx="5457524" cy="2406316"/>
            <wp:effectExtent l="0" t="0" r="10160" b="13335"/>
            <wp:wrapSquare wrapText="bothSides"/>
            <wp:docPr id="1296738270" name="Chart 1">
              <a:extLst xmlns:a="http://schemas.openxmlformats.org/drawingml/2006/main">
                <a:ext uri="{FF2B5EF4-FFF2-40B4-BE49-F238E27FC236}">
                  <a16:creationId xmlns:a16="http://schemas.microsoft.com/office/drawing/2014/main" id="{D00F3A05-A935-3F92-5D8E-4CFDD21CC23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page">
              <wp14:pctWidth>0</wp14:pctWidth>
            </wp14:sizeRelH>
            <wp14:sizeRelV relativeFrom="page">
              <wp14:pctHeight>0</wp14:pctHeight>
            </wp14:sizeRelV>
          </wp:anchor>
        </w:drawing>
      </w:r>
      <w:r>
        <w:rPr>
          <w:noProof/>
        </w:rPr>
        <w:t>Figure 1.10</w:t>
      </w:r>
    </w:p>
    <w:p w14:paraId="4FCD0AA7" w14:textId="77777777" w:rsidR="00F05819" w:rsidRDefault="00F05819" w:rsidP="00F05819">
      <w:pPr>
        <w:tabs>
          <w:tab w:val="left" w:pos="3058"/>
        </w:tabs>
        <w:rPr>
          <w:noProof/>
        </w:rPr>
      </w:pPr>
    </w:p>
    <w:p w14:paraId="0654B049" w14:textId="57FEE367" w:rsidR="003347D6" w:rsidRDefault="003C7868" w:rsidP="003347D6">
      <w:pPr>
        <w:tabs>
          <w:tab w:val="left" w:pos="3058"/>
        </w:tabs>
        <w:rPr>
          <w:noProof/>
        </w:rPr>
      </w:pPr>
      <w:r>
        <w:rPr>
          <w:noProof/>
        </w:rPr>
        <w:t xml:space="preserve">Upon reviwing </w:t>
      </w:r>
      <w:r w:rsidR="00DF4D3D">
        <w:rPr>
          <w:noProof/>
        </w:rPr>
        <w:t>Figure 1.9</w:t>
      </w:r>
      <w:r w:rsidR="00EB1A02">
        <w:rPr>
          <w:noProof/>
        </w:rPr>
        <w:t>,</w:t>
      </w:r>
      <w:r w:rsidR="000F7C78">
        <w:rPr>
          <w:noProof/>
        </w:rPr>
        <w:t xml:space="preserve"> when looking at both average salarys across men and woman</w:t>
      </w:r>
      <w:r w:rsidR="0050066D">
        <w:rPr>
          <w:noProof/>
        </w:rPr>
        <w:t xml:space="preserve">, it seems to be even acorss both genders, however this is significantly lower </w:t>
      </w:r>
      <w:r w:rsidR="003347D6">
        <w:rPr>
          <w:noProof/>
        </w:rPr>
        <w:t>within non-biary. Based on both graphs above it is recommended that a comprehensive audit should</w:t>
      </w:r>
      <w:r w:rsidR="001C184D">
        <w:rPr>
          <w:noProof/>
        </w:rPr>
        <w:t xml:space="preserve"> </w:t>
      </w:r>
      <w:r w:rsidR="003347D6">
        <w:rPr>
          <w:noProof/>
        </w:rPr>
        <w:t>be conducted to investigate the causes of the pay discrepancies. Looking further into the data the following shoul be identified, experience, length of service, analysing the job role itself.</w:t>
      </w:r>
    </w:p>
    <w:p w14:paraId="79FB9F3B" w14:textId="77777777" w:rsidR="003347D6" w:rsidRDefault="003347D6" w:rsidP="003347D6">
      <w:pPr>
        <w:tabs>
          <w:tab w:val="left" w:pos="3058"/>
        </w:tabs>
        <w:rPr>
          <w:noProof/>
        </w:rPr>
      </w:pPr>
      <w:r>
        <w:rPr>
          <w:noProof/>
        </w:rPr>
        <w:t xml:space="preserve">It is also important to note that pay should be soley based on expereince, performace and expertice regardless of what gender an individual is. </w:t>
      </w:r>
    </w:p>
    <w:p w14:paraId="2B9DEAE5" w14:textId="5394723E" w:rsidR="0038384C" w:rsidRPr="003913A0" w:rsidRDefault="003347D6" w:rsidP="003913A0">
      <w:pPr>
        <w:tabs>
          <w:tab w:val="left" w:pos="3058"/>
        </w:tabs>
        <w:rPr>
          <w:noProof/>
        </w:rPr>
      </w:pPr>
      <w:r>
        <w:rPr>
          <w:noProof/>
        </w:rPr>
        <w:t>The organsation may even consider equal pay policies, meaning those with similar experience within the same role are paid equally.</w:t>
      </w:r>
      <w:r w:rsidR="003913A0">
        <w:rPr>
          <w:noProof/>
        </w:rPr>
        <w:t xml:space="preserve"> A survey could be an option to utilse, to gain additional feedbakc on perceptions, fairness and qualities amound staff.</w:t>
      </w:r>
    </w:p>
    <w:tbl>
      <w:tblPr>
        <w:tblW w:w="9360" w:type="dxa"/>
        <w:tblLook w:val="04A0" w:firstRow="1" w:lastRow="0" w:firstColumn="1" w:lastColumn="0" w:noHBand="0" w:noVBand="1"/>
      </w:tblPr>
      <w:tblGrid>
        <w:gridCol w:w="9360"/>
      </w:tblGrid>
      <w:tr w:rsidR="00F05819" w:rsidRPr="00135CE4" w14:paraId="3A756F98" w14:textId="77777777" w:rsidTr="000A76C5">
        <w:trPr>
          <w:trHeight w:val="315"/>
        </w:trPr>
        <w:tc>
          <w:tcPr>
            <w:tcW w:w="9360" w:type="dxa"/>
            <w:tcBorders>
              <w:top w:val="nil"/>
              <w:left w:val="nil"/>
              <w:bottom w:val="nil"/>
              <w:right w:val="nil"/>
            </w:tcBorders>
            <w:shd w:val="clear" w:color="000000" w:fill="FFFFFF"/>
            <w:noWrap/>
            <w:vAlign w:val="bottom"/>
            <w:hideMark/>
          </w:tcPr>
          <w:p w14:paraId="08CA830B" w14:textId="77777777" w:rsidR="00D62711" w:rsidRDefault="00D62711" w:rsidP="000A76C5">
            <w:pPr>
              <w:spacing w:after="0" w:line="240" w:lineRule="auto"/>
              <w:rPr>
                <w:rFonts w:ascii="Calibri" w:eastAsia="Times New Roman" w:hAnsi="Calibri" w:cs="Calibri"/>
                <w:color w:val="000000"/>
                <w:kern w:val="0"/>
                <w:lang w:eastAsia="en-GB"/>
                <w14:ligatures w14:val="none"/>
              </w:rPr>
            </w:pPr>
          </w:p>
          <w:p w14:paraId="02354430" w14:textId="5A6FA99B" w:rsidR="00F05819" w:rsidRPr="00801371" w:rsidRDefault="00F05819" w:rsidP="000A76C5">
            <w:pPr>
              <w:spacing w:after="0" w:line="240" w:lineRule="auto"/>
              <w:rPr>
                <w:rFonts w:ascii="Calibri" w:eastAsia="Times New Roman" w:hAnsi="Calibri" w:cs="Calibri"/>
                <w:color w:val="000000"/>
                <w:kern w:val="0"/>
                <w:lang w:eastAsia="en-GB"/>
                <w14:ligatures w14:val="none"/>
              </w:rPr>
            </w:pPr>
            <w:r w:rsidRPr="00801371">
              <w:rPr>
                <w:rFonts w:ascii="Calibri" w:eastAsia="Times New Roman" w:hAnsi="Calibri" w:cs="Calibri"/>
                <w:color w:val="000000"/>
                <w:kern w:val="0"/>
                <w:lang w:eastAsia="en-GB"/>
                <w14:ligatures w14:val="none"/>
              </w:rPr>
              <w:t>Upon reviewing the survey on hybrid working practices I have concluded to the following:</w:t>
            </w:r>
          </w:p>
          <w:p w14:paraId="50859B89" w14:textId="77777777" w:rsidR="00F05819" w:rsidRPr="00801371" w:rsidRDefault="00F05819" w:rsidP="000A76C5">
            <w:pPr>
              <w:spacing w:after="0" w:line="240" w:lineRule="auto"/>
              <w:rPr>
                <w:rFonts w:ascii="Calibri" w:eastAsia="Times New Roman" w:hAnsi="Calibri" w:cs="Calibri"/>
                <w:color w:val="000000"/>
                <w:kern w:val="0"/>
                <w:lang w:eastAsia="en-GB"/>
                <w14:ligatures w14:val="none"/>
              </w:rPr>
            </w:pPr>
          </w:p>
          <w:p w14:paraId="30ACB628" w14:textId="77777777" w:rsidR="00F05819" w:rsidRPr="00801371" w:rsidRDefault="00F05819" w:rsidP="000A76C5">
            <w:pPr>
              <w:spacing w:after="0" w:line="240" w:lineRule="auto"/>
              <w:rPr>
                <w:rFonts w:ascii="Calibri" w:eastAsia="Times New Roman" w:hAnsi="Calibri" w:cs="Calibri"/>
                <w:b/>
                <w:bCs/>
                <w:color w:val="000000"/>
                <w:kern w:val="0"/>
                <w:lang w:eastAsia="en-GB"/>
                <w14:ligatures w14:val="none"/>
              </w:rPr>
            </w:pPr>
            <w:r w:rsidRPr="00801371">
              <w:rPr>
                <w:rFonts w:ascii="Calibri" w:eastAsia="Times New Roman" w:hAnsi="Calibri" w:cs="Calibri"/>
                <w:b/>
                <w:bCs/>
                <w:color w:val="000000"/>
                <w:kern w:val="0"/>
                <w:lang w:eastAsia="en-GB"/>
                <w14:ligatures w14:val="none"/>
              </w:rPr>
              <w:t>Benefits:</w:t>
            </w:r>
          </w:p>
          <w:p w14:paraId="6CD4EFC6" w14:textId="2D3AEAA9" w:rsidR="00F05819" w:rsidRPr="00801371" w:rsidRDefault="00F05819" w:rsidP="000A76C5">
            <w:pPr>
              <w:spacing w:after="0" w:line="240" w:lineRule="auto"/>
              <w:rPr>
                <w:rFonts w:ascii="Calibri" w:eastAsia="Times New Roman" w:hAnsi="Calibri" w:cs="Calibri"/>
                <w:color w:val="000000"/>
                <w:kern w:val="0"/>
                <w:lang w:eastAsia="en-GB"/>
                <w14:ligatures w14:val="none"/>
              </w:rPr>
            </w:pPr>
            <w:r w:rsidRPr="00801371">
              <w:rPr>
                <w:rFonts w:ascii="Calibri" w:eastAsia="Times New Roman" w:hAnsi="Calibri" w:cs="Calibri"/>
                <w:color w:val="000000"/>
                <w:kern w:val="0"/>
                <w:lang w:eastAsia="en-GB"/>
                <w14:ligatures w14:val="none"/>
              </w:rPr>
              <w:t>It</w:t>
            </w:r>
            <w:r w:rsidR="00F757BB">
              <w:rPr>
                <w:rFonts w:ascii="Calibri" w:eastAsia="Times New Roman" w:hAnsi="Calibri" w:cs="Calibri"/>
                <w:color w:val="000000"/>
                <w:kern w:val="0"/>
                <w:lang w:eastAsia="en-GB"/>
                <w14:ligatures w14:val="none"/>
              </w:rPr>
              <w:t>’</w:t>
            </w:r>
            <w:r w:rsidRPr="00801371">
              <w:rPr>
                <w:rFonts w:ascii="Calibri" w:eastAsia="Times New Roman" w:hAnsi="Calibri" w:cs="Calibri"/>
                <w:color w:val="000000"/>
                <w:kern w:val="0"/>
                <w:lang w:eastAsia="en-GB"/>
                <w14:ligatures w14:val="none"/>
              </w:rPr>
              <w:t>s evident that hybrid working is highly preferred among majority of employees, 82% stating that hybrid working has a positive impact on both work life balance and wellbeing. A hybrid working patter appears to remove workplace conflict and has made a significant impact on the company culture.</w:t>
            </w:r>
          </w:p>
          <w:p w14:paraId="3FFF7791" w14:textId="77777777" w:rsidR="00F05819" w:rsidRPr="00801371" w:rsidRDefault="00F05819" w:rsidP="000A76C5">
            <w:pPr>
              <w:spacing w:after="0" w:line="240" w:lineRule="auto"/>
              <w:rPr>
                <w:rFonts w:ascii="Calibri" w:eastAsia="Times New Roman" w:hAnsi="Calibri" w:cs="Calibri"/>
                <w:color w:val="000000"/>
                <w:kern w:val="0"/>
                <w:lang w:eastAsia="en-GB"/>
                <w14:ligatures w14:val="none"/>
              </w:rPr>
            </w:pPr>
          </w:p>
          <w:p w14:paraId="469ABA3C" w14:textId="77777777" w:rsidR="00F05819" w:rsidRPr="00801371" w:rsidRDefault="00F05819" w:rsidP="000A76C5">
            <w:pPr>
              <w:spacing w:after="0" w:line="240" w:lineRule="auto"/>
              <w:rPr>
                <w:rFonts w:ascii="Calibri" w:eastAsia="Times New Roman" w:hAnsi="Calibri" w:cs="Calibri"/>
                <w:b/>
                <w:bCs/>
                <w:color w:val="000000"/>
                <w:kern w:val="0"/>
                <w:lang w:eastAsia="en-GB"/>
                <w14:ligatures w14:val="none"/>
              </w:rPr>
            </w:pPr>
            <w:r w:rsidRPr="00801371">
              <w:rPr>
                <w:rFonts w:ascii="Calibri" w:eastAsia="Times New Roman" w:hAnsi="Calibri" w:cs="Calibri"/>
                <w:b/>
                <w:bCs/>
                <w:color w:val="000000"/>
                <w:kern w:val="0"/>
                <w:lang w:eastAsia="en-GB"/>
                <w14:ligatures w14:val="none"/>
              </w:rPr>
              <w:t>Challenges:</w:t>
            </w:r>
          </w:p>
          <w:p w14:paraId="38E7715B" w14:textId="77777777" w:rsidR="00F05819" w:rsidRPr="00801371" w:rsidRDefault="00F05819" w:rsidP="000A76C5">
            <w:pPr>
              <w:spacing w:after="0" w:line="240" w:lineRule="auto"/>
              <w:rPr>
                <w:rFonts w:ascii="Calibri" w:eastAsia="Times New Roman" w:hAnsi="Calibri" w:cs="Calibri"/>
                <w:color w:val="000000"/>
                <w:kern w:val="0"/>
                <w:lang w:eastAsia="en-GB"/>
                <w14:ligatures w14:val="none"/>
              </w:rPr>
            </w:pPr>
            <w:r w:rsidRPr="00801371">
              <w:rPr>
                <w:rFonts w:ascii="Calibri" w:eastAsia="Times New Roman" w:hAnsi="Calibri" w:cs="Calibri"/>
                <w:color w:val="000000"/>
                <w:kern w:val="0"/>
                <w:lang w:eastAsia="en-GB"/>
                <w14:ligatures w14:val="none"/>
              </w:rPr>
              <w:t>Despite over 60% employees enjoying the flexibility of the working pattern, many have admitted that they are less productive and are finding it difficult to separate work from their personal life.</w:t>
            </w:r>
            <w:r>
              <w:rPr>
                <w:rFonts w:ascii="Calibri" w:eastAsia="Times New Roman" w:hAnsi="Calibri" w:cs="Calibri"/>
                <w:color w:val="000000"/>
                <w:kern w:val="0"/>
                <w:lang w:eastAsia="en-GB"/>
                <w14:ligatures w14:val="none"/>
              </w:rPr>
              <w:t xml:space="preserve"> In addition, 85% of employees have experienced stress while working at home.</w:t>
            </w:r>
          </w:p>
          <w:p w14:paraId="21F47691" w14:textId="77777777" w:rsidR="00F05819" w:rsidRPr="00135CE4" w:rsidRDefault="00F05819" w:rsidP="000A76C5">
            <w:pPr>
              <w:spacing w:after="0" w:line="240" w:lineRule="auto"/>
              <w:rPr>
                <w:rFonts w:ascii="Calibri" w:eastAsia="Times New Roman" w:hAnsi="Calibri" w:cs="Calibri"/>
                <w:color w:val="000000"/>
                <w:kern w:val="0"/>
                <w:lang w:eastAsia="en-GB"/>
                <w14:ligatures w14:val="none"/>
              </w:rPr>
            </w:pPr>
          </w:p>
        </w:tc>
      </w:tr>
      <w:tr w:rsidR="00F05819" w:rsidRPr="00135CE4" w14:paraId="4E1B6045" w14:textId="77777777" w:rsidTr="000A76C5">
        <w:trPr>
          <w:trHeight w:val="315"/>
        </w:trPr>
        <w:tc>
          <w:tcPr>
            <w:tcW w:w="9360" w:type="dxa"/>
            <w:tcBorders>
              <w:top w:val="nil"/>
              <w:left w:val="nil"/>
              <w:bottom w:val="nil"/>
              <w:right w:val="nil"/>
            </w:tcBorders>
            <w:shd w:val="clear" w:color="000000" w:fill="FFFFFF"/>
            <w:noWrap/>
            <w:vAlign w:val="bottom"/>
            <w:hideMark/>
          </w:tcPr>
          <w:p w14:paraId="4646E8AB" w14:textId="77777777" w:rsidR="00F05819" w:rsidRPr="00801371" w:rsidRDefault="00F05819" w:rsidP="000A76C5">
            <w:pPr>
              <w:spacing w:after="0" w:line="240" w:lineRule="auto"/>
              <w:rPr>
                <w:rFonts w:ascii="Calibri" w:eastAsia="Times New Roman" w:hAnsi="Calibri" w:cs="Calibri"/>
                <w:color w:val="000000"/>
                <w:kern w:val="0"/>
                <w:lang w:eastAsia="en-GB"/>
                <w14:ligatures w14:val="none"/>
              </w:rPr>
            </w:pPr>
          </w:p>
          <w:p w14:paraId="2958C8C8" w14:textId="77777777" w:rsidR="00F05819" w:rsidRPr="00135CE4" w:rsidRDefault="00F05819" w:rsidP="000A76C5">
            <w:pPr>
              <w:spacing w:after="0" w:line="240" w:lineRule="auto"/>
              <w:rPr>
                <w:rFonts w:ascii="Calibri" w:eastAsia="Times New Roman" w:hAnsi="Calibri" w:cs="Calibri"/>
                <w:b/>
                <w:bCs/>
                <w:color w:val="000000"/>
                <w:kern w:val="0"/>
                <w:lang w:eastAsia="en-GB"/>
                <w14:ligatures w14:val="none"/>
              </w:rPr>
            </w:pPr>
            <w:r w:rsidRPr="00801371">
              <w:rPr>
                <w:rFonts w:ascii="Calibri" w:eastAsia="Times New Roman" w:hAnsi="Calibri" w:cs="Calibri"/>
                <w:b/>
                <w:bCs/>
                <w:color w:val="000000"/>
                <w:kern w:val="0"/>
                <w:lang w:eastAsia="en-GB"/>
                <w14:ligatures w14:val="none"/>
              </w:rPr>
              <w:t xml:space="preserve">Productivity </w:t>
            </w:r>
          </w:p>
        </w:tc>
      </w:tr>
      <w:tr w:rsidR="00F05819" w:rsidRPr="00135CE4" w14:paraId="0E53B7DC" w14:textId="77777777" w:rsidTr="000A76C5">
        <w:trPr>
          <w:trHeight w:val="315"/>
        </w:trPr>
        <w:tc>
          <w:tcPr>
            <w:tcW w:w="9360" w:type="dxa"/>
            <w:tcBorders>
              <w:top w:val="nil"/>
              <w:left w:val="nil"/>
              <w:bottom w:val="nil"/>
              <w:right w:val="nil"/>
            </w:tcBorders>
            <w:shd w:val="clear" w:color="000000" w:fill="FFFFFF"/>
            <w:noWrap/>
            <w:vAlign w:val="bottom"/>
            <w:hideMark/>
          </w:tcPr>
          <w:p w14:paraId="607720C1" w14:textId="77777777" w:rsidR="00F05819" w:rsidRDefault="00F05819" w:rsidP="00D515B6">
            <w:r w:rsidRPr="00D515B6">
              <w:t>Productivity while working from home seems to be divided, however this may be linked to the limited access to resources they have. If an employee is not able to access certain information that is required to fulfil their responsibilities, this may have an impact on their productivity which may be why individuals have admitted to not feeling productive.</w:t>
            </w:r>
          </w:p>
          <w:p w14:paraId="770E8D6D" w14:textId="77777777" w:rsidR="00D62711" w:rsidRDefault="00D62711" w:rsidP="00D515B6"/>
          <w:p w14:paraId="471AD42E" w14:textId="77777777" w:rsidR="00765D25" w:rsidRDefault="00765D25" w:rsidP="00D515B6"/>
          <w:p w14:paraId="0B491913" w14:textId="77777777" w:rsidR="00D62711" w:rsidRPr="00D515B6" w:rsidRDefault="00D62711" w:rsidP="00D515B6"/>
        </w:tc>
      </w:tr>
      <w:tr w:rsidR="00F05819" w:rsidRPr="00135CE4" w14:paraId="31A57897" w14:textId="77777777" w:rsidTr="000A76C5">
        <w:trPr>
          <w:trHeight w:val="315"/>
        </w:trPr>
        <w:tc>
          <w:tcPr>
            <w:tcW w:w="9360" w:type="dxa"/>
            <w:tcBorders>
              <w:top w:val="nil"/>
              <w:left w:val="nil"/>
              <w:bottom w:val="nil"/>
              <w:right w:val="nil"/>
            </w:tcBorders>
            <w:shd w:val="clear" w:color="000000" w:fill="FFFFFF"/>
            <w:noWrap/>
            <w:vAlign w:val="bottom"/>
            <w:hideMark/>
          </w:tcPr>
          <w:p w14:paraId="5A85F63B" w14:textId="29A95975" w:rsidR="00F05819" w:rsidRPr="00D515B6" w:rsidRDefault="00F05819" w:rsidP="00D515B6">
            <w:pPr>
              <w:spacing w:after="0"/>
              <w:rPr>
                <w:b/>
                <w:bCs/>
              </w:rPr>
            </w:pPr>
            <w:r w:rsidRPr="00D515B6">
              <w:rPr>
                <w:b/>
                <w:bCs/>
              </w:rPr>
              <w:lastRenderedPageBreak/>
              <w:t>Interactions</w:t>
            </w:r>
            <w:r w:rsidR="00D515B6">
              <w:rPr>
                <w:b/>
                <w:bCs/>
              </w:rPr>
              <w:t>:</w:t>
            </w:r>
          </w:p>
          <w:p w14:paraId="34316A92" w14:textId="6B4AC818" w:rsidR="00F05819" w:rsidRDefault="00F05819" w:rsidP="00D515B6">
            <w:pPr>
              <w:spacing w:after="0"/>
            </w:pPr>
            <w:r w:rsidRPr="00D515B6">
              <w:t xml:space="preserve">60% of employees feel that working from home has had an impact on communication and collaboration within their teams, however 83% of staff do not miss engaging with their colleague’s and majority agree it removed existing conflict. </w:t>
            </w:r>
          </w:p>
          <w:p w14:paraId="60442753" w14:textId="77777777" w:rsidR="00D515B6" w:rsidRPr="00D515B6" w:rsidRDefault="00D515B6" w:rsidP="00D515B6">
            <w:pPr>
              <w:spacing w:after="0"/>
            </w:pPr>
          </w:p>
        </w:tc>
      </w:tr>
      <w:tr w:rsidR="00F05819" w:rsidRPr="00135CE4" w14:paraId="44FD4822" w14:textId="77777777" w:rsidTr="000A76C5">
        <w:trPr>
          <w:trHeight w:val="315"/>
        </w:trPr>
        <w:tc>
          <w:tcPr>
            <w:tcW w:w="9360" w:type="dxa"/>
            <w:tcBorders>
              <w:top w:val="nil"/>
              <w:left w:val="nil"/>
              <w:bottom w:val="nil"/>
              <w:right w:val="nil"/>
            </w:tcBorders>
            <w:shd w:val="clear" w:color="000000" w:fill="FFFFFF"/>
            <w:noWrap/>
            <w:vAlign w:val="bottom"/>
            <w:hideMark/>
          </w:tcPr>
          <w:p w14:paraId="7C6555FF" w14:textId="77777777" w:rsidR="003913A0" w:rsidRDefault="003913A0" w:rsidP="00D515B6">
            <w:pPr>
              <w:spacing w:after="0"/>
              <w:rPr>
                <w:b/>
                <w:bCs/>
              </w:rPr>
            </w:pPr>
          </w:p>
          <w:p w14:paraId="340FFFBD" w14:textId="034B576B" w:rsidR="00F05819" w:rsidRPr="001E3DDF" w:rsidRDefault="00F05819" w:rsidP="00D515B6">
            <w:pPr>
              <w:spacing w:after="0"/>
              <w:rPr>
                <w:b/>
                <w:bCs/>
              </w:rPr>
            </w:pPr>
            <w:r w:rsidRPr="001E3DDF">
              <w:rPr>
                <w:b/>
                <w:bCs/>
              </w:rPr>
              <w:t>Recommendations:</w:t>
            </w:r>
          </w:p>
          <w:p w14:paraId="0577FE4C" w14:textId="6B79A115" w:rsidR="00F05819" w:rsidRPr="001E3DDF" w:rsidRDefault="00F05819" w:rsidP="00D515B6">
            <w:pPr>
              <w:spacing w:after="0"/>
            </w:pPr>
            <w:r w:rsidRPr="001E3DDF">
              <w:t xml:space="preserve">It would be beneficial for the organisation to ensure regular communications are sent out and </w:t>
            </w:r>
            <w:r w:rsidR="00765D25">
              <w:t>for</w:t>
            </w:r>
            <w:r w:rsidRPr="001E3DDF">
              <w:t xml:space="preserve"> managers check in with staff regularly so they are not feeling isolated and keep communication clear consistent and concise, despite working from home staff will still need some direction from senior leadership </w:t>
            </w:r>
            <w:r w:rsidR="0095637E">
              <w:t>(BSG,2021).</w:t>
            </w:r>
            <w:r w:rsidR="00D515B6">
              <w:t xml:space="preserve"> </w:t>
            </w:r>
            <w:r w:rsidRPr="001E3DDF">
              <w:t>Team building activities should be highly encouraged to maintain engagement and the organisation should implement practices that encourage collaboration.</w:t>
            </w:r>
          </w:p>
          <w:p w14:paraId="676365C6" w14:textId="77777777" w:rsidR="00F05819" w:rsidRDefault="00F05819" w:rsidP="000A76C5">
            <w:r w:rsidRPr="001E3DDF">
              <w:t xml:space="preserve">Additional support should be given by management to support hybrid workers more effectively, regular seminars </w:t>
            </w:r>
            <w:r>
              <w:t>can be conducted on how tackle working from home, the NHS, 2023 advised the following tips to support workers:</w:t>
            </w:r>
          </w:p>
          <w:p w14:paraId="6B4457A9" w14:textId="77777777" w:rsidR="00F05819" w:rsidRPr="009D179F" w:rsidRDefault="00F05819" w:rsidP="00F05819">
            <w:pPr>
              <w:pStyle w:val="ListParagraph"/>
              <w:numPr>
                <w:ilvl w:val="0"/>
                <w:numId w:val="7"/>
              </w:numPr>
              <w:spacing w:after="0" w:line="264" w:lineRule="auto"/>
              <w:contextualSpacing w:val="0"/>
              <w:rPr>
                <w:rFonts w:cstheme="minorHAnsi"/>
              </w:rPr>
            </w:pPr>
            <w:r w:rsidRPr="009D179F">
              <w:rPr>
                <w:rFonts w:cstheme="minorHAnsi"/>
              </w:rPr>
              <w:t>Sticking to a routine.</w:t>
            </w:r>
          </w:p>
          <w:p w14:paraId="37E3DC77" w14:textId="29FC879E" w:rsidR="00F05819" w:rsidRPr="009D179F" w:rsidRDefault="00F05819" w:rsidP="00F05819">
            <w:pPr>
              <w:pStyle w:val="ListParagraph"/>
              <w:numPr>
                <w:ilvl w:val="0"/>
                <w:numId w:val="7"/>
              </w:numPr>
              <w:spacing w:after="0" w:line="264" w:lineRule="auto"/>
              <w:contextualSpacing w:val="0"/>
              <w:rPr>
                <w:rFonts w:cstheme="minorHAnsi"/>
              </w:rPr>
            </w:pPr>
            <w:r w:rsidRPr="009D179F">
              <w:rPr>
                <w:rFonts w:cstheme="minorHAnsi"/>
              </w:rPr>
              <w:t>Take</w:t>
            </w:r>
            <w:r w:rsidR="00765D25">
              <w:rPr>
                <w:rFonts w:cstheme="minorHAnsi"/>
              </w:rPr>
              <w:t xml:space="preserve"> </w:t>
            </w:r>
            <w:r w:rsidRPr="009D179F">
              <w:rPr>
                <w:rFonts w:cstheme="minorHAnsi"/>
              </w:rPr>
              <w:t>break</w:t>
            </w:r>
            <w:r w:rsidR="00765D25">
              <w:rPr>
                <w:rFonts w:cstheme="minorHAnsi"/>
              </w:rPr>
              <w:t>s</w:t>
            </w:r>
            <w:r w:rsidRPr="009D179F">
              <w:rPr>
                <w:rFonts w:cstheme="minorHAnsi"/>
              </w:rPr>
              <w:t xml:space="preserve">. </w:t>
            </w:r>
          </w:p>
          <w:p w14:paraId="3B8D94A0" w14:textId="77777777" w:rsidR="00F05819" w:rsidRPr="009D179F" w:rsidRDefault="00F05819" w:rsidP="00F05819">
            <w:pPr>
              <w:pStyle w:val="ListParagraph"/>
              <w:numPr>
                <w:ilvl w:val="0"/>
                <w:numId w:val="7"/>
              </w:numPr>
              <w:spacing w:after="0" w:line="264" w:lineRule="auto"/>
              <w:contextualSpacing w:val="0"/>
              <w:rPr>
                <w:rFonts w:cstheme="minorHAnsi"/>
              </w:rPr>
            </w:pPr>
            <w:r w:rsidRPr="009D179F">
              <w:rPr>
                <w:rFonts w:cstheme="minorHAnsi"/>
              </w:rPr>
              <w:t>Make a dedicated workstation.</w:t>
            </w:r>
          </w:p>
          <w:p w14:paraId="418B9E55" w14:textId="77777777" w:rsidR="00F05819" w:rsidRPr="009D179F" w:rsidRDefault="00F05819" w:rsidP="00F05819">
            <w:pPr>
              <w:pStyle w:val="ListParagraph"/>
              <w:numPr>
                <w:ilvl w:val="0"/>
                <w:numId w:val="7"/>
              </w:numPr>
              <w:spacing w:after="0" w:line="264" w:lineRule="auto"/>
              <w:contextualSpacing w:val="0"/>
              <w:rPr>
                <w:rFonts w:cstheme="minorHAnsi"/>
              </w:rPr>
            </w:pPr>
            <w:r w:rsidRPr="009D179F">
              <w:rPr>
                <w:rFonts w:cstheme="minorHAnsi"/>
              </w:rPr>
              <w:t>Stay connected.</w:t>
            </w:r>
          </w:p>
          <w:p w14:paraId="24460569" w14:textId="77777777" w:rsidR="00F05819" w:rsidRDefault="00F05819" w:rsidP="00F05819">
            <w:pPr>
              <w:pStyle w:val="ListParagraph"/>
              <w:numPr>
                <w:ilvl w:val="0"/>
                <w:numId w:val="7"/>
              </w:numPr>
              <w:spacing w:after="0" w:line="264" w:lineRule="auto"/>
              <w:contextualSpacing w:val="0"/>
              <w:rPr>
                <w:rFonts w:cstheme="minorHAnsi"/>
              </w:rPr>
            </w:pPr>
            <w:r w:rsidRPr="009D179F">
              <w:rPr>
                <w:rFonts w:cstheme="minorHAnsi"/>
              </w:rPr>
              <w:t>Setting boundaries</w:t>
            </w:r>
          </w:p>
          <w:p w14:paraId="2D4A6184" w14:textId="77777777" w:rsidR="00F05819" w:rsidRPr="009D179F" w:rsidRDefault="00F05819" w:rsidP="000A76C5">
            <w:pPr>
              <w:pStyle w:val="ListParagraph"/>
              <w:spacing w:after="0"/>
              <w:rPr>
                <w:rFonts w:cstheme="minorHAnsi"/>
              </w:rPr>
            </w:pPr>
          </w:p>
          <w:p w14:paraId="198BCCAA" w14:textId="77777777" w:rsidR="00F05819" w:rsidRPr="001E3DDF" w:rsidRDefault="00F05819" w:rsidP="000A76C5">
            <w:r>
              <w:t xml:space="preserve">In addition, management can </w:t>
            </w:r>
            <w:r w:rsidRPr="001E3DDF">
              <w:t>utilise action learning process by having a variety of perspective on how individuals are coping and how other managers have implemented strategies to support their own staff.</w:t>
            </w:r>
            <w:r>
              <w:t xml:space="preserve"> </w:t>
            </w:r>
          </w:p>
          <w:p w14:paraId="233742B8" w14:textId="07CC7782" w:rsidR="00F05819" w:rsidRDefault="00F05819" w:rsidP="000A76C5">
            <w:r w:rsidRPr="001E3DDF">
              <w:t>To address workplace stress, the organisation should invest in an employee assistant programme</w:t>
            </w:r>
            <w:r>
              <w:t xml:space="preserve"> </w:t>
            </w:r>
            <w:r w:rsidRPr="001E3DDF">
              <w:t>(EAP) and educate staff on available wellbeing packages</w:t>
            </w:r>
            <w:r>
              <w:t xml:space="preserve"> and</w:t>
            </w:r>
            <w:r w:rsidRPr="001E3DDF">
              <w:t xml:space="preserve"> the importance of burn out while having policies in place to support employees.</w:t>
            </w:r>
            <w:r>
              <w:t xml:space="preserve"> Organisations need to acknowledge that hybrid working is not a one size fits all and by focusing on employee wellbeing will benefit both staff and the </w:t>
            </w:r>
            <w:r w:rsidR="007B343B">
              <w:t>organisation and</w:t>
            </w:r>
            <w:r>
              <w:t xml:space="preserve"> can result in positive working environments and improve performance </w:t>
            </w:r>
            <w:r w:rsidR="00FF79E0">
              <w:t>(CIPD, No date).</w:t>
            </w:r>
          </w:p>
          <w:p w14:paraId="1A073FB9" w14:textId="77777777" w:rsidR="00F05819" w:rsidRDefault="00F05819" w:rsidP="000A76C5"/>
          <w:p w14:paraId="23245C7F" w14:textId="77777777" w:rsidR="00F05819" w:rsidRPr="00135CE4" w:rsidRDefault="00F05819" w:rsidP="000A76C5">
            <w:pPr>
              <w:rPr>
                <w:rFonts w:ascii="Calibri" w:eastAsia="Times New Roman" w:hAnsi="Calibri" w:cs="Calibri"/>
                <w:color w:val="000000"/>
                <w:kern w:val="0"/>
                <w:sz w:val="24"/>
                <w:szCs w:val="24"/>
                <w:lang w:eastAsia="en-GB"/>
                <w14:ligatures w14:val="none"/>
              </w:rPr>
            </w:pPr>
          </w:p>
        </w:tc>
      </w:tr>
    </w:tbl>
    <w:p w14:paraId="34164A24" w14:textId="77777777" w:rsidR="00AF53AD" w:rsidRPr="0055277E" w:rsidRDefault="00AF53AD" w:rsidP="00C5141D">
      <w:pPr>
        <w:rPr>
          <w:rFonts w:cstheme="minorHAnsi"/>
          <w:b/>
          <w:bCs/>
          <w:color w:val="FF0000"/>
        </w:rPr>
      </w:pPr>
    </w:p>
    <w:p w14:paraId="32C56FF9" w14:textId="77777777" w:rsidR="00AF53AD" w:rsidRPr="0055277E" w:rsidRDefault="00AF53AD" w:rsidP="00C5141D">
      <w:pPr>
        <w:rPr>
          <w:rFonts w:cstheme="minorHAnsi"/>
          <w:b/>
          <w:bCs/>
          <w:color w:val="FF0000"/>
        </w:rPr>
      </w:pPr>
    </w:p>
    <w:p w14:paraId="3CCF5CB4" w14:textId="77777777" w:rsidR="00DE10C8" w:rsidRDefault="00DE10C8" w:rsidP="00C5141D">
      <w:pPr>
        <w:rPr>
          <w:rFonts w:cstheme="minorHAnsi"/>
          <w:b/>
          <w:bCs/>
          <w:color w:val="FF0000"/>
        </w:rPr>
      </w:pPr>
    </w:p>
    <w:p w14:paraId="359ABB1F" w14:textId="77777777" w:rsidR="005A17EC" w:rsidRDefault="005A17EC" w:rsidP="00C5141D">
      <w:pPr>
        <w:rPr>
          <w:rFonts w:cstheme="minorHAnsi"/>
          <w:b/>
          <w:bCs/>
          <w:color w:val="FF0000"/>
        </w:rPr>
      </w:pPr>
    </w:p>
    <w:p w14:paraId="6113CA24" w14:textId="77777777" w:rsidR="005A17EC" w:rsidRDefault="005A17EC" w:rsidP="00C5141D">
      <w:pPr>
        <w:rPr>
          <w:rFonts w:cstheme="minorHAnsi"/>
          <w:b/>
          <w:bCs/>
          <w:color w:val="FF0000"/>
        </w:rPr>
      </w:pPr>
    </w:p>
    <w:p w14:paraId="33A9E6C6" w14:textId="77777777" w:rsidR="005A17EC" w:rsidRDefault="005A17EC" w:rsidP="00C5141D">
      <w:pPr>
        <w:rPr>
          <w:rFonts w:cstheme="minorHAnsi"/>
          <w:b/>
          <w:bCs/>
          <w:color w:val="FF0000"/>
        </w:rPr>
      </w:pPr>
    </w:p>
    <w:p w14:paraId="5FCDFDEC" w14:textId="77777777" w:rsidR="005A17EC" w:rsidRDefault="005A17EC" w:rsidP="00C5141D">
      <w:pPr>
        <w:rPr>
          <w:rFonts w:cstheme="minorHAnsi"/>
          <w:b/>
          <w:bCs/>
          <w:color w:val="FF0000"/>
        </w:rPr>
      </w:pPr>
    </w:p>
    <w:p w14:paraId="2A5A8898" w14:textId="77777777" w:rsidR="003A4985" w:rsidRDefault="003A4985" w:rsidP="00C5141D">
      <w:pPr>
        <w:rPr>
          <w:rFonts w:cstheme="minorHAnsi"/>
          <w:b/>
          <w:bCs/>
          <w:color w:val="FF0000"/>
        </w:rPr>
      </w:pPr>
    </w:p>
    <w:p w14:paraId="4BF9A8F2" w14:textId="77777777" w:rsidR="003A4985" w:rsidRDefault="003A4985" w:rsidP="00C5141D">
      <w:pPr>
        <w:rPr>
          <w:rFonts w:cstheme="minorHAnsi"/>
          <w:b/>
          <w:bCs/>
          <w:color w:val="FF0000"/>
        </w:rPr>
      </w:pPr>
    </w:p>
    <w:p w14:paraId="178CE114" w14:textId="77777777" w:rsidR="003A4985" w:rsidRDefault="003A4985" w:rsidP="00C5141D">
      <w:pPr>
        <w:rPr>
          <w:rFonts w:cstheme="minorHAnsi"/>
          <w:b/>
          <w:bCs/>
          <w:color w:val="FF0000"/>
        </w:rPr>
      </w:pPr>
    </w:p>
    <w:p w14:paraId="2677F5DD" w14:textId="77777777" w:rsidR="003A4985" w:rsidRDefault="003A4985" w:rsidP="00C5141D">
      <w:pPr>
        <w:rPr>
          <w:rFonts w:cstheme="minorHAnsi"/>
          <w:b/>
          <w:bCs/>
          <w:color w:val="FF0000"/>
        </w:rPr>
      </w:pPr>
    </w:p>
    <w:p w14:paraId="12B494B5" w14:textId="0E917E2D" w:rsidR="00765D25" w:rsidRPr="00765D25" w:rsidRDefault="00765D25" w:rsidP="00765D25">
      <w:pPr>
        <w:rPr>
          <w:rFonts w:cstheme="minorHAnsi"/>
          <w:b/>
          <w:bCs/>
        </w:rPr>
      </w:pPr>
      <w:r w:rsidRPr="00765D25">
        <w:rPr>
          <w:rFonts w:cstheme="minorHAnsi"/>
          <w:b/>
          <w:bCs/>
        </w:rPr>
        <w:t>References:</w:t>
      </w:r>
    </w:p>
    <w:p w14:paraId="34B99A87" w14:textId="77777777" w:rsidR="00765D25" w:rsidRPr="00765D25" w:rsidRDefault="00765D25" w:rsidP="00E10083">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ACAS (no date) </w:t>
      </w:r>
      <w:r w:rsidRPr="00765D25">
        <w:rPr>
          <w:rFonts w:asciiTheme="minorHAnsi" w:hAnsiTheme="minorHAnsi" w:cstheme="minorHAnsi"/>
          <w:i/>
          <w:iCs/>
          <w:sz w:val="22"/>
          <w:szCs w:val="22"/>
        </w:rPr>
        <w:t>What they are - equality, diversity and inclusion</w:t>
      </w:r>
      <w:r w:rsidRPr="00765D25">
        <w:rPr>
          <w:rFonts w:asciiTheme="minorHAnsi" w:hAnsiTheme="minorHAnsi" w:cstheme="minorHAnsi"/>
          <w:sz w:val="22"/>
          <w:szCs w:val="22"/>
        </w:rPr>
        <w:t xml:space="preserve">, </w:t>
      </w:r>
      <w:proofErr w:type="spellStart"/>
      <w:r w:rsidRPr="00765D25">
        <w:rPr>
          <w:rFonts w:asciiTheme="minorHAnsi" w:hAnsiTheme="minorHAnsi" w:cstheme="minorHAnsi"/>
          <w:i/>
          <w:iCs/>
          <w:sz w:val="22"/>
          <w:szCs w:val="22"/>
        </w:rPr>
        <w:t>Acas</w:t>
      </w:r>
      <w:proofErr w:type="spellEnd"/>
      <w:r w:rsidRPr="00765D25">
        <w:rPr>
          <w:rFonts w:asciiTheme="minorHAnsi" w:hAnsiTheme="minorHAnsi" w:cstheme="minorHAnsi"/>
          <w:sz w:val="22"/>
          <w:szCs w:val="22"/>
        </w:rPr>
        <w:t xml:space="preserve">. Available at: https://www.acas.org.uk/improving-equality-diversity-and-inclusion (Accessed: 01 December 2023). </w:t>
      </w:r>
    </w:p>
    <w:p w14:paraId="4F69FE6A" w14:textId="77777777" w:rsidR="00765D25" w:rsidRPr="00765D25" w:rsidRDefault="00765D25" w:rsidP="002F3B45">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Acton, C. (2022) </w:t>
      </w:r>
      <w:r w:rsidRPr="00765D25">
        <w:rPr>
          <w:rFonts w:asciiTheme="minorHAnsi" w:hAnsiTheme="minorHAnsi" w:cstheme="minorHAnsi"/>
          <w:i/>
          <w:iCs/>
          <w:sz w:val="22"/>
          <w:szCs w:val="22"/>
        </w:rPr>
        <w:t xml:space="preserve">Are you aware of your </w:t>
      </w:r>
      <w:proofErr w:type="gramStart"/>
      <w:r w:rsidRPr="00765D25">
        <w:rPr>
          <w:rFonts w:asciiTheme="minorHAnsi" w:hAnsiTheme="minorHAnsi" w:cstheme="minorHAnsi"/>
          <w:i/>
          <w:iCs/>
          <w:sz w:val="22"/>
          <w:szCs w:val="22"/>
        </w:rPr>
        <w:t>biases?</w:t>
      </w:r>
      <w:r w:rsidRPr="00765D25">
        <w:rPr>
          <w:rFonts w:asciiTheme="minorHAnsi" w:hAnsiTheme="minorHAnsi" w:cstheme="minorHAnsi"/>
          <w:sz w:val="22"/>
          <w:szCs w:val="22"/>
        </w:rPr>
        <w:t>,</w:t>
      </w:r>
      <w:proofErr w:type="gramEnd"/>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Harvard Business Review</w:t>
      </w:r>
      <w:r w:rsidRPr="00765D25">
        <w:rPr>
          <w:rFonts w:asciiTheme="minorHAnsi" w:hAnsiTheme="minorHAnsi" w:cstheme="minorHAnsi"/>
          <w:sz w:val="22"/>
          <w:szCs w:val="22"/>
        </w:rPr>
        <w:t xml:space="preserve">. Available at: https://hbr.org/2022/02/are-you-aware-of-your-biases (Accessed: 03 December 2023). </w:t>
      </w:r>
    </w:p>
    <w:p w14:paraId="30520C63" w14:textId="77777777" w:rsidR="00765D25" w:rsidRPr="00765D25" w:rsidRDefault="00765D25" w:rsidP="004429FE">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Andrade, C. (2020) ‘The limitations of online surveys’, </w:t>
      </w:r>
      <w:r w:rsidRPr="00765D25">
        <w:rPr>
          <w:rFonts w:asciiTheme="minorHAnsi" w:hAnsiTheme="minorHAnsi" w:cstheme="minorHAnsi"/>
          <w:i/>
          <w:iCs/>
          <w:sz w:val="22"/>
          <w:szCs w:val="22"/>
        </w:rPr>
        <w:t>Indian Journal of Psychological Medicine</w:t>
      </w:r>
      <w:r w:rsidRPr="00765D25">
        <w:rPr>
          <w:rFonts w:asciiTheme="minorHAnsi" w:hAnsiTheme="minorHAnsi" w:cstheme="minorHAnsi"/>
          <w:sz w:val="22"/>
          <w:szCs w:val="22"/>
        </w:rPr>
        <w:t xml:space="preserve">, 42(6), pp. 575–576. doi:10.1177/0253717620957496. </w:t>
      </w:r>
    </w:p>
    <w:p w14:paraId="56B210AC" w14:textId="77777777" w:rsidR="00765D25" w:rsidRPr="00765D25" w:rsidRDefault="00765D25" w:rsidP="00946EBC">
      <w:pPr>
        <w:pStyle w:val="NormalWeb"/>
        <w:spacing w:before="0" w:beforeAutospacing="0" w:after="0" w:afterAutospacing="0"/>
        <w:rPr>
          <w:rFonts w:asciiTheme="minorHAnsi" w:hAnsiTheme="minorHAnsi" w:cstheme="minorHAnsi"/>
          <w:sz w:val="22"/>
          <w:szCs w:val="22"/>
        </w:rPr>
      </w:pPr>
      <w:proofErr w:type="spellStart"/>
      <w:r w:rsidRPr="00765D25">
        <w:rPr>
          <w:rFonts w:asciiTheme="minorHAnsi" w:hAnsiTheme="minorHAnsi" w:cstheme="minorHAnsi"/>
          <w:sz w:val="22"/>
          <w:szCs w:val="22"/>
          <w:lang w:val="fr-FR"/>
        </w:rPr>
        <w:t>Barends</w:t>
      </w:r>
      <w:proofErr w:type="spellEnd"/>
      <w:r w:rsidRPr="00765D25">
        <w:rPr>
          <w:rFonts w:asciiTheme="minorHAnsi" w:hAnsiTheme="minorHAnsi" w:cstheme="minorHAnsi"/>
          <w:sz w:val="22"/>
          <w:szCs w:val="22"/>
          <w:lang w:val="fr-FR"/>
        </w:rPr>
        <w:t xml:space="preserve">, E., Rousseau, D.M., &amp; </w:t>
      </w:r>
      <w:proofErr w:type="spellStart"/>
      <w:r w:rsidRPr="00765D25">
        <w:rPr>
          <w:rFonts w:asciiTheme="minorHAnsi" w:hAnsiTheme="minorHAnsi" w:cstheme="minorHAnsi"/>
          <w:sz w:val="22"/>
          <w:szCs w:val="22"/>
          <w:lang w:val="fr-FR"/>
        </w:rPr>
        <w:t>Briner</w:t>
      </w:r>
      <w:proofErr w:type="spellEnd"/>
      <w:r w:rsidRPr="00765D25">
        <w:rPr>
          <w:rFonts w:asciiTheme="minorHAnsi" w:hAnsiTheme="minorHAnsi" w:cstheme="minorHAnsi"/>
          <w:sz w:val="22"/>
          <w:szCs w:val="22"/>
          <w:lang w:val="fr-FR"/>
        </w:rPr>
        <w:t xml:space="preserve">, R.B. (2014). </w:t>
      </w:r>
      <w:r w:rsidRPr="00765D25">
        <w:rPr>
          <w:rFonts w:asciiTheme="minorHAnsi" w:hAnsiTheme="minorHAnsi" w:cstheme="minorHAnsi"/>
          <w:i/>
          <w:iCs/>
          <w:sz w:val="22"/>
          <w:szCs w:val="22"/>
        </w:rPr>
        <w:t>Evidence-Based Management: The Basic   Principles.</w:t>
      </w:r>
      <w:r w:rsidRPr="00765D25">
        <w:rPr>
          <w:rFonts w:asciiTheme="minorHAnsi" w:hAnsiTheme="minorHAnsi" w:cstheme="minorHAnsi"/>
          <w:sz w:val="22"/>
          <w:szCs w:val="22"/>
        </w:rPr>
        <w:t xml:space="preserve"> Available at: </w:t>
      </w:r>
      <w:hyperlink r:id="rId16" w:history="1">
        <w:r w:rsidRPr="00765D25">
          <w:rPr>
            <w:rStyle w:val="Hyperlink"/>
            <w:rFonts w:asciiTheme="minorHAnsi" w:hAnsiTheme="minorHAnsi" w:cstheme="minorHAnsi"/>
            <w:color w:val="auto"/>
            <w:sz w:val="22"/>
            <w:szCs w:val="22"/>
          </w:rPr>
          <w:t>https://cebma.org/assets/Uploads/Evidence-Based-Practice-The-Basic-Principles.pdf</w:t>
        </w:r>
      </w:hyperlink>
      <w:r w:rsidRPr="00765D25">
        <w:rPr>
          <w:rFonts w:asciiTheme="minorHAnsi" w:hAnsiTheme="minorHAnsi" w:cstheme="minorHAnsi"/>
          <w:sz w:val="22"/>
          <w:szCs w:val="22"/>
        </w:rPr>
        <w:t xml:space="preserve"> (Accessed: 26 October 2023).</w:t>
      </w:r>
    </w:p>
    <w:p w14:paraId="0836871B" w14:textId="77777777" w:rsidR="00765D25" w:rsidRPr="00765D25" w:rsidRDefault="00765D25" w:rsidP="006204DF">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Bouygues, H.B. (2022) </w:t>
      </w:r>
      <w:r w:rsidRPr="00765D25">
        <w:rPr>
          <w:rFonts w:asciiTheme="minorHAnsi" w:hAnsiTheme="minorHAnsi" w:cstheme="minorHAnsi"/>
          <w:i/>
          <w:iCs/>
          <w:sz w:val="22"/>
          <w:szCs w:val="22"/>
        </w:rPr>
        <w:t>Improving the workplace through critical thinking</w:t>
      </w:r>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HR Magazine</w:t>
      </w:r>
      <w:r w:rsidRPr="00765D25">
        <w:rPr>
          <w:rFonts w:asciiTheme="minorHAnsi" w:hAnsiTheme="minorHAnsi" w:cstheme="minorHAnsi"/>
          <w:sz w:val="22"/>
          <w:szCs w:val="22"/>
        </w:rPr>
        <w:t xml:space="preserve">. Available at: https://www.hrmagazine.co.uk/content/comment/improving-the-workplace-through-critical-thinking/ (Accessed: 12 November 2023). </w:t>
      </w:r>
    </w:p>
    <w:p w14:paraId="2EE9CA83" w14:textId="77777777" w:rsidR="00765D25" w:rsidRPr="00765D25" w:rsidRDefault="00765D25" w:rsidP="001F7EAB">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Briner, R. (2023) </w:t>
      </w:r>
      <w:r w:rsidRPr="00765D25">
        <w:rPr>
          <w:rFonts w:asciiTheme="minorHAnsi" w:hAnsiTheme="minorHAnsi" w:cstheme="minorHAnsi"/>
          <w:i/>
          <w:iCs/>
          <w:sz w:val="22"/>
          <w:szCs w:val="22"/>
        </w:rPr>
        <w:t>How to avoid fads in HR</w:t>
      </w:r>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Personnel Today</w:t>
      </w:r>
      <w:r w:rsidRPr="00765D25">
        <w:rPr>
          <w:rFonts w:asciiTheme="minorHAnsi" w:hAnsiTheme="minorHAnsi" w:cstheme="minorHAnsi"/>
          <w:sz w:val="22"/>
          <w:szCs w:val="22"/>
        </w:rPr>
        <w:t xml:space="preserve">. Available at: https://www.personneltoday.com/hr/hr-fads-rob-briner/ (Accessed: 01 December 2023). </w:t>
      </w:r>
    </w:p>
    <w:p w14:paraId="5A0AC3CD" w14:textId="77777777" w:rsidR="00765D25" w:rsidRPr="00765D25" w:rsidRDefault="00765D25" w:rsidP="00E06E98">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Briner, R. (2023b) </w:t>
      </w:r>
      <w:r w:rsidRPr="00765D25">
        <w:rPr>
          <w:rFonts w:asciiTheme="minorHAnsi" w:hAnsiTheme="minorHAnsi" w:cstheme="minorHAnsi"/>
          <w:i/>
          <w:iCs/>
          <w:sz w:val="22"/>
          <w:szCs w:val="22"/>
        </w:rPr>
        <w:t>A warning to HR professionals – do not fall for fads</w:t>
      </w:r>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People Management</w:t>
      </w:r>
      <w:r w:rsidRPr="00765D25">
        <w:rPr>
          <w:rFonts w:asciiTheme="minorHAnsi" w:hAnsiTheme="minorHAnsi" w:cstheme="minorHAnsi"/>
          <w:sz w:val="22"/>
          <w:szCs w:val="22"/>
        </w:rPr>
        <w:t xml:space="preserve">. Available at: https://www.peoplemanagement.co.uk/article/1832937/warning-hr-professionals-%e2%80%93-not-fall-fads (Accessed: 01 December 2023). </w:t>
      </w:r>
    </w:p>
    <w:p w14:paraId="6A0682DC" w14:textId="77777777" w:rsidR="00765D25" w:rsidRPr="00765D25" w:rsidRDefault="00765D25" w:rsidP="004D3C79">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BSG (2021) </w:t>
      </w:r>
      <w:r w:rsidRPr="00765D25">
        <w:rPr>
          <w:rFonts w:asciiTheme="minorHAnsi" w:hAnsiTheme="minorHAnsi" w:cstheme="minorHAnsi"/>
          <w:i/>
          <w:iCs/>
          <w:sz w:val="22"/>
          <w:szCs w:val="22"/>
        </w:rPr>
        <w:t>Top 10 tips for effective communication with home workers</w:t>
      </w:r>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The Business Supplies Group</w:t>
      </w:r>
      <w:r w:rsidRPr="00765D25">
        <w:rPr>
          <w:rFonts w:asciiTheme="minorHAnsi" w:hAnsiTheme="minorHAnsi" w:cstheme="minorHAnsi"/>
          <w:sz w:val="22"/>
          <w:szCs w:val="22"/>
        </w:rPr>
        <w:t xml:space="preserve">. Available at: https://www.tbsg.co.uk/blog/top-10-tips-for-effective-communication-with-home-workers (Accessed: 01 December 2023). </w:t>
      </w:r>
    </w:p>
    <w:p w14:paraId="16D727A3" w14:textId="77777777" w:rsidR="00765D25" w:rsidRPr="00765D25" w:rsidRDefault="00765D25" w:rsidP="00D75932">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CFI (2023) </w:t>
      </w:r>
      <w:r w:rsidRPr="00765D25">
        <w:rPr>
          <w:rFonts w:asciiTheme="minorHAnsi" w:hAnsiTheme="minorHAnsi" w:cstheme="minorHAnsi"/>
          <w:i/>
          <w:iCs/>
          <w:sz w:val="22"/>
          <w:szCs w:val="22"/>
        </w:rPr>
        <w:t>Groupthink</w:t>
      </w:r>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Corporate Finance Institute</w:t>
      </w:r>
      <w:r w:rsidRPr="00765D25">
        <w:rPr>
          <w:rFonts w:asciiTheme="minorHAnsi" w:hAnsiTheme="minorHAnsi" w:cstheme="minorHAnsi"/>
          <w:sz w:val="22"/>
          <w:szCs w:val="22"/>
        </w:rPr>
        <w:t xml:space="preserve">. Available at: https://corporatefinanceinstitute.com/resources/management/groupthink-decisions/ (Accessed: 17 November 2023). </w:t>
      </w:r>
    </w:p>
    <w:p w14:paraId="57185967" w14:textId="77777777" w:rsidR="00765D25" w:rsidRPr="00765D25" w:rsidRDefault="00765D25" w:rsidP="00A52BAC">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CIM (2015) </w:t>
      </w:r>
      <w:r w:rsidRPr="00765D25">
        <w:rPr>
          <w:rFonts w:asciiTheme="minorHAnsi" w:hAnsiTheme="minorHAnsi" w:cstheme="minorHAnsi"/>
          <w:i/>
          <w:iCs/>
          <w:sz w:val="22"/>
          <w:szCs w:val="22"/>
        </w:rPr>
        <w:t xml:space="preserve">Developing decision making </w:t>
      </w:r>
      <w:proofErr w:type="spellStart"/>
      <w:proofErr w:type="gramStart"/>
      <w:r w:rsidRPr="00765D25">
        <w:rPr>
          <w:rFonts w:asciiTheme="minorHAnsi" w:hAnsiTheme="minorHAnsi" w:cstheme="minorHAnsi"/>
          <w:i/>
          <w:iCs/>
          <w:sz w:val="22"/>
          <w:szCs w:val="22"/>
        </w:rPr>
        <w:t>skills.Chartered</w:t>
      </w:r>
      <w:proofErr w:type="spellEnd"/>
      <w:proofErr w:type="gramEnd"/>
      <w:r w:rsidRPr="00765D25">
        <w:rPr>
          <w:rFonts w:asciiTheme="minorHAnsi" w:hAnsiTheme="minorHAnsi" w:cstheme="minorHAnsi"/>
          <w:i/>
          <w:iCs/>
          <w:sz w:val="22"/>
          <w:szCs w:val="22"/>
        </w:rPr>
        <w:t xml:space="preserve"> Institute of Management. </w:t>
      </w:r>
      <w:r w:rsidRPr="00765D25">
        <w:rPr>
          <w:rFonts w:asciiTheme="minorHAnsi" w:hAnsiTheme="minorHAnsi" w:cstheme="minorHAnsi"/>
          <w:sz w:val="22"/>
          <w:szCs w:val="22"/>
        </w:rPr>
        <w:t xml:space="preserve">Available at: https://www.managers.org.uk/wp-content/uploads/2020/03/CHK-277_Developing_decision_making_skills.pdf (Accessed: 20 November 2023). </w:t>
      </w:r>
    </w:p>
    <w:p w14:paraId="5C2A9F4E" w14:textId="77777777" w:rsidR="00765D25" w:rsidRPr="00765D25" w:rsidRDefault="00765D25" w:rsidP="00DA28A5">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CIPD (2015) </w:t>
      </w:r>
      <w:r w:rsidRPr="00765D25">
        <w:rPr>
          <w:rFonts w:asciiTheme="minorHAnsi" w:hAnsiTheme="minorHAnsi" w:cstheme="minorHAnsi"/>
          <w:i/>
          <w:iCs/>
          <w:sz w:val="22"/>
          <w:szCs w:val="22"/>
        </w:rPr>
        <w:t>Ethical decision-making: Eight perspectives on workplace dilemmas</w:t>
      </w:r>
      <w:r w:rsidRPr="00765D25">
        <w:rPr>
          <w:rFonts w:asciiTheme="minorHAnsi" w:hAnsiTheme="minorHAnsi" w:cstheme="minorHAnsi"/>
          <w:sz w:val="22"/>
          <w:szCs w:val="22"/>
        </w:rPr>
        <w:t xml:space="preserve">. rep. Available at: https://www.cipd.org/globalassets/media/comms/the-people-profession/profession-map-pdfs/ethical-decision-making-2015-eight-perspectives-on-workplace-dilemmas_tcm29-9564.pdf (Accessed: 01 December 2023). </w:t>
      </w:r>
    </w:p>
    <w:p w14:paraId="6A2E59D6" w14:textId="77777777" w:rsidR="00765D25" w:rsidRPr="00765D25" w:rsidRDefault="00765D25" w:rsidP="00EE5B1D">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CIPD (2017) </w:t>
      </w:r>
      <w:r w:rsidRPr="00765D25">
        <w:rPr>
          <w:rFonts w:asciiTheme="minorHAnsi" w:hAnsiTheme="minorHAnsi" w:cstheme="minorHAnsi"/>
          <w:i/>
          <w:iCs/>
          <w:sz w:val="22"/>
          <w:szCs w:val="22"/>
        </w:rPr>
        <w:t xml:space="preserve">Creating and capturing </w:t>
      </w:r>
      <w:proofErr w:type="gramStart"/>
      <w:r w:rsidRPr="00765D25">
        <w:rPr>
          <w:rFonts w:asciiTheme="minorHAnsi" w:hAnsiTheme="minorHAnsi" w:cstheme="minorHAnsi"/>
          <w:i/>
          <w:iCs/>
          <w:sz w:val="22"/>
          <w:szCs w:val="22"/>
        </w:rPr>
        <w:t>value  at</w:t>
      </w:r>
      <w:proofErr w:type="gramEnd"/>
      <w:r w:rsidRPr="00765D25">
        <w:rPr>
          <w:rFonts w:asciiTheme="minorHAnsi" w:hAnsiTheme="minorHAnsi" w:cstheme="minorHAnsi"/>
          <w:i/>
          <w:iCs/>
          <w:sz w:val="22"/>
          <w:szCs w:val="22"/>
        </w:rPr>
        <w:t xml:space="preserve"> work: who benefits?</w:t>
      </w:r>
      <w:r w:rsidRPr="00765D25">
        <w:rPr>
          <w:rFonts w:asciiTheme="minorHAnsi" w:hAnsiTheme="minorHAnsi" w:cstheme="minorHAnsi"/>
          <w:sz w:val="22"/>
          <w:szCs w:val="22"/>
        </w:rPr>
        <w:t xml:space="preserve"> Research Report, Part 1- thematical literature review, London: CIPD Available at: https://www.cipd.org/globalassets/media/knowledge/knowledge-hub/reports/creating-and-capturing-value-at-work_2017-who-benefits-2_tcm18-33097.pdf (Accessed: 21 November 2023). </w:t>
      </w:r>
    </w:p>
    <w:p w14:paraId="0F39532B" w14:textId="77777777" w:rsidR="00765D25" w:rsidRPr="00765D25" w:rsidRDefault="00765D25" w:rsidP="0071375E">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lastRenderedPageBreak/>
        <w:t xml:space="preserve">CIPD (2022) </w:t>
      </w:r>
      <w:r w:rsidRPr="00765D25">
        <w:rPr>
          <w:rFonts w:asciiTheme="minorHAnsi" w:hAnsiTheme="minorHAnsi" w:cstheme="minorHAnsi"/>
          <w:i/>
          <w:iCs/>
          <w:sz w:val="22"/>
          <w:szCs w:val="22"/>
        </w:rPr>
        <w:t xml:space="preserve">Equality, </w:t>
      </w:r>
      <w:proofErr w:type="gramStart"/>
      <w:r w:rsidRPr="00765D25">
        <w:rPr>
          <w:rFonts w:asciiTheme="minorHAnsi" w:hAnsiTheme="minorHAnsi" w:cstheme="minorHAnsi"/>
          <w:i/>
          <w:iCs/>
          <w:sz w:val="22"/>
          <w:szCs w:val="22"/>
        </w:rPr>
        <w:t>diversity</w:t>
      </w:r>
      <w:proofErr w:type="gramEnd"/>
      <w:r w:rsidRPr="00765D25">
        <w:rPr>
          <w:rFonts w:asciiTheme="minorHAnsi" w:hAnsiTheme="minorHAnsi" w:cstheme="minorHAnsi"/>
          <w:i/>
          <w:iCs/>
          <w:sz w:val="22"/>
          <w:szCs w:val="22"/>
        </w:rPr>
        <w:t xml:space="preserve"> and inclusion in the workplace: Factsheets</w:t>
      </w:r>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CIPD</w:t>
      </w:r>
      <w:r w:rsidRPr="00765D25">
        <w:rPr>
          <w:rFonts w:asciiTheme="minorHAnsi" w:hAnsiTheme="minorHAnsi" w:cstheme="minorHAnsi"/>
          <w:sz w:val="22"/>
          <w:szCs w:val="22"/>
        </w:rPr>
        <w:t xml:space="preserve">. Available at: https://www.cipd.org/uk/knowledge/factsheets/diversity-factsheet/#Equality (Accessed: 01 December 2023). </w:t>
      </w:r>
    </w:p>
    <w:p w14:paraId="253845BB" w14:textId="77777777" w:rsidR="00765D25" w:rsidRPr="00765D25" w:rsidRDefault="00765D25" w:rsidP="0030778C">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CIPD (2023a)</w:t>
      </w:r>
      <w:r w:rsidRPr="00765D25">
        <w:rPr>
          <w:rFonts w:asciiTheme="minorHAnsi" w:hAnsiTheme="minorHAnsi" w:cstheme="minorHAnsi"/>
          <w:i/>
          <w:iCs/>
          <w:sz w:val="22"/>
          <w:szCs w:val="22"/>
        </w:rPr>
        <w:t xml:space="preserve"> Evidence-based practice for effective decision-making: Factsheets</w:t>
      </w:r>
      <w:r w:rsidRPr="00765D25">
        <w:rPr>
          <w:rFonts w:asciiTheme="minorHAnsi" w:hAnsiTheme="minorHAnsi" w:cstheme="minorHAnsi"/>
          <w:sz w:val="22"/>
          <w:szCs w:val="22"/>
        </w:rPr>
        <w:t xml:space="preserve"> (2023</w:t>
      </w:r>
      <w:proofErr w:type="gramStart"/>
      <w:r w:rsidRPr="00765D25">
        <w:rPr>
          <w:rFonts w:asciiTheme="minorHAnsi" w:hAnsiTheme="minorHAnsi" w:cstheme="minorHAnsi"/>
          <w:sz w:val="22"/>
          <w:szCs w:val="22"/>
        </w:rPr>
        <w:t>)  Available</w:t>
      </w:r>
      <w:proofErr w:type="gramEnd"/>
      <w:r w:rsidRPr="00765D25">
        <w:rPr>
          <w:rFonts w:asciiTheme="minorHAnsi" w:hAnsiTheme="minorHAnsi" w:cstheme="minorHAnsi"/>
          <w:sz w:val="22"/>
          <w:szCs w:val="22"/>
        </w:rPr>
        <w:t xml:space="preserve"> at: https://www.cipd.org/uk/knowledge/factsheets/evidence-based-practice-factsheet/#why-is-evidencebased-practice-important (Accessed: 26 October 2023). </w:t>
      </w:r>
    </w:p>
    <w:p w14:paraId="7AD7D7BE" w14:textId="77777777" w:rsidR="00765D25" w:rsidRPr="00765D25" w:rsidRDefault="00765D25" w:rsidP="0030778C">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CIPD (2023b) </w:t>
      </w:r>
      <w:r w:rsidRPr="00765D25">
        <w:rPr>
          <w:rFonts w:asciiTheme="minorHAnsi" w:hAnsiTheme="minorHAnsi" w:cstheme="minorHAnsi"/>
          <w:i/>
          <w:iCs/>
          <w:sz w:val="22"/>
          <w:szCs w:val="22"/>
        </w:rPr>
        <w:t>Evidence-based HR: Make better decisions and step up your influence</w:t>
      </w:r>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CIPD</w:t>
      </w:r>
      <w:r w:rsidRPr="00765D25">
        <w:rPr>
          <w:rFonts w:asciiTheme="minorHAnsi" w:hAnsiTheme="minorHAnsi" w:cstheme="minorHAnsi"/>
          <w:sz w:val="22"/>
          <w:szCs w:val="22"/>
        </w:rPr>
        <w:t xml:space="preserve">. Available at: https://www.cipd.org/uk/knowledge/guides/evidence-based-profession/#what-is-evidence-based-practice (Accessed: 21 November 2023). </w:t>
      </w:r>
    </w:p>
    <w:p w14:paraId="457C98CC" w14:textId="77777777" w:rsidR="00765D25" w:rsidRPr="00765D25" w:rsidRDefault="00765D25" w:rsidP="00274340">
      <w:pPr>
        <w:pStyle w:val="NormalWeb"/>
        <w:ind w:left="567" w:hanging="567"/>
        <w:rPr>
          <w:rFonts w:asciiTheme="minorHAnsi" w:hAnsiTheme="minorHAnsi" w:cstheme="minorHAnsi"/>
          <w:sz w:val="22"/>
          <w:szCs w:val="22"/>
        </w:rPr>
      </w:pPr>
      <w:bookmarkStart w:id="0" w:name="_Hlk151450705"/>
      <w:r w:rsidRPr="00765D25">
        <w:rPr>
          <w:rFonts w:asciiTheme="minorHAnsi" w:hAnsiTheme="minorHAnsi" w:cstheme="minorHAnsi"/>
          <w:sz w:val="22"/>
          <w:szCs w:val="22"/>
        </w:rPr>
        <w:t xml:space="preserve">CIPD (2023c) </w:t>
      </w:r>
      <w:bookmarkEnd w:id="0"/>
      <w:r w:rsidRPr="00765D25">
        <w:rPr>
          <w:rFonts w:asciiTheme="minorHAnsi" w:hAnsiTheme="minorHAnsi" w:cstheme="minorHAnsi"/>
          <w:i/>
          <w:iCs/>
          <w:sz w:val="22"/>
          <w:szCs w:val="22"/>
        </w:rPr>
        <w:t>Pestle analysis</w:t>
      </w:r>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CIPD</w:t>
      </w:r>
      <w:r w:rsidRPr="00765D25">
        <w:rPr>
          <w:rFonts w:asciiTheme="minorHAnsi" w:hAnsiTheme="minorHAnsi" w:cstheme="minorHAnsi"/>
          <w:sz w:val="22"/>
          <w:szCs w:val="22"/>
        </w:rPr>
        <w:t xml:space="preserve">. Available at: https://www.cipd.org/uk/knowledge/factsheets/pestle-analysis-factsheet/ (Accessed: 11 November 2023). </w:t>
      </w:r>
    </w:p>
    <w:p w14:paraId="57FE9EDA" w14:textId="77777777" w:rsidR="00765D25" w:rsidRPr="00765D25" w:rsidRDefault="00765D25" w:rsidP="006204DF">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CIPD (2023d) </w:t>
      </w:r>
      <w:r w:rsidRPr="00765D25">
        <w:rPr>
          <w:rFonts w:asciiTheme="minorHAnsi" w:hAnsiTheme="minorHAnsi" w:cstheme="minorHAnsi"/>
          <w:i/>
          <w:iCs/>
          <w:sz w:val="22"/>
          <w:szCs w:val="22"/>
        </w:rPr>
        <w:t>SWOT analysis: Factsheets</w:t>
      </w:r>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CIPD</w:t>
      </w:r>
      <w:r w:rsidRPr="00765D25">
        <w:rPr>
          <w:rFonts w:asciiTheme="minorHAnsi" w:hAnsiTheme="minorHAnsi" w:cstheme="minorHAnsi"/>
          <w:sz w:val="22"/>
          <w:szCs w:val="22"/>
        </w:rPr>
        <w:t xml:space="preserve">. Available at: https://www.cipd.org/uk/knowledge/factsheets/swot-analysis-factsheet/ (Accessed: 21 November 2023). </w:t>
      </w:r>
    </w:p>
    <w:p w14:paraId="5E20FBBE" w14:textId="77777777" w:rsidR="00765D25" w:rsidRPr="00765D25" w:rsidRDefault="00765D25" w:rsidP="0030778C">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CIPD (2023e) </w:t>
      </w:r>
      <w:r w:rsidRPr="00765D25">
        <w:rPr>
          <w:rFonts w:asciiTheme="minorHAnsi" w:hAnsiTheme="minorHAnsi" w:cstheme="minorHAnsi"/>
          <w:i/>
          <w:iCs/>
          <w:sz w:val="22"/>
          <w:szCs w:val="22"/>
        </w:rPr>
        <w:t>Evidence-based practice for effective decision-making: Factsheets</w:t>
      </w:r>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CIPD</w:t>
      </w:r>
      <w:r w:rsidRPr="00765D25">
        <w:rPr>
          <w:rFonts w:asciiTheme="minorHAnsi" w:hAnsiTheme="minorHAnsi" w:cstheme="minorHAnsi"/>
          <w:sz w:val="22"/>
          <w:szCs w:val="22"/>
        </w:rPr>
        <w:t xml:space="preserve">. Available at: https://www.cipd.org/uk/knowledge/factsheets/evidence-based-practice-factsheet/#why-is-evidencebased-practice-important (Accessed: 21 November 2023). </w:t>
      </w:r>
    </w:p>
    <w:p w14:paraId="32668D1A" w14:textId="77777777" w:rsidR="00765D25" w:rsidRPr="00765D25" w:rsidRDefault="00765D25" w:rsidP="00A85258">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CIPD (2023f) </w:t>
      </w:r>
      <w:r w:rsidRPr="00765D25">
        <w:rPr>
          <w:rFonts w:asciiTheme="minorHAnsi" w:hAnsiTheme="minorHAnsi" w:cstheme="minorHAnsi"/>
          <w:i/>
          <w:iCs/>
          <w:sz w:val="22"/>
          <w:szCs w:val="22"/>
        </w:rPr>
        <w:t>Absence Measurement &amp; Management: Factsheets</w:t>
      </w:r>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CIPD</w:t>
      </w:r>
      <w:r w:rsidRPr="00765D25">
        <w:rPr>
          <w:rFonts w:asciiTheme="minorHAnsi" w:hAnsiTheme="minorHAnsi" w:cstheme="minorHAnsi"/>
          <w:sz w:val="22"/>
          <w:szCs w:val="22"/>
        </w:rPr>
        <w:t xml:space="preserve">. Available at: https://www.cipd.org/uk/knowledge/factsheets/absence-factsheet/#Absence (Accessed: 01 December 2023). </w:t>
      </w:r>
    </w:p>
    <w:p w14:paraId="233FF98F" w14:textId="77777777" w:rsidR="00765D25" w:rsidRPr="00765D25" w:rsidRDefault="00765D25" w:rsidP="00361714">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CIPD (no date) </w:t>
      </w:r>
      <w:r w:rsidRPr="00765D25">
        <w:rPr>
          <w:rFonts w:asciiTheme="minorHAnsi" w:hAnsiTheme="minorHAnsi" w:cstheme="minorHAnsi"/>
          <w:i/>
          <w:iCs/>
          <w:sz w:val="22"/>
          <w:szCs w:val="22"/>
        </w:rPr>
        <w:t>Wellbeing</w:t>
      </w:r>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CIPD</w:t>
      </w:r>
      <w:r w:rsidRPr="00765D25">
        <w:rPr>
          <w:rFonts w:asciiTheme="minorHAnsi" w:hAnsiTheme="minorHAnsi" w:cstheme="minorHAnsi"/>
          <w:sz w:val="22"/>
          <w:szCs w:val="22"/>
        </w:rPr>
        <w:t xml:space="preserve">. Available at: https://www.cipd.org/uk/the-people-profession/the-profession-map/explore-the-profession-map/specialist-knowledge/wellbeing/ (Accessed: 01 December 2023). </w:t>
      </w:r>
    </w:p>
    <w:p w14:paraId="6855B7FE" w14:textId="77777777" w:rsidR="00765D25" w:rsidRPr="00765D25" w:rsidRDefault="00765D25" w:rsidP="00E42637">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Craig, W. (2018) </w:t>
      </w:r>
      <w:r w:rsidRPr="00765D25">
        <w:rPr>
          <w:rFonts w:asciiTheme="minorHAnsi" w:hAnsiTheme="minorHAnsi" w:cstheme="minorHAnsi"/>
          <w:i/>
          <w:iCs/>
          <w:sz w:val="22"/>
          <w:szCs w:val="22"/>
        </w:rPr>
        <w:t>8 benefits of measuring employee engagement</w:t>
      </w:r>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Forbes</w:t>
      </w:r>
      <w:r w:rsidRPr="00765D25">
        <w:rPr>
          <w:rFonts w:asciiTheme="minorHAnsi" w:hAnsiTheme="minorHAnsi" w:cstheme="minorHAnsi"/>
          <w:sz w:val="22"/>
          <w:szCs w:val="22"/>
        </w:rPr>
        <w:t xml:space="preserve">. Available at: https://www.forbes.com/sites/williamcraig/2018/09/18/8-benefits-of-measuring-employee-engagement/ (Accessed: 23 November 2023). </w:t>
      </w:r>
    </w:p>
    <w:p w14:paraId="3B806B55" w14:textId="77777777" w:rsidR="00765D25" w:rsidRPr="00765D25" w:rsidRDefault="00765D25" w:rsidP="006204DF">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Currence, J. (2018) </w:t>
      </w:r>
      <w:r w:rsidRPr="00765D25">
        <w:rPr>
          <w:rFonts w:asciiTheme="minorHAnsi" w:hAnsiTheme="minorHAnsi" w:cstheme="minorHAnsi"/>
          <w:i/>
          <w:iCs/>
          <w:sz w:val="22"/>
          <w:szCs w:val="22"/>
        </w:rPr>
        <w:t>Cultivate critical evaluation with a pestle analysis</w:t>
      </w:r>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SHRM</w:t>
      </w:r>
      <w:r w:rsidRPr="00765D25">
        <w:rPr>
          <w:rFonts w:asciiTheme="minorHAnsi" w:hAnsiTheme="minorHAnsi" w:cstheme="minorHAnsi"/>
          <w:sz w:val="22"/>
          <w:szCs w:val="22"/>
        </w:rPr>
        <w:t xml:space="preserve">. Available at: https://www.shrm.org/hr-today/news/hr-magazine/0618/pages/cultivate-critical-evaluation-with-a-pestle-analysis.aspx (Accessed: 12 November 2023). </w:t>
      </w:r>
    </w:p>
    <w:p w14:paraId="48A27079" w14:textId="77777777" w:rsidR="00765D25" w:rsidRPr="00765D25" w:rsidRDefault="00765D25" w:rsidP="006914CB">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Dale, S. (2015) ‘Heuristics and Biases’, </w:t>
      </w:r>
      <w:r w:rsidRPr="00765D25">
        <w:rPr>
          <w:rFonts w:asciiTheme="minorHAnsi" w:hAnsiTheme="minorHAnsi" w:cstheme="minorHAnsi"/>
          <w:i/>
          <w:iCs/>
          <w:sz w:val="22"/>
          <w:szCs w:val="22"/>
        </w:rPr>
        <w:t>Business Information Review</w:t>
      </w:r>
      <w:r w:rsidRPr="00765D25">
        <w:rPr>
          <w:rFonts w:asciiTheme="minorHAnsi" w:hAnsiTheme="minorHAnsi" w:cstheme="minorHAnsi"/>
          <w:sz w:val="22"/>
          <w:szCs w:val="22"/>
        </w:rPr>
        <w:t xml:space="preserve">, 32(2), pp. 93–99. doi:10.1177/0266382115592536. </w:t>
      </w:r>
    </w:p>
    <w:p w14:paraId="1AC1AE92" w14:textId="77777777" w:rsidR="00765D25" w:rsidRPr="00765D25" w:rsidRDefault="00765D25" w:rsidP="00C55BC5">
      <w:pPr>
        <w:pStyle w:val="NormalWeb"/>
        <w:ind w:left="567" w:hanging="567"/>
        <w:rPr>
          <w:rFonts w:asciiTheme="minorHAnsi" w:hAnsiTheme="minorHAnsi" w:cstheme="minorHAnsi"/>
          <w:sz w:val="22"/>
          <w:szCs w:val="22"/>
        </w:rPr>
      </w:pPr>
      <w:proofErr w:type="spellStart"/>
      <w:r w:rsidRPr="00765D25">
        <w:rPr>
          <w:rFonts w:asciiTheme="minorHAnsi" w:hAnsiTheme="minorHAnsi" w:cstheme="minorHAnsi"/>
          <w:sz w:val="22"/>
          <w:szCs w:val="22"/>
        </w:rPr>
        <w:t>Gigerenzer</w:t>
      </w:r>
      <w:proofErr w:type="spellEnd"/>
      <w:r w:rsidRPr="00765D25">
        <w:rPr>
          <w:rFonts w:asciiTheme="minorHAnsi" w:hAnsiTheme="minorHAnsi" w:cstheme="minorHAnsi"/>
          <w:sz w:val="22"/>
          <w:szCs w:val="22"/>
        </w:rPr>
        <w:t xml:space="preserve">, G. and </w:t>
      </w:r>
      <w:proofErr w:type="spellStart"/>
      <w:r w:rsidRPr="00765D25">
        <w:rPr>
          <w:rFonts w:asciiTheme="minorHAnsi" w:hAnsiTheme="minorHAnsi" w:cstheme="minorHAnsi"/>
          <w:sz w:val="22"/>
          <w:szCs w:val="22"/>
        </w:rPr>
        <w:t>Gaissmaier</w:t>
      </w:r>
      <w:proofErr w:type="spellEnd"/>
      <w:r w:rsidRPr="00765D25">
        <w:rPr>
          <w:rFonts w:asciiTheme="minorHAnsi" w:hAnsiTheme="minorHAnsi" w:cstheme="minorHAnsi"/>
          <w:sz w:val="22"/>
          <w:szCs w:val="22"/>
        </w:rPr>
        <w:t xml:space="preserve">, W. (2011) ‘Heuristic decision making’, </w:t>
      </w:r>
      <w:r w:rsidRPr="00765D25">
        <w:rPr>
          <w:rFonts w:asciiTheme="minorHAnsi" w:hAnsiTheme="minorHAnsi" w:cstheme="minorHAnsi"/>
          <w:i/>
          <w:iCs/>
          <w:sz w:val="22"/>
          <w:szCs w:val="22"/>
        </w:rPr>
        <w:t>Annual Review of Psychology</w:t>
      </w:r>
      <w:r w:rsidRPr="00765D25">
        <w:rPr>
          <w:rFonts w:asciiTheme="minorHAnsi" w:hAnsiTheme="minorHAnsi" w:cstheme="minorHAnsi"/>
          <w:sz w:val="22"/>
          <w:szCs w:val="22"/>
        </w:rPr>
        <w:t xml:space="preserve">, 62(1), pp. 451–482. doi:10.1146/annurev-psych-120709-145346. </w:t>
      </w:r>
    </w:p>
    <w:p w14:paraId="1352DE00" w14:textId="77777777" w:rsidR="00765D25" w:rsidRPr="00765D25" w:rsidRDefault="00765D25" w:rsidP="003613CE">
      <w:pPr>
        <w:pStyle w:val="NormalWeb"/>
        <w:ind w:left="567" w:hanging="567"/>
        <w:rPr>
          <w:rFonts w:asciiTheme="minorHAnsi" w:hAnsiTheme="minorHAnsi" w:cstheme="minorHAnsi"/>
          <w:sz w:val="22"/>
          <w:szCs w:val="22"/>
        </w:rPr>
      </w:pPr>
      <w:bookmarkStart w:id="1" w:name="_Hlk151450589"/>
      <w:r w:rsidRPr="00765D25">
        <w:rPr>
          <w:rFonts w:asciiTheme="minorHAnsi" w:hAnsiTheme="minorHAnsi" w:cstheme="minorHAnsi"/>
          <w:sz w:val="22"/>
          <w:szCs w:val="22"/>
        </w:rPr>
        <w:t>Harvard Business School (no date</w:t>
      </w:r>
      <w:bookmarkEnd w:id="1"/>
      <w:r w:rsidRPr="00765D25">
        <w:rPr>
          <w:rFonts w:asciiTheme="minorHAnsi" w:hAnsiTheme="minorHAnsi" w:cstheme="minorHAnsi"/>
          <w:i/>
          <w:iCs/>
          <w:sz w:val="22"/>
          <w:szCs w:val="22"/>
        </w:rPr>
        <w:t xml:space="preserve">) The Five Forces - Institute </w:t>
      </w:r>
      <w:proofErr w:type="gramStart"/>
      <w:r w:rsidRPr="00765D25">
        <w:rPr>
          <w:rFonts w:asciiTheme="minorHAnsi" w:hAnsiTheme="minorHAnsi" w:cstheme="minorHAnsi"/>
          <w:i/>
          <w:iCs/>
          <w:sz w:val="22"/>
          <w:szCs w:val="22"/>
        </w:rPr>
        <w:t>For</w:t>
      </w:r>
      <w:proofErr w:type="gramEnd"/>
      <w:r w:rsidRPr="00765D25">
        <w:rPr>
          <w:rFonts w:asciiTheme="minorHAnsi" w:hAnsiTheme="minorHAnsi" w:cstheme="minorHAnsi"/>
          <w:i/>
          <w:iCs/>
          <w:sz w:val="22"/>
          <w:szCs w:val="22"/>
        </w:rPr>
        <w:t xml:space="preserve"> Strategy And Competitiveness - Harvard Business School</w:t>
      </w:r>
      <w:r w:rsidRPr="00765D25">
        <w:rPr>
          <w:rFonts w:asciiTheme="minorHAnsi" w:hAnsiTheme="minorHAnsi" w:cstheme="minorHAnsi"/>
          <w:sz w:val="22"/>
          <w:szCs w:val="22"/>
        </w:rPr>
        <w:t xml:space="preserve">. Available at: https://www.isc.hbs.edu/strategy/business-strategy/Pages/the-five-forces.aspx (Accessed: 20 November 2023). </w:t>
      </w:r>
    </w:p>
    <w:p w14:paraId="6D1B59FF" w14:textId="77777777" w:rsidR="00765D25" w:rsidRPr="00765D25" w:rsidRDefault="00765D25" w:rsidP="006204DF">
      <w:pPr>
        <w:pStyle w:val="NormalWeb"/>
        <w:ind w:left="567" w:hanging="567"/>
        <w:rPr>
          <w:rFonts w:asciiTheme="minorHAnsi" w:hAnsiTheme="minorHAnsi" w:cstheme="minorHAnsi"/>
          <w:sz w:val="22"/>
          <w:szCs w:val="22"/>
        </w:rPr>
      </w:pPr>
      <w:proofErr w:type="gramStart"/>
      <w:r w:rsidRPr="00765D25">
        <w:rPr>
          <w:rFonts w:asciiTheme="minorHAnsi" w:hAnsiTheme="minorHAnsi" w:cstheme="minorHAnsi"/>
          <w:sz w:val="22"/>
          <w:szCs w:val="22"/>
        </w:rPr>
        <w:lastRenderedPageBreak/>
        <w:t>Howlett ,</w:t>
      </w:r>
      <w:proofErr w:type="gramEnd"/>
      <w:r w:rsidRPr="00765D25">
        <w:rPr>
          <w:rFonts w:asciiTheme="minorHAnsi" w:hAnsiTheme="minorHAnsi" w:cstheme="minorHAnsi"/>
          <w:sz w:val="22"/>
          <w:szCs w:val="22"/>
        </w:rPr>
        <w:t xml:space="preserve"> W.H. and T.C., Coburn, T. and Lamb, P. (2019) </w:t>
      </w:r>
      <w:r w:rsidRPr="00765D25">
        <w:rPr>
          <w:rFonts w:asciiTheme="minorHAnsi" w:hAnsiTheme="minorHAnsi" w:cstheme="minorHAnsi"/>
          <w:i/>
          <w:iCs/>
          <w:sz w:val="22"/>
          <w:szCs w:val="22"/>
        </w:rPr>
        <w:t>Critical thinking: Podcast</w:t>
      </w:r>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CIPD</w:t>
      </w:r>
      <w:r w:rsidRPr="00765D25">
        <w:rPr>
          <w:rFonts w:asciiTheme="minorHAnsi" w:hAnsiTheme="minorHAnsi" w:cstheme="minorHAnsi"/>
          <w:sz w:val="22"/>
          <w:szCs w:val="22"/>
        </w:rPr>
        <w:t xml:space="preserve">. Available at: https://www.cipd.org/uk/knowledge/podcasts/critical-thinking/ (Accessed: 21 November 2023). </w:t>
      </w:r>
    </w:p>
    <w:p w14:paraId="4D588E16" w14:textId="77777777" w:rsidR="00765D25" w:rsidRPr="00765D25" w:rsidRDefault="00765D25" w:rsidP="006204DF">
      <w:pPr>
        <w:pStyle w:val="NormalWeb"/>
        <w:rPr>
          <w:rFonts w:asciiTheme="minorHAnsi" w:hAnsiTheme="minorHAnsi" w:cstheme="minorHAnsi"/>
          <w:sz w:val="22"/>
          <w:szCs w:val="22"/>
        </w:rPr>
      </w:pPr>
      <w:r w:rsidRPr="00765D25">
        <w:rPr>
          <w:rFonts w:asciiTheme="minorHAnsi" w:hAnsiTheme="minorHAnsi" w:cstheme="minorHAnsi"/>
          <w:sz w:val="22"/>
          <w:szCs w:val="22"/>
        </w:rPr>
        <w:t xml:space="preserve">Jones, T., Baxter, M. and Khanduja, V. (2013) ‘A quick guide to survey research’, </w:t>
      </w:r>
      <w:r w:rsidRPr="00765D25">
        <w:rPr>
          <w:rFonts w:asciiTheme="minorHAnsi" w:hAnsiTheme="minorHAnsi" w:cstheme="minorHAnsi"/>
          <w:i/>
          <w:iCs/>
          <w:sz w:val="22"/>
          <w:szCs w:val="22"/>
        </w:rPr>
        <w:t>The Annals of The Royal College of Surgeons of England</w:t>
      </w:r>
      <w:r w:rsidRPr="00765D25">
        <w:rPr>
          <w:rFonts w:asciiTheme="minorHAnsi" w:hAnsiTheme="minorHAnsi" w:cstheme="minorHAnsi"/>
          <w:sz w:val="22"/>
          <w:szCs w:val="22"/>
        </w:rPr>
        <w:t xml:space="preserve">, 95(1), pp. 5–7. doi:10.1308/003588413x13511609956372. </w:t>
      </w:r>
    </w:p>
    <w:p w14:paraId="594FC4F9" w14:textId="77777777" w:rsidR="00765D25" w:rsidRPr="00765D25" w:rsidRDefault="00765D25" w:rsidP="00E42637">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Judd, S., O’Rourke, E. and Grant, A. (2018) </w:t>
      </w:r>
      <w:r w:rsidRPr="00765D25">
        <w:rPr>
          <w:rFonts w:asciiTheme="minorHAnsi" w:hAnsiTheme="minorHAnsi" w:cstheme="minorHAnsi"/>
          <w:i/>
          <w:iCs/>
          <w:sz w:val="22"/>
          <w:szCs w:val="22"/>
        </w:rPr>
        <w:t>Employee surveys are still one of the best ways to measure engagement</w:t>
      </w:r>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Harvard Business Review</w:t>
      </w:r>
      <w:r w:rsidRPr="00765D25">
        <w:rPr>
          <w:rFonts w:asciiTheme="minorHAnsi" w:hAnsiTheme="minorHAnsi" w:cstheme="minorHAnsi"/>
          <w:sz w:val="22"/>
          <w:szCs w:val="22"/>
        </w:rPr>
        <w:t xml:space="preserve">. Available at: https://hbr.org/2018/03/employee-surveys-are-still-one-of-the-best-ways-to-measure-engagement (Accessed: 23 November 2023). </w:t>
      </w:r>
    </w:p>
    <w:p w14:paraId="64445C45" w14:textId="77777777" w:rsidR="00765D25" w:rsidRPr="00765D25" w:rsidRDefault="00765D25" w:rsidP="00567884">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Kew, J. and Stredwick, J. (2016) </w:t>
      </w:r>
      <w:r w:rsidRPr="00765D25">
        <w:rPr>
          <w:rFonts w:asciiTheme="minorHAnsi" w:hAnsiTheme="minorHAnsi" w:cstheme="minorHAnsi"/>
          <w:i/>
          <w:iCs/>
          <w:sz w:val="22"/>
          <w:szCs w:val="22"/>
        </w:rPr>
        <w:t>Human Resource Management in a business context</w:t>
      </w:r>
      <w:r w:rsidRPr="00765D25">
        <w:rPr>
          <w:rFonts w:asciiTheme="minorHAnsi" w:hAnsiTheme="minorHAnsi" w:cstheme="minorHAnsi"/>
          <w:sz w:val="22"/>
          <w:szCs w:val="22"/>
        </w:rPr>
        <w:t xml:space="preserve">. 3rd </w:t>
      </w:r>
      <w:proofErr w:type="spellStart"/>
      <w:r w:rsidRPr="00765D25">
        <w:rPr>
          <w:rFonts w:asciiTheme="minorHAnsi" w:hAnsiTheme="minorHAnsi" w:cstheme="minorHAnsi"/>
          <w:sz w:val="22"/>
          <w:szCs w:val="22"/>
        </w:rPr>
        <w:t>edn</w:t>
      </w:r>
      <w:proofErr w:type="spellEnd"/>
      <w:r w:rsidRPr="00765D25">
        <w:rPr>
          <w:rFonts w:asciiTheme="minorHAnsi" w:hAnsiTheme="minorHAnsi" w:cstheme="minorHAnsi"/>
          <w:sz w:val="22"/>
          <w:szCs w:val="22"/>
        </w:rPr>
        <w:t xml:space="preserve">. London: CIPD. </w:t>
      </w:r>
    </w:p>
    <w:p w14:paraId="2D94BEC6" w14:textId="77777777" w:rsidR="00765D25" w:rsidRPr="00765D25" w:rsidRDefault="00765D25" w:rsidP="008E0540">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Lafko, A. (2023) </w:t>
      </w:r>
      <w:r w:rsidRPr="00765D25">
        <w:rPr>
          <w:rFonts w:asciiTheme="minorHAnsi" w:hAnsiTheme="minorHAnsi" w:cstheme="minorHAnsi"/>
          <w:i/>
          <w:iCs/>
          <w:sz w:val="22"/>
          <w:szCs w:val="22"/>
        </w:rPr>
        <w:t>3 reasons your employee engagement survey isn’t working</w:t>
      </w:r>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Forbes</w:t>
      </w:r>
      <w:r w:rsidRPr="00765D25">
        <w:rPr>
          <w:rFonts w:asciiTheme="minorHAnsi" w:hAnsiTheme="minorHAnsi" w:cstheme="minorHAnsi"/>
          <w:sz w:val="22"/>
          <w:szCs w:val="22"/>
        </w:rPr>
        <w:t xml:space="preserve">. Available at: https://www.forbes.com/sites/forbescoachescouncil/2023/02/22/3-reasons-your-employee-engagement-survey-isnt-working/ (Accessed: 18 November 2023). </w:t>
      </w:r>
    </w:p>
    <w:p w14:paraId="3E678780" w14:textId="77777777" w:rsidR="00765D25" w:rsidRPr="00765D25" w:rsidRDefault="00765D25" w:rsidP="00E37700">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Miller, D. and Hartwick, J. (2002) </w:t>
      </w:r>
      <w:r w:rsidRPr="00765D25">
        <w:rPr>
          <w:rFonts w:asciiTheme="minorHAnsi" w:hAnsiTheme="minorHAnsi" w:cstheme="minorHAnsi"/>
          <w:i/>
          <w:iCs/>
          <w:sz w:val="22"/>
          <w:szCs w:val="22"/>
        </w:rPr>
        <w:t>Spotting management fads</w:t>
      </w:r>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Harvard Business Review</w:t>
      </w:r>
      <w:r w:rsidRPr="00765D25">
        <w:rPr>
          <w:rFonts w:asciiTheme="minorHAnsi" w:hAnsiTheme="minorHAnsi" w:cstheme="minorHAnsi"/>
          <w:sz w:val="22"/>
          <w:szCs w:val="22"/>
        </w:rPr>
        <w:t xml:space="preserve">. Available at: https://hbr.org/2002/10/spotting-management-fads (Accessed: 03 December 2023). </w:t>
      </w:r>
    </w:p>
    <w:p w14:paraId="24C5FD9D" w14:textId="77777777" w:rsidR="00765D25" w:rsidRPr="00765D25" w:rsidRDefault="00765D25" w:rsidP="00274340">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Mind Tools Content Team (no date) </w:t>
      </w:r>
      <w:r w:rsidRPr="00765D25">
        <w:rPr>
          <w:rFonts w:asciiTheme="minorHAnsi" w:hAnsiTheme="minorHAnsi" w:cstheme="minorHAnsi"/>
          <w:i/>
          <w:iCs/>
          <w:sz w:val="22"/>
          <w:szCs w:val="22"/>
        </w:rPr>
        <w:t>Cause and Effect Analysis</w:t>
      </w:r>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MindTools</w:t>
      </w:r>
      <w:r w:rsidRPr="00765D25">
        <w:rPr>
          <w:rFonts w:asciiTheme="minorHAnsi" w:hAnsiTheme="minorHAnsi" w:cstheme="minorHAnsi"/>
          <w:sz w:val="22"/>
          <w:szCs w:val="22"/>
        </w:rPr>
        <w:t xml:space="preserve">. Available at: https://www.mindtools.com/a25caig/cause-and-effect-analysis (Accessed: 20 November 2023). </w:t>
      </w:r>
    </w:p>
    <w:p w14:paraId="5A9F27C8" w14:textId="77777777" w:rsidR="00765D25" w:rsidRPr="00765D25" w:rsidRDefault="00765D25" w:rsidP="006204DF">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Mind Tools Content Team (no date, b) </w:t>
      </w:r>
      <w:r w:rsidRPr="00765D25">
        <w:rPr>
          <w:rFonts w:asciiTheme="minorHAnsi" w:hAnsiTheme="minorHAnsi" w:cstheme="minorHAnsi"/>
          <w:i/>
          <w:iCs/>
          <w:sz w:val="22"/>
          <w:szCs w:val="22"/>
        </w:rPr>
        <w:t xml:space="preserve">Six Thinking </w:t>
      </w:r>
      <w:proofErr w:type="gramStart"/>
      <w:r w:rsidRPr="00765D25">
        <w:rPr>
          <w:rFonts w:asciiTheme="minorHAnsi" w:hAnsiTheme="minorHAnsi" w:cstheme="minorHAnsi"/>
          <w:i/>
          <w:iCs/>
          <w:sz w:val="22"/>
          <w:szCs w:val="22"/>
        </w:rPr>
        <w:t xml:space="preserve">Hats </w:t>
      </w:r>
      <w:r w:rsidRPr="00765D25">
        <w:rPr>
          <w:rFonts w:asciiTheme="minorHAnsi" w:hAnsiTheme="minorHAnsi" w:cstheme="minorHAnsi"/>
          <w:sz w:val="22"/>
          <w:szCs w:val="22"/>
        </w:rPr>
        <w:t>,</w:t>
      </w:r>
      <w:proofErr w:type="gramEnd"/>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MindTools</w:t>
      </w:r>
      <w:r w:rsidRPr="00765D25">
        <w:rPr>
          <w:rFonts w:asciiTheme="minorHAnsi" w:hAnsiTheme="minorHAnsi" w:cstheme="minorHAnsi"/>
          <w:sz w:val="22"/>
          <w:szCs w:val="22"/>
        </w:rPr>
        <w:t xml:space="preserve">. Available at: https://www.mindtools.com/ajlpp1e/six-thinking-hats (Accessed: 21 November 2023). </w:t>
      </w:r>
    </w:p>
    <w:p w14:paraId="26C602E4" w14:textId="77777777" w:rsidR="00765D25" w:rsidRPr="00765D25" w:rsidRDefault="00765D25" w:rsidP="00362982">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Mind Tools Content Team (no </w:t>
      </w:r>
      <w:proofErr w:type="spellStart"/>
      <w:proofErr w:type="gramStart"/>
      <w:r w:rsidRPr="00765D25">
        <w:rPr>
          <w:rFonts w:asciiTheme="minorHAnsi" w:hAnsiTheme="minorHAnsi" w:cstheme="minorHAnsi"/>
          <w:sz w:val="22"/>
          <w:szCs w:val="22"/>
        </w:rPr>
        <w:t>date,b</w:t>
      </w:r>
      <w:proofErr w:type="spellEnd"/>
      <w:proofErr w:type="gramEnd"/>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Avoiding Groupthink</w:t>
      </w:r>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MindTools</w:t>
      </w:r>
      <w:r w:rsidRPr="00765D25">
        <w:rPr>
          <w:rFonts w:asciiTheme="minorHAnsi" w:hAnsiTheme="minorHAnsi" w:cstheme="minorHAnsi"/>
          <w:sz w:val="22"/>
          <w:szCs w:val="22"/>
        </w:rPr>
        <w:t xml:space="preserve">. Available at: https://www.mindtools.com/awb7i63/avoiding-groupthink (Accessed: 17 November 2023). </w:t>
      </w:r>
    </w:p>
    <w:p w14:paraId="1569B980" w14:textId="77777777" w:rsidR="00765D25" w:rsidRPr="00765D25" w:rsidRDefault="00765D25" w:rsidP="00423876">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Newkirk, A. (2014) </w:t>
      </w:r>
      <w:r w:rsidRPr="00765D25">
        <w:rPr>
          <w:rFonts w:asciiTheme="minorHAnsi" w:hAnsiTheme="minorHAnsi" w:cstheme="minorHAnsi"/>
          <w:i/>
          <w:iCs/>
          <w:sz w:val="22"/>
          <w:szCs w:val="22"/>
        </w:rPr>
        <w:t>The interactions of heuristics and biases in the making of decisions</w:t>
      </w:r>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Exposé Magazine</w:t>
      </w:r>
      <w:r w:rsidRPr="00765D25">
        <w:rPr>
          <w:rFonts w:asciiTheme="minorHAnsi" w:hAnsiTheme="minorHAnsi" w:cstheme="minorHAnsi"/>
          <w:sz w:val="22"/>
          <w:szCs w:val="22"/>
        </w:rPr>
        <w:t xml:space="preserve">. Available at: https://projects.iq.harvard.edu/expose/book/interactions-heuristics-and-biases-making-decisions (Accessed: 17 November 2023). </w:t>
      </w:r>
    </w:p>
    <w:p w14:paraId="13FE20B8" w14:textId="77777777" w:rsidR="00765D25" w:rsidRPr="00765D25" w:rsidRDefault="00765D25" w:rsidP="007D1EC6">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NHS (2023) </w:t>
      </w:r>
      <w:r w:rsidRPr="00765D25">
        <w:rPr>
          <w:rFonts w:asciiTheme="minorHAnsi" w:hAnsiTheme="minorHAnsi" w:cstheme="minorHAnsi"/>
          <w:i/>
          <w:iCs/>
          <w:sz w:val="22"/>
          <w:szCs w:val="22"/>
        </w:rPr>
        <w:t>6 simple tips to tackle working from home</w:t>
      </w:r>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NHS choices</w:t>
      </w:r>
      <w:r w:rsidRPr="00765D25">
        <w:rPr>
          <w:rFonts w:asciiTheme="minorHAnsi" w:hAnsiTheme="minorHAnsi" w:cstheme="minorHAnsi"/>
          <w:sz w:val="22"/>
          <w:szCs w:val="22"/>
        </w:rPr>
        <w:t xml:space="preserve">. Available at: https://www.nhs.uk/every-mind-matters/mental-wellbeing-tips/simple-tips-to-tackle-working-from-home/#:~:text=Making%20time%20for%20breaks%20is,can%20really%20help%20your%20productivity. (Accessed: 01 December 2023). </w:t>
      </w:r>
    </w:p>
    <w:p w14:paraId="1739F5AF" w14:textId="77777777" w:rsidR="00765D25" w:rsidRPr="00765D25" w:rsidRDefault="00765D25" w:rsidP="002B2E13">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NHS England (2021</w:t>
      </w:r>
      <w:r w:rsidRPr="00765D25">
        <w:rPr>
          <w:rFonts w:asciiTheme="minorHAnsi" w:hAnsiTheme="minorHAnsi" w:cstheme="minorHAnsi"/>
          <w:i/>
          <w:iCs/>
          <w:sz w:val="22"/>
          <w:szCs w:val="22"/>
        </w:rPr>
        <w:t>) Cause and effect (ﬁshbone) - NHS England</w:t>
      </w:r>
      <w:r w:rsidRPr="00765D25">
        <w:rPr>
          <w:rFonts w:asciiTheme="minorHAnsi" w:hAnsiTheme="minorHAnsi" w:cstheme="minorHAnsi"/>
          <w:sz w:val="22"/>
          <w:szCs w:val="22"/>
        </w:rPr>
        <w:t xml:space="preserve"> (2021) </w:t>
      </w:r>
      <w:r w:rsidRPr="00765D25">
        <w:rPr>
          <w:rFonts w:asciiTheme="minorHAnsi" w:hAnsiTheme="minorHAnsi" w:cstheme="minorHAnsi"/>
          <w:i/>
          <w:iCs/>
          <w:sz w:val="22"/>
          <w:szCs w:val="22"/>
        </w:rPr>
        <w:t>NHS England</w:t>
      </w:r>
      <w:r w:rsidRPr="00765D25">
        <w:rPr>
          <w:rFonts w:asciiTheme="minorHAnsi" w:hAnsiTheme="minorHAnsi" w:cstheme="minorHAnsi"/>
          <w:sz w:val="22"/>
          <w:szCs w:val="22"/>
        </w:rPr>
        <w:t xml:space="preserve">. Available at: https://www.england.nhs.uk/wp-content/uploads/2021/12/qsir-cause-and-effect-fishbone.pdf (Accessed: 20 November 2023). </w:t>
      </w:r>
    </w:p>
    <w:p w14:paraId="2592EEF3" w14:textId="77777777" w:rsidR="00765D25" w:rsidRPr="00765D25" w:rsidRDefault="00765D25" w:rsidP="006204DF">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Paul, R. and Elder, L. (2006) </w:t>
      </w:r>
      <w:r w:rsidRPr="00765D25">
        <w:rPr>
          <w:rFonts w:asciiTheme="minorHAnsi" w:hAnsiTheme="minorHAnsi" w:cstheme="minorHAnsi"/>
          <w:i/>
          <w:iCs/>
          <w:sz w:val="22"/>
          <w:szCs w:val="22"/>
        </w:rPr>
        <w:t>The Miniature Guide to Critical Thinking: Concepts &amp; Tools</w:t>
      </w:r>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Critical Thinking Concepts and Tools</w:t>
      </w:r>
      <w:r w:rsidRPr="00765D25">
        <w:rPr>
          <w:rFonts w:asciiTheme="minorHAnsi" w:hAnsiTheme="minorHAnsi" w:cstheme="minorHAnsi"/>
          <w:sz w:val="22"/>
          <w:szCs w:val="22"/>
        </w:rPr>
        <w:t xml:space="preserve">. Available at: https://www.criticalthinking.org/files/Concepts_Tools.pdf (Accessed: 21 November 2023). </w:t>
      </w:r>
    </w:p>
    <w:p w14:paraId="10E5B8D9" w14:textId="77777777" w:rsidR="00765D25" w:rsidRPr="00765D25" w:rsidRDefault="00765D25" w:rsidP="00F07A16">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lastRenderedPageBreak/>
        <w:t xml:space="preserve">Peek, S. (2023) </w:t>
      </w:r>
      <w:r w:rsidRPr="00765D25">
        <w:rPr>
          <w:rFonts w:asciiTheme="minorHAnsi" w:hAnsiTheme="minorHAnsi" w:cstheme="minorHAnsi"/>
          <w:i/>
          <w:iCs/>
          <w:sz w:val="22"/>
          <w:szCs w:val="22"/>
        </w:rPr>
        <w:t>Conducting customer surveys for your SMB</w:t>
      </w:r>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Business News Daily</w:t>
      </w:r>
      <w:r w:rsidRPr="00765D25">
        <w:rPr>
          <w:rFonts w:asciiTheme="minorHAnsi" w:hAnsiTheme="minorHAnsi" w:cstheme="minorHAnsi"/>
          <w:sz w:val="22"/>
          <w:szCs w:val="22"/>
        </w:rPr>
        <w:t xml:space="preserve">. Available at: https://www.businessnewsdaily.com/16030-importance-of-customer-surveys.html (Accessed: 02 December 2023). </w:t>
      </w:r>
    </w:p>
    <w:p w14:paraId="57F104C5" w14:textId="77777777" w:rsidR="00765D25" w:rsidRPr="00765D25" w:rsidRDefault="00765D25" w:rsidP="001E2CBF">
      <w:pPr>
        <w:pStyle w:val="NormalWeb"/>
        <w:ind w:left="567" w:hanging="567"/>
        <w:rPr>
          <w:rFonts w:asciiTheme="minorHAnsi" w:hAnsiTheme="minorHAnsi" w:cstheme="minorHAnsi"/>
          <w:sz w:val="22"/>
          <w:szCs w:val="22"/>
        </w:rPr>
      </w:pPr>
      <w:proofErr w:type="spellStart"/>
      <w:r w:rsidRPr="00765D25">
        <w:rPr>
          <w:rFonts w:asciiTheme="minorHAnsi" w:hAnsiTheme="minorHAnsi" w:cstheme="minorHAnsi"/>
          <w:sz w:val="22"/>
          <w:szCs w:val="22"/>
        </w:rPr>
        <w:t>Phadermrod</w:t>
      </w:r>
      <w:proofErr w:type="spellEnd"/>
      <w:r w:rsidRPr="00765D25">
        <w:rPr>
          <w:rFonts w:asciiTheme="minorHAnsi" w:hAnsiTheme="minorHAnsi" w:cstheme="minorHAnsi"/>
          <w:sz w:val="22"/>
          <w:szCs w:val="22"/>
        </w:rPr>
        <w:t xml:space="preserve">, B., Crowder, R.M. and Wills, G.B. (2019) ‘Importance-performance </w:t>
      </w:r>
      <w:proofErr w:type="gramStart"/>
      <w:r w:rsidRPr="00765D25">
        <w:rPr>
          <w:rFonts w:asciiTheme="minorHAnsi" w:hAnsiTheme="minorHAnsi" w:cstheme="minorHAnsi"/>
          <w:sz w:val="22"/>
          <w:szCs w:val="22"/>
        </w:rPr>
        <w:t>analysis based</w:t>
      </w:r>
      <w:proofErr w:type="gramEnd"/>
      <w:r w:rsidRPr="00765D25">
        <w:rPr>
          <w:rFonts w:asciiTheme="minorHAnsi" w:hAnsiTheme="minorHAnsi" w:cstheme="minorHAnsi"/>
          <w:sz w:val="22"/>
          <w:szCs w:val="22"/>
        </w:rPr>
        <w:t xml:space="preserve"> SWOT analysis’, </w:t>
      </w:r>
      <w:r w:rsidRPr="00765D25">
        <w:rPr>
          <w:rFonts w:asciiTheme="minorHAnsi" w:hAnsiTheme="minorHAnsi" w:cstheme="minorHAnsi"/>
          <w:i/>
          <w:iCs/>
          <w:sz w:val="22"/>
          <w:szCs w:val="22"/>
        </w:rPr>
        <w:t>International Journal of Information Management</w:t>
      </w:r>
      <w:r w:rsidRPr="00765D25">
        <w:rPr>
          <w:rFonts w:asciiTheme="minorHAnsi" w:hAnsiTheme="minorHAnsi" w:cstheme="minorHAnsi"/>
          <w:sz w:val="22"/>
          <w:szCs w:val="22"/>
        </w:rPr>
        <w:t xml:space="preserve">, 44, pp. 194–203. </w:t>
      </w:r>
      <w:proofErr w:type="gramStart"/>
      <w:r w:rsidRPr="00765D25">
        <w:rPr>
          <w:rFonts w:asciiTheme="minorHAnsi" w:hAnsiTheme="minorHAnsi" w:cstheme="minorHAnsi"/>
          <w:sz w:val="22"/>
          <w:szCs w:val="22"/>
        </w:rPr>
        <w:t>doi:10.1016/j.ijinfomgt</w:t>
      </w:r>
      <w:proofErr w:type="gramEnd"/>
      <w:r w:rsidRPr="00765D25">
        <w:rPr>
          <w:rFonts w:asciiTheme="minorHAnsi" w:hAnsiTheme="minorHAnsi" w:cstheme="minorHAnsi"/>
          <w:sz w:val="22"/>
          <w:szCs w:val="22"/>
        </w:rPr>
        <w:t xml:space="preserve">.2016.03.009. </w:t>
      </w:r>
    </w:p>
    <w:p w14:paraId="5450CC49" w14:textId="77777777" w:rsidR="00765D25" w:rsidRPr="00765D25" w:rsidRDefault="00765D25" w:rsidP="006204DF">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Rangi, P.K. and Aithal, P.S. (2017) ‘Academic institutions risk decisions using six thinking </w:t>
      </w:r>
      <w:proofErr w:type="gramStart"/>
      <w:r w:rsidRPr="00765D25">
        <w:rPr>
          <w:rFonts w:asciiTheme="minorHAnsi" w:hAnsiTheme="minorHAnsi" w:cstheme="minorHAnsi"/>
          <w:sz w:val="22"/>
          <w:szCs w:val="22"/>
        </w:rPr>
        <w:t>hats based</w:t>
      </w:r>
      <w:proofErr w:type="gramEnd"/>
      <w:r w:rsidRPr="00765D25">
        <w:rPr>
          <w:rFonts w:asciiTheme="minorHAnsi" w:hAnsiTheme="minorHAnsi" w:cstheme="minorHAnsi"/>
          <w:sz w:val="22"/>
          <w:szCs w:val="22"/>
        </w:rPr>
        <w:t xml:space="preserve"> analysis’, </w:t>
      </w:r>
      <w:r w:rsidRPr="00765D25">
        <w:rPr>
          <w:rFonts w:asciiTheme="minorHAnsi" w:hAnsiTheme="minorHAnsi" w:cstheme="minorHAnsi"/>
          <w:i/>
          <w:iCs/>
          <w:sz w:val="22"/>
          <w:szCs w:val="22"/>
        </w:rPr>
        <w:t>SSRN Electronic Journal</w:t>
      </w:r>
      <w:r w:rsidRPr="00765D25">
        <w:rPr>
          <w:rFonts w:asciiTheme="minorHAnsi" w:hAnsiTheme="minorHAnsi" w:cstheme="minorHAnsi"/>
          <w:sz w:val="22"/>
          <w:szCs w:val="22"/>
        </w:rPr>
        <w:t xml:space="preserve"> [Preprint]. doi:10.2139/ssrn.3763969. </w:t>
      </w:r>
    </w:p>
    <w:p w14:paraId="0BD505EC" w14:textId="77777777" w:rsidR="00765D25" w:rsidRPr="00765D25" w:rsidRDefault="00765D25" w:rsidP="006204DF">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SHRM (2022) </w:t>
      </w:r>
      <w:r w:rsidRPr="00765D25">
        <w:rPr>
          <w:rFonts w:asciiTheme="minorHAnsi" w:hAnsiTheme="minorHAnsi" w:cstheme="minorHAnsi"/>
          <w:i/>
          <w:iCs/>
          <w:sz w:val="22"/>
          <w:szCs w:val="22"/>
        </w:rPr>
        <w:t>What is a SWOT analysis? - SHRM</w:t>
      </w:r>
      <w:r w:rsidRPr="00765D25">
        <w:rPr>
          <w:rFonts w:asciiTheme="minorHAnsi" w:hAnsiTheme="minorHAnsi" w:cstheme="minorHAnsi"/>
          <w:sz w:val="22"/>
          <w:szCs w:val="22"/>
        </w:rPr>
        <w:t xml:space="preserve">. Available at: https://www.shrm.org/resourcesandtools/tools-and-samples/hr-qa/pages/what-is-a-swot-analysis.aspx (Accessed: 21 November 2023). </w:t>
      </w:r>
    </w:p>
    <w:p w14:paraId="0650D95F" w14:textId="77777777" w:rsidR="00765D25" w:rsidRPr="00765D25" w:rsidRDefault="00765D25" w:rsidP="00CE0A8A">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Simon, H.A. (2001) ‘Rationality in society’, </w:t>
      </w:r>
      <w:r w:rsidRPr="00765D25">
        <w:rPr>
          <w:rFonts w:asciiTheme="minorHAnsi" w:hAnsiTheme="minorHAnsi" w:cstheme="minorHAnsi"/>
          <w:i/>
          <w:iCs/>
          <w:sz w:val="22"/>
          <w:szCs w:val="22"/>
        </w:rPr>
        <w:t xml:space="preserve">International </w:t>
      </w:r>
      <w:proofErr w:type="spellStart"/>
      <w:r w:rsidRPr="00765D25">
        <w:rPr>
          <w:rFonts w:asciiTheme="minorHAnsi" w:hAnsiTheme="minorHAnsi" w:cstheme="minorHAnsi"/>
          <w:i/>
          <w:iCs/>
          <w:sz w:val="22"/>
          <w:szCs w:val="22"/>
        </w:rPr>
        <w:t>Encyclopedia</w:t>
      </w:r>
      <w:proofErr w:type="spellEnd"/>
      <w:r w:rsidRPr="00765D25">
        <w:rPr>
          <w:rFonts w:asciiTheme="minorHAnsi" w:hAnsiTheme="minorHAnsi" w:cstheme="minorHAnsi"/>
          <w:i/>
          <w:iCs/>
          <w:sz w:val="22"/>
          <w:szCs w:val="22"/>
        </w:rPr>
        <w:t xml:space="preserve"> of the Social &amp;amp; </w:t>
      </w:r>
      <w:proofErr w:type="spellStart"/>
      <w:r w:rsidRPr="00765D25">
        <w:rPr>
          <w:rFonts w:asciiTheme="minorHAnsi" w:hAnsiTheme="minorHAnsi" w:cstheme="minorHAnsi"/>
          <w:i/>
          <w:iCs/>
          <w:sz w:val="22"/>
          <w:szCs w:val="22"/>
        </w:rPr>
        <w:t>Behavioral</w:t>
      </w:r>
      <w:proofErr w:type="spellEnd"/>
      <w:r w:rsidRPr="00765D25">
        <w:rPr>
          <w:rFonts w:asciiTheme="minorHAnsi" w:hAnsiTheme="minorHAnsi" w:cstheme="minorHAnsi"/>
          <w:i/>
          <w:iCs/>
          <w:sz w:val="22"/>
          <w:szCs w:val="22"/>
        </w:rPr>
        <w:t xml:space="preserve"> Sciences</w:t>
      </w:r>
      <w:r w:rsidRPr="00765D25">
        <w:rPr>
          <w:rFonts w:asciiTheme="minorHAnsi" w:hAnsiTheme="minorHAnsi" w:cstheme="minorHAnsi"/>
          <w:sz w:val="22"/>
          <w:szCs w:val="22"/>
        </w:rPr>
        <w:t xml:space="preserve">, pp. 12782–12786. doi:10.1016/b0-08-043076-7/01953-7. </w:t>
      </w:r>
    </w:p>
    <w:p w14:paraId="66AFD28C" w14:textId="77777777" w:rsidR="00765D25" w:rsidRPr="00765D25" w:rsidRDefault="00765D25" w:rsidP="00E10083">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Stahl, A. (2021) </w:t>
      </w:r>
      <w:r w:rsidRPr="00765D25">
        <w:rPr>
          <w:rFonts w:asciiTheme="minorHAnsi" w:hAnsiTheme="minorHAnsi" w:cstheme="minorHAnsi"/>
          <w:i/>
          <w:iCs/>
          <w:sz w:val="22"/>
          <w:szCs w:val="22"/>
        </w:rPr>
        <w:t>3 benefits of diversity in the workplace</w:t>
      </w:r>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Forbes</w:t>
      </w:r>
      <w:r w:rsidRPr="00765D25">
        <w:rPr>
          <w:rFonts w:asciiTheme="minorHAnsi" w:hAnsiTheme="minorHAnsi" w:cstheme="minorHAnsi"/>
          <w:sz w:val="22"/>
          <w:szCs w:val="22"/>
        </w:rPr>
        <w:t xml:space="preserve">. Available at: https://www.forbes.com/sites/ashleystahl/2021/12/17/3-benefits-of-diversity-in-the-workplace/ (Accessed: 03 December 2023). </w:t>
      </w:r>
    </w:p>
    <w:p w14:paraId="022D382E" w14:textId="77777777" w:rsidR="00765D25" w:rsidRPr="00765D25" w:rsidRDefault="00765D25" w:rsidP="0096500B">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SWP (no date) </w:t>
      </w:r>
      <w:r w:rsidRPr="00765D25">
        <w:rPr>
          <w:rFonts w:asciiTheme="minorHAnsi" w:hAnsiTheme="minorHAnsi" w:cstheme="minorHAnsi"/>
          <w:i/>
          <w:iCs/>
          <w:sz w:val="22"/>
          <w:szCs w:val="22"/>
        </w:rPr>
        <w:t>Our Recruitment Commitment</w:t>
      </w:r>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 xml:space="preserve">South Wales </w:t>
      </w:r>
      <w:proofErr w:type="gramStart"/>
      <w:r w:rsidRPr="00765D25">
        <w:rPr>
          <w:rFonts w:asciiTheme="minorHAnsi" w:hAnsiTheme="minorHAnsi" w:cstheme="minorHAnsi"/>
          <w:i/>
          <w:iCs/>
          <w:sz w:val="22"/>
          <w:szCs w:val="22"/>
        </w:rPr>
        <w:t xml:space="preserve">Police </w:t>
      </w:r>
      <w:r w:rsidRPr="00765D25">
        <w:rPr>
          <w:rFonts w:asciiTheme="minorHAnsi" w:hAnsiTheme="minorHAnsi" w:cstheme="minorHAnsi"/>
          <w:sz w:val="22"/>
          <w:szCs w:val="22"/>
        </w:rPr>
        <w:t>.</w:t>
      </w:r>
      <w:proofErr w:type="gramEnd"/>
      <w:r w:rsidRPr="00765D25">
        <w:rPr>
          <w:rFonts w:asciiTheme="minorHAnsi" w:hAnsiTheme="minorHAnsi" w:cstheme="minorHAnsi"/>
          <w:sz w:val="22"/>
          <w:szCs w:val="22"/>
        </w:rPr>
        <w:t xml:space="preserve"> Available at: https://www.south-wales.police.uk/police-forces/south-wales-police/areas/careers/careers/ (Accessed: 03 December 2023). </w:t>
      </w:r>
    </w:p>
    <w:p w14:paraId="1BD0DEBB" w14:textId="77777777" w:rsidR="00765D25" w:rsidRPr="00765D25" w:rsidRDefault="00765D25" w:rsidP="00EC1980">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Taylor, S. (2018) </w:t>
      </w:r>
      <w:r w:rsidRPr="00765D25">
        <w:rPr>
          <w:rFonts w:asciiTheme="minorHAnsi" w:hAnsiTheme="minorHAnsi" w:cstheme="minorHAnsi"/>
          <w:i/>
          <w:iCs/>
          <w:sz w:val="22"/>
          <w:szCs w:val="22"/>
        </w:rPr>
        <w:t>Resourcing and talent management</w:t>
      </w:r>
      <w:r w:rsidRPr="00765D25">
        <w:rPr>
          <w:rFonts w:asciiTheme="minorHAnsi" w:hAnsiTheme="minorHAnsi" w:cstheme="minorHAnsi"/>
          <w:sz w:val="22"/>
          <w:szCs w:val="22"/>
        </w:rPr>
        <w:t xml:space="preserve">. 7th </w:t>
      </w:r>
      <w:proofErr w:type="spellStart"/>
      <w:r w:rsidRPr="00765D25">
        <w:rPr>
          <w:rFonts w:asciiTheme="minorHAnsi" w:hAnsiTheme="minorHAnsi" w:cstheme="minorHAnsi"/>
          <w:sz w:val="22"/>
          <w:szCs w:val="22"/>
        </w:rPr>
        <w:t>edn</w:t>
      </w:r>
      <w:proofErr w:type="spellEnd"/>
      <w:r w:rsidRPr="00765D25">
        <w:rPr>
          <w:rFonts w:asciiTheme="minorHAnsi" w:hAnsiTheme="minorHAnsi" w:cstheme="minorHAnsi"/>
          <w:sz w:val="22"/>
          <w:szCs w:val="22"/>
        </w:rPr>
        <w:t xml:space="preserve">. London, United Kingdom: Kogan Page. </w:t>
      </w:r>
    </w:p>
    <w:p w14:paraId="36FD713F" w14:textId="77777777" w:rsidR="00765D25" w:rsidRPr="00765D25" w:rsidRDefault="00765D25" w:rsidP="00DE10C8">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Taylor, S. and Woodhams, C. (2022) </w:t>
      </w:r>
      <w:r w:rsidRPr="00765D25">
        <w:rPr>
          <w:rFonts w:asciiTheme="minorHAnsi" w:hAnsiTheme="minorHAnsi" w:cstheme="minorHAnsi"/>
          <w:i/>
          <w:iCs/>
          <w:sz w:val="22"/>
          <w:szCs w:val="22"/>
        </w:rPr>
        <w:t xml:space="preserve">Studying Human Resource Management: A guide to the study, </w:t>
      </w:r>
      <w:proofErr w:type="gramStart"/>
      <w:r w:rsidRPr="00765D25">
        <w:rPr>
          <w:rFonts w:asciiTheme="minorHAnsi" w:hAnsiTheme="minorHAnsi" w:cstheme="minorHAnsi"/>
          <w:i/>
          <w:iCs/>
          <w:sz w:val="22"/>
          <w:szCs w:val="22"/>
        </w:rPr>
        <w:t>context</w:t>
      </w:r>
      <w:proofErr w:type="gramEnd"/>
      <w:r w:rsidRPr="00765D25">
        <w:rPr>
          <w:rFonts w:asciiTheme="minorHAnsi" w:hAnsiTheme="minorHAnsi" w:cstheme="minorHAnsi"/>
          <w:i/>
          <w:iCs/>
          <w:sz w:val="22"/>
          <w:szCs w:val="22"/>
        </w:rPr>
        <w:t xml:space="preserve"> and practice of HR</w:t>
      </w:r>
      <w:r w:rsidRPr="00765D25">
        <w:rPr>
          <w:rFonts w:asciiTheme="minorHAnsi" w:hAnsiTheme="minorHAnsi" w:cstheme="minorHAnsi"/>
          <w:sz w:val="22"/>
          <w:szCs w:val="22"/>
        </w:rPr>
        <w:t xml:space="preserve">. 3rd </w:t>
      </w:r>
      <w:proofErr w:type="spellStart"/>
      <w:r w:rsidRPr="00765D25">
        <w:rPr>
          <w:rFonts w:asciiTheme="minorHAnsi" w:hAnsiTheme="minorHAnsi" w:cstheme="minorHAnsi"/>
          <w:sz w:val="22"/>
          <w:szCs w:val="22"/>
        </w:rPr>
        <w:t>edn</w:t>
      </w:r>
      <w:proofErr w:type="spellEnd"/>
      <w:r w:rsidRPr="00765D25">
        <w:rPr>
          <w:rFonts w:asciiTheme="minorHAnsi" w:hAnsiTheme="minorHAnsi" w:cstheme="minorHAnsi"/>
          <w:sz w:val="22"/>
          <w:szCs w:val="22"/>
        </w:rPr>
        <w:t xml:space="preserve">. London, United Kingdom: Kogan Page. </w:t>
      </w:r>
    </w:p>
    <w:p w14:paraId="33EE490A" w14:textId="77777777" w:rsidR="00765D25" w:rsidRPr="00765D25" w:rsidRDefault="00765D25" w:rsidP="006204DF">
      <w:pPr>
        <w:pStyle w:val="NormalWeb"/>
        <w:ind w:left="567" w:hanging="567"/>
        <w:rPr>
          <w:rFonts w:asciiTheme="minorHAnsi" w:hAnsiTheme="minorHAnsi" w:cstheme="minorHAnsi"/>
          <w:sz w:val="22"/>
          <w:szCs w:val="22"/>
        </w:rPr>
      </w:pPr>
      <w:bookmarkStart w:id="2" w:name="_Hlk151451569"/>
      <w:r w:rsidRPr="00765D25">
        <w:rPr>
          <w:rFonts w:asciiTheme="minorHAnsi" w:hAnsiTheme="minorHAnsi" w:cstheme="minorHAnsi"/>
          <w:sz w:val="22"/>
          <w:szCs w:val="22"/>
        </w:rPr>
        <w:t>The Foundation for Critical Thinking (no date</w:t>
      </w:r>
      <w:bookmarkEnd w:id="2"/>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Our Conception of Critical Thinking</w:t>
      </w:r>
      <w:r w:rsidRPr="00765D25">
        <w:rPr>
          <w:rFonts w:asciiTheme="minorHAnsi" w:hAnsiTheme="minorHAnsi" w:cstheme="minorHAnsi"/>
          <w:sz w:val="22"/>
          <w:szCs w:val="22"/>
        </w:rPr>
        <w:t xml:space="preserve">. Available at: https://www.criticalthinking.org/pages/our-conception-of-critical-thinking/411 (Accessed: 21 November 2023). </w:t>
      </w:r>
    </w:p>
    <w:p w14:paraId="5774E597" w14:textId="77777777" w:rsidR="00765D25" w:rsidRPr="00765D25" w:rsidRDefault="00765D25" w:rsidP="006204DF">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WIAL (no date) </w:t>
      </w:r>
      <w:r w:rsidRPr="00765D25">
        <w:rPr>
          <w:rFonts w:asciiTheme="minorHAnsi" w:hAnsiTheme="minorHAnsi" w:cstheme="minorHAnsi"/>
          <w:i/>
          <w:iCs/>
          <w:sz w:val="22"/>
          <w:szCs w:val="22"/>
        </w:rPr>
        <w:t>WIAL Action Learning Benefits</w:t>
      </w:r>
      <w:r w:rsidRPr="00765D25">
        <w:rPr>
          <w:rFonts w:asciiTheme="minorHAnsi" w:hAnsiTheme="minorHAnsi" w:cstheme="minorHAnsi"/>
          <w:sz w:val="22"/>
          <w:szCs w:val="22"/>
        </w:rPr>
        <w:t xml:space="preserve">, </w:t>
      </w:r>
      <w:r w:rsidRPr="00765D25">
        <w:rPr>
          <w:rFonts w:asciiTheme="minorHAnsi" w:hAnsiTheme="minorHAnsi" w:cstheme="minorHAnsi"/>
          <w:i/>
          <w:iCs/>
          <w:sz w:val="22"/>
          <w:szCs w:val="22"/>
        </w:rPr>
        <w:t>WIAL</w:t>
      </w:r>
      <w:r w:rsidRPr="00765D25">
        <w:rPr>
          <w:rFonts w:asciiTheme="minorHAnsi" w:hAnsiTheme="minorHAnsi" w:cstheme="minorHAnsi"/>
          <w:sz w:val="22"/>
          <w:szCs w:val="22"/>
        </w:rPr>
        <w:t xml:space="preserve">. Available at: https://wial.org/action-learning/benefits/ (Accessed: 21 November 2023). </w:t>
      </w:r>
    </w:p>
    <w:p w14:paraId="3A98AD58" w14:textId="77777777" w:rsidR="00765D25" w:rsidRPr="00765D25" w:rsidRDefault="00765D25" w:rsidP="006204DF">
      <w:pPr>
        <w:pStyle w:val="NormalWeb"/>
        <w:ind w:left="567" w:hanging="567"/>
        <w:rPr>
          <w:rFonts w:asciiTheme="minorHAnsi" w:hAnsiTheme="minorHAnsi" w:cstheme="minorHAnsi"/>
          <w:sz w:val="22"/>
          <w:szCs w:val="22"/>
        </w:rPr>
      </w:pPr>
      <w:r w:rsidRPr="00765D25">
        <w:rPr>
          <w:rFonts w:asciiTheme="minorHAnsi" w:hAnsiTheme="minorHAnsi" w:cstheme="minorHAnsi"/>
          <w:sz w:val="22"/>
          <w:szCs w:val="22"/>
        </w:rPr>
        <w:t xml:space="preserve">Zuber‐Skerritt, O. (2002) ‘The concept of action learning’, </w:t>
      </w:r>
      <w:r w:rsidRPr="00765D25">
        <w:rPr>
          <w:rFonts w:asciiTheme="minorHAnsi" w:hAnsiTheme="minorHAnsi" w:cstheme="minorHAnsi"/>
          <w:i/>
          <w:iCs/>
          <w:sz w:val="22"/>
          <w:szCs w:val="22"/>
        </w:rPr>
        <w:t>The Learning Organization</w:t>
      </w:r>
      <w:r w:rsidRPr="00765D25">
        <w:rPr>
          <w:rFonts w:asciiTheme="minorHAnsi" w:hAnsiTheme="minorHAnsi" w:cstheme="minorHAnsi"/>
          <w:sz w:val="22"/>
          <w:szCs w:val="22"/>
        </w:rPr>
        <w:t xml:space="preserve">, 9(3), pp. 1–11. doi:10.1108/09696470210428831. </w:t>
      </w:r>
    </w:p>
    <w:sectPr w:rsidR="00765D25" w:rsidRPr="00765D25" w:rsidSect="00BB3292">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0651E3" w14:textId="77777777" w:rsidR="00BB3292" w:rsidRDefault="00BB3292" w:rsidP="00BB3292">
      <w:pPr>
        <w:spacing w:after="0" w:line="240" w:lineRule="auto"/>
      </w:pPr>
      <w:r>
        <w:separator/>
      </w:r>
    </w:p>
  </w:endnote>
  <w:endnote w:type="continuationSeparator" w:id="0">
    <w:p w14:paraId="042266FE" w14:textId="77777777" w:rsidR="00BB3292" w:rsidRDefault="00BB3292" w:rsidP="00BB32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5266658"/>
      <w:docPartObj>
        <w:docPartGallery w:val="Page Numbers (Bottom of Page)"/>
        <w:docPartUnique/>
      </w:docPartObj>
    </w:sdtPr>
    <w:sdtEndPr>
      <w:rPr>
        <w:noProof/>
      </w:rPr>
    </w:sdtEndPr>
    <w:sdtContent>
      <w:p w14:paraId="12E4E7E9" w14:textId="5D5B2128" w:rsidR="00BB3292" w:rsidRDefault="00BB329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549FE78" w14:textId="77777777" w:rsidR="00BB3292" w:rsidRDefault="00BB32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5E08E3" w14:textId="77777777" w:rsidR="00BB3292" w:rsidRDefault="00BB3292" w:rsidP="00BB3292">
      <w:pPr>
        <w:spacing w:after="0" w:line="240" w:lineRule="auto"/>
      </w:pPr>
      <w:r>
        <w:separator/>
      </w:r>
    </w:p>
  </w:footnote>
  <w:footnote w:type="continuationSeparator" w:id="0">
    <w:p w14:paraId="3F9AAB04" w14:textId="77777777" w:rsidR="00BB3292" w:rsidRDefault="00BB3292" w:rsidP="00BB32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6040A"/>
    <w:multiLevelType w:val="hybridMultilevel"/>
    <w:tmpl w:val="479EC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E4676"/>
    <w:multiLevelType w:val="hybridMultilevel"/>
    <w:tmpl w:val="6478D7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4342D1"/>
    <w:multiLevelType w:val="hybridMultilevel"/>
    <w:tmpl w:val="379A5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F946B6"/>
    <w:multiLevelType w:val="hybridMultilevel"/>
    <w:tmpl w:val="067C3E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13438B1"/>
    <w:multiLevelType w:val="hybridMultilevel"/>
    <w:tmpl w:val="4C1E6D30"/>
    <w:lvl w:ilvl="0" w:tplc="38FEEE86">
      <w:start w:val="1"/>
      <w:numFmt w:val="bullet"/>
      <w:lvlText w:val="-"/>
      <w:lvlJc w:val="left"/>
      <w:pPr>
        <w:ind w:left="720" w:hanging="360"/>
      </w:pPr>
      <w:rPr>
        <w:rFonts w:ascii="Georgia" w:eastAsia="Times New Roman" w:hAnsi="Georgi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C67A97"/>
    <w:multiLevelType w:val="hybridMultilevel"/>
    <w:tmpl w:val="A12C8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AAD57D3"/>
    <w:multiLevelType w:val="hybridMultilevel"/>
    <w:tmpl w:val="DF30E1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D3C52C8"/>
    <w:multiLevelType w:val="hybridMultilevel"/>
    <w:tmpl w:val="723274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94504835">
    <w:abstractNumId w:val="2"/>
  </w:num>
  <w:num w:numId="2" w16cid:durableId="523517475">
    <w:abstractNumId w:val="0"/>
  </w:num>
  <w:num w:numId="3" w16cid:durableId="1220627868">
    <w:abstractNumId w:val="1"/>
  </w:num>
  <w:num w:numId="4" w16cid:durableId="56899428">
    <w:abstractNumId w:val="7"/>
  </w:num>
  <w:num w:numId="5" w16cid:durableId="1157069987">
    <w:abstractNumId w:val="6"/>
  </w:num>
  <w:num w:numId="6" w16cid:durableId="1295133375">
    <w:abstractNumId w:val="4"/>
  </w:num>
  <w:num w:numId="7" w16cid:durableId="841316374">
    <w:abstractNumId w:val="5"/>
  </w:num>
  <w:num w:numId="8" w16cid:durableId="76581093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7B01"/>
    <w:rsid w:val="00003FAA"/>
    <w:rsid w:val="00006304"/>
    <w:rsid w:val="00010D91"/>
    <w:rsid w:val="000132F7"/>
    <w:rsid w:val="00014216"/>
    <w:rsid w:val="000143FD"/>
    <w:rsid w:val="00020DA1"/>
    <w:rsid w:val="00024B29"/>
    <w:rsid w:val="00025991"/>
    <w:rsid w:val="00031120"/>
    <w:rsid w:val="000451EA"/>
    <w:rsid w:val="000606E8"/>
    <w:rsid w:val="00063293"/>
    <w:rsid w:val="00064F5D"/>
    <w:rsid w:val="00072FA4"/>
    <w:rsid w:val="00081477"/>
    <w:rsid w:val="00085EFE"/>
    <w:rsid w:val="00087724"/>
    <w:rsid w:val="00094B52"/>
    <w:rsid w:val="000A0A25"/>
    <w:rsid w:val="000A2EBC"/>
    <w:rsid w:val="000A652F"/>
    <w:rsid w:val="000B4B7B"/>
    <w:rsid w:val="000B6485"/>
    <w:rsid w:val="000C09E4"/>
    <w:rsid w:val="000C2FFF"/>
    <w:rsid w:val="000C4A08"/>
    <w:rsid w:val="000C7837"/>
    <w:rsid w:val="000D2826"/>
    <w:rsid w:val="000D4B21"/>
    <w:rsid w:val="000E0E09"/>
    <w:rsid w:val="000E22D2"/>
    <w:rsid w:val="000E355F"/>
    <w:rsid w:val="000E6CF8"/>
    <w:rsid w:val="000E7814"/>
    <w:rsid w:val="000F0C1D"/>
    <w:rsid w:val="000F7C78"/>
    <w:rsid w:val="000F7E5D"/>
    <w:rsid w:val="00100CB7"/>
    <w:rsid w:val="001011F7"/>
    <w:rsid w:val="001103DE"/>
    <w:rsid w:val="0011135D"/>
    <w:rsid w:val="00115475"/>
    <w:rsid w:val="00116C26"/>
    <w:rsid w:val="0012322F"/>
    <w:rsid w:val="00127EE1"/>
    <w:rsid w:val="00146C7D"/>
    <w:rsid w:val="0015499C"/>
    <w:rsid w:val="00173EB6"/>
    <w:rsid w:val="00182318"/>
    <w:rsid w:val="001A2D34"/>
    <w:rsid w:val="001B28D3"/>
    <w:rsid w:val="001B71CF"/>
    <w:rsid w:val="001C184D"/>
    <w:rsid w:val="001C2440"/>
    <w:rsid w:val="001C5548"/>
    <w:rsid w:val="001C6B07"/>
    <w:rsid w:val="001C72C2"/>
    <w:rsid w:val="001D381D"/>
    <w:rsid w:val="001D4D1E"/>
    <w:rsid w:val="001E2CBF"/>
    <w:rsid w:val="001E4AD3"/>
    <w:rsid w:val="001E5DA7"/>
    <w:rsid w:val="001F2C8E"/>
    <w:rsid w:val="001F3BD7"/>
    <w:rsid w:val="001F3DFE"/>
    <w:rsid w:val="001F7EAB"/>
    <w:rsid w:val="0020040F"/>
    <w:rsid w:val="002047DF"/>
    <w:rsid w:val="00210BE0"/>
    <w:rsid w:val="00211393"/>
    <w:rsid w:val="00217905"/>
    <w:rsid w:val="00223FE8"/>
    <w:rsid w:val="00224140"/>
    <w:rsid w:val="002319C9"/>
    <w:rsid w:val="00241FEF"/>
    <w:rsid w:val="00251AEA"/>
    <w:rsid w:val="00253690"/>
    <w:rsid w:val="00264815"/>
    <w:rsid w:val="00271C59"/>
    <w:rsid w:val="0027252C"/>
    <w:rsid w:val="002737FD"/>
    <w:rsid w:val="00274340"/>
    <w:rsid w:val="0027751E"/>
    <w:rsid w:val="0028197D"/>
    <w:rsid w:val="00284DDF"/>
    <w:rsid w:val="0028776B"/>
    <w:rsid w:val="002963B4"/>
    <w:rsid w:val="00297CEA"/>
    <w:rsid w:val="002A0902"/>
    <w:rsid w:val="002A0DBB"/>
    <w:rsid w:val="002A28C5"/>
    <w:rsid w:val="002A5BFE"/>
    <w:rsid w:val="002A6E28"/>
    <w:rsid w:val="002B2E13"/>
    <w:rsid w:val="002C5D86"/>
    <w:rsid w:val="002C6048"/>
    <w:rsid w:val="002D09B0"/>
    <w:rsid w:val="002E2050"/>
    <w:rsid w:val="002E5D8A"/>
    <w:rsid w:val="002F06AA"/>
    <w:rsid w:val="002F0A1B"/>
    <w:rsid w:val="002F3B45"/>
    <w:rsid w:val="002F53EB"/>
    <w:rsid w:val="002F7AFD"/>
    <w:rsid w:val="0030264E"/>
    <w:rsid w:val="00302C97"/>
    <w:rsid w:val="0030778C"/>
    <w:rsid w:val="00312EDA"/>
    <w:rsid w:val="0031483A"/>
    <w:rsid w:val="003148E2"/>
    <w:rsid w:val="00314CE7"/>
    <w:rsid w:val="00316B6B"/>
    <w:rsid w:val="0031727B"/>
    <w:rsid w:val="00320EC7"/>
    <w:rsid w:val="00322A97"/>
    <w:rsid w:val="00326225"/>
    <w:rsid w:val="00331430"/>
    <w:rsid w:val="00332DD1"/>
    <w:rsid w:val="003347D6"/>
    <w:rsid w:val="0034029A"/>
    <w:rsid w:val="00342DA0"/>
    <w:rsid w:val="00356691"/>
    <w:rsid w:val="003613CE"/>
    <w:rsid w:val="00361714"/>
    <w:rsid w:val="00362982"/>
    <w:rsid w:val="003630E6"/>
    <w:rsid w:val="00374119"/>
    <w:rsid w:val="0038384C"/>
    <w:rsid w:val="00385F24"/>
    <w:rsid w:val="0038665C"/>
    <w:rsid w:val="003913A0"/>
    <w:rsid w:val="00393296"/>
    <w:rsid w:val="003946DE"/>
    <w:rsid w:val="003979CA"/>
    <w:rsid w:val="003A4985"/>
    <w:rsid w:val="003B4656"/>
    <w:rsid w:val="003B58FD"/>
    <w:rsid w:val="003C7868"/>
    <w:rsid w:val="003D1B8C"/>
    <w:rsid w:val="003D3C24"/>
    <w:rsid w:val="003D7B18"/>
    <w:rsid w:val="003E4669"/>
    <w:rsid w:val="003F2DDF"/>
    <w:rsid w:val="003F6094"/>
    <w:rsid w:val="004066BC"/>
    <w:rsid w:val="00412C4D"/>
    <w:rsid w:val="00423876"/>
    <w:rsid w:val="00424E25"/>
    <w:rsid w:val="004255FA"/>
    <w:rsid w:val="00425FD1"/>
    <w:rsid w:val="004337F0"/>
    <w:rsid w:val="004427EE"/>
    <w:rsid w:val="004429FE"/>
    <w:rsid w:val="00443B24"/>
    <w:rsid w:val="00454DF3"/>
    <w:rsid w:val="00455103"/>
    <w:rsid w:val="00455D09"/>
    <w:rsid w:val="00471638"/>
    <w:rsid w:val="00487B89"/>
    <w:rsid w:val="004944B2"/>
    <w:rsid w:val="0049466A"/>
    <w:rsid w:val="004A30EA"/>
    <w:rsid w:val="004A66D2"/>
    <w:rsid w:val="004A7BC1"/>
    <w:rsid w:val="004B04C9"/>
    <w:rsid w:val="004C1D40"/>
    <w:rsid w:val="004C2AA9"/>
    <w:rsid w:val="004C5735"/>
    <w:rsid w:val="004D3C79"/>
    <w:rsid w:val="004E4384"/>
    <w:rsid w:val="004E4A0C"/>
    <w:rsid w:val="004E6137"/>
    <w:rsid w:val="004F0489"/>
    <w:rsid w:val="004F31CC"/>
    <w:rsid w:val="004F491A"/>
    <w:rsid w:val="0050066D"/>
    <w:rsid w:val="00502ED0"/>
    <w:rsid w:val="0052013D"/>
    <w:rsid w:val="00527D45"/>
    <w:rsid w:val="00530062"/>
    <w:rsid w:val="00533A8E"/>
    <w:rsid w:val="00533D58"/>
    <w:rsid w:val="0054083E"/>
    <w:rsid w:val="005437DB"/>
    <w:rsid w:val="005441E7"/>
    <w:rsid w:val="005455AF"/>
    <w:rsid w:val="0055277E"/>
    <w:rsid w:val="005635CF"/>
    <w:rsid w:val="00565051"/>
    <w:rsid w:val="00566076"/>
    <w:rsid w:val="00567884"/>
    <w:rsid w:val="0057159D"/>
    <w:rsid w:val="00572D75"/>
    <w:rsid w:val="00574C14"/>
    <w:rsid w:val="0057771B"/>
    <w:rsid w:val="0058067C"/>
    <w:rsid w:val="00581796"/>
    <w:rsid w:val="00584F58"/>
    <w:rsid w:val="0058683F"/>
    <w:rsid w:val="00587676"/>
    <w:rsid w:val="00590829"/>
    <w:rsid w:val="0059330A"/>
    <w:rsid w:val="00594019"/>
    <w:rsid w:val="00596FCE"/>
    <w:rsid w:val="005A17EC"/>
    <w:rsid w:val="005A232B"/>
    <w:rsid w:val="005A5E2A"/>
    <w:rsid w:val="005B0300"/>
    <w:rsid w:val="005C243D"/>
    <w:rsid w:val="005C24DB"/>
    <w:rsid w:val="005C4F94"/>
    <w:rsid w:val="005D280C"/>
    <w:rsid w:val="005D327C"/>
    <w:rsid w:val="005D5000"/>
    <w:rsid w:val="005E22E8"/>
    <w:rsid w:val="005E5573"/>
    <w:rsid w:val="005F2D35"/>
    <w:rsid w:val="00607110"/>
    <w:rsid w:val="00607B01"/>
    <w:rsid w:val="006204DF"/>
    <w:rsid w:val="00621752"/>
    <w:rsid w:val="00630751"/>
    <w:rsid w:val="006316D1"/>
    <w:rsid w:val="00634B7F"/>
    <w:rsid w:val="00650C8D"/>
    <w:rsid w:val="00650FD6"/>
    <w:rsid w:val="00657656"/>
    <w:rsid w:val="0065794D"/>
    <w:rsid w:val="00663E03"/>
    <w:rsid w:val="006745BC"/>
    <w:rsid w:val="00674DF3"/>
    <w:rsid w:val="006763D6"/>
    <w:rsid w:val="0068698E"/>
    <w:rsid w:val="006874C9"/>
    <w:rsid w:val="006914CB"/>
    <w:rsid w:val="00695BC9"/>
    <w:rsid w:val="006A1CDC"/>
    <w:rsid w:val="006A43AA"/>
    <w:rsid w:val="006A4A54"/>
    <w:rsid w:val="006A52F5"/>
    <w:rsid w:val="006B1C9A"/>
    <w:rsid w:val="006B5003"/>
    <w:rsid w:val="006B7027"/>
    <w:rsid w:val="006C395F"/>
    <w:rsid w:val="006C7B4A"/>
    <w:rsid w:val="006D1905"/>
    <w:rsid w:val="006D2D14"/>
    <w:rsid w:val="006D5FF2"/>
    <w:rsid w:val="006E2B36"/>
    <w:rsid w:val="006F5008"/>
    <w:rsid w:val="006F76C5"/>
    <w:rsid w:val="00703A40"/>
    <w:rsid w:val="0071375E"/>
    <w:rsid w:val="00720626"/>
    <w:rsid w:val="00731761"/>
    <w:rsid w:val="00733B11"/>
    <w:rsid w:val="007574D4"/>
    <w:rsid w:val="00760B87"/>
    <w:rsid w:val="00765D25"/>
    <w:rsid w:val="00775DB4"/>
    <w:rsid w:val="00781957"/>
    <w:rsid w:val="007842FF"/>
    <w:rsid w:val="0078475F"/>
    <w:rsid w:val="00787AFE"/>
    <w:rsid w:val="00790111"/>
    <w:rsid w:val="00790771"/>
    <w:rsid w:val="00790EFD"/>
    <w:rsid w:val="00793F6F"/>
    <w:rsid w:val="007963C6"/>
    <w:rsid w:val="007A3AAC"/>
    <w:rsid w:val="007B343B"/>
    <w:rsid w:val="007B55B4"/>
    <w:rsid w:val="007C1937"/>
    <w:rsid w:val="007C5CA2"/>
    <w:rsid w:val="007D007C"/>
    <w:rsid w:val="007D09FB"/>
    <w:rsid w:val="007D1EC6"/>
    <w:rsid w:val="007D5392"/>
    <w:rsid w:val="007F14FA"/>
    <w:rsid w:val="007F58F5"/>
    <w:rsid w:val="00800F23"/>
    <w:rsid w:val="00803BBD"/>
    <w:rsid w:val="00807B73"/>
    <w:rsid w:val="00812C6D"/>
    <w:rsid w:val="00812F7B"/>
    <w:rsid w:val="008138E7"/>
    <w:rsid w:val="00813CB1"/>
    <w:rsid w:val="00820107"/>
    <w:rsid w:val="00820B18"/>
    <w:rsid w:val="00823D63"/>
    <w:rsid w:val="00826E20"/>
    <w:rsid w:val="00830AFB"/>
    <w:rsid w:val="0083404C"/>
    <w:rsid w:val="00834F0F"/>
    <w:rsid w:val="00845547"/>
    <w:rsid w:val="00846A4B"/>
    <w:rsid w:val="0085240F"/>
    <w:rsid w:val="008602B4"/>
    <w:rsid w:val="0087018E"/>
    <w:rsid w:val="0087352F"/>
    <w:rsid w:val="00873F4F"/>
    <w:rsid w:val="0088535F"/>
    <w:rsid w:val="00886E46"/>
    <w:rsid w:val="00890589"/>
    <w:rsid w:val="0089058D"/>
    <w:rsid w:val="008948F5"/>
    <w:rsid w:val="00897B46"/>
    <w:rsid w:val="008A732E"/>
    <w:rsid w:val="008B0AC0"/>
    <w:rsid w:val="008C38ED"/>
    <w:rsid w:val="008C4E7A"/>
    <w:rsid w:val="008D0308"/>
    <w:rsid w:val="008E0540"/>
    <w:rsid w:val="008E13FF"/>
    <w:rsid w:val="008E4D0F"/>
    <w:rsid w:val="008E6AEF"/>
    <w:rsid w:val="008F1F7C"/>
    <w:rsid w:val="009025B8"/>
    <w:rsid w:val="009045E0"/>
    <w:rsid w:val="00910924"/>
    <w:rsid w:val="009202EA"/>
    <w:rsid w:val="009222DD"/>
    <w:rsid w:val="00925B7B"/>
    <w:rsid w:val="00944865"/>
    <w:rsid w:val="00945F23"/>
    <w:rsid w:val="00946EBA"/>
    <w:rsid w:val="00946EBC"/>
    <w:rsid w:val="00954FE6"/>
    <w:rsid w:val="00955515"/>
    <w:rsid w:val="0095637E"/>
    <w:rsid w:val="0096018F"/>
    <w:rsid w:val="009618C3"/>
    <w:rsid w:val="00962DB0"/>
    <w:rsid w:val="0096437A"/>
    <w:rsid w:val="0096500B"/>
    <w:rsid w:val="00970A91"/>
    <w:rsid w:val="0098202A"/>
    <w:rsid w:val="00983208"/>
    <w:rsid w:val="00985710"/>
    <w:rsid w:val="00987012"/>
    <w:rsid w:val="009959C9"/>
    <w:rsid w:val="00997291"/>
    <w:rsid w:val="00997CAF"/>
    <w:rsid w:val="009A2892"/>
    <w:rsid w:val="009A5655"/>
    <w:rsid w:val="009A770D"/>
    <w:rsid w:val="009B47CA"/>
    <w:rsid w:val="009B6BAB"/>
    <w:rsid w:val="009C343D"/>
    <w:rsid w:val="009C5F38"/>
    <w:rsid w:val="009D3537"/>
    <w:rsid w:val="009D6D6D"/>
    <w:rsid w:val="009E5637"/>
    <w:rsid w:val="00A07062"/>
    <w:rsid w:val="00A076DC"/>
    <w:rsid w:val="00A206A8"/>
    <w:rsid w:val="00A35F19"/>
    <w:rsid w:val="00A40E38"/>
    <w:rsid w:val="00A529ED"/>
    <w:rsid w:val="00A52BAC"/>
    <w:rsid w:val="00A57480"/>
    <w:rsid w:val="00A60009"/>
    <w:rsid w:val="00A73346"/>
    <w:rsid w:val="00A75629"/>
    <w:rsid w:val="00A833BE"/>
    <w:rsid w:val="00A85258"/>
    <w:rsid w:val="00A87D7F"/>
    <w:rsid w:val="00A90E35"/>
    <w:rsid w:val="00A9146F"/>
    <w:rsid w:val="00A9149C"/>
    <w:rsid w:val="00AA0DBA"/>
    <w:rsid w:val="00AA34EF"/>
    <w:rsid w:val="00AA4A57"/>
    <w:rsid w:val="00AA71E1"/>
    <w:rsid w:val="00AA720C"/>
    <w:rsid w:val="00AB02DE"/>
    <w:rsid w:val="00AC44C5"/>
    <w:rsid w:val="00AC70B3"/>
    <w:rsid w:val="00AD472C"/>
    <w:rsid w:val="00AE129D"/>
    <w:rsid w:val="00AF1CB9"/>
    <w:rsid w:val="00AF2D6C"/>
    <w:rsid w:val="00AF53AD"/>
    <w:rsid w:val="00B023D1"/>
    <w:rsid w:val="00B03E5A"/>
    <w:rsid w:val="00B13230"/>
    <w:rsid w:val="00B14F10"/>
    <w:rsid w:val="00B15460"/>
    <w:rsid w:val="00B24831"/>
    <w:rsid w:val="00B277B3"/>
    <w:rsid w:val="00B35275"/>
    <w:rsid w:val="00B37BE3"/>
    <w:rsid w:val="00B461D1"/>
    <w:rsid w:val="00B47E0F"/>
    <w:rsid w:val="00B51BAA"/>
    <w:rsid w:val="00B5370B"/>
    <w:rsid w:val="00B53864"/>
    <w:rsid w:val="00B57525"/>
    <w:rsid w:val="00B6184B"/>
    <w:rsid w:val="00B61A2F"/>
    <w:rsid w:val="00B61C24"/>
    <w:rsid w:val="00B64303"/>
    <w:rsid w:val="00B675B3"/>
    <w:rsid w:val="00B7115F"/>
    <w:rsid w:val="00B76659"/>
    <w:rsid w:val="00B766BD"/>
    <w:rsid w:val="00B85290"/>
    <w:rsid w:val="00B8786E"/>
    <w:rsid w:val="00B87C29"/>
    <w:rsid w:val="00B95A95"/>
    <w:rsid w:val="00B95E8C"/>
    <w:rsid w:val="00BA0D4D"/>
    <w:rsid w:val="00BA31F1"/>
    <w:rsid w:val="00BB3292"/>
    <w:rsid w:val="00BB5452"/>
    <w:rsid w:val="00BC595D"/>
    <w:rsid w:val="00BC7944"/>
    <w:rsid w:val="00BD61D8"/>
    <w:rsid w:val="00BE556C"/>
    <w:rsid w:val="00BE717C"/>
    <w:rsid w:val="00BF0CC3"/>
    <w:rsid w:val="00BF367A"/>
    <w:rsid w:val="00BF524C"/>
    <w:rsid w:val="00BF7AB5"/>
    <w:rsid w:val="00C02E40"/>
    <w:rsid w:val="00C0738E"/>
    <w:rsid w:val="00C122CD"/>
    <w:rsid w:val="00C13DED"/>
    <w:rsid w:val="00C16998"/>
    <w:rsid w:val="00C16B18"/>
    <w:rsid w:val="00C2005D"/>
    <w:rsid w:val="00C2081B"/>
    <w:rsid w:val="00C218A9"/>
    <w:rsid w:val="00C21ED1"/>
    <w:rsid w:val="00C22B6A"/>
    <w:rsid w:val="00C23C03"/>
    <w:rsid w:val="00C27CA0"/>
    <w:rsid w:val="00C3352B"/>
    <w:rsid w:val="00C3363A"/>
    <w:rsid w:val="00C4653D"/>
    <w:rsid w:val="00C5141D"/>
    <w:rsid w:val="00C514E4"/>
    <w:rsid w:val="00C55BC5"/>
    <w:rsid w:val="00C57853"/>
    <w:rsid w:val="00C60ACE"/>
    <w:rsid w:val="00C61799"/>
    <w:rsid w:val="00C6470A"/>
    <w:rsid w:val="00C65495"/>
    <w:rsid w:val="00C725C0"/>
    <w:rsid w:val="00C75A02"/>
    <w:rsid w:val="00C84599"/>
    <w:rsid w:val="00C8550D"/>
    <w:rsid w:val="00C91AD1"/>
    <w:rsid w:val="00C926C6"/>
    <w:rsid w:val="00C97B2E"/>
    <w:rsid w:val="00CA0BC9"/>
    <w:rsid w:val="00CA4B9A"/>
    <w:rsid w:val="00CA6B31"/>
    <w:rsid w:val="00CB0B62"/>
    <w:rsid w:val="00CB2A6D"/>
    <w:rsid w:val="00CB3909"/>
    <w:rsid w:val="00CC0CAD"/>
    <w:rsid w:val="00CC10CA"/>
    <w:rsid w:val="00CC4C03"/>
    <w:rsid w:val="00CC5990"/>
    <w:rsid w:val="00CC5D45"/>
    <w:rsid w:val="00CD450D"/>
    <w:rsid w:val="00CE0A8A"/>
    <w:rsid w:val="00CE20D3"/>
    <w:rsid w:val="00CE7AAA"/>
    <w:rsid w:val="00CF4253"/>
    <w:rsid w:val="00CF5B82"/>
    <w:rsid w:val="00CF7D6D"/>
    <w:rsid w:val="00D057D5"/>
    <w:rsid w:val="00D05A86"/>
    <w:rsid w:val="00D17E4E"/>
    <w:rsid w:val="00D2352A"/>
    <w:rsid w:val="00D25741"/>
    <w:rsid w:val="00D307C4"/>
    <w:rsid w:val="00D30A71"/>
    <w:rsid w:val="00D32EE0"/>
    <w:rsid w:val="00D41290"/>
    <w:rsid w:val="00D420FD"/>
    <w:rsid w:val="00D46766"/>
    <w:rsid w:val="00D515B6"/>
    <w:rsid w:val="00D53E70"/>
    <w:rsid w:val="00D53F55"/>
    <w:rsid w:val="00D62711"/>
    <w:rsid w:val="00D62A0A"/>
    <w:rsid w:val="00D65A08"/>
    <w:rsid w:val="00D673D0"/>
    <w:rsid w:val="00D67CC0"/>
    <w:rsid w:val="00D732FD"/>
    <w:rsid w:val="00D75932"/>
    <w:rsid w:val="00D82666"/>
    <w:rsid w:val="00D85032"/>
    <w:rsid w:val="00D85F8E"/>
    <w:rsid w:val="00D87CCE"/>
    <w:rsid w:val="00D9283A"/>
    <w:rsid w:val="00D93971"/>
    <w:rsid w:val="00DA28A5"/>
    <w:rsid w:val="00DA54BA"/>
    <w:rsid w:val="00DA5936"/>
    <w:rsid w:val="00DB2418"/>
    <w:rsid w:val="00DB4769"/>
    <w:rsid w:val="00DD4D14"/>
    <w:rsid w:val="00DD6A2D"/>
    <w:rsid w:val="00DE10C8"/>
    <w:rsid w:val="00DF4D3D"/>
    <w:rsid w:val="00DF5ABB"/>
    <w:rsid w:val="00E02513"/>
    <w:rsid w:val="00E03C3A"/>
    <w:rsid w:val="00E0673A"/>
    <w:rsid w:val="00E06E98"/>
    <w:rsid w:val="00E07EF5"/>
    <w:rsid w:val="00E10083"/>
    <w:rsid w:val="00E10519"/>
    <w:rsid w:val="00E11C03"/>
    <w:rsid w:val="00E124A9"/>
    <w:rsid w:val="00E17658"/>
    <w:rsid w:val="00E20D85"/>
    <w:rsid w:val="00E25AC6"/>
    <w:rsid w:val="00E30DE8"/>
    <w:rsid w:val="00E3206C"/>
    <w:rsid w:val="00E32877"/>
    <w:rsid w:val="00E36BCA"/>
    <w:rsid w:val="00E37700"/>
    <w:rsid w:val="00E377D0"/>
    <w:rsid w:val="00E42637"/>
    <w:rsid w:val="00E43EAE"/>
    <w:rsid w:val="00E44533"/>
    <w:rsid w:val="00E45E4C"/>
    <w:rsid w:val="00E478FB"/>
    <w:rsid w:val="00E538C3"/>
    <w:rsid w:val="00E54DB2"/>
    <w:rsid w:val="00E60DA4"/>
    <w:rsid w:val="00E6674C"/>
    <w:rsid w:val="00E72310"/>
    <w:rsid w:val="00E8613B"/>
    <w:rsid w:val="00E93F68"/>
    <w:rsid w:val="00EA1382"/>
    <w:rsid w:val="00EB1A02"/>
    <w:rsid w:val="00EB564B"/>
    <w:rsid w:val="00EC1980"/>
    <w:rsid w:val="00EC50B7"/>
    <w:rsid w:val="00EC6722"/>
    <w:rsid w:val="00ED55FB"/>
    <w:rsid w:val="00ED5953"/>
    <w:rsid w:val="00EE38EC"/>
    <w:rsid w:val="00EE5B1D"/>
    <w:rsid w:val="00EF1120"/>
    <w:rsid w:val="00EF60B8"/>
    <w:rsid w:val="00EF654A"/>
    <w:rsid w:val="00EF68A1"/>
    <w:rsid w:val="00EF6B74"/>
    <w:rsid w:val="00EF7570"/>
    <w:rsid w:val="00EF7AAC"/>
    <w:rsid w:val="00F0506E"/>
    <w:rsid w:val="00F05819"/>
    <w:rsid w:val="00F07A16"/>
    <w:rsid w:val="00F1187D"/>
    <w:rsid w:val="00F138ED"/>
    <w:rsid w:val="00F15CDB"/>
    <w:rsid w:val="00F235BA"/>
    <w:rsid w:val="00F24B6B"/>
    <w:rsid w:val="00F320AF"/>
    <w:rsid w:val="00F32472"/>
    <w:rsid w:val="00F3656B"/>
    <w:rsid w:val="00F37FBE"/>
    <w:rsid w:val="00F40646"/>
    <w:rsid w:val="00F40825"/>
    <w:rsid w:val="00F43BCF"/>
    <w:rsid w:val="00F51E6B"/>
    <w:rsid w:val="00F6748A"/>
    <w:rsid w:val="00F678C6"/>
    <w:rsid w:val="00F704CB"/>
    <w:rsid w:val="00F712DC"/>
    <w:rsid w:val="00F71BC2"/>
    <w:rsid w:val="00F72DA2"/>
    <w:rsid w:val="00F7495D"/>
    <w:rsid w:val="00F757BB"/>
    <w:rsid w:val="00F777FF"/>
    <w:rsid w:val="00F81B9A"/>
    <w:rsid w:val="00F8628B"/>
    <w:rsid w:val="00F87D88"/>
    <w:rsid w:val="00F92ECE"/>
    <w:rsid w:val="00F95611"/>
    <w:rsid w:val="00FA2A2C"/>
    <w:rsid w:val="00FB4040"/>
    <w:rsid w:val="00FB5D06"/>
    <w:rsid w:val="00FC3F1F"/>
    <w:rsid w:val="00FD1D76"/>
    <w:rsid w:val="00FE1471"/>
    <w:rsid w:val="00FF4093"/>
    <w:rsid w:val="00FF79E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CBF528"/>
  <w15:chartTrackingRefBased/>
  <w15:docId w15:val="{ADA50DDC-F138-49BB-90EC-E3D8F78E81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7B0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437DB"/>
    <w:rPr>
      <w:color w:val="0000FF"/>
      <w:u w:val="single"/>
    </w:rPr>
  </w:style>
  <w:style w:type="paragraph" w:styleId="ListParagraph">
    <w:name w:val="List Paragraph"/>
    <w:basedOn w:val="Normal"/>
    <w:link w:val="ListParagraphChar"/>
    <w:uiPriority w:val="1"/>
    <w:qFormat/>
    <w:rsid w:val="005437DB"/>
    <w:pPr>
      <w:ind w:left="720"/>
      <w:contextualSpacing/>
    </w:pPr>
  </w:style>
  <w:style w:type="paragraph" w:styleId="BodyText">
    <w:name w:val="Body Text"/>
    <w:basedOn w:val="Normal"/>
    <w:link w:val="BodyTextChar"/>
    <w:uiPriority w:val="1"/>
    <w:qFormat/>
    <w:rsid w:val="005437DB"/>
    <w:pPr>
      <w:widowControl w:val="0"/>
      <w:autoSpaceDE w:val="0"/>
      <w:autoSpaceDN w:val="0"/>
      <w:spacing w:after="0" w:line="240" w:lineRule="auto"/>
    </w:pPr>
    <w:rPr>
      <w:rFonts w:ascii="Arial" w:eastAsia="Arial" w:hAnsi="Arial" w:cs="Arial"/>
      <w:kern w:val="0"/>
      <w14:ligatures w14:val="none"/>
    </w:rPr>
  </w:style>
  <w:style w:type="character" w:customStyle="1" w:styleId="BodyTextChar">
    <w:name w:val="Body Text Char"/>
    <w:basedOn w:val="DefaultParagraphFont"/>
    <w:link w:val="BodyText"/>
    <w:uiPriority w:val="1"/>
    <w:rsid w:val="005437DB"/>
    <w:rPr>
      <w:rFonts w:ascii="Arial" w:eastAsia="Arial" w:hAnsi="Arial" w:cs="Arial"/>
      <w:kern w:val="0"/>
      <w14:ligatures w14:val="none"/>
    </w:rPr>
  </w:style>
  <w:style w:type="paragraph" w:styleId="NormalWeb">
    <w:name w:val="Normal (Web)"/>
    <w:basedOn w:val="Normal"/>
    <w:uiPriority w:val="99"/>
    <w:unhideWhenUsed/>
    <w:rsid w:val="00C75A0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C5141D"/>
    <w:rPr>
      <w:b/>
      <w:bCs/>
    </w:rPr>
  </w:style>
  <w:style w:type="character" w:customStyle="1" w:styleId="topic-highlight">
    <w:name w:val="topic-highlight"/>
    <w:basedOn w:val="DefaultParagraphFont"/>
    <w:rsid w:val="0068698E"/>
  </w:style>
  <w:style w:type="character" w:styleId="FollowedHyperlink">
    <w:name w:val="FollowedHyperlink"/>
    <w:basedOn w:val="DefaultParagraphFont"/>
    <w:uiPriority w:val="99"/>
    <w:semiHidden/>
    <w:unhideWhenUsed/>
    <w:rsid w:val="003F6094"/>
    <w:rPr>
      <w:color w:val="954F72" w:themeColor="followedHyperlink"/>
      <w:u w:val="single"/>
    </w:rPr>
  </w:style>
  <w:style w:type="character" w:customStyle="1" w:styleId="ListParagraphChar">
    <w:name w:val="List Paragraph Char"/>
    <w:basedOn w:val="DefaultParagraphFont"/>
    <w:link w:val="ListParagraph"/>
    <w:uiPriority w:val="1"/>
    <w:rsid w:val="00F05819"/>
  </w:style>
  <w:style w:type="paragraph" w:styleId="Header">
    <w:name w:val="header"/>
    <w:basedOn w:val="Normal"/>
    <w:link w:val="HeaderChar"/>
    <w:uiPriority w:val="99"/>
    <w:unhideWhenUsed/>
    <w:rsid w:val="00BB32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3292"/>
  </w:style>
  <w:style w:type="paragraph" w:styleId="Footer">
    <w:name w:val="footer"/>
    <w:basedOn w:val="Normal"/>
    <w:link w:val="FooterChar"/>
    <w:uiPriority w:val="99"/>
    <w:unhideWhenUsed/>
    <w:rsid w:val="00BB32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3292"/>
  </w:style>
  <w:style w:type="paragraph" w:styleId="NoSpacing">
    <w:name w:val="No Spacing"/>
    <w:link w:val="NoSpacingChar"/>
    <w:uiPriority w:val="1"/>
    <w:qFormat/>
    <w:rsid w:val="00BB329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B3292"/>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06594">
      <w:bodyDiv w:val="1"/>
      <w:marLeft w:val="0"/>
      <w:marRight w:val="0"/>
      <w:marTop w:val="0"/>
      <w:marBottom w:val="0"/>
      <w:divBdr>
        <w:top w:val="none" w:sz="0" w:space="0" w:color="auto"/>
        <w:left w:val="none" w:sz="0" w:space="0" w:color="auto"/>
        <w:bottom w:val="none" w:sz="0" w:space="0" w:color="auto"/>
        <w:right w:val="none" w:sz="0" w:space="0" w:color="auto"/>
      </w:divBdr>
    </w:div>
    <w:div w:id="188299466">
      <w:bodyDiv w:val="1"/>
      <w:marLeft w:val="0"/>
      <w:marRight w:val="0"/>
      <w:marTop w:val="0"/>
      <w:marBottom w:val="0"/>
      <w:divBdr>
        <w:top w:val="none" w:sz="0" w:space="0" w:color="auto"/>
        <w:left w:val="none" w:sz="0" w:space="0" w:color="auto"/>
        <w:bottom w:val="none" w:sz="0" w:space="0" w:color="auto"/>
        <w:right w:val="none" w:sz="0" w:space="0" w:color="auto"/>
      </w:divBdr>
    </w:div>
    <w:div w:id="189338662">
      <w:bodyDiv w:val="1"/>
      <w:marLeft w:val="0"/>
      <w:marRight w:val="0"/>
      <w:marTop w:val="0"/>
      <w:marBottom w:val="0"/>
      <w:divBdr>
        <w:top w:val="none" w:sz="0" w:space="0" w:color="auto"/>
        <w:left w:val="none" w:sz="0" w:space="0" w:color="auto"/>
        <w:bottom w:val="none" w:sz="0" w:space="0" w:color="auto"/>
        <w:right w:val="none" w:sz="0" w:space="0" w:color="auto"/>
      </w:divBdr>
    </w:div>
    <w:div w:id="209415954">
      <w:bodyDiv w:val="1"/>
      <w:marLeft w:val="0"/>
      <w:marRight w:val="0"/>
      <w:marTop w:val="0"/>
      <w:marBottom w:val="0"/>
      <w:divBdr>
        <w:top w:val="none" w:sz="0" w:space="0" w:color="auto"/>
        <w:left w:val="none" w:sz="0" w:space="0" w:color="auto"/>
        <w:bottom w:val="none" w:sz="0" w:space="0" w:color="auto"/>
        <w:right w:val="none" w:sz="0" w:space="0" w:color="auto"/>
      </w:divBdr>
    </w:div>
    <w:div w:id="474836988">
      <w:bodyDiv w:val="1"/>
      <w:marLeft w:val="0"/>
      <w:marRight w:val="0"/>
      <w:marTop w:val="0"/>
      <w:marBottom w:val="0"/>
      <w:divBdr>
        <w:top w:val="none" w:sz="0" w:space="0" w:color="auto"/>
        <w:left w:val="none" w:sz="0" w:space="0" w:color="auto"/>
        <w:bottom w:val="none" w:sz="0" w:space="0" w:color="auto"/>
        <w:right w:val="none" w:sz="0" w:space="0" w:color="auto"/>
      </w:divBdr>
    </w:div>
    <w:div w:id="539169899">
      <w:bodyDiv w:val="1"/>
      <w:marLeft w:val="0"/>
      <w:marRight w:val="0"/>
      <w:marTop w:val="0"/>
      <w:marBottom w:val="0"/>
      <w:divBdr>
        <w:top w:val="none" w:sz="0" w:space="0" w:color="auto"/>
        <w:left w:val="none" w:sz="0" w:space="0" w:color="auto"/>
        <w:bottom w:val="none" w:sz="0" w:space="0" w:color="auto"/>
        <w:right w:val="none" w:sz="0" w:space="0" w:color="auto"/>
      </w:divBdr>
    </w:div>
    <w:div w:id="690763431">
      <w:bodyDiv w:val="1"/>
      <w:marLeft w:val="0"/>
      <w:marRight w:val="0"/>
      <w:marTop w:val="0"/>
      <w:marBottom w:val="0"/>
      <w:divBdr>
        <w:top w:val="none" w:sz="0" w:space="0" w:color="auto"/>
        <w:left w:val="none" w:sz="0" w:space="0" w:color="auto"/>
        <w:bottom w:val="none" w:sz="0" w:space="0" w:color="auto"/>
        <w:right w:val="none" w:sz="0" w:space="0" w:color="auto"/>
      </w:divBdr>
    </w:div>
    <w:div w:id="712458751">
      <w:bodyDiv w:val="1"/>
      <w:marLeft w:val="0"/>
      <w:marRight w:val="0"/>
      <w:marTop w:val="0"/>
      <w:marBottom w:val="0"/>
      <w:divBdr>
        <w:top w:val="none" w:sz="0" w:space="0" w:color="auto"/>
        <w:left w:val="none" w:sz="0" w:space="0" w:color="auto"/>
        <w:bottom w:val="none" w:sz="0" w:space="0" w:color="auto"/>
        <w:right w:val="none" w:sz="0" w:space="0" w:color="auto"/>
      </w:divBdr>
    </w:div>
    <w:div w:id="728387494">
      <w:bodyDiv w:val="1"/>
      <w:marLeft w:val="0"/>
      <w:marRight w:val="0"/>
      <w:marTop w:val="0"/>
      <w:marBottom w:val="0"/>
      <w:divBdr>
        <w:top w:val="none" w:sz="0" w:space="0" w:color="auto"/>
        <w:left w:val="none" w:sz="0" w:space="0" w:color="auto"/>
        <w:bottom w:val="none" w:sz="0" w:space="0" w:color="auto"/>
        <w:right w:val="none" w:sz="0" w:space="0" w:color="auto"/>
      </w:divBdr>
    </w:div>
    <w:div w:id="793984643">
      <w:bodyDiv w:val="1"/>
      <w:marLeft w:val="0"/>
      <w:marRight w:val="0"/>
      <w:marTop w:val="0"/>
      <w:marBottom w:val="0"/>
      <w:divBdr>
        <w:top w:val="none" w:sz="0" w:space="0" w:color="auto"/>
        <w:left w:val="none" w:sz="0" w:space="0" w:color="auto"/>
        <w:bottom w:val="none" w:sz="0" w:space="0" w:color="auto"/>
        <w:right w:val="none" w:sz="0" w:space="0" w:color="auto"/>
      </w:divBdr>
    </w:div>
    <w:div w:id="802163360">
      <w:bodyDiv w:val="1"/>
      <w:marLeft w:val="0"/>
      <w:marRight w:val="0"/>
      <w:marTop w:val="0"/>
      <w:marBottom w:val="0"/>
      <w:divBdr>
        <w:top w:val="none" w:sz="0" w:space="0" w:color="auto"/>
        <w:left w:val="none" w:sz="0" w:space="0" w:color="auto"/>
        <w:bottom w:val="none" w:sz="0" w:space="0" w:color="auto"/>
        <w:right w:val="none" w:sz="0" w:space="0" w:color="auto"/>
      </w:divBdr>
    </w:div>
    <w:div w:id="808667490">
      <w:bodyDiv w:val="1"/>
      <w:marLeft w:val="0"/>
      <w:marRight w:val="0"/>
      <w:marTop w:val="0"/>
      <w:marBottom w:val="0"/>
      <w:divBdr>
        <w:top w:val="none" w:sz="0" w:space="0" w:color="auto"/>
        <w:left w:val="none" w:sz="0" w:space="0" w:color="auto"/>
        <w:bottom w:val="none" w:sz="0" w:space="0" w:color="auto"/>
        <w:right w:val="none" w:sz="0" w:space="0" w:color="auto"/>
      </w:divBdr>
    </w:div>
    <w:div w:id="948050984">
      <w:bodyDiv w:val="1"/>
      <w:marLeft w:val="0"/>
      <w:marRight w:val="0"/>
      <w:marTop w:val="0"/>
      <w:marBottom w:val="0"/>
      <w:divBdr>
        <w:top w:val="none" w:sz="0" w:space="0" w:color="auto"/>
        <w:left w:val="none" w:sz="0" w:space="0" w:color="auto"/>
        <w:bottom w:val="none" w:sz="0" w:space="0" w:color="auto"/>
        <w:right w:val="none" w:sz="0" w:space="0" w:color="auto"/>
      </w:divBdr>
    </w:div>
    <w:div w:id="1197809926">
      <w:bodyDiv w:val="1"/>
      <w:marLeft w:val="0"/>
      <w:marRight w:val="0"/>
      <w:marTop w:val="0"/>
      <w:marBottom w:val="0"/>
      <w:divBdr>
        <w:top w:val="none" w:sz="0" w:space="0" w:color="auto"/>
        <w:left w:val="none" w:sz="0" w:space="0" w:color="auto"/>
        <w:bottom w:val="none" w:sz="0" w:space="0" w:color="auto"/>
        <w:right w:val="none" w:sz="0" w:space="0" w:color="auto"/>
      </w:divBdr>
    </w:div>
    <w:div w:id="1202017061">
      <w:bodyDiv w:val="1"/>
      <w:marLeft w:val="0"/>
      <w:marRight w:val="0"/>
      <w:marTop w:val="0"/>
      <w:marBottom w:val="0"/>
      <w:divBdr>
        <w:top w:val="none" w:sz="0" w:space="0" w:color="auto"/>
        <w:left w:val="none" w:sz="0" w:space="0" w:color="auto"/>
        <w:bottom w:val="none" w:sz="0" w:space="0" w:color="auto"/>
        <w:right w:val="none" w:sz="0" w:space="0" w:color="auto"/>
      </w:divBdr>
    </w:div>
    <w:div w:id="1535658191">
      <w:bodyDiv w:val="1"/>
      <w:marLeft w:val="0"/>
      <w:marRight w:val="0"/>
      <w:marTop w:val="0"/>
      <w:marBottom w:val="0"/>
      <w:divBdr>
        <w:top w:val="none" w:sz="0" w:space="0" w:color="auto"/>
        <w:left w:val="none" w:sz="0" w:space="0" w:color="auto"/>
        <w:bottom w:val="none" w:sz="0" w:space="0" w:color="auto"/>
        <w:right w:val="none" w:sz="0" w:space="0" w:color="auto"/>
      </w:divBdr>
    </w:div>
    <w:div w:id="1565094055">
      <w:bodyDiv w:val="1"/>
      <w:marLeft w:val="0"/>
      <w:marRight w:val="0"/>
      <w:marTop w:val="0"/>
      <w:marBottom w:val="0"/>
      <w:divBdr>
        <w:top w:val="none" w:sz="0" w:space="0" w:color="auto"/>
        <w:left w:val="none" w:sz="0" w:space="0" w:color="auto"/>
        <w:bottom w:val="none" w:sz="0" w:space="0" w:color="auto"/>
        <w:right w:val="none" w:sz="0" w:space="0" w:color="auto"/>
      </w:divBdr>
    </w:div>
    <w:div w:id="1704943961">
      <w:bodyDiv w:val="1"/>
      <w:marLeft w:val="0"/>
      <w:marRight w:val="0"/>
      <w:marTop w:val="0"/>
      <w:marBottom w:val="0"/>
      <w:divBdr>
        <w:top w:val="none" w:sz="0" w:space="0" w:color="auto"/>
        <w:left w:val="none" w:sz="0" w:space="0" w:color="auto"/>
        <w:bottom w:val="none" w:sz="0" w:space="0" w:color="auto"/>
        <w:right w:val="none" w:sz="0" w:space="0" w:color="auto"/>
      </w:divBdr>
    </w:div>
    <w:div w:id="1741513028">
      <w:bodyDiv w:val="1"/>
      <w:marLeft w:val="0"/>
      <w:marRight w:val="0"/>
      <w:marTop w:val="0"/>
      <w:marBottom w:val="0"/>
      <w:divBdr>
        <w:top w:val="none" w:sz="0" w:space="0" w:color="auto"/>
        <w:left w:val="none" w:sz="0" w:space="0" w:color="auto"/>
        <w:bottom w:val="none" w:sz="0" w:space="0" w:color="auto"/>
        <w:right w:val="none" w:sz="0" w:space="0" w:color="auto"/>
      </w:divBdr>
    </w:div>
    <w:div w:id="1901554226">
      <w:bodyDiv w:val="1"/>
      <w:marLeft w:val="0"/>
      <w:marRight w:val="0"/>
      <w:marTop w:val="0"/>
      <w:marBottom w:val="0"/>
      <w:divBdr>
        <w:top w:val="none" w:sz="0" w:space="0" w:color="auto"/>
        <w:left w:val="none" w:sz="0" w:space="0" w:color="auto"/>
        <w:bottom w:val="none" w:sz="0" w:space="0" w:color="auto"/>
        <w:right w:val="none" w:sz="0" w:space="0" w:color="auto"/>
      </w:divBdr>
    </w:div>
    <w:div w:id="1911884395">
      <w:bodyDiv w:val="1"/>
      <w:marLeft w:val="0"/>
      <w:marRight w:val="0"/>
      <w:marTop w:val="0"/>
      <w:marBottom w:val="0"/>
      <w:divBdr>
        <w:top w:val="none" w:sz="0" w:space="0" w:color="auto"/>
        <w:left w:val="none" w:sz="0" w:space="0" w:color="auto"/>
        <w:bottom w:val="none" w:sz="0" w:space="0" w:color="auto"/>
        <w:right w:val="none" w:sz="0" w:space="0" w:color="auto"/>
      </w:divBdr>
    </w:div>
    <w:div w:id="1941596297">
      <w:bodyDiv w:val="1"/>
      <w:marLeft w:val="0"/>
      <w:marRight w:val="0"/>
      <w:marTop w:val="0"/>
      <w:marBottom w:val="0"/>
      <w:divBdr>
        <w:top w:val="none" w:sz="0" w:space="0" w:color="auto"/>
        <w:left w:val="none" w:sz="0" w:space="0" w:color="auto"/>
        <w:bottom w:val="none" w:sz="0" w:space="0" w:color="auto"/>
        <w:right w:val="none" w:sz="0" w:space="0" w:color="auto"/>
      </w:divBdr>
    </w:div>
    <w:div w:id="2017687013">
      <w:bodyDiv w:val="1"/>
      <w:marLeft w:val="0"/>
      <w:marRight w:val="0"/>
      <w:marTop w:val="0"/>
      <w:marBottom w:val="0"/>
      <w:divBdr>
        <w:top w:val="none" w:sz="0" w:space="0" w:color="auto"/>
        <w:left w:val="none" w:sz="0" w:space="0" w:color="auto"/>
        <w:bottom w:val="none" w:sz="0" w:space="0" w:color="auto"/>
        <w:right w:val="none" w:sz="0" w:space="0" w:color="auto"/>
      </w:divBdr>
    </w:div>
    <w:div w:id="2065106065">
      <w:bodyDiv w:val="1"/>
      <w:marLeft w:val="0"/>
      <w:marRight w:val="0"/>
      <w:marTop w:val="0"/>
      <w:marBottom w:val="0"/>
      <w:divBdr>
        <w:top w:val="none" w:sz="0" w:space="0" w:color="auto"/>
        <w:left w:val="none" w:sz="0" w:space="0" w:color="auto"/>
        <w:bottom w:val="none" w:sz="0" w:space="0" w:color="auto"/>
        <w:right w:val="none" w:sz="0" w:space="0" w:color="auto"/>
      </w:divBdr>
    </w:div>
    <w:div w:id="2066485725">
      <w:bodyDiv w:val="1"/>
      <w:marLeft w:val="0"/>
      <w:marRight w:val="0"/>
      <w:marTop w:val="0"/>
      <w:marBottom w:val="0"/>
      <w:divBdr>
        <w:top w:val="none" w:sz="0" w:space="0" w:color="auto"/>
        <w:left w:val="none" w:sz="0" w:space="0" w:color="auto"/>
        <w:bottom w:val="none" w:sz="0" w:space="0" w:color="auto"/>
        <w:right w:val="none" w:sz="0" w:space="0" w:color="auto"/>
      </w:divBdr>
    </w:div>
    <w:div w:id="2099667090">
      <w:bodyDiv w:val="1"/>
      <w:marLeft w:val="0"/>
      <w:marRight w:val="0"/>
      <w:marTop w:val="0"/>
      <w:marBottom w:val="0"/>
      <w:divBdr>
        <w:top w:val="none" w:sz="0" w:space="0" w:color="auto"/>
        <w:left w:val="none" w:sz="0" w:space="0" w:color="auto"/>
        <w:bottom w:val="none" w:sz="0" w:space="0" w:color="auto"/>
        <w:right w:val="none" w:sz="0" w:space="0" w:color="auto"/>
      </w:divBdr>
    </w:div>
    <w:div w:id="2110002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4.xm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chart" Target="charts/chart3.xm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cebma.org/assets/Uploads/Evidence-Based-Practice-The-Basic-Principles.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2.xml"/><Relationship Id="rId5" Type="http://schemas.openxmlformats.org/officeDocument/2006/relationships/settings" Target="settings.xml"/><Relationship Id="rId15" Type="http://schemas.openxmlformats.org/officeDocument/2006/relationships/chart" Target="charts/chart6.xm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chart" Target="charts/chart1.xml"/><Relationship Id="rId14" Type="http://schemas.openxmlformats.org/officeDocument/2006/relationships/chart" Target="charts/chart5.xml"/></Relationships>
</file>

<file path=word/charts/_rels/chart1.xml.rels><?xml version="1.0" encoding="UTF-8" standalone="yes"?>
<Relationships xmlns="http://schemas.openxmlformats.org/package/2006/relationships"><Relationship Id="rId3" Type="http://schemas.openxmlformats.org/officeDocument/2006/relationships/oleObject" Target="https://tcwintune-my.sharepoint.com/personal/elle_williams_ttcg_co_uk/Documents/Documents/CIPD/task%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elle.williams\AppData\Local\Microsoft\Windows\INetCache\Content.Outlook\K0X5VZ9I\Worksheet%20in%20Evidence-based%20practice%20Assignment%20Brief.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elle.williams\AppData\Local\Microsoft\Windows\INetCache\Content.Outlook\K0X5VZ9I\Worksheet%20in%20Evidence-based%20practice%20Assignment%20Brief.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elle.williams\AppData\Local\Microsoft\Windows\INetCache\Content.Outlook\K0X5VZ9I\Worksheet%20in%20Evidence-based%20practice%20Assignment%20Brief.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elle.williams\AppData\Local\Microsoft\Windows\INetCache\Content.Outlook\K0X5VZ9I\Worksheet%20in%20Evidence-based%20practice%20Assignment%20Brief.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tcwintune-my.sharepoint.com/personal/elle_williams_ttcg_co_uk/Documents/Documents/CIPD/task%201.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[task 1.xlsx]Sheet3!PivotTable3</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Percentage</a:t>
            </a:r>
            <a:r>
              <a:rPr lang="en-GB" baseline="0"/>
              <a:t> of Each Gender by Type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4"/>
          </a:solidFill>
          <a:ln w="19050">
            <a:solidFill>
              <a:schemeClr val="lt1"/>
            </a:solidFill>
          </a:ln>
          <a:effectLst/>
        </c:spP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3"/>
        <c:spPr>
          <a:solidFill>
            <a:schemeClr val="accent1"/>
          </a:solidFill>
          <a:ln w="19050">
            <a:solidFill>
              <a:schemeClr val="lt1"/>
            </a:solidFill>
          </a:ln>
          <a:effectLst/>
        </c:spPr>
      </c:pivotFmt>
      <c:pivotFmt>
        <c:idx val="4"/>
        <c:spPr>
          <a:solidFill>
            <a:schemeClr val="accent1"/>
          </a:solidFill>
          <a:ln w="19050">
            <a:solidFill>
              <a:schemeClr val="lt1"/>
            </a:solidFill>
          </a:ln>
          <a:effectLst/>
        </c:spPr>
      </c:pivotFmt>
      <c:pivotFmt>
        <c:idx val="5"/>
        <c:spPr>
          <a:solidFill>
            <a:schemeClr val="accent1"/>
          </a:solidFill>
          <a:ln w="19050">
            <a:solidFill>
              <a:schemeClr val="lt1"/>
            </a:solidFill>
          </a:ln>
          <a:effectLst/>
        </c:spPr>
      </c:pivotFmt>
      <c:pivotFmt>
        <c:idx val="6"/>
        <c:spPr>
          <a:solidFill>
            <a:schemeClr val="accent1"/>
          </a:solidFill>
          <a:ln w="19050">
            <a:solidFill>
              <a:schemeClr val="lt1"/>
            </a:solidFill>
          </a:ln>
          <a:effectLst/>
        </c:spP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8"/>
        <c:spPr>
          <a:solidFill>
            <a:schemeClr val="accent1"/>
          </a:solidFill>
          <a:ln w="19050">
            <a:solidFill>
              <a:schemeClr val="lt1"/>
            </a:solidFill>
          </a:ln>
          <a:effectLst/>
        </c:spPr>
      </c:pivotFmt>
      <c:pivotFmt>
        <c:idx val="9"/>
        <c:spPr>
          <a:solidFill>
            <a:schemeClr val="accent1"/>
          </a:solidFill>
          <a:ln w="19050">
            <a:solidFill>
              <a:schemeClr val="lt1"/>
            </a:solidFill>
          </a:ln>
          <a:effectLst/>
        </c:spPr>
      </c:pivotFmt>
      <c:pivotFmt>
        <c:idx val="10"/>
        <c:spPr>
          <a:solidFill>
            <a:schemeClr val="accent1"/>
          </a:solidFill>
          <a:ln w="19050">
            <a:solidFill>
              <a:schemeClr val="lt1"/>
            </a:solidFill>
          </a:ln>
          <a:effectLst/>
        </c:spPr>
      </c:pivotFmt>
      <c:pivotFmt>
        <c:idx val="11"/>
        <c:spPr>
          <a:solidFill>
            <a:schemeClr val="accent1"/>
          </a:solidFill>
          <a:ln w="19050">
            <a:solidFill>
              <a:schemeClr val="lt1"/>
            </a:solidFill>
          </a:ln>
          <a:effectLst/>
        </c:spP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manualLayout>
          <c:layoutTarget val="inner"/>
          <c:xMode val="edge"/>
          <c:yMode val="edge"/>
          <c:x val="0.31953903113104237"/>
          <c:y val="0.24055263925342665"/>
          <c:w val="0.35362094638832398"/>
          <c:h val="0.66745953630796151"/>
        </c:manualLayout>
      </c:layout>
      <c:pieChart>
        <c:varyColors val="1"/>
        <c:ser>
          <c:idx val="0"/>
          <c:order val="0"/>
          <c:tx>
            <c:strRef>
              <c:f>Sheet3!$B$3</c:f>
              <c:strCache>
                <c:ptCount val="1"/>
                <c:pt idx="0">
                  <c:v>Total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89D-409B-AB67-451B6204DBB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89D-409B-AB67-451B6204DBB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89D-409B-AB67-451B6204DBB4}"/>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A89D-409B-AB67-451B6204DBB4}"/>
              </c:ext>
            </c:extLst>
          </c:dPt>
          <c:dLbls>
            <c:dLbl>
              <c:idx val="3"/>
              <c:delete val="1"/>
              <c:extLst>
                <c:ext xmlns:c15="http://schemas.microsoft.com/office/drawing/2012/chart" uri="{CE6537A1-D6FC-4f65-9D91-7224C49458BB}"/>
                <c:ext xmlns:c16="http://schemas.microsoft.com/office/drawing/2014/chart" uri="{C3380CC4-5D6E-409C-BE32-E72D297353CC}">
                  <c16:uniqueId val="{00000007-A89D-409B-AB67-451B6204DBB4}"/>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Sheet3!$A$4:$A$8</c:f>
              <c:strCache>
                <c:ptCount val="4"/>
                <c:pt idx="0">
                  <c:v>Female</c:v>
                </c:pt>
                <c:pt idx="1">
                  <c:v>Male</c:v>
                </c:pt>
                <c:pt idx="2">
                  <c:v>Non-binary</c:v>
                </c:pt>
                <c:pt idx="3">
                  <c:v>(blank)</c:v>
                </c:pt>
              </c:strCache>
            </c:strRef>
          </c:cat>
          <c:val>
            <c:numRef>
              <c:f>Sheet3!$B$4:$B$8</c:f>
              <c:numCache>
                <c:formatCode>0.00%</c:formatCode>
                <c:ptCount val="4"/>
                <c:pt idx="0">
                  <c:v>0.45384615384615384</c:v>
                </c:pt>
                <c:pt idx="1">
                  <c:v>0.53846153846153844</c:v>
                </c:pt>
                <c:pt idx="2">
                  <c:v>7.6923076923076927E-3</c:v>
                </c:pt>
                <c:pt idx="3">
                  <c:v>0</c:v>
                </c:pt>
              </c:numCache>
            </c:numRef>
          </c:val>
          <c:extLst>
            <c:ext xmlns:c16="http://schemas.microsoft.com/office/drawing/2014/chart" uri="{C3380CC4-5D6E-409C-BE32-E72D297353CC}">
              <c16:uniqueId val="{00000008-A89D-409B-AB67-451B6204DBB4}"/>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r"/>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[Worksheet in Evidence-based practice Assignment Brief.xlsx]q2!PivotTable1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Ethnicity as a Percentage per Team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
        <c:idx val="3"/>
        <c:spPr>
          <a:solidFill>
            <a:schemeClr val="accent1"/>
          </a:solidFill>
          <a:ln>
            <a:noFill/>
          </a:ln>
          <a:effectLst/>
        </c:spPr>
        <c:marker>
          <c:symbol val="none"/>
        </c:marker>
      </c:pivotFmt>
      <c:pivotFmt>
        <c:idx val="4"/>
        <c:spPr>
          <a:solidFill>
            <a:schemeClr val="accent1"/>
          </a:solidFill>
          <a:ln>
            <a:noFill/>
          </a:ln>
          <a:effectLst/>
        </c:spPr>
        <c:marker>
          <c:symbol val="none"/>
        </c:marker>
      </c:pivotFmt>
      <c:pivotFmt>
        <c:idx val="5"/>
        <c:spPr>
          <a:solidFill>
            <a:schemeClr val="accent1"/>
          </a:solidFill>
          <a:ln>
            <a:noFill/>
          </a:ln>
          <a:effectLst/>
        </c:spPr>
        <c:marker>
          <c:symbol val="none"/>
        </c:marker>
      </c:pivotFmt>
      <c:pivotFmt>
        <c:idx val="6"/>
        <c:spPr>
          <a:solidFill>
            <a:schemeClr val="accent1"/>
          </a:solidFill>
          <a:ln>
            <a:noFill/>
          </a:ln>
          <a:effectLst/>
        </c:spPr>
        <c:marker>
          <c:symbol val="none"/>
        </c:marker>
      </c:pivotFmt>
      <c:pivotFmt>
        <c:idx val="7"/>
        <c:spPr>
          <a:solidFill>
            <a:schemeClr val="accent1"/>
          </a:solidFill>
          <a:ln>
            <a:noFill/>
          </a:ln>
          <a:effectLst/>
        </c:spPr>
        <c:marker>
          <c:symbol val="none"/>
        </c:marker>
      </c:pivotFmt>
      <c:pivotFmt>
        <c:idx val="8"/>
        <c:spPr>
          <a:solidFill>
            <a:schemeClr val="accent1"/>
          </a:solidFill>
          <a:ln>
            <a:noFill/>
          </a:ln>
          <a:effectLst/>
        </c:spPr>
        <c:marker>
          <c:symbol val="none"/>
        </c:marker>
      </c:pivotFmt>
      <c:pivotFmt>
        <c:idx val="9"/>
        <c:spPr>
          <a:solidFill>
            <a:schemeClr val="accent1"/>
          </a:solidFill>
          <a:ln>
            <a:noFill/>
          </a:ln>
          <a:effectLst/>
        </c:spPr>
        <c:marker>
          <c:symbol val="none"/>
        </c:marker>
      </c:pivotFmt>
      <c:pivotFmt>
        <c:idx val="1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stacked"/>
        <c:varyColors val="0"/>
        <c:ser>
          <c:idx val="0"/>
          <c:order val="0"/>
          <c:tx>
            <c:strRef>
              <c:f>'q2'!$B$3:$B$4</c:f>
              <c:strCache>
                <c:ptCount val="1"/>
                <c:pt idx="0">
                  <c:v>Asian - Bangladesh</c:v>
                </c:pt>
              </c:strCache>
            </c:strRef>
          </c:tx>
          <c:spPr>
            <a:solidFill>
              <a:schemeClr val="accent1"/>
            </a:solidFill>
            <a:ln>
              <a:noFill/>
            </a:ln>
            <a:effectLst/>
          </c:spPr>
          <c:invertIfNegative val="0"/>
          <c:cat>
            <c:strRef>
              <c:f>'q2'!$A$5:$A$23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'q2'!$B$5:$B$23</c:f>
              <c:numCache>
                <c:formatCode>0.00%</c:formatCode>
                <c:ptCount val="18"/>
                <c:pt idx="0">
                  <c:v>0</c:v>
                </c:pt>
                <c:pt idx="1">
                  <c:v>0</c:v>
                </c:pt>
                <c:pt idx="2">
                  <c:v>0</c:v>
                </c:pt>
                <c:pt idx="3">
                  <c:v>0</c:v>
                </c:pt>
                <c:pt idx="4">
                  <c:v>0</c:v>
                </c:pt>
                <c:pt idx="5">
                  <c:v>0</c:v>
                </c:pt>
                <c:pt idx="6">
                  <c:v>0</c:v>
                </c:pt>
                <c:pt idx="7">
                  <c:v>0</c:v>
                </c:pt>
                <c:pt idx="8">
                  <c:v>5.5938697318007664E-2</c:v>
                </c:pt>
                <c:pt idx="9">
                  <c:v>0</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0-95C9-40AE-8B50-5B0443B7397F}"/>
            </c:ext>
          </c:extLst>
        </c:ser>
        <c:ser>
          <c:idx val="1"/>
          <c:order val="1"/>
          <c:tx>
            <c:strRef>
              <c:f>'q2'!$C$3:$C$4</c:f>
              <c:strCache>
                <c:ptCount val="1"/>
                <c:pt idx="0">
                  <c:v>Black - Other</c:v>
                </c:pt>
              </c:strCache>
            </c:strRef>
          </c:tx>
          <c:spPr>
            <a:solidFill>
              <a:schemeClr val="accent2"/>
            </a:solidFill>
            <a:ln>
              <a:noFill/>
            </a:ln>
            <a:effectLst/>
          </c:spPr>
          <c:invertIfNegative val="0"/>
          <c:cat>
            <c:strRef>
              <c:f>'q2'!$A$5:$A$23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'q2'!$C$5:$C$23</c:f>
              <c:numCache>
                <c:formatCode>0.00%</c:formatCode>
                <c:ptCount val="18"/>
                <c:pt idx="0">
                  <c:v>0</c:v>
                </c:pt>
                <c:pt idx="1">
                  <c:v>0</c:v>
                </c:pt>
                <c:pt idx="2">
                  <c:v>0</c:v>
                </c:pt>
                <c:pt idx="3">
                  <c:v>0</c:v>
                </c:pt>
                <c:pt idx="4">
                  <c:v>0</c:v>
                </c:pt>
                <c:pt idx="5">
                  <c:v>0.10804597701149425</c:v>
                </c:pt>
                <c:pt idx="6">
                  <c:v>0</c:v>
                </c:pt>
                <c:pt idx="7">
                  <c:v>0</c:v>
                </c:pt>
                <c:pt idx="8">
                  <c:v>0</c:v>
                </c:pt>
                <c:pt idx="9">
                  <c:v>0</c:v>
                </c:pt>
                <c:pt idx="10">
                  <c:v>0.10793650793650794</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1-95C9-40AE-8B50-5B0443B7397F}"/>
            </c:ext>
          </c:extLst>
        </c:ser>
        <c:ser>
          <c:idx val="2"/>
          <c:order val="2"/>
          <c:tx>
            <c:strRef>
              <c:f>'q2'!$D$3:$D$4</c:f>
              <c:strCache>
                <c:ptCount val="1"/>
                <c:pt idx="0">
                  <c:v>Chinese</c:v>
                </c:pt>
              </c:strCache>
            </c:strRef>
          </c:tx>
          <c:spPr>
            <a:solidFill>
              <a:schemeClr val="accent3"/>
            </a:solidFill>
            <a:ln>
              <a:noFill/>
            </a:ln>
            <a:effectLst/>
          </c:spPr>
          <c:invertIfNegative val="0"/>
          <c:cat>
            <c:strRef>
              <c:f>'q2'!$A$5:$A$23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'q2'!$D$5:$D$23</c:f>
              <c:numCache>
                <c:formatCode>0.00%</c:formatCode>
                <c:ptCount val="18"/>
                <c:pt idx="0">
                  <c:v>0</c:v>
                </c:pt>
                <c:pt idx="1">
                  <c:v>0</c:v>
                </c:pt>
                <c:pt idx="2">
                  <c:v>0.05</c:v>
                </c:pt>
                <c:pt idx="3">
                  <c:v>0</c:v>
                </c:pt>
                <c:pt idx="4">
                  <c:v>0</c:v>
                </c:pt>
                <c:pt idx="5">
                  <c:v>0</c:v>
                </c:pt>
                <c:pt idx="6">
                  <c:v>0</c:v>
                </c:pt>
                <c:pt idx="7">
                  <c:v>0</c:v>
                </c:pt>
                <c:pt idx="8">
                  <c:v>0</c:v>
                </c:pt>
                <c:pt idx="9">
                  <c:v>0</c:v>
                </c:pt>
                <c:pt idx="10">
                  <c:v>0</c:v>
                </c:pt>
                <c:pt idx="11">
                  <c:v>0</c:v>
                </c:pt>
                <c:pt idx="12">
                  <c:v>0</c:v>
                </c:pt>
                <c:pt idx="13">
                  <c:v>9.2318534178999295E-2</c:v>
                </c:pt>
                <c:pt idx="14">
                  <c:v>0</c:v>
                </c:pt>
                <c:pt idx="15">
                  <c:v>0</c:v>
                </c:pt>
                <c:pt idx="16">
                  <c:v>0</c:v>
                </c:pt>
                <c:pt idx="17">
                  <c:v>0</c:v>
                </c:pt>
              </c:numCache>
            </c:numRef>
          </c:val>
          <c:extLst>
            <c:ext xmlns:c16="http://schemas.microsoft.com/office/drawing/2014/chart" uri="{C3380CC4-5D6E-409C-BE32-E72D297353CC}">
              <c16:uniqueId val="{00000002-95C9-40AE-8B50-5B0443B7397F}"/>
            </c:ext>
          </c:extLst>
        </c:ser>
        <c:ser>
          <c:idx val="3"/>
          <c:order val="3"/>
          <c:tx>
            <c:strRef>
              <c:f>'q2'!$E$3:$E$4</c:f>
              <c:strCache>
                <c:ptCount val="1"/>
                <c:pt idx="0">
                  <c:v>Indian</c:v>
                </c:pt>
              </c:strCache>
            </c:strRef>
          </c:tx>
          <c:spPr>
            <a:solidFill>
              <a:schemeClr val="accent4"/>
            </a:solidFill>
            <a:ln>
              <a:noFill/>
            </a:ln>
            <a:effectLst/>
          </c:spPr>
          <c:invertIfNegative val="0"/>
          <c:cat>
            <c:strRef>
              <c:f>'q2'!$A$5:$A$23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'q2'!$E$5:$E$23</c:f>
              <c:numCache>
                <c:formatCode>0.00%</c:formatCode>
                <c:ptCount val="18"/>
                <c:pt idx="0">
                  <c:v>0</c:v>
                </c:pt>
                <c:pt idx="1">
                  <c:v>0.15384615384615385</c:v>
                </c:pt>
                <c:pt idx="2">
                  <c:v>0</c:v>
                </c:pt>
                <c:pt idx="3">
                  <c:v>0.20588235294117646</c:v>
                </c:pt>
                <c:pt idx="4">
                  <c:v>0</c:v>
                </c:pt>
                <c:pt idx="5">
                  <c:v>9.1954022988505746E-2</c:v>
                </c:pt>
                <c:pt idx="6">
                  <c:v>0.33333333333333331</c:v>
                </c:pt>
                <c:pt idx="7">
                  <c:v>0</c:v>
                </c:pt>
                <c:pt idx="8">
                  <c:v>0</c:v>
                </c:pt>
                <c:pt idx="9">
                  <c:v>0</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3-95C9-40AE-8B50-5B0443B7397F}"/>
            </c:ext>
          </c:extLst>
        </c:ser>
        <c:ser>
          <c:idx val="4"/>
          <c:order val="4"/>
          <c:tx>
            <c:strRef>
              <c:f>'q2'!$F$3:$F$4</c:f>
              <c:strCache>
                <c:ptCount val="1"/>
                <c:pt idx="0">
                  <c:v>Mixed - Other</c:v>
                </c:pt>
              </c:strCache>
            </c:strRef>
          </c:tx>
          <c:spPr>
            <a:solidFill>
              <a:schemeClr val="accent5"/>
            </a:solidFill>
            <a:ln>
              <a:noFill/>
            </a:ln>
            <a:effectLst/>
          </c:spPr>
          <c:invertIfNegative val="0"/>
          <c:cat>
            <c:strRef>
              <c:f>'q2'!$A$5:$A$23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'q2'!$F$5:$F$23</c:f>
              <c:numCache>
                <c:formatCode>0.00%</c:formatCode>
                <c:ptCount val="18"/>
                <c:pt idx="0">
                  <c:v>0</c:v>
                </c:pt>
                <c:pt idx="1">
                  <c:v>0.16483516483516483</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4-95C9-40AE-8B50-5B0443B7397F}"/>
            </c:ext>
          </c:extLst>
        </c:ser>
        <c:ser>
          <c:idx val="5"/>
          <c:order val="5"/>
          <c:tx>
            <c:strRef>
              <c:f>'q2'!$G$3:$G$4</c:f>
              <c:strCache>
                <c:ptCount val="1"/>
                <c:pt idx="0">
                  <c:v>Pakistani</c:v>
                </c:pt>
              </c:strCache>
            </c:strRef>
          </c:tx>
          <c:spPr>
            <a:solidFill>
              <a:schemeClr val="accent6"/>
            </a:solidFill>
            <a:ln>
              <a:noFill/>
            </a:ln>
            <a:effectLst/>
          </c:spPr>
          <c:invertIfNegative val="0"/>
          <c:cat>
            <c:strRef>
              <c:f>'q2'!$A$5:$A$23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'q2'!$G$5:$G$23</c:f>
              <c:numCache>
                <c:formatCode>0.00%</c:formatCode>
                <c:ptCount val="18"/>
                <c:pt idx="0">
                  <c:v>0</c:v>
                </c:pt>
                <c:pt idx="1">
                  <c:v>0</c:v>
                </c:pt>
                <c:pt idx="2">
                  <c:v>0.10833333333333334</c:v>
                </c:pt>
                <c:pt idx="3">
                  <c:v>0</c:v>
                </c:pt>
                <c:pt idx="4">
                  <c:v>0</c:v>
                </c:pt>
                <c:pt idx="5">
                  <c:v>0</c:v>
                </c:pt>
                <c:pt idx="6">
                  <c:v>0</c:v>
                </c:pt>
                <c:pt idx="7">
                  <c:v>0</c:v>
                </c:pt>
                <c:pt idx="8">
                  <c:v>0</c:v>
                </c:pt>
                <c:pt idx="9">
                  <c:v>0</c:v>
                </c:pt>
                <c:pt idx="10">
                  <c:v>0</c:v>
                </c:pt>
                <c:pt idx="11">
                  <c:v>0</c:v>
                </c:pt>
                <c:pt idx="12">
                  <c:v>0</c:v>
                </c:pt>
                <c:pt idx="13">
                  <c:v>0</c:v>
                </c:pt>
                <c:pt idx="14">
                  <c:v>8.124725516029864E-3</c:v>
                </c:pt>
                <c:pt idx="15">
                  <c:v>0</c:v>
                </c:pt>
                <c:pt idx="16">
                  <c:v>0</c:v>
                </c:pt>
                <c:pt idx="17">
                  <c:v>0</c:v>
                </c:pt>
              </c:numCache>
            </c:numRef>
          </c:val>
          <c:extLst>
            <c:ext xmlns:c16="http://schemas.microsoft.com/office/drawing/2014/chart" uri="{C3380CC4-5D6E-409C-BE32-E72D297353CC}">
              <c16:uniqueId val="{00000005-95C9-40AE-8B50-5B0443B7397F}"/>
            </c:ext>
          </c:extLst>
        </c:ser>
        <c:ser>
          <c:idx val="6"/>
          <c:order val="6"/>
          <c:tx>
            <c:strRef>
              <c:f>'q2'!$H$3:$H$4</c:f>
              <c:strCache>
                <c:ptCount val="1"/>
                <c:pt idx="0">
                  <c:v>White and Black Caribbean</c:v>
                </c:pt>
              </c:strCache>
            </c:strRef>
          </c:tx>
          <c:spPr>
            <a:solidFill>
              <a:schemeClr val="accent1">
                <a:lumMod val="60000"/>
              </a:schemeClr>
            </a:solidFill>
            <a:ln>
              <a:noFill/>
            </a:ln>
            <a:effectLst/>
          </c:spPr>
          <c:invertIfNegative val="0"/>
          <c:cat>
            <c:strRef>
              <c:f>'q2'!$A$5:$A$23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'q2'!$H$5:$H$23</c:f>
              <c:numCache>
                <c:formatCode>0.00%</c:formatCode>
                <c:ptCount val="18"/>
                <c:pt idx="0">
                  <c:v>0</c:v>
                </c:pt>
                <c:pt idx="1">
                  <c:v>0.12087912087912088</c:v>
                </c:pt>
                <c:pt idx="2">
                  <c:v>0</c:v>
                </c:pt>
                <c:pt idx="3">
                  <c:v>0</c:v>
                </c:pt>
                <c:pt idx="4">
                  <c:v>0</c:v>
                </c:pt>
                <c:pt idx="5">
                  <c:v>0</c:v>
                </c:pt>
                <c:pt idx="6">
                  <c:v>0</c:v>
                </c:pt>
                <c:pt idx="7">
                  <c:v>0</c:v>
                </c:pt>
                <c:pt idx="8">
                  <c:v>5.6704980842911874E-2</c:v>
                </c:pt>
                <c:pt idx="9">
                  <c:v>0</c:v>
                </c:pt>
                <c:pt idx="10">
                  <c:v>0</c:v>
                </c:pt>
                <c:pt idx="11">
                  <c:v>0</c:v>
                </c:pt>
                <c:pt idx="12">
                  <c:v>0</c:v>
                </c:pt>
                <c:pt idx="13">
                  <c:v>0</c:v>
                </c:pt>
                <c:pt idx="14">
                  <c:v>0</c:v>
                </c:pt>
                <c:pt idx="15">
                  <c:v>0</c:v>
                </c:pt>
                <c:pt idx="16">
                  <c:v>8.9046199701937404E-2</c:v>
                </c:pt>
                <c:pt idx="17">
                  <c:v>0</c:v>
                </c:pt>
              </c:numCache>
            </c:numRef>
          </c:val>
          <c:extLst>
            <c:ext xmlns:c16="http://schemas.microsoft.com/office/drawing/2014/chart" uri="{C3380CC4-5D6E-409C-BE32-E72D297353CC}">
              <c16:uniqueId val="{00000006-95C9-40AE-8B50-5B0443B7397F}"/>
            </c:ext>
          </c:extLst>
        </c:ser>
        <c:ser>
          <c:idx val="7"/>
          <c:order val="7"/>
          <c:tx>
            <c:strRef>
              <c:f>'q2'!$I$3:$I$4</c:f>
              <c:strCache>
                <c:ptCount val="1"/>
                <c:pt idx="0">
                  <c:v>White British</c:v>
                </c:pt>
              </c:strCache>
            </c:strRef>
          </c:tx>
          <c:spPr>
            <a:solidFill>
              <a:schemeClr val="accent2">
                <a:lumMod val="60000"/>
              </a:schemeClr>
            </a:solidFill>
            <a:ln>
              <a:noFill/>
            </a:ln>
            <a:effectLst/>
          </c:spPr>
          <c:invertIfNegative val="0"/>
          <c:cat>
            <c:strRef>
              <c:f>'q2'!$A$5:$A$23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'q2'!$I$5:$I$23</c:f>
              <c:numCache>
                <c:formatCode>0.00%</c:formatCode>
                <c:ptCount val="18"/>
                <c:pt idx="0">
                  <c:v>0.73333333333333328</c:v>
                </c:pt>
                <c:pt idx="1">
                  <c:v>0.56043956043956045</c:v>
                </c:pt>
                <c:pt idx="2">
                  <c:v>0.84166666666666667</c:v>
                </c:pt>
                <c:pt idx="3">
                  <c:v>0.79411764705882348</c:v>
                </c:pt>
                <c:pt idx="4">
                  <c:v>1</c:v>
                </c:pt>
                <c:pt idx="5">
                  <c:v>0.8</c:v>
                </c:pt>
                <c:pt idx="6">
                  <c:v>0.66666666666666663</c:v>
                </c:pt>
                <c:pt idx="7">
                  <c:v>0.91014492753623188</c:v>
                </c:pt>
                <c:pt idx="8">
                  <c:v>0.88735632183908042</c:v>
                </c:pt>
                <c:pt idx="9">
                  <c:v>0.89415847310584151</c:v>
                </c:pt>
                <c:pt idx="10">
                  <c:v>0.89206349206349211</c:v>
                </c:pt>
                <c:pt idx="11">
                  <c:v>1</c:v>
                </c:pt>
                <c:pt idx="12">
                  <c:v>1</c:v>
                </c:pt>
                <c:pt idx="13">
                  <c:v>0.90768146582100073</c:v>
                </c:pt>
                <c:pt idx="14">
                  <c:v>0.99187527448397017</c:v>
                </c:pt>
                <c:pt idx="15">
                  <c:v>1</c:v>
                </c:pt>
                <c:pt idx="16">
                  <c:v>0.91095380029806261</c:v>
                </c:pt>
                <c:pt idx="17">
                  <c:v>0.81818181818181823</c:v>
                </c:pt>
              </c:numCache>
            </c:numRef>
          </c:val>
          <c:extLst>
            <c:ext xmlns:c16="http://schemas.microsoft.com/office/drawing/2014/chart" uri="{C3380CC4-5D6E-409C-BE32-E72D297353CC}">
              <c16:uniqueId val="{00000007-95C9-40AE-8B50-5B0443B7397F}"/>
            </c:ext>
          </c:extLst>
        </c:ser>
        <c:ser>
          <c:idx val="8"/>
          <c:order val="8"/>
          <c:tx>
            <c:strRef>
              <c:f>'q2'!$J$3:$J$4</c:f>
              <c:strCache>
                <c:ptCount val="1"/>
                <c:pt idx="0">
                  <c:v>White Irish</c:v>
                </c:pt>
              </c:strCache>
            </c:strRef>
          </c:tx>
          <c:spPr>
            <a:solidFill>
              <a:schemeClr val="accent3">
                <a:lumMod val="60000"/>
              </a:schemeClr>
            </a:solidFill>
            <a:ln>
              <a:noFill/>
            </a:ln>
            <a:effectLst/>
          </c:spPr>
          <c:invertIfNegative val="0"/>
          <c:cat>
            <c:strRef>
              <c:f>'q2'!$A$5:$A$23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'q2'!$J$5:$J$23</c:f>
              <c:numCache>
                <c:formatCode>0.00%</c:formatCode>
                <c:ptCount val="18"/>
                <c:pt idx="0">
                  <c:v>0.2</c:v>
                </c:pt>
                <c:pt idx="1">
                  <c:v>0</c:v>
                </c:pt>
                <c:pt idx="2">
                  <c:v>0</c:v>
                </c:pt>
                <c:pt idx="3">
                  <c:v>0</c:v>
                </c:pt>
                <c:pt idx="4">
                  <c:v>0</c:v>
                </c:pt>
                <c:pt idx="5">
                  <c:v>0</c:v>
                </c:pt>
                <c:pt idx="6">
                  <c:v>0</c:v>
                </c:pt>
                <c:pt idx="7">
                  <c:v>0</c:v>
                </c:pt>
                <c:pt idx="8">
                  <c:v>0</c:v>
                </c:pt>
                <c:pt idx="9">
                  <c:v>4.9739733950260268E-2</c:v>
                </c:pt>
                <c:pt idx="10">
                  <c:v>0</c:v>
                </c:pt>
                <c:pt idx="11">
                  <c:v>0</c:v>
                </c:pt>
                <c:pt idx="12">
                  <c:v>0</c:v>
                </c:pt>
                <c:pt idx="13">
                  <c:v>0</c:v>
                </c:pt>
                <c:pt idx="14">
                  <c:v>0</c:v>
                </c:pt>
                <c:pt idx="15">
                  <c:v>0</c:v>
                </c:pt>
                <c:pt idx="16">
                  <c:v>0</c:v>
                </c:pt>
                <c:pt idx="17">
                  <c:v>0</c:v>
                </c:pt>
              </c:numCache>
            </c:numRef>
          </c:val>
          <c:extLst>
            <c:ext xmlns:c16="http://schemas.microsoft.com/office/drawing/2014/chart" uri="{C3380CC4-5D6E-409C-BE32-E72D297353CC}">
              <c16:uniqueId val="{00000008-95C9-40AE-8B50-5B0443B7397F}"/>
            </c:ext>
          </c:extLst>
        </c:ser>
        <c:ser>
          <c:idx val="9"/>
          <c:order val="9"/>
          <c:tx>
            <c:strRef>
              <c:f>'q2'!$K$3:$K$4</c:f>
              <c:strCache>
                <c:ptCount val="1"/>
                <c:pt idx="0">
                  <c:v>White Other</c:v>
                </c:pt>
              </c:strCache>
            </c:strRef>
          </c:tx>
          <c:spPr>
            <a:solidFill>
              <a:schemeClr val="accent4">
                <a:lumMod val="60000"/>
              </a:schemeClr>
            </a:solidFill>
            <a:ln>
              <a:noFill/>
            </a:ln>
            <a:effectLst/>
          </c:spPr>
          <c:invertIfNegative val="0"/>
          <c:cat>
            <c:strRef>
              <c:f>'q2'!$A$5:$A$23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'q2'!$K$5:$K$23</c:f>
              <c:numCache>
                <c:formatCode>0.00%</c:formatCode>
                <c:ptCount val="18"/>
                <c:pt idx="0">
                  <c:v>6.6666666666666666E-2</c:v>
                </c:pt>
                <c:pt idx="1">
                  <c:v>0</c:v>
                </c:pt>
                <c:pt idx="2">
                  <c:v>0</c:v>
                </c:pt>
                <c:pt idx="3">
                  <c:v>0</c:v>
                </c:pt>
                <c:pt idx="4">
                  <c:v>0</c:v>
                </c:pt>
                <c:pt idx="5">
                  <c:v>0</c:v>
                </c:pt>
                <c:pt idx="6">
                  <c:v>0</c:v>
                </c:pt>
                <c:pt idx="7">
                  <c:v>8.9855072463768115E-2</c:v>
                </c:pt>
                <c:pt idx="8">
                  <c:v>0</c:v>
                </c:pt>
                <c:pt idx="9">
                  <c:v>5.6101792943898207E-2</c:v>
                </c:pt>
                <c:pt idx="10">
                  <c:v>0</c:v>
                </c:pt>
                <c:pt idx="11">
                  <c:v>0</c:v>
                </c:pt>
                <c:pt idx="12">
                  <c:v>0</c:v>
                </c:pt>
                <c:pt idx="13">
                  <c:v>0</c:v>
                </c:pt>
                <c:pt idx="14">
                  <c:v>0</c:v>
                </c:pt>
                <c:pt idx="15">
                  <c:v>0</c:v>
                </c:pt>
                <c:pt idx="16">
                  <c:v>0</c:v>
                </c:pt>
                <c:pt idx="17">
                  <c:v>0.18181818181818182</c:v>
                </c:pt>
              </c:numCache>
            </c:numRef>
          </c:val>
          <c:extLst>
            <c:ext xmlns:c16="http://schemas.microsoft.com/office/drawing/2014/chart" uri="{C3380CC4-5D6E-409C-BE32-E72D297353CC}">
              <c16:uniqueId val="{00000009-95C9-40AE-8B50-5B0443B7397F}"/>
            </c:ext>
          </c:extLst>
        </c:ser>
        <c:dLbls>
          <c:showLegendKey val="0"/>
          <c:showVal val="0"/>
          <c:showCatName val="0"/>
          <c:showSerName val="0"/>
          <c:showPercent val="0"/>
          <c:showBubbleSize val="0"/>
        </c:dLbls>
        <c:gapWidth val="150"/>
        <c:overlap val="100"/>
        <c:axId val="1917376159"/>
        <c:axId val="2011327263"/>
      </c:barChart>
      <c:catAx>
        <c:axId val="191737615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11327263"/>
        <c:crosses val="autoZero"/>
        <c:auto val="1"/>
        <c:lblAlgn val="ctr"/>
        <c:lblOffset val="100"/>
        <c:noMultiLvlLbl val="0"/>
      </c:catAx>
      <c:valAx>
        <c:axId val="2011327263"/>
        <c:scaling>
          <c:orientation val="minMax"/>
        </c:scaling>
        <c:delete val="1"/>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crossAx val="1917376159"/>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Disability</a:t>
            </a:r>
            <a:r>
              <a:rPr lang="en-GB" baseline="0"/>
              <a:t> as Percentage of Organisation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201-47BE-9A90-2B656EE8193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201-47BE-9A90-2B656EE8193E}"/>
              </c:ext>
            </c:extLst>
          </c:dPt>
          <c:dLbls>
            <c:dLbl>
              <c:idx val="1"/>
              <c:layout>
                <c:manualLayout>
                  <c:x val="-0.14917562764168049"/>
                  <c:y val="-0.13761446485855935"/>
                </c:manualLayout>
              </c:layout>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6201-47BE-9A90-2B656EE8193E}"/>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'q3'!$F$2:$G$2</c:f>
              <c:strCache>
                <c:ptCount val="2"/>
                <c:pt idx="0">
                  <c:v>Disabled</c:v>
                </c:pt>
                <c:pt idx="1">
                  <c:v>Not disabled</c:v>
                </c:pt>
              </c:strCache>
            </c:strRef>
          </c:cat>
          <c:val>
            <c:numRef>
              <c:f>'q3'!$F$3:$G$3</c:f>
              <c:numCache>
                <c:formatCode>0.00%</c:formatCode>
                <c:ptCount val="2"/>
                <c:pt idx="0">
                  <c:v>6.13E-2</c:v>
                </c:pt>
                <c:pt idx="1">
                  <c:v>0.93869999999999998</c:v>
                </c:pt>
              </c:numCache>
            </c:numRef>
          </c:val>
          <c:extLst>
            <c:ext xmlns:c16="http://schemas.microsoft.com/office/drawing/2014/chart" uri="{C3380CC4-5D6E-409C-BE32-E72D297353CC}">
              <c16:uniqueId val="{00000004-6201-47BE-9A90-2B656EE8193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[Worksheet in Evidence-based practice Assignment Brief.xlsx]q3!PivotTable2</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Disabilty as a Percentage by Team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stacked"/>
        <c:varyColors val="0"/>
        <c:ser>
          <c:idx val="0"/>
          <c:order val="0"/>
          <c:tx>
            <c:strRef>
              <c:f>'q3'!$B$3:$B$4</c:f>
              <c:strCache>
                <c:ptCount val="1"/>
                <c:pt idx="0">
                  <c:v>Disabled</c:v>
                </c:pt>
              </c:strCache>
            </c:strRef>
          </c:tx>
          <c:spPr>
            <a:solidFill>
              <a:schemeClr val="accent1"/>
            </a:solidFill>
            <a:ln>
              <a:noFill/>
            </a:ln>
            <a:effectLst/>
          </c:spPr>
          <c:invertIfNegative val="0"/>
          <c:cat>
            <c:strRef>
              <c:f>'q3'!$A$5:$A$23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'q3'!$B$5:$B$23</c:f>
              <c:numCache>
                <c:formatCode>0.00%</c:formatCode>
                <c:ptCount val="18"/>
                <c:pt idx="0">
                  <c:v>0</c:v>
                </c:pt>
                <c:pt idx="1">
                  <c:v>0.16483516483516483</c:v>
                </c:pt>
                <c:pt idx="2">
                  <c:v>0.19166666666666668</c:v>
                </c:pt>
                <c:pt idx="3">
                  <c:v>0</c:v>
                </c:pt>
                <c:pt idx="4">
                  <c:v>0</c:v>
                </c:pt>
                <c:pt idx="5">
                  <c:v>0.20689655172413793</c:v>
                </c:pt>
                <c:pt idx="6">
                  <c:v>0</c:v>
                </c:pt>
                <c:pt idx="7">
                  <c:v>8.6956521739130432E-2</c:v>
                </c:pt>
                <c:pt idx="8">
                  <c:v>0.12183908045977011</c:v>
                </c:pt>
                <c:pt idx="9">
                  <c:v>5.6680161943319839E-2</c:v>
                </c:pt>
                <c:pt idx="10">
                  <c:v>0.21693121693121692</c:v>
                </c:pt>
                <c:pt idx="11">
                  <c:v>0.10305676855895196</c:v>
                </c:pt>
                <c:pt idx="12">
                  <c:v>0</c:v>
                </c:pt>
                <c:pt idx="13">
                  <c:v>0.18181818181818182</c:v>
                </c:pt>
                <c:pt idx="14">
                  <c:v>4.1337285902503296E-2</c:v>
                </c:pt>
                <c:pt idx="15">
                  <c:v>0</c:v>
                </c:pt>
                <c:pt idx="16">
                  <c:v>0</c:v>
                </c:pt>
                <c:pt idx="17">
                  <c:v>9.0552584670231723E-2</c:v>
                </c:pt>
              </c:numCache>
            </c:numRef>
          </c:val>
          <c:extLst>
            <c:ext xmlns:c16="http://schemas.microsoft.com/office/drawing/2014/chart" uri="{C3380CC4-5D6E-409C-BE32-E72D297353CC}">
              <c16:uniqueId val="{00000000-22DA-4187-9F75-62BF044B0228}"/>
            </c:ext>
          </c:extLst>
        </c:ser>
        <c:ser>
          <c:idx val="1"/>
          <c:order val="1"/>
          <c:tx>
            <c:strRef>
              <c:f>'q3'!$C$3:$C$4</c:f>
              <c:strCache>
                <c:ptCount val="1"/>
                <c:pt idx="0">
                  <c:v>Not disabled</c:v>
                </c:pt>
              </c:strCache>
            </c:strRef>
          </c:tx>
          <c:spPr>
            <a:solidFill>
              <a:schemeClr val="accent2"/>
            </a:solidFill>
            <a:ln>
              <a:noFill/>
            </a:ln>
            <a:effectLst/>
          </c:spPr>
          <c:invertIfNegative val="0"/>
          <c:cat>
            <c:strRef>
              <c:f>'q3'!$A$5:$A$23</c:f>
              <c:strCache>
                <c:ptCount val="18"/>
                <c:pt idx="0">
                  <c:v>Business Services</c:v>
                </c:pt>
                <c:pt idx="1">
                  <c:v>Community Engagement and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c:v>
                </c:pt>
                <c:pt idx="12">
                  <c:v>Marketing</c:v>
                </c:pt>
                <c:pt idx="13">
                  <c:v>People Services</c:v>
                </c:pt>
                <c:pt idx="14">
                  <c:v>Property Team</c:v>
                </c:pt>
                <c:pt idx="15">
                  <c:v>Regeneration</c:v>
                </c:pt>
                <c:pt idx="16">
                  <c:v>Supported Housing</c:v>
                </c:pt>
                <c:pt idx="17">
                  <c:v>Tenancy Team</c:v>
                </c:pt>
              </c:strCache>
            </c:strRef>
          </c:cat>
          <c:val>
            <c:numRef>
              <c:f>'q3'!$C$5:$C$23</c:f>
              <c:numCache>
                <c:formatCode>0.00%</c:formatCode>
                <c:ptCount val="18"/>
                <c:pt idx="0">
                  <c:v>1</c:v>
                </c:pt>
                <c:pt idx="1">
                  <c:v>0.8351648351648352</c:v>
                </c:pt>
                <c:pt idx="2">
                  <c:v>0.80833333333333335</c:v>
                </c:pt>
                <c:pt idx="3">
                  <c:v>1</c:v>
                </c:pt>
                <c:pt idx="4">
                  <c:v>1</c:v>
                </c:pt>
                <c:pt idx="5">
                  <c:v>0.7931034482758621</c:v>
                </c:pt>
                <c:pt idx="6">
                  <c:v>1</c:v>
                </c:pt>
                <c:pt idx="7">
                  <c:v>0.91304347826086951</c:v>
                </c:pt>
                <c:pt idx="8">
                  <c:v>0.8781609195402299</c:v>
                </c:pt>
                <c:pt idx="9">
                  <c:v>0.94331983805668018</c:v>
                </c:pt>
                <c:pt idx="10">
                  <c:v>0.78306878306878303</c:v>
                </c:pt>
                <c:pt idx="11">
                  <c:v>0.89694323144104804</c:v>
                </c:pt>
                <c:pt idx="12">
                  <c:v>1</c:v>
                </c:pt>
                <c:pt idx="13">
                  <c:v>0.81818181818181823</c:v>
                </c:pt>
                <c:pt idx="14">
                  <c:v>0.9586627140974967</c:v>
                </c:pt>
                <c:pt idx="15">
                  <c:v>1</c:v>
                </c:pt>
                <c:pt idx="16">
                  <c:v>1</c:v>
                </c:pt>
                <c:pt idx="17">
                  <c:v>0.90944741532976825</c:v>
                </c:pt>
              </c:numCache>
            </c:numRef>
          </c:val>
          <c:extLst>
            <c:ext xmlns:c16="http://schemas.microsoft.com/office/drawing/2014/chart" uri="{C3380CC4-5D6E-409C-BE32-E72D297353CC}">
              <c16:uniqueId val="{00000001-22DA-4187-9F75-62BF044B0228}"/>
            </c:ext>
          </c:extLst>
        </c:ser>
        <c:dLbls>
          <c:showLegendKey val="0"/>
          <c:showVal val="0"/>
          <c:showCatName val="0"/>
          <c:showSerName val="0"/>
          <c:showPercent val="0"/>
          <c:showBubbleSize val="0"/>
        </c:dLbls>
        <c:gapWidth val="150"/>
        <c:overlap val="100"/>
        <c:axId val="2009300639"/>
        <c:axId val="2024236207"/>
      </c:barChart>
      <c:catAx>
        <c:axId val="200930063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24236207"/>
        <c:crosses val="autoZero"/>
        <c:auto val="1"/>
        <c:lblAlgn val="ctr"/>
        <c:lblOffset val="100"/>
        <c:noMultiLvlLbl val="0"/>
      </c:catAx>
      <c:valAx>
        <c:axId val="2024236207"/>
        <c:scaling>
          <c:orientation val="minMax"/>
        </c:scaling>
        <c:delete val="1"/>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crossAx val="2009300639"/>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[Worksheet in Evidence-based practice Assignment Brief.xlsx]q4!PivotTable5</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 Salar</a:t>
            </a:r>
            <a:r>
              <a:rPr lang="en-GB" baseline="0"/>
              <a:t>y Difference Across Genders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stacked"/>
        <c:varyColors val="0"/>
        <c:ser>
          <c:idx val="0"/>
          <c:order val="0"/>
          <c:tx>
            <c:strRef>
              <c:f>'q4'!$B$3:$B$4</c:f>
              <c:strCache>
                <c:ptCount val="1"/>
                <c:pt idx="0">
                  <c:v>Female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'q4'!$A$5:$A$13</c:f>
              <c:strCache>
                <c:ptCount val="8"/>
                <c:pt idx="0">
                  <c:v>17500-27499</c:v>
                </c:pt>
                <c:pt idx="1">
                  <c:v>27500-37499</c:v>
                </c:pt>
                <c:pt idx="2">
                  <c:v>37500-47499</c:v>
                </c:pt>
                <c:pt idx="3">
                  <c:v>47500-57499</c:v>
                </c:pt>
                <c:pt idx="4">
                  <c:v>57500-67499</c:v>
                </c:pt>
                <c:pt idx="5">
                  <c:v>67500-77499</c:v>
                </c:pt>
                <c:pt idx="6">
                  <c:v>97500-107499</c:v>
                </c:pt>
                <c:pt idx="7">
                  <c:v>137500-147499</c:v>
                </c:pt>
              </c:strCache>
            </c:strRef>
          </c:cat>
          <c:val>
            <c:numRef>
              <c:f>'q4'!$B$5:$B$13</c:f>
              <c:numCache>
                <c:formatCode>0.00%</c:formatCode>
                <c:ptCount val="8"/>
                <c:pt idx="0">
                  <c:v>0.71329197217522089</c:v>
                </c:pt>
                <c:pt idx="1">
                  <c:v>0.19284808789351363</c:v>
                </c:pt>
                <c:pt idx="2">
                  <c:v>0.52688524590163932</c:v>
                </c:pt>
                <c:pt idx="3">
                  <c:v>0.23909249563699825</c:v>
                </c:pt>
                <c:pt idx="4">
                  <c:v>0.45021645021645024</c:v>
                </c:pt>
                <c:pt idx="5">
                  <c:v>0.60752688172043012</c:v>
                </c:pt>
                <c:pt idx="6">
                  <c:v>0.67647058823529416</c:v>
                </c:pt>
                <c:pt idx="7">
                  <c:v>1</c:v>
                </c:pt>
              </c:numCache>
            </c:numRef>
          </c:val>
          <c:extLst>
            <c:ext xmlns:c16="http://schemas.microsoft.com/office/drawing/2014/chart" uri="{C3380CC4-5D6E-409C-BE32-E72D297353CC}">
              <c16:uniqueId val="{00000000-B749-42E4-817B-1DF57ECBE378}"/>
            </c:ext>
          </c:extLst>
        </c:ser>
        <c:ser>
          <c:idx val="1"/>
          <c:order val="1"/>
          <c:tx>
            <c:strRef>
              <c:f>'q4'!$C$3:$C$4</c:f>
              <c:strCache>
                <c:ptCount val="1"/>
                <c:pt idx="0">
                  <c:v>Male</c:v>
                </c:pt>
              </c:strCache>
            </c:strRef>
          </c:tx>
          <c:spPr>
            <a:solidFill>
              <a:schemeClr val="accent2"/>
            </a:solidFill>
            <a:ln>
              <a:noFill/>
            </a:ln>
            <a:effectLst/>
          </c:spPr>
          <c:invertIfNegative val="0"/>
          <c:dLbls>
            <c:dLbl>
              <c:idx val="7"/>
              <c:delete val="1"/>
              <c:extLst>
                <c:ext xmlns:c15="http://schemas.microsoft.com/office/drawing/2012/chart" uri="{CE6537A1-D6FC-4f65-9D91-7224C49458BB}"/>
                <c:ext xmlns:c16="http://schemas.microsoft.com/office/drawing/2014/chart" uri="{C3380CC4-5D6E-409C-BE32-E72D297353CC}">
                  <c16:uniqueId val="{00000001-B749-42E4-817B-1DF57ECBE378}"/>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'q4'!$A$5:$A$13</c:f>
              <c:strCache>
                <c:ptCount val="8"/>
                <c:pt idx="0">
                  <c:v>17500-27499</c:v>
                </c:pt>
                <c:pt idx="1">
                  <c:v>27500-37499</c:v>
                </c:pt>
                <c:pt idx="2">
                  <c:v>37500-47499</c:v>
                </c:pt>
                <c:pt idx="3">
                  <c:v>47500-57499</c:v>
                </c:pt>
                <c:pt idx="4">
                  <c:v>57500-67499</c:v>
                </c:pt>
                <c:pt idx="5">
                  <c:v>67500-77499</c:v>
                </c:pt>
                <c:pt idx="6">
                  <c:v>97500-107499</c:v>
                </c:pt>
                <c:pt idx="7">
                  <c:v>137500-147499</c:v>
                </c:pt>
              </c:strCache>
            </c:strRef>
          </c:cat>
          <c:val>
            <c:numRef>
              <c:f>'q4'!$C$5:$C$13</c:f>
              <c:numCache>
                <c:formatCode>0.00%</c:formatCode>
                <c:ptCount val="8"/>
                <c:pt idx="0">
                  <c:v>0.27100958826847149</c:v>
                </c:pt>
                <c:pt idx="1">
                  <c:v>0.8071519121064864</c:v>
                </c:pt>
                <c:pt idx="2">
                  <c:v>0.47311475409836068</c:v>
                </c:pt>
                <c:pt idx="3">
                  <c:v>0.7609075043630017</c:v>
                </c:pt>
                <c:pt idx="4">
                  <c:v>0.54978354978354982</c:v>
                </c:pt>
                <c:pt idx="5">
                  <c:v>0.39247311827956988</c:v>
                </c:pt>
                <c:pt idx="6">
                  <c:v>0.3235294117647059</c:v>
                </c:pt>
                <c:pt idx="7">
                  <c:v>0</c:v>
                </c:pt>
              </c:numCache>
            </c:numRef>
          </c:val>
          <c:extLst>
            <c:ext xmlns:c16="http://schemas.microsoft.com/office/drawing/2014/chart" uri="{C3380CC4-5D6E-409C-BE32-E72D297353CC}">
              <c16:uniqueId val="{00000002-B749-42E4-817B-1DF57ECBE378}"/>
            </c:ext>
          </c:extLst>
        </c:ser>
        <c:ser>
          <c:idx val="2"/>
          <c:order val="2"/>
          <c:tx>
            <c:strRef>
              <c:f>'q4'!$D$3:$D$4</c:f>
              <c:strCache>
                <c:ptCount val="1"/>
                <c:pt idx="0">
                  <c:v>Non-binary</c:v>
                </c:pt>
              </c:strCache>
            </c:strRef>
          </c:tx>
          <c:spPr>
            <a:solidFill>
              <a:schemeClr val="accent3"/>
            </a:solidFill>
            <a:ln>
              <a:noFill/>
            </a:ln>
            <a:effectLst/>
          </c:spPr>
          <c:invertIfNegative val="0"/>
          <c:dLbls>
            <c:dLbl>
              <c:idx val="0"/>
              <c:layout>
                <c:manualLayout>
                  <c:x val="2.8612303290414878E-3"/>
                  <c:y val="-2.6666666666666686E-2"/>
                </c:manualLayout>
              </c:layout>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B749-42E4-817B-1DF57ECBE378}"/>
                </c:ext>
              </c:extLst>
            </c:dLbl>
            <c:dLbl>
              <c:idx val="1"/>
              <c:delete val="1"/>
              <c:extLst>
                <c:ext xmlns:c15="http://schemas.microsoft.com/office/drawing/2012/chart" uri="{CE6537A1-D6FC-4f65-9D91-7224C49458BB}"/>
                <c:ext xmlns:c16="http://schemas.microsoft.com/office/drawing/2014/chart" uri="{C3380CC4-5D6E-409C-BE32-E72D297353CC}">
                  <c16:uniqueId val="{00000004-B749-42E4-817B-1DF57ECBE378}"/>
                </c:ext>
              </c:extLst>
            </c:dLbl>
            <c:dLbl>
              <c:idx val="2"/>
              <c:delete val="1"/>
              <c:extLst>
                <c:ext xmlns:c15="http://schemas.microsoft.com/office/drawing/2012/chart" uri="{CE6537A1-D6FC-4f65-9D91-7224C49458BB}"/>
                <c:ext xmlns:c16="http://schemas.microsoft.com/office/drawing/2014/chart" uri="{C3380CC4-5D6E-409C-BE32-E72D297353CC}">
                  <c16:uniqueId val="{00000005-B749-42E4-817B-1DF57ECBE378}"/>
                </c:ext>
              </c:extLst>
            </c:dLbl>
            <c:dLbl>
              <c:idx val="3"/>
              <c:delete val="1"/>
              <c:extLst>
                <c:ext xmlns:c15="http://schemas.microsoft.com/office/drawing/2012/chart" uri="{CE6537A1-D6FC-4f65-9D91-7224C49458BB}"/>
                <c:ext xmlns:c16="http://schemas.microsoft.com/office/drawing/2014/chart" uri="{C3380CC4-5D6E-409C-BE32-E72D297353CC}">
                  <c16:uniqueId val="{00000006-B749-42E4-817B-1DF57ECBE378}"/>
                </c:ext>
              </c:extLst>
            </c:dLbl>
            <c:dLbl>
              <c:idx val="4"/>
              <c:delete val="1"/>
              <c:extLst>
                <c:ext xmlns:c15="http://schemas.microsoft.com/office/drawing/2012/chart" uri="{CE6537A1-D6FC-4f65-9D91-7224C49458BB}"/>
                <c:ext xmlns:c16="http://schemas.microsoft.com/office/drawing/2014/chart" uri="{C3380CC4-5D6E-409C-BE32-E72D297353CC}">
                  <c16:uniqueId val="{00000007-B749-42E4-817B-1DF57ECBE378}"/>
                </c:ext>
              </c:extLst>
            </c:dLbl>
            <c:dLbl>
              <c:idx val="5"/>
              <c:delete val="1"/>
              <c:extLst>
                <c:ext xmlns:c15="http://schemas.microsoft.com/office/drawing/2012/chart" uri="{CE6537A1-D6FC-4f65-9D91-7224C49458BB}"/>
                <c:ext xmlns:c16="http://schemas.microsoft.com/office/drawing/2014/chart" uri="{C3380CC4-5D6E-409C-BE32-E72D297353CC}">
                  <c16:uniqueId val="{00000008-B749-42E4-817B-1DF57ECBE378}"/>
                </c:ext>
              </c:extLst>
            </c:dLbl>
            <c:dLbl>
              <c:idx val="6"/>
              <c:delete val="1"/>
              <c:extLst>
                <c:ext xmlns:c15="http://schemas.microsoft.com/office/drawing/2012/chart" uri="{CE6537A1-D6FC-4f65-9D91-7224C49458BB}"/>
                <c:ext xmlns:c16="http://schemas.microsoft.com/office/drawing/2014/chart" uri="{C3380CC4-5D6E-409C-BE32-E72D297353CC}">
                  <c16:uniqueId val="{00000009-B749-42E4-817B-1DF57ECBE378}"/>
                </c:ext>
              </c:extLst>
            </c:dLbl>
            <c:dLbl>
              <c:idx val="7"/>
              <c:delete val="1"/>
              <c:extLst>
                <c:ext xmlns:c15="http://schemas.microsoft.com/office/drawing/2012/chart" uri="{CE6537A1-D6FC-4f65-9D91-7224C49458BB}"/>
                <c:ext xmlns:c16="http://schemas.microsoft.com/office/drawing/2014/chart" uri="{C3380CC4-5D6E-409C-BE32-E72D297353CC}">
                  <c16:uniqueId val="{0000000A-B749-42E4-817B-1DF57ECBE378}"/>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'q4'!$A$5:$A$13</c:f>
              <c:strCache>
                <c:ptCount val="8"/>
                <c:pt idx="0">
                  <c:v>17500-27499</c:v>
                </c:pt>
                <c:pt idx="1">
                  <c:v>27500-37499</c:v>
                </c:pt>
                <c:pt idx="2">
                  <c:v>37500-47499</c:v>
                </c:pt>
                <c:pt idx="3">
                  <c:v>47500-57499</c:v>
                </c:pt>
                <c:pt idx="4">
                  <c:v>57500-67499</c:v>
                </c:pt>
                <c:pt idx="5">
                  <c:v>67500-77499</c:v>
                </c:pt>
                <c:pt idx="6">
                  <c:v>97500-107499</c:v>
                </c:pt>
                <c:pt idx="7">
                  <c:v>137500-147499</c:v>
                </c:pt>
              </c:strCache>
            </c:strRef>
          </c:cat>
          <c:val>
            <c:numRef>
              <c:f>'q4'!$D$5:$D$13</c:f>
              <c:numCache>
                <c:formatCode>0.00%</c:formatCode>
                <c:ptCount val="8"/>
                <c:pt idx="0">
                  <c:v>1.5698439556307578E-2</c:v>
                </c:pt>
                <c:pt idx="1">
                  <c:v>0</c:v>
                </c:pt>
                <c:pt idx="2">
                  <c:v>0</c:v>
                </c:pt>
                <c:pt idx="3">
                  <c:v>0</c:v>
                </c:pt>
                <c:pt idx="4">
                  <c:v>0</c:v>
                </c:pt>
                <c:pt idx="5">
                  <c:v>0</c:v>
                </c:pt>
                <c:pt idx="6">
                  <c:v>0</c:v>
                </c:pt>
                <c:pt idx="7">
                  <c:v>0</c:v>
                </c:pt>
              </c:numCache>
            </c:numRef>
          </c:val>
          <c:extLst>
            <c:ext xmlns:c16="http://schemas.microsoft.com/office/drawing/2014/chart" uri="{C3380CC4-5D6E-409C-BE32-E72D297353CC}">
              <c16:uniqueId val="{0000000B-B749-42E4-817B-1DF57ECBE378}"/>
            </c:ext>
          </c:extLst>
        </c:ser>
        <c:dLbls>
          <c:dLblPos val="ctr"/>
          <c:showLegendKey val="0"/>
          <c:showVal val="1"/>
          <c:showCatName val="0"/>
          <c:showSerName val="0"/>
          <c:showPercent val="0"/>
          <c:showBubbleSize val="0"/>
        </c:dLbls>
        <c:gapWidth val="150"/>
        <c:overlap val="100"/>
        <c:axId val="1997585183"/>
        <c:axId val="2109386511"/>
      </c:barChart>
      <c:catAx>
        <c:axId val="199758518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Pay Bandings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9386511"/>
        <c:crosses val="autoZero"/>
        <c:auto val="1"/>
        <c:lblAlgn val="ctr"/>
        <c:lblOffset val="100"/>
        <c:noMultiLvlLbl val="0"/>
      </c:catAx>
      <c:valAx>
        <c:axId val="2109386511"/>
        <c:scaling>
          <c:orientation val="minMax"/>
        </c:scaling>
        <c:delete val="1"/>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crossAx val="1997585183"/>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Average Salary per Gender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'[task 1.xlsx]gender salary'!$N$122:$N$125</c:f>
              <c:strCache>
                <c:ptCount val="4"/>
                <c:pt idx="0">
                  <c:v>Male </c:v>
                </c:pt>
                <c:pt idx="1">
                  <c:v>Female </c:v>
                </c:pt>
                <c:pt idx="2">
                  <c:v>Non-Binary </c:v>
                </c:pt>
                <c:pt idx="3">
                  <c:v>Average Salary</c:v>
                </c:pt>
              </c:strCache>
            </c:strRef>
          </c:cat>
          <c:val>
            <c:numRef>
              <c:f>'[task 1.xlsx]gender salary'!$O$122:$O$125</c:f>
              <c:numCache>
                <c:formatCode>"£"#,##0.00</c:formatCode>
                <c:ptCount val="4"/>
                <c:pt idx="0">
                  <c:v>31812.18</c:v>
                </c:pt>
                <c:pt idx="1">
                  <c:v>31900.3</c:v>
                </c:pt>
                <c:pt idx="2">
                  <c:v>19500</c:v>
                </c:pt>
                <c:pt idx="3">
                  <c:v>31757.46</c:v>
                </c:pt>
              </c:numCache>
            </c:numRef>
          </c:val>
          <c:extLst>
            <c:ext xmlns:c16="http://schemas.microsoft.com/office/drawing/2014/chart" uri="{C3380CC4-5D6E-409C-BE32-E72D297353CC}">
              <c16:uniqueId val="{00000000-0958-4BB0-A842-1F8C1E41C743}"/>
            </c:ext>
          </c:extLst>
        </c:ser>
        <c:dLbls>
          <c:dLblPos val="outEnd"/>
          <c:showLegendKey val="0"/>
          <c:showVal val="1"/>
          <c:showCatName val="0"/>
          <c:showSerName val="0"/>
          <c:showPercent val="0"/>
          <c:showBubbleSize val="0"/>
        </c:dLbls>
        <c:gapWidth val="219"/>
        <c:overlap val="-27"/>
        <c:axId val="76076303"/>
        <c:axId val="84894415"/>
      </c:barChart>
      <c:catAx>
        <c:axId val="7607630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894415"/>
        <c:crosses val="autoZero"/>
        <c:auto val="1"/>
        <c:lblAlgn val="ctr"/>
        <c:lblOffset val="100"/>
        <c:noMultiLvlLbl val="0"/>
      </c:catAx>
      <c:valAx>
        <c:axId val="84894415"/>
        <c:scaling>
          <c:orientation val="minMax"/>
        </c:scaling>
        <c:delete val="0"/>
        <c:axPos val="l"/>
        <c:majorGridlines>
          <c:spPr>
            <a:ln w="9525" cap="flat" cmpd="sng" algn="ctr">
              <a:solidFill>
                <a:schemeClr val="tx1">
                  <a:lumMod val="15000"/>
                  <a:lumOff val="85000"/>
                </a:schemeClr>
              </a:solidFill>
              <a:round/>
            </a:ln>
            <a:effectLst/>
          </c:spPr>
        </c:majorGridlines>
        <c:numFmt formatCode="&quot;£&quot;#,##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07630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0750EAB-FAC2-43AC-B88C-0A6846C7AE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6124</Words>
  <Characters>34908</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Evidence BAse Practice</dc:subject>
  <dc:creator>Elle Williams</dc:creator>
  <cp:keywords/>
  <dc:description/>
  <cp:lastModifiedBy>Elle Williams</cp:lastModifiedBy>
  <cp:revision>598</cp:revision>
  <dcterms:created xsi:type="dcterms:W3CDTF">2023-11-21T15:17:00Z</dcterms:created>
  <dcterms:modified xsi:type="dcterms:W3CDTF">2023-12-04T22:48:00Z</dcterms:modified>
</cp:coreProperties>
</file>