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03562E7"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1B2F7D" w:rsidRPr="005F22C8">
        <w:rPr>
          <w:rFonts w:ascii="Arial" w:hAnsi="Arial" w:cs="Arial"/>
        </w:rPr>
        <w:t xml:space="preserve">EBENEZER </w:t>
      </w:r>
      <w:r w:rsidR="008C4A49" w:rsidRPr="005F22C8">
        <w:rPr>
          <w:rFonts w:ascii="Arial" w:hAnsi="Arial" w:cs="Arial"/>
        </w:rPr>
        <w:t>AKINYEMI</w:t>
      </w:r>
      <w:r w:rsidR="001B2F7D" w:rsidRPr="005F22C8">
        <w:rPr>
          <w:rFonts w:ascii="Arial" w:hAnsi="Arial" w:cs="Arial"/>
        </w:rPr>
        <w:t xml:space="preserve"> MOSES</w:t>
      </w:r>
    </w:p>
    <w:p w14:paraId="476C763A" w14:textId="1C6F7FC9"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91D83" w:rsidRPr="005F22C8">
        <w:rPr>
          <w:rFonts w:ascii="Arial" w:hAnsi="Arial" w:cs="Arial"/>
          <w:lang w:val="nl-NL"/>
        </w:rPr>
        <w:t>2</w:t>
      </w:r>
      <w:r w:rsidR="006D0338" w:rsidRPr="005F22C8">
        <w:rPr>
          <w:rFonts w:ascii="Arial" w:hAnsi="Arial" w:cs="Arial"/>
          <w:lang w:val="nl-NL"/>
        </w:rPr>
        <w:t>436083</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67C7956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9A6979" w:rsidRPr="005F22C8">
        <w:rPr>
          <w:rFonts w:ascii="Arial" w:hAnsi="Arial" w:cs="Arial"/>
          <w:lang w:val="nl-NL"/>
        </w:rPr>
        <w:t>INT</w:t>
      </w:r>
      <w:r w:rsidR="00AD3D61" w:rsidRPr="005F22C8">
        <w:rPr>
          <w:rFonts w:ascii="Arial" w:hAnsi="Arial" w:cs="Arial"/>
          <w:lang w:val="nl-NL"/>
        </w:rPr>
        <w:t>RODUCTION TO HEALTH AND SOCIAL CARE</w:t>
      </w:r>
    </w:p>
    <w:p w14:paraId="0009AFB0" w14:textId="0014E558" w:rsidR="00833470" w:rsidRPr="005F22C8" w:rsidRDefault="00833470" w:rsidP="00833470">
      <w:pPr>
        <w:tabs>
          <w:tab w:val="left" w:pos="6540"/>
        </w:tabs>
        <w:spacing w:line="360" w:lineRule="auto"/>
        <w:rPr>
          <w:rFonts w:ascii="Arial" w:hAnsi="Arial" w:cs="Arial"/>
        </w:rPr>
      </w:pPr>
      <w:r w:rsidRPr="0020413D">
        <w:rPr>
          <w:rFonts w:ascii="Arial" w:hAnsi="Arial" w:cs="Arial"/>
          <w:b/>
          <w:bCs/>
          <w:sz w:val="28"/>
          <w:szCs w:val="28"/>
        </w:rPr>
        <w:t>Module code</w:t>
      </w:r>
      <w:r w:rsidRPr="005F22C8">
        <w:rPr>
          <w:rFonts w:ascii="Arial" w:hAnsi="Arial" w:cs="Arial"/>
        </w:rPr>
        <w:t>:</w:t>
      </w:r>
      <w:r w:rsidR="001D5F17" w:rsidRPr="005F22C8">
        <w:rPr>
          <w:rFonts w:ascii="Arial" w:hAnsi="Arial" w:cs="Arial"/>
        </w:rPr>
        <w:t xml:space="preserve"> </w:t>
      </w:r>
      <w:r w:rsidR="00851A69" w:rsidRPr="005F22C8">
        <w:rPr>
          <w:rFonts w:ascii="Arial" w:hAnsi="Arial" w:cs="Arial"/>
        </w:rPr>
        <w:t>LCHS400</w:t>
      </w:r>
      <w:r w:rsidR="005313BA">
        <w:rPr>
          <w:rFonts w:ascii="Arial" w:hAnsi="Arial" w:cs="Arial"/>
        </w:rPr>
        <w:t>3</w:t>
      </w:r>
      <w:r w:rsidR="001D5F17" w:rsidRPr="005F22C8">
        <w:rPr>
          <w:rFonts w:ascii="Arial" w:hAnsi="Arial" w:cs="Arial"/>
        </w:rPr>
        <w:t>_</w:t>
      </w:r>
      <w:r w:rsidR="007A0F73" w:rsidRPr="005F22C8">
        <w:rPr>
          <w:rFonts w:ascii="Arial" w:hAnsi="Arial" w:cs="Arial"/>
        </w:rPr>
        <w:t>LON</w:t>
      </w:r>
    </w:p>
    <w:p w14:paraId="410C101D" w14:textId="784B62E2" w:rsidR="00925D5E" w:rsidRDefault="00833470">
      <w:pPr>
        <w:sectPr w:rsidR="00925D5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7A0F73" w:rsidRPr="005F22C8">
        <w:rPr>
          <w:rFonts w:ascii="Arial" w:hAnsi="Arial" w:cs="Arial"/>
        </w:rPr>
        <w:t>:</w:t>
      </w:r>
      <w:r w:rsidR="00F972FC" w:rsidRPr="005F22C8">
        <w:rPr>
          <w:rFonts w:ascii="Arial" w:hAnsi="Arial" w:cs="Arial"/>
        </w:rPr>
        <w:t xml:space="preserve"> MARK KANE</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4437FB0B" w:rsidR="003A000F" w:rsidRDefault="0002447D">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1312" behindDoc="0" locked="0" layoutInCell="1" allowOverlap="1" wp14:anchorId="3E780AA8" wp14:editId="2C6CD60E">
                <wp:simplePos x="0" y="0"/>
                <wp:positionH relativeFrom="margin">
                  <wp:posOffset>-590550</wp:posOffset>
                </wp:positionH>
                <wp:positionV relativeFrom="paragraph">
                  <wp:posOffset>0</wp:posOffset>
                </wp:positionV>
                <wp:extent cx="10255250" cy="1153160"/>
                <wp:effectExtent l="0" t="0" r="1270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5525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2BF1A871" w:rsidR="00BE6BE0" w:rsidRPr="00EF21B5" w:rsidRDefault="00E56BB8" w:rsidP="00BE6BE0">
                            <w:pPr>
                              <w:shd w:val="clear" w:color="auto" w:fill="F4B083" w:themeFill="accent2" w:themeFillTint="99"/>
                              <w:jc w:val="center"/>
                              <w:rPr>
                                <w:sz w:val="28"/>
                                <w:szCs w:val="28"/>
                              </w:rPr>
                            </w:pPr>
                            <w:r>
                              <w:rPr>
                                <w:sz w:val="28"/>
                                <w:szCs w:val="28"/>
                              </w:rPr>
                              <w:t xml:space="preserve">Ebenezer </w:t>
                            </w:r>
                            <w:r w:rsidR="002F55D6">
                              <w:rPr>
                                <w:sz w:val="28"/>
                                <w:szCs w:val="28"/>
                              </w:rPr>
                              <w:t>Akinyemi Moses</w:t>
                            </w:r>
                            <w:r w:rsidR="00BE6BE0" w:rsidRPr="00EF21B5">
                              <w:rPr>
                                <w:sz w:val="28"/>
                                <w:szCs w:val="28"/>
                              </w:rPr>
                              <w:t xml:space="preserve">, </w:t>
                            </w:r>
                            <w:r w:rsidR="002F55D6">
                              <w:rPr>
                                <w:sz w:val="28"/>
                                <w:szCs w:val="28"/>
                              </w:rPr>
                              <w:t>Introduction to health and social care</w:t>
                            </w:r>
                            <w:r w:rsidR="00BE6BE0" w:rsidRPr="00EF21B5">
                              <w:rPr>
                                <w:sz w:val="28"/>
                                <w:szCs w:val="28"/>
                              </w:rPr>
                              <w:t xml:space="preserve">, </w:t>
                            </w:r>
                            <w:r w:rsidR="00397C42">
                              <w:rPr>
                                <w:sz w:val="28"/>
                                <w:szCs w:val="28"/>
                              </w:rPr>
                              <w:t>243</w:t>
                            </w:r>
                            <w:r w:rsidR="00292BDC">
                              <w:rPr>
                                <w:sz w:val="28"/>
                                <w:szCs w:val="28"/>
                              </w:rPr>
                              <w:t>6083@student.</w:t>
                            </w:r>
                            <w:r w:rsidR="00677BCA">
                              <w:rPr>
                                <w:sz w:val="28"/>
                                <w:szCs w:val="28"/>
                              </w:rPr>
                              <w:t>uwtsd</w:t>
                            </w:r>
                            <w:r w:rsidR="00CB47F5">
                              <w:rPr>
                                <w:sz w:val="28"/>
                                <w:szCs w:val="28"/>
                              </w:rPr>
                              <w:t>.ac.uk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46.5pt;margin-top:0;width:807.5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">
                <v:textbox>
                  <w:txbxContent>
                    <w:p w14:paraId="62114251" w14:textId="77777777" w:rsidR="00BE6BE0" w:rsidRPr="00FD32B5" w:rsidRDefault="00BE6BE0" w:rsidP="00BE6BE0">
                      <w:pPr>
                        <w:shd w:val="clear" w:color="auto" w:fill="F4B083" w:themeFill="accent2" w:themeFillTint="99"/>
                        <w:jc w:val="center"/>
                        <w:rPr>
                          <w:b/>
                          <w:bCs/>
                          <w:i/>
                          <w:iCs/>
                          <w:color w:val="00B0F0"/>
                          <w:sz w:val="70"/>
                          <w:szCs w:val="70"/>
                        </w:rPr>
                      </w:pPr>
                      <w:r w:rsidRPr="00FD32B5">
                        <w:rPr>
                          <w:b/>
                          <w:bCs/>
                          <w:i/>
                          <w:iCs/>
                          <w:color w:val="00B0F0"/>
                          <w:sz w:val="70"/>
                          <w:szCs w:val="70"/>
                        </w:rPr>
                        <w:t>Research Poster Title Goes Here</w:t>
                      </w:r>
                    </w:p>
                    <w:p w14:paraId="4B29F551" w14:textId="2BF1A871" w:rsidR="00BE6BE0" w:rsidRPr="00EF21B5" w:rsidRDefault="00E56BB8" w:rsidP="00BE6BE0">
                      <w:pPr>
                        <w:shd w:val="clear" w:color="auto" w:fill="F4B083" w:themeFill="accent2" w:themeFillTint="99"/>
                        <w:jc w:val="center"/>
                        <w:rPr>
                          <w:sz w:val="28"/>
                          <w:szCs w:val="28"/>
                        </w:rPr>
                      </w:pPr>
                      <w:r>
                        <w:rPr>
                          <w:sz w:val="28"/>
                          <w:szCs w:val="28"/>
                        </w:rPr>
                        <w:t xml:space="preserve">Ebenezer </w:t>
                      </w:r>
                      <w:r w:rsidR="002F55D6">
                        <w:rPr>
                          <w:sz w:val="28"/>
                          <w:szCs w:val="28"/>
                        </w:rPr>
                        <w:t>Akinyemi Moses</w:t>
                      </w:r>
                      <w:r w:rsidR="00BE6BE0" w:rsidRPr="00EF21B5">
                        <w:rPr>
                          <w:sz w:val="28"/>
                          <w:szCs w:val="28"/>
                        </w:rPr>
                        <w:t xml:space="preserve">, </w:t>
                      </w:r>
                      <w:r w:rsidR="002F55D6">
                        <w:rPr>
                          <w:sz w:val="28"/>
                          <w:szCs w:val="28"/>
                        </w:rPr>
                        <w:t>Introduction to health and social care</w:t>
                      </w:r>
                      <w:r w:rsidR="00BE6BE0" w:rsidRPr="00EF21B5">
                        <w:rPr>
                          <w:sz w:val="28"/>
                          <w:szCs w:val="28"/>
                        </w:rPr>
                        <w:t xml:space="preserve">, </w:t>
                      </w:r>
                      <w:r w:rsidR="00397C42">
                        <w:rPr>
                          <w:sz w:val="28"/>
                          <w:szCs w:val="28"/>
                        </w:rPr>
                        <w:t>243</w:t>
                      </w:r>
                      <w:r w:rsidR="00292BDC">
                        <w:rPr>
                          <w:sz w:val="28"/>
                          <w:szCs w:val="28"/>
                        </w:rPr>
                        <w:t>6083@student.</w:t>
                      </w:r>
                      <w:r w:rsidR="00677BCA">
                        <w:rPr>
                          <w:sz w:val="28"/>
                          <w:szCs w:val="28"/>
                        </w:rPr>
                        <w:t>uwtsd</w:t>
                      </w:r>
                      <w:r w:rsidR="00CB47F5">
                        <w:rPr>
                          <w:sz w:val="28"/>
                          <w:szCs w:val="28"/>
                        </w:rPr>
                        <w:t>.ac.uk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3A1079">
        <w:rPr>
          <w:noProof/>
        </w:rPr>
        <mc:AlternateContent>
          <mc:Choice Requires="wps">
            <w:drawing>
              <wp:anchor distT="45720" distB="45720" distL="114300" distR="114300" simplePos="0" relativeHeight="251669504" behindDoc="0" locked="0" layoutInCell="1" allowOverlap="1" wp14:anchorId="298766ED" wp14:editId="234E2AAC">
                <wp:simplePos x="0" y="0"/>
                <wp:positionH relativeFrom="page">
                  <wp:posOffset>6551930</wp:posOffset>
                </wp:positionH>
                <wp:positionV relativeFrom="paragraph">
                  <wp:posOffset>1149350</wp:posOffset>
                </wp:positionV>
                <wp:extent cx="4057650" cy="2520950"/>
                <wp:effectExtent l="19050" t="19050" r="19050" b="1270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2520950"/>
                        </a:xfrm>
                        <a:prstGeom prst="rect">
                          <a:avLst/>
                        </a:prstGeom>
                        <a:solidFill>
                          <a:srgbClr val="FFFFFF"/>
                        </a:solidFill>
                        <a:ln w="44450">
                          <a:solidFill>
                            <a:srgbClr val="000000"/>
                          </a:solidFill>
                          <a:miter lim="800000"/>
                          <a:headEnd/>
                          <a:tailEnd/>
                        </a:ln>
                        <a:effectLst>
                          <a:softEdge rad="25400"/>
                        </a:effectLst>
                      </wps:spPr>
                      <wps:txbx>
                        <w:txbxContent>
                          <w:p w14:paraId="0C3E42E5" w14:textId="77777777" w:rsidR="00065DE2" w:rsidRPr="00065DE2" w:rsidRDefault="00065DE2" w:rsidP="00065DE2">
                            <w:pPr>
                              <w:rPr>
                                <w:rFonts w:ascii="Arial" w:hAnsi="Arial" w:cs="Arial"/>
                                <w:b/>
                                <w:bCs/>
                                <w:color w:val="385623" w:themeColor="accent6" w:themeShade="80"/>
                              </w:rPr>
                            </w:pPr>
                            <w:r w:rsidRPr="00065DE2">
                              <w:rPr>
                                <w:rFonts w:ascii="Arial" w:hAnsi="Arial" w:cs="Arial"/>
                                <w:b/>
                                <w:bCs/>
                                <w:color w:val="385623" w:themeColor="accent6" w:themeShade="80"/>
                              </w:rPr>
                              <w:t>2. Current Functioning of Pharmacy Services</w:t>
                            </w:r>
                          </w:p>
                          <w:p w14:paraId="4B98F41A" w14:textId="60347D48" w:rsidR="00065DE2" w:rsidRPr="00065DE2" w:rsidRDefault="00065DE2" w:rsidP="00065DE2">
                            <w:pPr>
                              <w:rPr>
                                <w:rFonts w:ascii="Arial" w:hAnsi="Arial" w:cs="Arial"/>
                                <w:b/>
                                <w:bCs/>
                                <w:color w:val="385623" w:themeColor="accent6" w:themeShade="80"/>
                              </w:rPr>
                            </w:pPr>
                            <w:r w:rsidRPr="00EB20D5">
                              <w:rPr>
                                <w:rFonts w:ascii="Arial" w:hAnsi="Arial" w:cs="Arial"/>
                                <w:b/>
                                <w:bCs/>
                                <w:color w:val="385623" w:themeColor="accent6" w:themeShade="80"/>
                              </w:rPr>
                              <w:t xml:space="preserve">Contemporary pharmacy services </w:t>
                            </w:r>
                            <w:r w:rsidR="00F665B1" w:rsidRPr="00EB20D5">
                              <w:rPr>
                                <w:rFonts w:ascii="Arial" w:hAnsi="Arial" w:cs="Arial"/>
                                <w:b/>
                                <w:bCs/>
                                <w:color w:val="385623" w:themeColor="accent6" w:themeShade="80"/>
                              </w:rPr>
                              <w:t>encompass a broad range of functions that extend beyond the traditional role of dispensing</w:t>
                            </w:r>
                            <w:r w:rsidRPr="00EB20D5">
                              <w:rPr>
                                <w:rFonts w:ascii="Arial" w:hAnsi="Arial" w:cs="Arial"/>
                                <w:b/>
                                <w:bCs/>
                                <w:color w:val="385623" w:themeColor="accent6" w:themeShade="80"/>
                              </w:rPr>
                              <w:t xml:space="preserve"> medication.</w:t>
                            </w:r>
                          </w:p>
                          <w:p w14:paraId="45D96A07" w14:textId="3856FB00" w:rsidR="00065DE2" w:rsidRPr="00065DE2" w:rsidRDefault="00065DE2" w:rsidP="00065DE2">
                            <w:pPr>
                              <w:numPr>
                                <w:ilvl w:val="0"/>
                                <w:numId w:val="2"/>
                              </w:numPr>
                              <w:rPr>
                                <w:rFonts w:ascii="Arial" w:hAnsi="Arial" w:cs="Arial"/>
                                <w:b/>
                                <w:bCs/>
                                <w:color w:val="385623" w:themeColor="accent6" w:themeShade="80"/>
                              </w:rPr>
                            </w:pPr>
                            <w:r w:rsidRPr="00065DE2">
                              <w:rPr>
                                <w:rFonts w:ascii="Arial" w:hAnsi="Arial" w:cs="Arial"/>
                                <w:b/>
                                <w:bCs/>
                                <w:color w:val="385623" w:themeColor="accent6" w:themeShade="80"/>
                              </w:rPr>
                              <w:t xml:space="preserve">Medication Dispensing: Pharmacists are </w:t>
                            </w:r>
                            <w:r w:rsidR="00792E78" w:rsidRPr="00EB20D5">
                              <w:rPr>
                                <w:rFonts w:ascii="Arial" w:hAnsi="Arial" w:cs="Arial"/>
                                <w:b/>
                                <w:bCs/>
                                <w:color w:val="385623" w:themeColor="accent6" w:themeShade="80"/>
                              </w:rPr>
                              <w:t>responsible</w:t>
                            </w:r>
                            <w:r w:rsidRPr="00065DE2">
                              <w:rPr>
                                <w:rFonts w:ascii="Arial" w:hAnsi="Arial" w:cs="Arial"/>
                                <w:b/>
                                <w:bCs/>
                                <w:color w:val="385623" w:themeColor="accent6" w:themeShade="80"/>
                              </w:rPr>
                              <w:t xml:space="preserve"> for ensuring the accurate provision of medications to patients, including screening for potential drug interactions and allergies (ASHP, 2024).</w:t>
                            </w:r>
                          </w:p>
                          <w:p w14:paraId="40C56D8D" w14:textId="012FA7AD" w:rsidR="00065DE2" w:rsidRPr="00065DE2" w:rsidRDefault="00065DE2" w:rsidP="00065DE2">
                            <w:pPr>
                              <w:numPr>
                                <w:ilvl w:val="0"/>
                                <w:numId w:val="2"/>
                              </w:numPr>
                              <w:rPr>
                                <w:rFonts w:ascii="Arial" w:hAnsi="Arial" w:cs="Arial"/>
                                <w:b/>
                                <w:bCs/>
                                <w:color w:val="385623" w:themeColor="accent6" w:themeShade="80"/>
                              </w:rPr>
                            </w:pPr>
                            <w:r w:rsidRPr="00065DE2">
                              <w:rPr>
                                <w:rFonts w:ascii="Arial" w:hAnsi="Arial" w:cs="Arial"/>
                                <w:b/>
                                <w:bCs/>
                                <w:color w:val="385623" w:themeColor="accent6" w:themeShade="80"/>
                              </w:rPr>
                              <w:t xml:space="preserve">Patient </w:t>
                            </w:r>
                            <w:r w:rsidR="00F665B1" w:rsidRPr="00EB20D5">
                              <w:rPr>
                                <w:rFonts w:ascii="Arial" w:hAnsi="Arial" w:cs="Arial"/>
                                <w:b/>
                                <w:bCs/>
                                <w:color w:val="385623" w:themeColor="accent6" w:themeShade="80"/>
                              </w:rPr>
                              <w:t>Counselling</w:t>
                            </w:r>
                            <w:r w:rsidRPr="00065DE2">
                              <w:rPr>
                                <w:rFonts w:ascii="Arial" w:hAnsi="Arial" w:cs="Arial"/>
                                <w:b/>
                                <w:bCs/>
                                <w:color w:val="385623" w:themeColor="accent6" w:themeShade="80"/>
                              </w:rPr>
                              <w:t>: Providing education on dosage, potential side effects, and the importance of medication adherence is a core responsibility (WHO, 1997).</w:t>
                            </w:r>
                          </w:p>
                          <w:p w14:paraId="019AEABF" w14:textId="57FDF41A" w:rsidR="00BE6BE0" w:rsidRPr="00FD32B5" w:rsidRDefault="00BE6BE0" w:rsidP="00BE6BE0">
                            <w:pPr>
                              <w:rPr>
                                <w:b/>
                                <w:bCs/>
                                <w:color w:val="385623" w:themeColor="accent6" w:themeShade="80"/>
                              </w:rPr>
                            </w:pPr>
                          </w:p>
                          <w:p w14:paraId="2F2C6041" w14:textId="5A2480FC"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7" type="#_x0000_t202" style="position:absolute;margin-left:515.9pt;margin-top:90.5pt;width:319.5pt;height:198.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" strokeweight="3.5pt">
                <v:textbox>
                  <w:txbxContent>
                    <w:p w14:paraId="0C3E42E5" w14:textId="77777777" w:rsidR="00065DE2" w:rsidRPr="00065DE2" w:rsidRDefault="00065DE2" w:rsidP="00065DE2">
                      <w:pPr>
                        <w:rPr>
                          <w:rFonts w:ascii="Arial" w:hAnsi="Arial" w:cs="Arial"/>
                          <w:b/>
                          <w:bCs/>
                          <w:color w:val="385623" w:themeColor="accent6" w:themeShade="80"/>
                        </w:rPr>
                      </w:pPr>
                      <w:r w:rsidRPr="00065DE2">
                        <w:rPr>
                          <w:rFonts w:ascii="Arial" w:hAnsi="Arial" w:cs="Arial"/>
                          <w:b/>
                          <w:bCs/>
                          <w:color w:val="385623" w:themeColor="accent6" w:themeShade="80"/>
                        </w:rPr>
                        <w:t>2. Current Functioning of Pharmacy Services</w:t>
                      </w:r>
                    </w:p>
                    <w:p w14:paraId="4B98F41A" w14:textId="60347D48" w:rsidR="00065DE2" w:rsidRPr="00065DE2" w:rsidRDefault="00065DE2" w:rsidP="00065DE2">
                      <w:pPr>
                        <w:rPr>
                          <w:rFonts w:ascii="Arial" w:hAnsi="Arial" w:cs="Arial"/>
                          <w:b/>
                          <w:bCs/>
                          <w:color w:val="385623" w:themeColor="accent6" w:themeShade="80"/>
                        </w:rPr>
                      </w:pPr>
                      <w:r w:rsidRPr="00EB20D5">
                        <w:rPr>
                          <w:rFonts w:ascii="Arial" w:hAnsi="Arial" w:cs="Arial"/>
                          <w:b/>
                          <w:bCs/>
                          <w:color w:val="385623" w:themeColor="accent6" w:themeShade="80"/>
                        </w:rPr>
                        <w:t xml:space="preserve">Contemporary pharmacy services </w:t>
                      </w:r>
                      <w:r w:rsidR="00F665B1" w:rsidRPr="00EB20D5">
                        <w:rPr>
                          <w:rFonts w:ascii="Arial" w:hAnsi="Arial" w:cs="Arial"/>
                          <w:b/>
                          <w:bCs/>
                          <w:color w:val="385623" w:themeColor="accent6" w:themeShade="80"/>
                        </w:rPr>
                        <w:t>encompass a broad range of functions that extend beyond the traditional role of dispensing</w:t>
                      </w:r>
                      <w:r w:rsidRPr="00EB20D5">
                        <w:rPr>
                          <w:rFonts w:ascii="Arial" w:hAnsi="Arial" w:cs="Arial"/>
                          <w:b/>
                          <w:bCs/>
                          <w:color w:val="385623" w:themeColor="accent6" w:themeShade="80"/>
                        </w:rPr>
                        <w:t xml:space="preserve"> medication.</w:t>
                      </w:r>
                    </w:p>
                    <w:p w14:paraId="45D96A07" w14:textId="3856FB00" w:rsidR="00065DE2" w:rsidRPr="00065DE2" w:rsidRDefault="00065DE2" w:rsidP="00065DE2">
                      <w:pPr>
                        <w:numPr>
                          <w:ilvl w:val="0"/>
                          <w:numId w:val="2"/>
                        </w:numPr>
                        <w:rPr>
                          <w:rFonts w:ascii="Arial" w:hAnsi="Arial" w:cs="Arial"/>
                          <w:b/>
                          <w:bCs/>
                          <w:color w:val="385623" w:themeColor="accent6" w:themeShade="80"/>
                        </w:rPr>
                      </w:pPr>
                      <w:r w:rsidRPr="00065DE2">
                        <w:rPr>
                          <w:rFonts w:ascii="Arial" w:hAnsi="Arial" w:cs="Arial"/>
                          <w:b/>
                          <w:bCs/>
                          <w:color w:val="385623" w:themeColor="accent6" w:themeShade="80"/>
                        </w:rPr>
                        <w:t xml:space="preserve">Medication Dispensing: Pharmacists are </w:t>
                      </w:r>
                      <w:r w:rsidR="00792E78" w:rsidRPr="00EB20D5">
                        <w:rPr>
                          <w:rFonts w:ascii="Arial" w:hAnsi="Arial" w:cs="Arial"/>
                          <w:b/>
                          <w:bCs/>
                          <w:color w:val="385623" w:themeColor="accent6" w:themeShade="80"/>
                        </w:rPr>
                        <w:t>responsible</w:t>
                      </w:r>
                      <w:r w:rsidRPr="00065DE2">
                        <w:rPr>
                          <w:rFonts w:ascii="Arial" w:hAnsi="Arial" w:cs="Arial"/>
                          <w:b/>
                          <w:bCs/>
                          <w:color w:val="385623" w:themeColor="accent6" w:themeShade="80"/>
                        </w:rPr>
                        <w:t xml:space="preserve"> for ensuring the accurate provision of medications to patients, including screening for potential drug interactions and allergies (ASHP, 2024).</w:t>
                      </w:r>
                    </w:p>
                    <w:p w14:paraId="40C56D8D" w14:textId="012FA7AD" w:rsidR="00065DE2" w:rsidRPr="00065DE2" w:rsidRDefault="00065DE2" w:rsidP="00065DE2">
                      <w:pPr>
                        <w:numPr>
                          <w:ilvl w:val="0"/>
                          <w:numId w:val="2"/>
                        </w:numPr>
                        <w:rPr>
                          <w:rFonts w:ascii="Arial" w:hAnsi="Arial" w:cs="Arial"/>
                          <w:b/>
                          <w:bCs/>
                          <w:color w:val="385623" w:themeColor="accent6" w:themeShade="80"/>
                        </w:rPr>
                      </w:pPr>
                      <w:r w:rsidRPr="00065DE2">
                        <w:rPr>
                          <w:rFonts w:ascii="Arial" w:hAnsi="Arial" w:cs="Arial"/>
                          <w:b/>
                          <w:bCs/>
                          <w:color w:val="385623" w:themeColor="accent6" w:themeShade="80"/>
                        </w:rPr>
                        <w:t xml:space="preserve">Patient </w:t>
                      </w:r>
                      <w:r w:rsidR="00F665B1" w:rsidRPr="00EB20D5">
                        <w:rPr>
                          <w:rFonts w:ascii="Arial" w:hAnsi="Arial" w:cs="Arial"/>
                          <w:b/>
                          <w:bCs/>
                          <w:color w:val="385623" w:themeColor="accent6" w:themeShade="80"/>
                        </w:rPr>
                        <w:t>Counselling</w:t>
                      </w:r>
                      <w:r w:rsidRPr="00065DE2">
                        <w:rPr>
                          <w:rFonts w:ascii="Arial" w:hAnsi="Arial" w:cs="Arial"/>
                          <w:b/>
                          <w:bCs/>
                          <w:color w:val="385623" w:themeColor="accent6" w:themeShade="80"/>
                        </w:rPr>
                        <w:t>: Providing education on dosage, potential side effects, and the importance of medication adherence is a core responsibility (WHO, 1997).</w:t>
                      </w:r>
                    </w:p>
                    <w:p w14:paraId="019AEABF" w14:textId="57FDF41A" w:rsidR="00BE6BE0" w:rsidRPr="00FD32B5" w:rsidRDefault="00BE6BE0" w:rsidP="00BE6BE0">
                      <w:pPr>
                        <w:rPr>
                          <w:b/>
                          <w:bCs/>
                          <w:color w:val="385623" w:themeColor="accent6" w:themeShade="80"/>
                        </w:rPr>
                      </w:pPr>
                    </w:p>
                    <w:p w14:paraId="2F2C6041" w14:textId="5A2480FC" w:rsidR="00BE6BE0" w:rsidRDefault="00BE6BE0" w:rsidP="00BE6BE0"/>
                  </w:txbxContent>
                </v:textbox>
                <w10:wrap type="square" anchorx="page"/>
              </v:shape>
            </w:pict>
          </mc:Fallback>
        </mc:AlternateContent>
      </w:r>
      <w:r w:rsidR="003A1079">
        <w:rPr>
          <w:noProof/>
        </w:rPr>
        <mc:AlternateContent>
          <mc:Choice Requires="wps">
            <w:drawing>
              <wp:anchor distT="45720" distB="45720" distL="114300" distR="114300" simplePos="0" relativeHeight="251675648" behindDoc="0" locked="0" layoutInCell="1" allowOverlap="1" wp14:anchorId="1182A892" wp14:editId="3C56FF93">
                <wp:simplePos x="0" y="0"/>
                <wp:positionH relativeFrom="page">
                  <wp:posOffset>3778250</wp:posOffset>
                </wp:positionH>
                <wp:positionV relativeFrom="paragraph">
                  <wp:posOffset>3670935</wp:posOffset>
                </wp:positionV>
                <wp:extent cx="3606800" cy="2019300"/>
                <wp:effectExtent l="19050" t="19050" r="3175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6800" cy="2019300"/>
                        </a:xfrm>
                        <a:prstGeom prst="rect">
                          <a:avLst/>
                        </a:prstGeom>
                        <a:solidFill>
                          <a:srgbClr val="FFFFFF"/>
                        </a:solidFill>
                        <a:ln w="47625">
                          <a:solidFill>
                            <a:srgbClr val="000000"/>
                          </a:solidFill>
                          <a:miter lim="800000"/>
                          <a:headEnd/>
                          <a:tailEnd/>
                        </a:ln>
                        <a:effectLst>
                          <a:softEdge rad="25400"/>
                        </a:effectLst>
                      </wps:spPr>
                      <wps:txbx>
                        <w:txbxContent>
                          <w:p w14:paraId="645B7F1B" w14:textId="77777777" w:rsidR="009E3B07" w:rsidRPr="009E3B07" w:rsidRDefault="009E3B07" w:rsidP="009E3B07">
                            <w:pPr>
                              <w:rPr>
                                <w:rFonts w:ascii="Arial" w:hAnsi="Arial" w:cs="Arial"/>
                                <w:b/>
                                <w:bCs/>
                                <w:color w:val="385623" w:themeColor="accent6" w:themeShade="80"/>
                              </w:rPr>
                            </w:pPr>
                            <w:r w:rsidRPr="009E3B07">
                              <w:rPr>
                                <w:rFonts w:ascii="Arial" w:hAnsi="Arial" w:cs="Arial"/>
                                <w:b/>
                                <w:bCs/>
                                <w:color w:val="385623" w:themeColor="accent6" w:themeShade="80"/>
                              </w:rPr>
                              <w:t>4. Visual Elements for Effective Communication</w:t>
                            </w:r>
                          </w:p>
                          <w:p w14:paraId="25281889" w14:textId="77777777"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Timeline: To illustrate historical development.</w:t>
                            </w:r>
                          </w:p>
                          <w:p w14:paraId="0E41FE90" w14:textId="77777777"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Flowchart: To explain the medication dispensing process.</w:t>
                            </w:r>
                          </w:p>
                          <w:p w14:paraId="14CF9609" w14:textId="77777777"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Infographic/Table: To summarise the challenges.</w:t>
                            </w:r>
                          </w:p>
                          <w:p w14:paraId="7ABB81D3" w14:textId="7EEA3109"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 xml:space="preserve">Icons: For each role (e.g., pill bottle for dispensing, speech bubble for </w:t>
                            </w:r>
                            <w:r w:rsidR="004F3762" w:rsidRPr="00EB20D5">
                              <w:rPr>
                                <w:rFonts w:ascii="Arial" w:hAnsi="Arial" w:cs="Arial"/>
                                <w:b/>
                                <w:bCs/>
                                <w:color w:val="385623" w:themeColor="accent6" w:themeShade="80"/>
                              </w:rPr>
                              <w:t>counselling</w:t>
                            </w:r>
                            <w:r w:rsidRPr="009E3B07">
                              <w:rPr>
                                <w:rFonts w:ascii="Arial" w:hAnsi="Arial" w:cs="Arial"/>
                                <w:b/>
                                <w:bCs/>
                                <w:color w:val="385623" w:themeColor="accent6" w:themeShade="80"/>
                              </w:rPr>
                              <w:t>).</w:t>
                            </w:r>
                          </w:p>
                          <w:p w14:paraId="2390BEA4" w14:textId="4E05C342" w:rsidR="00BE6BE0" w:rsidRPr="00FD32B5" w:rsidRDefault="00BE6BE0" w:rsidP="00BE6BE0">
                            <w:pPr>
                              <w:rPr>
                                <w:b/>
                                <w:bCs/>
                                <w:color w:val="385623" w:themeColor="accent6" w:themeShade="80"/>
                              </w:rPr>
                            </w:pPr>
                          </w:p>
                          <w:p w14:paraId="02EE69C1" w14:textId="1E37A87F" w:rsidR="00BE6BE0" w:rsidRDefault="00BE6BE0"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297.5pt;margin-top:289.05pt;width:284pt;height:159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" strokeweight="3.75pt">
                <v:textbox>
                  <w:txbxContent>
                    <w:p w14:paraId="645B7F1B" w14:textId="77777777" w:rsidR="009E3B07" w:rsidRPr="009E3B07" w:rsidRDefault="009E3B07" w:rsidP="009E3B07">
                      <w:pPr>
                        <w:rPr>
                          <w:rFonts w:ascii="Arial" w:hAnsi="Arial" w:cs="Arial"/>
                          <w:b/>
                          <w:bCs/>
                          <w:color w:val="385623" w:themeColor="accent6" w:themeShade="80"/>
                        </w:rPr>
                      </w:pPr>
                      <w:r w:rsidRPr="009E3B07">
                        <w:rPr>
                          <w:rFonts w:ascii="Arial" w:hAnsi="Arial" w:cs="Arial"/>
                          <w:b/>
                          <w:bCs/>
                          <w:color w:val="385623" w:themeColor="accent6" w:themeShade="80"/>
                        </w:rPr>
                        <w:t>4. Visual Elements for Effective Communication</w:t>
                      </w:r>
                    </w:p>
                    <w:p w14:paraId="25281889" w14:textId="77777777"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Timeline: To illustrate historical development.</w:t>
                      </w:r>
                    </w:p>
                    <w:p w14:paraId="0E41FE90" w14:textId="77777777"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Flowchart: To explain the medication dispensing process.</w:t>
                      </w:r>
                    </w:p>
                    <w:p w14:paraId="14CF9609" w14:textId="77777777"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Infographic/Table: To summarise the challenges.</w:t>
                      </w:r>
                    </w:p>
                    <w:p w14:paraId="7ABB81D3" w14:textId="7EEA3109" w:rsidR="009E3B07" w:rsidRPr="009E3B07" w:rsidRDefault="009E3B07" w:rsidP="009E3B07">
                      <w:pPr>
                        <w:numPr>
                          <w:ilvl w:val="0"/>
                          <w:numId w:val="5"/>
                        </w:numPr>
                        <w:rPr>
                          <w:rFonts w:ascii="Arial" w:hAnsi="Arial" w:cs="Arial"/>
                          <w:b/>
                          <w:bCs/>
                          <w:color w:val="385623" w:themeColor="accent6" w:themeShade="80"/>
                        </w:rPr>
                      </w:pPr>
                      <w:r w:rsidRPr="009E3B07">
                        <w:rPr>
                          <w:rFonts w:ascii="Arial" w:hAnsi="Arial" w:cs="Arial"/>
                          <w:b/>
                          <w:bCs/>
                          <w:color w:val="385623" w:themeColor="accent6" w:themeShade="80"/>
                        </w:rPr>
                        <w:t xml:space="preserve">Icons: For each role (e.g., pill bottle for dispensing, speech bubble for </w:t>
                      </w:r>
                      <w:r w:rsidR="004F3762" w:rsidRPr="00EB20D5">
                        <w:rPr>
                          <w:rFonts w:ascii="Arial" w:hAnsi="Arial" w:cs="Arial"/>
                          <w:b/>
                          <w:bCs/>
                          <w:color w:val="385623" w:themeColor="accent6" w:themeShade="80"/>
                        </w:rPr>
                        <w:t>counselling</w:t>
                      </w:r>
                      <w:r w:rsidRPr="009E3B07">
                        <w:rPr>
                          <w:rFonts w:ascii="Arial" w:hAnsi="Arial" w:cs="Arial"/>
                          <w:b/>
                          <w:bCs/>
                          <w:color w:val="385623" w:themeColor="accent6" w:themeShade="80"/>
                        </w:rPr>
                        <w:t>).</w:t>
                      </w:r>
                    </w:p>
                    <w:p w14:paraId="2390BEA4" w14:textId="4E05C342" w:rsidR="00BE6BE0" w:rsidRPr="00FD32B5" w:rsidRDefault="00BE6BE0" w:rsidP="00BE6BE0">
                      <w:pPr>
                        <w:rPr>
                          <w:b/>
                          <w:bCs/>
                          <w:color w:val="385623" w:themeColor="accent6" w:themeShade="80"/>
                        </w:rPr>
                      </w:pPr>
                    </w:p>
                    <w:p w14:paraId="02EE69C1" w14:textId="1E37A87F" w:rsidR="00BE6BE0" w:rsidRDefault="00BE6BE0" w:rsidP="00BE6BE0"/>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3A1079">
        <w:rPr>
          <w:noProof/>
        </w:rPr>
        <mc:AlternateContent>
          <mc:Choice Requires="wps">
            <w:drawing>
              <wp:anchor distT="45720" distB="45720" distL="114300" distR="114300" simplePos="0" relativeHeight="251663360" behindDoc="0" locked="0" layoutInCell="1" allowOverlap="1" wp14:anchorId="04CAE92E" wp14:editId="1F716F80">
                <wp:simplePos x="0" y="0"/>
                <wp:positionH relativeFrom="page">
                  <wp:posOffset>438150</wp:posOffset>
                </wp:positionH>
                <wp:positionV relativeFrom="paragraph">
                  <wp:posOffset>1130300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4E6A03E1" w:rsidR="00BE6BE0" w:rsidRPr="00FD32B5" w:rsidRDefault="009A027C" w:rsidP="00BE6BE0">
                            <w:pPr>
                              <w:rPr>
                                <w:b/>
                                <w:bCs/>
                                <w:color w:val="385623" w:themeColor="accent6" w:themeShade="80"/>
                              </w:rPr>
                            </w:pPr>
                            <w:r>
                              <w:rPr>
                                <w:b/>
                                <w:bCs/>
                                <w:color w:val="385623" w:themeColor="accent6" w:themeShade="80"/>
                              </w:rPr>
                              <w:t>INTRODUCTION</w:t>
                            </w:r>
                          </w:p>
                          <w:p w14:paraId="0B1F0296" w14:textId="15B40F47" w:rsidR="00E53E1B" w:rsidRDefault="00E53E1B" w:rsidP="00E53E1B">
                            <w:pPr>
                              <w:rPr>
                                <w:rFonts w:ascii="Arial" w:hAnsi="Arial" w:cs="Arial"/>
                              </w:rPr>
                            </w:pPr>
                            <w:r w:rsidRPr="00EB20D5">
                              <w:rPr>
                                <w:rFonts w:ascii="Arial" w:hAnsi="Arial" w:cs="Arial"/>
                              </w:rPr>
                              <w:t>Pharmacy services form a vital part of modern healthcare by ensuring the safe and effective use of medicines, promoting patient education, and supporting public health initiatives. The development of pharmacy aligns with advances in scientific research and technology, as well as changing societal needs (Royal Pharmaceutical Society, 2023).</w:t>
                            </w:r>
                            <w:r w:rsidR="003A1079" w:rsidRPr="003A1079">
                              <w:rPr>
                                <w:rFonts w:ascii="Segoe UI" w:hAnsi="Segoe UI" w:cs="Segoe UI"/>
                                <w:color w:val="1C1C1C"/>
                                <w:spacing w:val="-2"/>
                                <w:sz w:val="21"/>
                                <w:szCs w:val="21"/>
                                <w:shd w:val="clear" w:color="auto" w:fill="FFFFFF"/>
                              </w:rPr>
                              <w:t xml:space="preserve"> </w:t>
                            </w:r>
                            <w:r w:rsidR="003A1079" w:rsidRPr="003A1079">
                              <w:rPr>
                                <w:rFonts w:ascii="Arial" w:hAnsi="Arial" w:cs="Arial"/>
                              </w:rPr>
                              <w:t>Pharmacy is a healthcare profession that dates back to ancient civilizations, where practitioners prepared and dispensed remedies from natural sources (Anderson, 2005). The profession evolved significantly during the Middle Ages with the rise of apothecaries, who were responsible for compounding medicines and advising on their use (Holloway &amp; Henry, 2014). The modern era of pharmacy began in the 19th century, marked by the establishment of formal education and regulatory standards (Sonnedecker, 1976). Today, pharmacists play a crucial role in patient care by ensuring the safe and effective use of medications, providing health education, and collaborating with other healthcare professionals (World Health Organization, 2011).</w:t>
                            </w:r>
                          </w:p>
                          <w:p w14:paraId="2F955751" w14:textId="77777777" w:rsidR="006C2B2B" w:rsidRPr="00E53E1B" w:rsidRDefault="006C2B2B" w:rsidP="00E53E1B">
                            <w:pPr>
                              <w:rPr>
                                <w:rFonts w:ascii="Arial" w:hAnsi="Arial" w:cs="Arial"/>
                              </w:rPr>
                            </w:pPr>
                          </w:p>
                          <w:p w14:paraId="44A2397F" w14:textId="2A0DB4DC"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34.5pt;margin-top:89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" strokecolor="#ed7d31 [3205]" strokeweight="3.75pt">
                <v:textbox>
                  <w:txbxContent>
                    <w:p w14:paraId="35096631" w14:textId="4E6A03E1" w:rsidR="00BE6BE0" w:rsidRPr="00FD32B5" w:rsidRDefault="009A027C" w:rsidP="00BE6BE0">
                      <w:pPr>
                        <w:rPr>
                          <w:b/>
                          <w:bCs/>
                          <w:color w:val="385623" w:themeColor="accent6" w:themeShade="80"/>
                        </w:rPr>
                      </w:pPr>
                      <w:r>
                        <w:rPr>
                          <w:b/>
                          <w:bCs/>
                          <w:color w:val="385623" w:themeColor="accent6" w:themeShade="80"/>
                        </w:rPr>
                        <w:t>INTRODUCTION</w:t>
                      </w:r>
                    </w:p>
                    <w:p w14:paraId="0B1F0296" w14:textId="15B40F47" w:rsidR="00E53E1B" w:rsidRDefault="00E53E1B" w:rsidP="00E53E1B">
                      <w:pPr>
                        <w:rPr>
                          <w:rFonts w:ascii="Arial" w:hAnsi="Arial" w:cs="Arial"/>
                        </w:rPr>
                      </w:pPr>
                      <w:r w:rsidRPr="00EB20D5">
                        <w:rPr>
                          <w:rFonts w:ascii="Arial" w:hAnsi="Arial" w:cs="Arial"/>
                        </w:rPr>
                        <w:t>Pharmacy services form a vital part of modern healthcare by ensuring the safe and effective use of medicines, promoting patient education, and supporting public health initiatives. The development of pharmacy aligns with advances in scientific research and technology, as well as changing societal needs (Royal Pharmaceutical Society, 2023).</w:t>
                      </w:r>
                      <w:r w:rsidR="003A1079" w:rsidRPr="003A1079">
                        <w:rPr>
                          <w:rFonts w:ascii="Segoe UI" w:hAnsi="Segoe UI" w:cs="Segoe UI"/>
                          <w:color w:val="1C1C1C"/>
                          <w:spacing w:val="-2"/>
                          <w:sz w:val="21"/>
                          <w:szCs w:val="21"/>
                          <w:shd w:val="clear" w:color="auto" w:fill="FFFFFF"/>
                        </w:rPr>
                        <w:t xml:space="preserve"> </w:t>
                      </w:r>
                      <w:r w:rsidR="003A1079" w:rsidRPr="003A1079">
                        <w:rPr>
                          <w:rFonts w:ascii="Arial" w:hAnsi="Arial" w:cs="Arial"/>
                        </w:rPr>
                        <w:t>Pharmacy is a healthcare profession that dates back to ancient civilizations, where practitioners prepared and dispensed remedies from natural sources (Anderson, 2005). The profession evolved significantly during the Middle Ages with the rise of apothecaries, who were responsible for compounding medicines and advising on their use (Holloway &amp; Henry, 2014). The modern era of pharmacy began in the 19th century, marked by the establishment of formal education and regulatory standards (Sonnedecker, 1976). Today, pharmacists play a crucial role in patient care by ensuring the safe and effective use of medications, providing health education, and collaborating with other healthcare professionals (World Health Organization, 2011).</w:t>
                      </w:r>
                    </w:p>
                    <w:p w14:paraId="2F955751" w14:textId="77777777" w:rsidR="006C2B2B" w:rsidRPr="00E53E1B" w:rsidRDefault="006C2B2B" w:rsidP="00E53E1B">
                      <w:pPr>
                        <w:rPr>
                          <w:rFonts w:ascii="Arial" w:hAnsi="Arial" w:cs="Arial"/>
                        </w:rPr>
                      </w:pPr>
                    </w:p>
                    <w:p w14:paraId="44A2397F" w14:textId="2A0DB4DC" w:rsidR="00BE6BE0" w:rsidRDefault="00BE6BE0" w:rsidP="00BE6BE0"/>
                  </w:txbxContent>
                </v:textbox>
                <w10:wrap type="square" anchorx="page"/>
              </v:shape>
            </w:pict>
          </mc:Fallback>
        </mc:AlternateContent>
      </w:r>
      <w:r w:rsidR="00AE24C0">
        <w:rPr>
          <w:noProof/>
        </w:rPr>
        <mc:AlternateContent>
          <mc:Choice Requires="wps">
            <w:drawing>
              <wp:anchor distT="45720" distB="45720" distL="114300" distR="114300" simplePos="0" relativeHeight="251665408" behindDoc="0" locked="0" layoutInCell="1" allowOverlap="1" wp14:anchorId="21A64788" wp14:editId="4FC5348F">
                <wp:simplePos x="0" y="0"/>
                <wp:positionH relativeFrom="margin">
                  <wp:posOffset>2368550</wp:posOffset>
                </wp:positionH>
                <wp:positionV relativeFrom="paragraph">
                  <wp:posOffset>1092200</wp:posOffset>
                </wp:positionV>
                <wp:extent cx="3054350" cy="2457450"/>
                <wp:effectExtent l="19050" t="19050" r="1270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4350" cy="2457450"/>
                        </a:xfrm>
                        <a:prstGeom prst="rect">
                          <a:avLst/>
                        </a:prstGeom>
                        <a:solidFill>
                          <a:srgbClr val="FFFFFF"/>
                        </a:solidFill>
                        <a:ln w="44450">
                          <a:solidFill>
                            <a:srgbClr val="000000"/>
                          </a:solidFill>
                          <a:miter lim="800000"/>
                          <a:headEnd/>
                          <a:tailEnd/>
                        </a:ln>
                        <a:effectLst>
                          <a:softEdge rad="25400"/>
                        </a:effectLst>
                      </wps:spPr>
                      <wps:txbx>
                        <w:txbxContent>
                          <w:p w14:paraId="37CBF266" w14:textId="1A2E0E7A" w:rsidR="00C803C2" w:rsidRPr="00C803C2" w:rsidRDefault="00C803C2" w:rsidP="00140948">
                            <w:pPr>
                              <w:rPr>
                                <w:b/>
                                <w:bCs/>
                                <w:color w:val="385623" w:themeColor="accent6" w:themeShade="80"/>
                              </w:rPr>
                            </w:pPr>
                            <w:r w:rsidRPr="00C803C2">
                              <w:rPr>
                                <w:b/>
                                <w:bCs/>
                                <w:color w:val="385623" w:themeColor="accent6" w:themeShade="80"/>
                              </w:rPr>
                              <w:t>1. Brie</w:t>
                            </w:r>
                            <w:r w:rsidR="003415D4">
                              <w:rPr>
                                <w:b/>
                                <w:bCs/>
                                <w:color w:val="385623" w:themeColor="accent6" w:themeShade="80"/>
                              </w:rPr>
                              <w:t xml:space="preserve">f of </w:t>
                            </w:r>
                            <w:r w:rsidR="00F77FD5">
                              <w:rPr>
                                <w:b/>
                                <w:bCs/>
                                <w:color w:val="385623" w:themeColor="accent6" w:themeShade="80"/>
                              </w:rPr>
                              <w:t>pharmacy services bac</w:t>
                            </w:r>
                            <w:r w:rsidR="001C0029">
                              <w:rPr>
                                <w:b/>
                                <w:bCs/>
                                <w:color w:val="385623" w:themeColor="accent6" w:themeShade="80"/>
                              </w:rPr>
                              <w:t>kground</w:t>
                            </w:r>
                          </w:p>
                          <w:p w14:paraId="16EA0274" w14:textId="6F7EF1F9" w:rsidR="00BE6BE0" w:rsidRPr="00FD32B5" w:rsidRDefault="003415D4" w:rsidP="00BE6BE0">
                            <w:pPr>
                              <w:rPr>
                                <w:b/>
                                <w:bCs/>
                                <w:color w:val="385623" w:themeColor="accent6" w:themeShade="80"/>
                              </w:rPr>
                            </w:pPr>
                            <w:r>
                              <w:rPr>
                                <w:noProof/>
                              </w:rPr>
                              <w:drawing>
                                <wp:inline distT="0" distB="0" distL="0" distR="0" wp14:anchorId="1DD9361F" wp14:editId="12E8E05A">
                                  <wp:extent cx="2813050" cy="2109788"/>
                                  <wp:effectExtent l="0" t="0" r="6350" b="5080"/>
                                  <wp:docPr id="14778464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46491" name="Picture 9"/>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836432" cy="2127325"/>
                                          </a:xfrm>
                                          <a:prstGeom prst="rect">
                                            <a:avLst/>
                                          </a:prstGeom>
                                          <a:noFill/>
                                          <a:ln>
                                            <a:noFill/>
                                          </a:ln>
                                        </pic:spPr>
                                      </pic:pic>
                                    </a:graphicData>
                                  </a:graphic>
                                </wp:inline>
                              </w:drawing>
                            </w:r>
                          </w:p>
                          <w:p w14:paraId="2A6CE679" w14:textId="49AC80B5"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186.5pt;margin-top:86pt;width:240.5pt;height:193.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" strokeweight="3.5pt">
                <v:textbox>
                  <w:txbxContent>
                    <w:p w14:paraId="37CBF266" w14:textId="1A2E0E7A" w:rsidR="00C803C2" w:rsidRPr="00C803C2" w:rsidRDefault="00C803C2" w:rsidP="00140948">
                      <w:pPr>
                        <w:rPr>
                          <w:b/>
                          <w:bCs/>
                          <w:color w:val="385623" w:themeColor="accent6" w:themeShade="80"/>
                        </w:rPr>
                      </w:pPr>
                      <w:r w:rsidRPr="00C803C2">
                        <w:rPr>
                          <w:b/>
                          <w:bCs/>
                          <w:color w:val="385623" w:themeColor="accent6" w:themeShade="80"/>
                        </w:rPr>
                        <w:t>1. Brie</w:t>
                      </w:r>
                      <w:r w:rsidR="003415D4">
                        <w:rPr>
                          <w:b/>
                          <w:bCs/>
                          <w:color w:val="385623" w:themeColor="accent6" w:themeShade="80"/>
                        </w:rPr>
                        <w:t xml:space="preserve">f of </w:t>
                      </w:r>
                      <w:r w:rsidR="00F77FD5">
                        <w:rPr>
                          <w:b/>
                          <w:bCs/>
                          <w:color w:val="385623" w:themeColor="accent6" w:themeShade="80"/>
                        </w:rPr>
                        <w:t>pharmacy services bac</w:t>
                      </w:r>
                      <w:r w:rsidR="001C0029">
                        <w:rPr>
                          <w:b/>
                          <w:bCs/>
                          <w:color w:val="385623" w:themeColor="accent6" w:themeShade="80"/>
                        </w:rPr>
                        <w:t>kground</w:t>
                      </w:r>
                    </w:p>
                    <w:p w14:paraId="16EA0274" w14:textId="6F7EF1F9" w:rsidR="00BE6BE0" w:rsidRPr="00FD32B5" w:rsidRDefault="003415D4" w:rsidP="00BE6BE0">
                      <w:pPr>
                        <w:rPr>
                          <w:b/>
                          <w:bCs/>
                          <w:color w:val="385623" w:themeColor="accent6" w:themeShade="80"/>
                        </w:rPr>
                      </w:pPr>
                      <w:r>
                        <w:rPr>
                          <w:noProof/>
                        </w:rPr>
                        <w:drawing>
                          <wp:inline distT="0" distB="0" distL="0" distR="0" wp14:anchorId="1DD9361F" wp14:editId="12E8E05A">
                            <wp:extent cx="2813050" cy="2109788"/>
                            <wp:effectExtent l="0" t="0" r="6350" b="5080"/>
                            <wp:docPr id="14778464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46491" name="Picture 9"/>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836432" cy="2127325"/>
                                    </a:xfrm>
                                    <a:prstGeom prst="rect">
                                      <a:avLst/>
                                    </a:prstGeom>
                                    <a:noFill/>
                                    <a:ln>
                                      <a:noFill/>
                                    </a:ln>
                                  </pic:spPr>
                                </pic:pic>
                              </a:graphicData>
                            </a:graphic>
                          </wp:inline>
                        </w:drawing>
                      </w:r>
                    </w:p>
                    <w:p w14:paraId="2A6CE679" w14:textId="49AC80B5" w:rsidR="00BE6BE0" w:rsidRDefault="00BE6BE0" w:rsidP="00BE6BE0"/>
                  </w:txbxContent>
                </v:textbox>
                <w10:wrap type="square" anchorx="margin"/>
              </v:shape>
            </w:pict>
          </mc:Fallback>
        </mc:AlternateContent>
      </w:r>
      <w:r w:rsidR="000B15D3">
        <w:rPr>
          <w:noProof/>
        </w:rPr>
        <mc:AlternateContent>
          <mc:Choice Requires="wps">
            <w:drawing>
              <wp:anchor distT="45720" distB="45720" distL="114300" distR="114300" simplePos="0" relativeHeight="251667456" behindDoc="0" locked="0" layoutInCell="1" allowOverlap="1" wp14:anchorId="2F5030E1" wp14:editId="56E09C25">
                <wp:simplePos x="0" y="0"/>
                <wp:positionH relativeFrom="margin">
                  <wp:posOffset>6647180</wp:posOffset>
                </wp:positionH>
                <wp:positionV relativeFrom="paragraph">
                  <wp:posOffset>3842385</wp:posOffset>
                </wp:positionV>
                <wp:extent cx="3023870" cy="1860550"/>
                <wp:effectExtent l="19050" t="19050" r="2413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3870" cy="1860550"/>
                        </a:xfrm>
                        <a:prstGeom prst="rect">
                          <a:avLst/>
                        </a:prstGeom>
                        <a:solidFill>
                          <a:srgbClr val="FFFFFF"/>
                        </a:solidFill>
                        <a:ln w="44450">
                          <a:solidFill>
                            <a:srgbClr val="000000"/>
                          </a:solidFill>
                          <a:miter lim="800000"/>
                          <a:headEnd/>
                          <a:tailEnd/>
                        </a:ln>
                        <a:effectLst>
                          <a:softEdge rad="25400"/>
                        </a:effectLst>
                      </wps:spPr>
                      <wps:txbx>
                        <w:txbxContent>
                          <w:p w14:paraId="2E66983A" w14:textId="4FFBD578" w:rsidR="000B15D3" w:rsidRPr="000B15D3" w:rsidRDefault="000B15D3" w:rsidP="000B15D3">
                            <w:pPr>
                              <w:rPr>
                                <w:rFonts w:ascii="Arial" w:hAnsi="Arial" w:cs="Arial"/>
                                <w:b/>
                                <w:bCs/>
                                <w:color w:val="385623" w:themeColor="accent6" w:themeShade="80"/>
                              </w:rPr>
                            </w:pPr>
                            <w:r w:rsidRPr="000B15D3">
                              <w:rPr>
                                <w:rFonts w:ascii="Arial" w:hAnsi="Arial" w:cs="Arial"/>
                                <w:b/>
                                <w:bCs/>
                                <w:color w:val="385623" w:themeColor="accent6" w:themeShade="80"/>
                              </w:rPr>
                              <w:t>5. Conclusion</w:t>
                            </w:r>
                            <w:r w:rsidR="00CE55D8" w:rsidRPr="00C0667C">
                              <w:rPr>
                                <w:rFonts w:ascii="Arial" w:hAnsi="Arial" w:cs="Arial"/>
                                <w:b/>
                                <w:bCs/>
                                <w:color w:val="385623" w:themeColor="accent6" w:themeShade="80"/>
                              </w:rPr>
                              <w:t xml:space="preserve">. </w:t>
                            </w:r>
                            <w:r w:rsidRPr="000B15D3">
                              <w:rPr>
                                <w:rFonts w:ascii="Arial" w:hAnsi="Arial" w:cs="Arial"/>
                                <w:b/>
                                <w:bCs/>
                                <w:color w:val="385623" w:themeColor="accent6" w:themeShade="80"/>
                              </w:rPr>
                              <w:t xml:space="preserve">Pharmacy services have progressed from basic medication preparation to a highly skilled, </w:t>
                            </w:r>
                            <w:r w:rsidRPr="00C0667C">
                              <w:rPr>
                                <w:rFonts w:ascii="Arial" w:hAnsi="Arial" w:cs="Arial"/>
                                <w:b/>
                                <w:bCs/>
                                <w:color w:val="385623" w:themeColor="accent6" w:themeShade="80"/>
                              </w:rPr>
                              <w:t>patient-centred</w:t>
                            </w:r>
                            <w:r w:rsidRPr="000B15D3">
                              <w:rPr>
                                <w:rFonts w:ascii="Arial" w:hAnsi="Arial" w:cs="Arial"/>
                                <w:b/>
                                <w:bCs/>
                                <w:color w:val="385623" w:themeColor="accent6" w:themeShade="80"/>
                              </w:rPr>
                              <w:t xml:space="preserve"> profession. Currently, pharmacists serve as essential healthcare providers by delivering clinical care, education, and public health services. Addressing medication safety and workforce challenges remains crucial for the continued advancement of </w:t>
                            </w:r>
                            <w:r w:rsidR="00885FD2">
                              <w:rPr>
                                <w:rFonts w:ascii="Arial" w:hAnsi="Arial" w:cs="Arial"/>
                                <w:b/>
                                <w:bCs/>
                                <w:color w:val="385623" w:themeColor="accent6" w:themeShade="80"/>
                              </w:rPr>
                              <w:t>P</w:t>
                            </w:r>
                            <w:r w:rsidR="00471E9D">
                              <w:rPr>
                                <w:rFonts w:ascii="Arial" w:hAnsi="Arial" w:cs="Arial"/>
                                <w:b/>
                                <w:bCs/>
                                <w:color w:val="385623" w:themeColor="accent6" w:themeShade="80"/>
                              </w:rPr>
                              <w:t>pph</w:t>
                            </w:r>
                            <w:r w:rsidR="00471E9D" w:rsidRPr="000B15D3">
                              <w:rPr>
                                <w:rFonts w:ascii="Arial" w:hAnsi="Arial" w:cs="Arial"/>
                                <w:b/>
                                <w:bCs/>
                                <w:color w:val="385623" w:themeColor="accent6" w:themeShade="80"/>
                              </w:rPr>
                              <w:t>armacy</w:t>
                            </w:r>
                            <w:r w:rsidRPr="000B15D3">
                              <w:rPr>
                                <w:rFonts w:ascii="Arial" w:hAnsi="Arial" w:cs="Arial"/>
                                <w:b/>
                                <w:bCs/>
                                <w:color w:val="385623" w:themeColor="accent6" w:themeShade="80"/>
                              </w:rPr>
                              <w:t xml:space="preserve"> </w:t>
                            </w:r>
                            <w:r w:rsidR="00400275">
                              <w:rPr>
                                <w:rFonts w:ascii="Arial" w:hAnsi="Arial" w:cs="Arial"/>
                                <w:b/>
                                <w:bCs/>
                                <w:color w:val="385623" w:themeColor="accent6" w:themeShade="80"/>
                              </w:rPr>
                              <w:t>.</w:t>
                            </w:r>
                            <w:r w:rsidRPr="000B15D3">
                              <w:rPr>
                                <w:rFonts w:ascii="Arial" w:hAnsi="Arial" w:cs="Arial"/>
                                <w:b/>
                                <w:bCs/>
                                <w:color w:val="385623" w:themeColor="accent6" w:themeShade="80"/>
                              </w:rPr>
                              <w:t>services.</w:t>
                            </w:r>
                          </w:p>
                          <w:p w14:paraId="2C703FA3" w14:textId="3954296A" w:rsidR="00BE6BE0" w:rsidRPr="00FD32B5" w:rsidRDefault="00BE6BE0" w:rsidP="00BE6BE0">
                            <w:pPr>
                              <w:rPr>
                                <w:b/>
                                <w:bCs/>
                                <w:color w:val="385623" w:themeColor="accent6" w:themeShade="80"/>
                              </w:rPr>
                            </w:pPr>
                          </w:p>
                          <w:p w14:paraId="69461F56" w14:textId="0E9DFAD2"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523.4pt;margin-top:302.55pt;width:238.1pt;height:146.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" strokeweight="3.5pt">
                <v:textbox>
                  <w:txbxContent>
                    <w:p w14:paraId="2E66983A" w14:textId="4FFBD578" w:rsidR="000B15D3" w:rsidRPr="000B15D3" w:rsidRDefault="000B15D3" w:rsidP="000B15D3">
                      <w:pPr>
                        <w:rPr>
                          <w:rFonts w:ascii="Arial" w:hAnsi="Arial" w:cs="Arial"/>
                          <w:b/>
                          <w:bCs/>
                          <w:color w:val="385623" w:themeColor="accent6" w:themeShade="80"/>
                        </w:rPr>
                      </w:pPr>
                      <w:r w:rsidRPr="000B15D3">
                        <w:rPr>
                          <w:rFonts w:ascii="Arial" w:hAnsi="Arial" w:cs="Arial"/>
                          <w:b/>
                          <w:bCs/>
                          <w:color w:val="385623" w:themeColor="accent6" w:themeShade="80"/>
                        </w:rPr>
                        <w:t>5. Conclusion</w:t>
                      </w:r>
                      <w:r w:rsidR="00CE55D8" w:rsidRPr="00C0667C">
                        <w:rPr>
                          <w:rFonts w:ascii="Arial" w:hAnsi="Arial" w:cs="Arial"/>
                          <w:b/>
                          <w:bCs/>
                          <w:color w:val="385623" w:themeColor="accent6" w:themeShade="80"/>
                        </w:rPr>
                        <w:t xml:space="preserve">. </w:t>
                      </w:r>
                      <w:r w:rsidRPr="000B15D3">
                        <w:rPr>
                          <w:rFonts w:ascii="Arial" w:hAnsi="Arial" w:cs="Arial"/>
                          <w:b/>
                          <w:bCs/>
                          <w:color w:val="385623" w:themeColor="accent6" w:themeShade="80"/>
                        </w:rPr>
                        <w:t xml:space="preserve">Pharmacy services have progressed from basic medication preparation to a highly skilled, </w:t>
                      </w:r>
                      <w:r w:rsidRPr="00C0667C">
                        <w:rPr>
                          <w:rFonts w:ascii="Arial" w:hAnsi="Arial" w:cs="Arial"/>
                          <w:b/>
                          <w:bCs/>
                          <w:color w:val="385623" w:themeColor="accent6" w:themeShade="80"/>
                        </w:rPr>
                        <w:t>patient-centred</w:t>
                      </w:r>
                      <w:r w:rsidRPr="000B15D3">
                        <w:rPr>
                          <w:rFonts w:ascii="Arial" w:hAnsi="Arial" w:cs="Arial"/>
                          <w:b/>
                          <w:bCs/>
                          <w:color w:val="385623" w:themeColor="accent6" w:themeShade="80"/>
                        </w:rPr>
                        <w:t xml:space="preserve"> profession. Currently, pharmacists serve as essential healthcare providers by delivering clinical care, education, and public health services. Addressing medication safety and workforce challenges remains crucial for the continued advancement of </w:t>
                      </w:r>
                      <w:r w:rsidR="00885FD2">
                        <w:rPr>
                          <w:rFonts w:ascii="Arial" w:hAnsi="Arial" w:cs="Arial"/>
                          <w:b/>
                          <w:bCs/>
                          <w:color w:val="385623" w:themeColor="accent6" w:themeShade="80"/>
                        </w:rPr>
                        <w:t>P</w:t>
                      </w:r>
                      <w:r w:rsidR="00471E9D">
                        <w:rPr>
                          <w:rFonts w:ascii="Arial" w:hAnsi="Arial" w:cs="Arial"/>
                          <w:b/>
                          <w:bCs/>
                          <w:color w:val="385623" w:themeColor="accent6" w:themeShade="80"/>
                        </w:rPr>
                        <w:t>pph</w:t>
                      </w:r>
                      <w:r w:rsidR="00471E9D" w:rsidRPr="000B15D3">
                        <w:rPr>
                          <w:rFonts w:ascii="Arial" w:hAnsi="Arial" w:cs="Arial"/>
                          <w:b/>
                          <w:bCs/>
                          <w:color w:val="385623" w:themeColor="accent6" w:themeShade="80"/>
                        </w:rPr>
                        <w:t>armacy</w:t>
                      </w:r>
                      <w:r w:rsidRPr="000B15D3">
                        <w:rPr>
                          <w:rFonts w:ascii="Arial" w:hAnsi="Arial" w:cs="Arial"/>
                          <w:b/>
                          <w:bCs/>
                          <w:color w:val="385623" w:themeColor="accent6" w:themeShade="80"/>
                        </w:rPr>
                        <w:t xml:space="preserve"> </w:t>
                      </w:r>
                      <w:r w:rsidR="00400275">
                        <w:rPr>
                          <w:rFonts w:ascii="Arial" w:hAnsi="Arial" w:cs="Arial"/>
                          <w:b/>
                          <w:bCs/>
                          <w:color w:val="385623" w:themeColor="accent6" w:themeShade="80"/>
                        </w:rPr>
                        <w:t>.</w:t>
                      </w:r>
                      <w:r w:rsidRPr="000B15D3">
                        <w:rPr>
                          <w:rFonts w:ascii="Arial" w:hAnsi="Arial" w:cs="Arial"/>
                          <w:b/>
                          <w:bCs/>
                          <w:color w:val="385623" w:themeColor="accent6" w:themeShade="80"/>
                        </w:rPr>
                        <w:t>services.</w:t>
                      </w:r>
                    </w:p>
                    <w:p w14:paraId="2C703FA3" w14:textId="3954296A" w:rsidR="00BE6BE0" w:rsidRPr="00FD32B5" w:rsidRDefault="00BE6BE0" w:rsidP="00BE6BE0">
                      <w:pPr>
                        <w:rPr>
                          <w:b/>
                          <w:bCs/>
                          <w:color w:val="385623" w:themeColor="accent6" w:themeShade="80"/>
                        </w:rPr>
                      </w:pPr>
                    </w:p>
                    <w:p w14:paraId="69461F56" w14:textId="0E9DFAD2" w:rsidR="00BE6BE0" w:rsidRDefault="00BE6BE0" w:rsidP="00BE6BE0"/>
                  </w:txbxContent>
                </v:textbox>
                <w10:wrap type="square" anchorx="margin"/>
              </v:shape>
            </w:pict>
          </mc:Fallback>
        </mc:AlternateContent>
      </w:r>
      <w:r w:rsidR="00054DBE">
        <w:rPr>
          <w:noProof/>
        </w:rPr>
        <mc:AlternateContent>
          <mc:Choice Requires="wps">
            <w:drawing>
              <wp:anchor distT="45720" distB="45720" distL="114300" distR="114300" simplePos="0" relativeHeight="251671552" behindDoc="0" locked="0" layoutInCell="1" allowOverlap="1" wp14:anchorId="5D749413" wp14:editId="794DC4A2">
                <wp:simplePos x="0" y="0"/>
                <wp:positionH relativeFrom="page">
                  <wp:posOffset>38100</wp:posOffset>
                </wp:positionH>
                <wp:positionV relativeFrom="paragraph">
                  <wp:posOffset>3728085</wp:posOffset>
                </wp:positionV>
                <wp:extent cx="3962400" cy="1962150"/>
                <wp:effectExtent l="19050" t="19050" r="38100" b="3810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2400" cy="1962150"/>
                        </a:xfrm>
                        <a:prstGeom prst="rect">
                          <a:avLst/>
                        </a:prstGeom>
                        <a:solidFill>
                          <a:srgbClr val="FFFFFF"/>
                        </a:solidFill>
                        <a:ln w="47625">
                          <a:solidFill>
                            <a:srgbClr val="000000"/>
                          </a:solidFill>
                          <a:miter lim="800000"/>
                          <a:headEnd/>
                          <a:tailEnd/>
                        </a:ln>
                        <a:effectLst>
                          <a:softEdge rad="25400"/>
                        </a:effectLst>
                      </wps:spPr>
                      <wps:txbx>
                        <w:txbxContent>
                          <w:p w14:paraId="68D41F49" w14:textId="77777777" w:rsidR="00054DBE" w:rsidRPr="00054DBE" w:rsidRDefault="00054DBE" w:rsidP="00054DBE">
                            <w:pPr>
                              <w:rPr>
                                <w:rFonts w:ascii="Arial" w:hAnsi="Arial" w:cs="Arial"/>
                                <w:b/>
                                <w:bCs/>
                                <w:color w:val="385623" w:themeColor="accent6" w:themeShade="80"/>
                              </w:rPr>
                            </w:pPr>
                            <w:r w:rsidRPr="00054DBE">
                              <w:rPr>
                                <w:rFonts w:ascii="Arial" w:hAnsi="Arial" w:cs="Arial"/>
                                <w:b/>
                                <w:bCs/>
                                <w:color w:val="385623" w:themeColor="accent6" w:themeShade="80"/>
                              </w:rPr>
                              <w:t>3. Two Key Challenges Facing Pharmacy Services</w:t>
                            </w:r>
                          </w:p>
                          <w:p w14:paraId="2CC1178D" w14:textId="77777777" w:rsidR="00054DBE" w:rsidRPr="00054DBE" w:rsidRDefault="00054DBE" w:rsidP="00054DBE">
                            <w:pPr>
                              <w:rPr>
                                <w:rFonts w:ascii="Arial" w:hAnsi="Arial" w:cs="Arial"/>
                                <w:b/>
                                <w:bCs/>
                                <w:color w:val="385623" w:themeColor="accent6" w:themeShade="80"/>
                              </w:rPr>
                            </w:pPr>
                            <w:r w:rsidRPr="00054DBE">
                              <w:rPr>
                                <w:rFonts w:ascii="Arial" w:hAnsi="Arial" w:cs="Arial"/>
                                <w:b/>
                                <w:bCs/>
                                <w:color w:val="385623" w:themeColor="accent6" w:themeShade="80"/>
                              </w:rPr>
                              <w:t>A. Medication Errors</w:t>
                            </w:r>
                          </w:p>
                          <w:p w14:paraId="5951373D" w14:textId="094E642E" w:rsidR="00054DBE" w:rsidRPr="00054DBE" w:rsidRDefault="00054DBE" w:rsidP="00054DBE">
                            <w:pPr>
                              <w:numPr>
                                <w:ilvl w:val="0"/>
                                <w:numId w:val="3"/>
                              </w:numPr>
                              <w:rPr>
                                <w:rFonts w:ascii="Arial" w:hAnsi="Arial" w:cs="Arial"/>
                                <w:b/>
                                <w:bCs/>
                                <w:color w:val="385623" w:themeColor="accent6" w:themeShade="80"/>
                              </w:rPr>
                            </w:pPr>
                            <w:r w:rsidRPr="00054DBE">
                              <w:rPr>
                                <w:rFonts w:ascii="Arial" w:hAnsi="Arial" w:cs="Arial"/>
                                <w:b/>
                                <w:bCs/>
                                <w:color w:val="385623" w:themeColor="accent6" w:themeShade="80"/>
                              </w:rPr>
                              <w:t>Primary causes include high workload, the presence of look-alike or sound-alike drug names, and illegible prescriptions.</w:t>
                            </w:r>
                            <w:r w:rsidR="00F10853" w:rsidRPr="0020379F">
                              <w:rPr>
                                <w:rFonts w:ascii="Arial" w:hAnsi="Arial" w:cs="Arial"/>
                                <w:b/>
                                <w:bCs/>
                                <w:color w:val="385623" w:themeColor="accent6" w:themeShade="80"/>
                              </w:rPr>
                              <w:t xml:space="preserve"> </w:t>
                            </w:r>
                            <w:r w:rsidRPr="00054DBE">
                              <w:rPr>
                                <w:rFonts w:ascii="Arial" w:hAnsi="Arial" w:cs="Arial"/>
                                <w:b/>
                                <w:bCs/>
                                <w:color w:val="385623" w:themeColor="accent6" w:themeShade="80"/>
                              </w:rPr>
                              <w:t>These errors may result in patient harm and diminish trust in healthcare systems (WHO, 1997).</w:t>
                            </w:r>
                          </w:p>
                          <w:p w14:paraId="1BC0F9FA" w14:textId="77777777" w:rsidR="00054DBE" w:rsidRPr="00054DBE" w:rsidRDefault="00054DBE" w:rsidP="00054DBE">
                            <w:pPr>
                              <w:rPr>
                                <w:rFonts w:ascii="Arial" w:hAnsi="Arial" w:cs="Arial"/>
                                <w:b/>
                                <w:bCs/>
                                <w:color w:val="385623" w:themeColor="accent6" w:themeShade="80"/>
                              </w:rPr>
                            </w:pPr>
                            <w:r w:rsidRPr="00054DBE">
                              <w:rPr>
                                <w:rFonts w:ascii="Arial" w:hAnsi="Arial" w:cs="Arial"/>
                                <w:b/>
                                <w:bCs/>
                                <w:color w:val="385623" w:themeColor="accent6" w:themeShade="80"/>
                              </w:rPr>
                              <w:t>B. Workforce Shortages and Workload</w:t>
                            </w:r>
                          </w:p>
                          <w:p w14:paraId="5542A4FD" w14:textId="77777777" w:rsidR="00054DBE" w:rsidRPr="00054DBE" w:rsidRDefault="00054DBE" w:rsidP="00054DBE">
                            <w:pPr>
                              <w:numPr>
                                <w:ilvl w:val="0"/>
                                <w:numId w:val="4"/>
                              </w:numPr>
                              <w:rPr>
                                <w:b/>
                                <w:bCs/>
                                <w:color w:val="385623" w:themeColor="accent6" w:themeShade="80"/>
                              </w:rPr>
                            </w:pPr>
                            <w:r w:rsidRPr="00054DBE">
                              <w:rPr>
                                <w:rFonts w:ascii="Arial" w:hAnsi="Arial" w:cs="Arial"/>
                                <w:b/>
                                <w:bCs/>
                                <w:color w:val="385623" w:themeColor="accent6" w:themeShade="80"/>
                              </w:rPr>
                              <w:t>The aging population and increasing complexity of care have contributed to an expanded workload for</w:t>
                            </w:r>
                            <w:r w:rsidRPr="00054DBE">
                              <w:rPr>
                                <w:b/>
                                <w:bCs/>
                                <w:color w:val="385623" w:themeColor="accent6" w:themeShade="80"/>
                              </w:rPr>
                              <w:t xml:space="preserve"> pharmacists (FIP, 2024).</w:t>
                            </w:r>
                          </w:p>
                          <w:p w14:paraId="78C06E73" w14:textId="77777777" w:rsidR="00054DBE" w:rsidRPr="00054DBE" w:rsidRDefault="00054DBE" w:rsidP="00054DBE">
                            <w:pPr>
                              <w:numPr>
                                <w:ilvl w:val="0"/>
                                <w:numId w:val="4"/>
                              </w:numPr>
                              <w:rPr>
                                <w:b/>
                                <w:bCs/>
                                <w:color w:val="385623" w:themeColor="accent6" w:themeShade="80"/>
                              </w:rPr>
                            </w:pPr>
                            <w:r w:rsidRPr="00054DBE">
                              <w:rPr>
                                <w:b/>
                                <w:bCs/>
                                <w:color w:val="385623" w:themeColor="accent6" w:themeShade="80"/>
                              </w:rPr>
                              <w:t>Consequences include longer patient wait times, fewer opportunities for patient counseling, and a heightened risk of burnout among pharmacy staff (ASHP, 2024).</w:t>
                            </w:r>
                          </w:p>
                          <w:p w14:paraId="6E07F680" w14:textId="1AC7B1D4" w:rsidR="00BE6BE0" w:rsidRPr="00FD32B5" w:rsidRDefault="00BE6BE0" w:rsidP="00BE6BE0">
                            <w:pPr>
                              <w:rPr>
                                <w:b/>
                                <w:bCs/>
                                <w:color w:val="385623" w:themeColor="accent6" w:themeShade="80"/>
                              </w:rPr>
                            </w:pPr>
                          </w:p>
                          <w:p w14:paraId="42887553" w14:textId="7AF4AB4C" w:rsidR="00BE6BE0" w:rsidRDefault="00BE6BE0" w:rsidP="00BE6BE0"/>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3pt;margin-top:293.55pt;width:312pt;height:154.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" strokeweight="3.75pt">
                <v:textbox>
                  <w:txbxContent>
                    <w:p w14:paraId="68D41F49" w14:textId="77777777" w:rsidR="00054DBE" w:rsidRPr="00054DBE" w:rsidRDefault="00054DBE" w:rsidP="00054DBE">
                      <w:pPr>
                        <w:rPr>
                          <w:rFonts w:ascii="Arial" w:hAnsi="Arial" w:cs="Arial"/>
                          <w:b/>
                          <w:bCs/>
                          <w:color w:val="385623" w:themeColor="accent6" w:themeShade="80"/>
                        </w:rPr>
                      </w:pPr>
                      <w:r w:rsidRPr="00054DBE">
                        <w:rPr>
                          <w:rFonts w:ascii="Arial" w:hAnsi="Arial" w:cs="Arial"/>
                          <w:b/>
                          <w:bCs/>
                          <w:color w:val="385623" w:themeColor="accent6" w:themeShade="80"/>
                        </w:rPr>
                        <w:t>3. Two Key Challenges Facing Pharmacy Services</w:t>
                      </w:r>
                    </w:p>
                    <w:p w14:paraId="2CC1178D" w14:textId="77777777" w:rsidR="00054DBE" w:rsidRPr="00054DBE" w:rsidRDefault="00054DBE" w:rsidP="00054DBE">
                      <w:pPr>
                        <w:rPr>
                          <w:rFonts w:ascii="Arial" w:hAnsi="Arial" w:cs="Arial"/>
                          <w:b/>
                          <w:bCs/>
                          <w:color w:val="385623" w:themeColor="accent6" w:themeShade="80"/>
                        </w:rPr>
                      </w:pPr>
                      <w:r w:rsidRPr="00054DBE">
                        <w:rPr>
                          <w:rFonts w:ascii="Arial" w:hAnsi="Arial" w:cs="Arial"/>
                          <w:b/>
                          <w:bCs/>
                          <w:color w:val="385623" w:themeColor="accent6" w:themeShade="80"/>
                        </w:rPr>
                        <w:t>A. Medication Errors</w:t>
                      </w:r>
                    </w:p>
                    <w:p w14:paraId="5951373D" w14:textId="094E642E" w:rsidR="00054DBE" w:rsidRPr="00054DBE" w:rsidRDefault="00054DBE" w:rsidP="00054DBE">
                      <w:pPr>
                        <w:numPr>
                          <w:ilvl w:val="0"/>
                          <w:numId w:val="3"/>
                        </w:numPr>
                        <w:rPr>
                          <w:rFonts w:ascii="Arial" w:hAnsi="Arial" w:cs="Arial"/>
                          <w:b/>
                          <w:bCs/>
                          <w:color w:val="385623" w:themeColor="accent6" w:themeShade="80"/>
                        </w:rPr>
                      </w:pPr>
                      <w:r w:rsidRPr="00054DBE">
                        <w:rPr>
                          <w:rFonts w:ascii="Arial" w:hAnsi="Arial" w:cs="Arial"/>
                          <w:b/>
                          <w:bCs/>
                          <w:color w:val="385623" w:themeColor="accent6" w:themeShade="80"/>
                        </w:rPr>
                        <w:t>Primary causes include high workload, the presence of look-alike or sound-alike drug names, and illegible prescriptions.</w:t>
                      </w:r>
                      <w:r w:rsidR="00F10853" w:rsidRPr="0020379F">
                        <w:rPr>
                          <w:rFonts w:ascii="Arial" w:hAnsi="Arial" w:cs="Arial"/>
                          <w:b/>
                          <w:bCs/>
                          <w:color w:val="385623" w:themeColor="accent6" w:themeShade="80"/>
                        </w:rPr>
                        <w:t xml:space="preserve"> </w:t>
                      </w:r>
                      <w:r w:rsidRPr="00054DBE">
                        <w:rPr>
                          <w:rFonts w:ascii="Arial" w:hAnsi="Arial" w:cs="Arial"/>
                          <w:b/>
                          <w:bCs/>
                          <w:color w:val="385623" w:themeColor="accent6" w:themeShade="80"/>
                        </w:rPr>
                        <w:t>These errors may result in patient harm and diminish trust in healthcare systems (WHO, 1997).</w:t>
                      </w:r>
                    </w:p>
                    <w:p w14:paraId="1BC0F9FA" w14:textId="77777777" w:rsidR="00054DBE" w:rsidRPr="00054DBE" w:rsidRDefault="00054DBE" w:rsidP="00054DBE">
                      <w:pPr>
                        <w:rPr>
                          <w:rFonts w:ascii="Arial" w:hAnsi="Arial" w:cs="Arial"/>
                          <w:b/>
                          <w:bCs/>
                          <w:color w:val="385623" w:themeColor="accent6" w:themeShade="80"/>
                        </w:rPr>
                      </w:pPr>
                      <w:r w:rsidRPr="00054DBE">
                        <w:rPr>
                          <w:rFonts w:ascii="Arial" w:hAnsi="Arial" w:cs="Arial"/>
                          <w:b/>
                          <w:bCs/>
                          <w:color w:val="385623" w:themeColor="accent6" w:themeShade="80"/>
                        </w:rPr>
                        <w:t>B. Workforce Shortages and Workload</w:t>
                      </w:r>
                    </w:p>
                    <w:p w14:paraId="5542A4FD" w14:textId="77777777" w:rsidR="00054DBE" w:rsidRPr="00054DBE" w:rsidRDefault="00054DBE" w:rsidP="00054DBE">
                      <w:pPr>
                        <w:numPr>
                          <w:ilvl w:val="0"/>
                          <w:numId w:val="4"/>
                        </w:numPr>
                        <w:rPr>
                          <w:b/>
                          <w:bCs/>
                          <w:color w:val="385623" w:themeColor="accent6" w:themeShade="80"/>
                        </w:rPr>
                      </w:pPr>
                      <w:r w:rsidRPr="00054DBE">
                        <w:rPr>
                          <w:rFonts w:ascii="Arial" w:hAnsi="Arial" w:cs="Arial"/>
                          <w:b/>
                          <w:bCs/>
                          <w:color w:val="385623" w:themeColor="accent6" w:themeShade="80"/>
                        </w:rPr>
                        <w:t>The aging population and increasing complexity of care have contributed to an expanded workload for</w:t>
                      </w:r>
                      <w:r w:rsidRPr="00054DBE">
                        <w:rPr>
                          <w:b/>
                          <w:bCs/>
                          <w:color w:val="385623" w:themeColor="accent6" w:themeShade="80"/>
                        </w:rPr>
                        <w:t xml:space="preserve"> pharmacists (FIP, 2024).</w:t>
                      </w:r>
                    </w:p>
                    <w:p w14:paraId="78C06E73" w14:textId="77777777" w:rsidR="00054DBE" w:rsidRPr="00054DBE" w:rsidRDefault="00054DBE" w:rsidP="00054DBE">
                      <w:pPr>
                        <w:numPr>
                          <w:ilvl w:val="0"/>
                          <w:numId w:val="4"/>
                        </w:numPr>
                        <w:rPr>
                          <w:b/>
                          <w:bCs/>
                          <w:color w:val="385623" w:themeColor="accent6" w:themeShade="80"/>
                        </w:rPr>
                      </w:pPr>
                      <w:r w:rsidRPr="00054DBE">
                        <w:rPr>
                          <w:b/>
                          <w:bCs/>
                          <w:color w:val="385623" w:themeColor="accent6" w:themeShade="80"/>
                        </w:rPr>
                        <w:t>Consequences include longer patient wait times, fewer opportunities for patient counseling, and a heightened risk of burnout among pharmacy staff (ASHP, 2024).</w:t>
                      </w:r>
                    </w:p>
                    <w:p w14:paraId="6E07F680" w14:textId="1AC7B1D4" w:rsidR="00BE6BE0" w:rsidRPr="00FD32B5" w:rsidRDefault="00BE6BE0" w:rsidP="00BE6BE0">
                      <w:pPr>
                        <w:rPr>
                          <w:b/>
                          <w:bCs/>
                          <w:color w:val="385623" w:themeColor="accent6" w:themeShade="80"/>
                        </w:rPr>
                      </w:pPr>
                    </w:p>
                    <w:p w14:paraId="42887553" w14:textId="7AF4AB4C" w:rsidR="00BE6BE0" w:rsidRDefault="00BE6BE0" w:rsidP="00BE6BE0"/>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F23066">
        <w:rPr>
          <w:noProof/>
        </w:rPr>
        <mc:AlternateContent>
          <mc:Choice Requires="wps">
            <w:drawing>
              <wp:anchor distT="0" distB="0" distL="114300" distR="114300" simplePos="0" relativeHeight="251659264" behindDoc="1" locked="0" layoutInCell="1" allowOverlap="1" wp14:anchorId="777A8668" wp14:editId="2C2F2A17">
                <wp:simplePos x="0" y="0"/>
                <wp:positionH relativeFrom="page">
                  <wp:posOffset>-1270</wp:posOffset>
                </wp:positionH>
                <wp:positionV relativeFrom="paragraph">
                  <wp:posOffset>635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B80F53" id="Rectangle 1" o:spid="_x0000_s1026" style="position:absolute;margin-left:-.1pt;margin-top:.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" fillcolor="gray [1629]" strokecolor="#92d050" strokeweight="1pt">
                <v:fill opacity="30069f"/>
                <w10:wrap anchorx="page"/>
              </v:rect>
            </w:pict>
          </mc:Fallback>
        </mc:AlternateContent>
      </w:r>
    </w:p>
    <w:p w14:paraId="6E8AE780" w14:textId="77777777" w:rsidR="003A000F" w:rsidRDefault="00833470">
      <w:pPr>
        <w:rPr>
          <w:rFonts w:ascii="Arial" w:hAnsi="Arial" w:cs="Arial"/>
          <w:b/>
          <w:bCs/>
          <w:sz w:val="28"/>
          <w:szCs w:val="28"/>
        </w:rPr>
      </w:pPr>
      <w:r w:rsidRPr="001F6802">
        <w:rPr>
          <w:rFonts w:ascii="Arial" w:hAnsi="Arial" w:cs="Arial"/>
          <w:b/>
          <w:bCs/>
          <w:sz w:val="28"/>
          <w:szCs w:val="28"/>
        </w:rPr>
        <w:lastRenderedPageBreak/>
        <w:t>Element 2</w:t>
      </w:r>
    </w:p>
    <w:p w14:paraId="6886F6C4" w14:textId="77777777" w:rsidR="007877F6" w:rsidRDefault="007877F6">
      <w:pPr>
        <w:rPr>
          <w:rFonts w:ascii="Arial" w:hAnsi="Arial" w:cs="Arial"/>
          <w:b/>
          <w:bCs/>
          <w:sz w:val="28"/>
          <w:szCs w:val="28"/>
        </w:rPr>
      </w:pPr>
    </w:p>
    <w:p w14:paraId="19E180C9" w14:textId="77777777" w:rsidR="009410AF" w:rsidRPr="009410AF" w:rsidRDefault="009410AF" w:rsidP="009410AF">
      <w:pPr>
        <w:rPr>
          <w:rFonts w:ascii="Arial" w:hAnsi="Arial" w:cs="Arial"/>
          <w:b/>
          <w:bCs/>
        </w:rPr>
      </w:pPr>
      <w:r w:rsidRPr="009410AF">
        <w:rPr>
          <w:rFonts w:ascii="Arial" w:hAnsi="Arial" w:cs="Arial"/>
          <w:b/>
          <w:bCs/>
        </w:rPr>
        <w:t>Origins and Principles of the National Health Service (NHS)</w:t>
      </w:r>
    </w:p>
    <w:p w14:paraId="569FB9F0" w14:textId="5EFAC657" w:rsidR="00AE3244" w:rsidRPr="00AE3244" w:rsidRDefault="00AE3244" w:rsidP="00AE3244">
      <w:pPr>
        <w:rPr>
          <w:rFonts w:ascii="Arial" w:hAnsi="Arial" w:cs="Arial"/>
          <w:b/>
          <w:bCs/>
        </w:rPr>
      </w:pPr>
      <w:r w:rsidRPr="00AE3244">
        <w:rPr>
          <w:rFonts w:ascii="Arial" w:hAnsi="Arial" w:cs="Arial"/>
          <w:b/>
          <w:bCs/>
        </w:rPr>
        <w:t xml:space="preserve">Historical Background and Fundamental Ideas </w:t>
      </w:r>
      <w:r w:rsidRPr="00AE3244">
        <w:rPr>
          <w:rFonts w:ascii="Arial" w:hAnsi="Arial" w:cs="Arial"/>
          <w:b/>
          <w:bCs/>
        </w:rPr>
        <w:br/>
        <w:t xml:space="preserve">After World War II, the United Kingdom founded the National Health Service (NHS) in 1948. Significant societal disparities and the pressing need for comprehensive healthcare reform were brought to light by the war's devastation (Webster, 2002). </w:t>
      </w:r>
      <w:r>
        <w:rPr>
          <w:rFonts w:ascii="Arial" w:hAnsi="Arial" w:cs="Arial"/>
          <w:b/>
          <w:bCs/>
        </w:rPr>
        <w:t>Before</w:t>
      </w:r>
      <w:r w:rsidRPr="00AE3244">
        <w:rPr>
          <w:rFonts w:ascii="Arial" w:hAnsi="Arial" w:cs="Arial"/>
          <w:b/>
          <w:bCs/>
        </w:rPr>
        <w:t xml:space="preserve"> the NHS, access to healthcare in Britain was frequently based on a person's financial situation and was a patchwork of private, voluntary, and municipal services. </w:t>
      </w:r>
    </w:p>
    <w:p w14:paraId="3A8605F7" w14:textId="32E4B490" w:rsidR="00E85DFC" w:rsidRPr="00E85DFC" w:rsidRDefault="00E85DFC" w:rsidP="00E85DFC">
      <w:pPr>
        <w:rPr>
          <w:rFonts w:ascii="Arial" w:hAnsi="Arial" w:cs="Arial"/>
          <w:b/>
          <w:bCs/>
        </w:rPr>
      </w:pPr>
      <w:r w:rsidRPr="00E85DFC">
        <w:rPr>
          <w:rFonts w:ascii="Arial" w:hAnsi="Arial" w:cs="Arial"/>
          <w:b/>
          <w:bCs/>
        </w:rPr>
        <w:t>The Social Insurance and Allied Services Report (1942), also known as the Beveridge Report, served as the foundation for the National Health Service (NHS). In support of a welfare state, Sir William Beveridge suggested that healthcare should be available to all citizens, free at the point of need, and funded by taxes (Beveridge, 1942). The then-Minister of Health, Aneurin Bevan, played a key role in putting these concepts into practice by highlighting equality, universality, and comprehensiveness (Timmins, 2001).</w:t>
      </w:r>
    </w:p>
    <w:p w14:paraId="36E25802" w14:textId="53C52F72" w:rsidR="009410AF" w:rsidRPr="009410AF" w:rsidRDefault="00CC6358" w:rsidP="009410AF">
      <w:pPr>
        <w:rPr>
          <w:rFonts w:ascii="Arial" w:hAnsi="Arial" w:cs="Arial"/>
          <w:b/>
          <w:bCs/>
        </w:rPr>
      </w:pPr>
      <w:r>
        <w:rPr>
          <w:rFonts w:ascii="Arial" w:hAnsi="Arial" w:cs="Arial"/>
          <w:b/>
          <w:bCs/>
        </w:rPr>
        <w:t>H</w:t>
      </w:r>
      <w:r w:rsidR="00CC277D">
        <w:rPr>
          <w:rFonts w:ascii="Arial" w:hAnsi="Arial" w:cs="Arial"/>
          <w:b/>
          <w:bCs/>
        </w:rPr>
        <w:t>owev</w:t>
      </w:r>
      <w:r>
        <w:rPr>
          <w:rFonts w:ascii="Arial" w:hAnsi="Arial" w:cs="Arial"/>
          <w:b/>
          <w:bCs/>
        </w:rPr>
        <w:t xml:space="preserve">er, the following are the </w:t>
      </w:r>
      <w:r w:rsidR="009410AF" w:rsidRPr="009410AF">
        <w:rPr>
          <w:rFonts w:ascii="Arial" w:hAnsi="Arial" w:cs="Arial"/>
          <w:b/>
          <w:bCs/>
        </w:rPr>
        <w:t>Key Principles</w:t>
      </w:r>
      <w:r w:rsidR="00D33A2B">
        <w:rPr>
          <w:rFonts w:ascii="Arial" w:hAnsi="Arial" w:cs="Arial"/>
          <w:b/>
          <w:bCs/>
        </w:rPr>
        <w:t xml:space="preserve"> of NHS:</w:t>
      </w:r>
    </w:p>
    <w:p w14:paraId="24571487" w14:textId="66E0E89B" w:rsidR="009410AF" w:rsidRPr="009410AF" w:rsidRDefault="009410AF" w:rsidP="009410AF">
      <w:pPr>
        <w:numPr>
          <w:ilvl w:val="0"/>
          <w:numId w:val="6"/>
        </w:numPr>
        <w:rPr>
          <w:rFonts w:ascii="Arial" w:hAnsi="Arial" w:cs="Arial"/>
          <w:b/>
          <w:bCs/>
        </w:rPr>
      </w:pPr>
      <w:r w:rsidRPr="009410AF">
        <w:rPr>
          <w:rFonts w:ascii="Arial" w:hAnsi="Arial" w:cs="Arial"/>
          <w:b/>
          <w:bCs/>
        </w:rPr>
        <w:t xml:space="preserve">Universality: Healthcare </w:t>
      </w:r>
      <w:r w:rsidR="00EB20D5">
        <w:rPr>
          <w:rFonts w:ascii="Arial" w:hAnsi="Arial" w:cs="Arial"/>
          <w:b/>
          <w:bCs/>
        </w:rPr>
        <w:t xml:space="preserve">is </w:t>
      </w:r>
      <w:r w:rsidRPr="009410AF">
        <w:rPr>
          <w:rFonts w:ascii="Arial" w:hAnsi="Arial" w:cs="Arial"/>
          <w:b/>
          <w:bCs/>
        </w:rPr>
        <w:t>available to all residents of the UK.</w:t>
      </w:r>
    </w:p>
    <w:p w14:paraId="3BBB43AE" w14:textId="77777777" w:rsidR="009410AF" w:rsidRPr="009410AF" w:rsidRDefault="009410AF" w:rsidP="009410AF">
      <w:pPr>
        <w:numPr>
          <w:ilvl w:val="0"/>
          <w:numId w:val="6"/>
        </w:numPr>
        <w:rPr>
          <w:rFonts w:ascii="Arial" w:hAnsi="Arial" w:cs="Arial"/>
          <w:b/>
          <w:bCs/>
        </w:rPr>
      </w:pPr>
      <w:r w:rsidRPr="009410AF">
        <w:rPr>
          <w:rFonts w:ascii="Arial" w:hAnsi="Arial" w:cs="Arial"/>
          <w:b/>
          <w:bCs/>
        </w:rPr>
        <w:t>Comprehensiveness: Coverage for a wide range of health needs.</w:t>
      </w:r>
    </w:p>
    <w:p w14:paraId="1A202C60" w14:textId="77777777" w:rsidR="009410AF" w:rsidRPr="009410AF" w:rsidRDefault="009410AF" w:rsidP="009410AF">
      <w:pPr>
        <w:numPr>
          <w:ilvl w:val="0"/>
          <w:numId w:val="6"/>
        </w:numPr>
        <w:rPr>
          <w:rFonts w:ascii="Arial" w:hAnsi="Arial" w:cs="Arial"/>
          <w:b/>
          <w:bCs/>
        </w:rPr>
      </w:pPr>
      <w:r w:rsidRPr="009410AF">
        <w:rPr>
          <w:rFonts w:ascii="Arial" w:hAnsi="Arial" w:cs="Arial"/>
          <w:b/>
          <w:bCs/>
        </w:rPr>
        <w:t>Free at the Point of Use: No direct charges at the time of service.</w:t>
      </w:r>
    </w:p>
    <w:p w14:paraId="5F532143" w14:textId="77777777" w:rsidR="009410AF" w:rsidRPr="009410AF" w:rsidRDefault="009410AF" w:rsidP="009410AF">
      <w:pPr>
        <w:numPr>
          <w:ilvl w:val="0"/>
          <w:numId w:val="6"/>
        </w:numPr>
        <w:rPr>
          <w:rFonts w:ascii="Arial" w:hAnsi="Arial" w:cs="Arial"/>
          <w:b/>
          <w:bCs/>
        </w:rPr>
      </w:pPr>
      <w:r w:rsidRPr="009410AF">
        <w:rPr>
          <w:rFonts w:ascii="Arial" w:hAnsi="Arial" w:cs="Arial"/>
          <w:b/>
          <w:bCs/>
        </w:rPr>
        <w:t>Funded by Taxation: Financed through the general tax system, not insurance or out-of-pocket payments (Webster, 2002).</w:t>
      </w:r>
    </w:p>
    <w:p w14:paraId="2E7CB7C8" w14:textId="3CB9E380" w:rsidR="009410AF" w:rsidRPr="009410AF" w:rsidRDefault="009410AF" w:rsidP="009410AF">
      <w:pPr>
        <w:rPr>
          <w:rFonts w:ascii="Arial" w:hAnsi="Arial" w:cs="Arial"/>
          <w:b/>
          <w:bCs/>
        </w:rPr>
      </w:pPr>
      <w:r w:rsidRPr="009410AF">
        <w:rPr>
          <w:rFonts w:ascii="Arial" w:hAnsi="Arial" w:cs="Arial"/>
          <w:b/>
          <w:bCs/>
        </w:rPr>
        <w:t xml:space="preserve"> </w:t>
      </w:r>
      <w:r w:rsidR="001C44C5">
        <w:rPr>
          <w:rFonts w:ascii="Arial" w:hAnsi="Arial" w:cs="Arial"/>
          <w:b/>
          <w:bCs/>
        </w:rPr>
        <w:t xml:space="preserve">The </w:t>
      </w:r>
      <w:r w:rsidR="00EE12F4">
        <w:rPr>
          <w:rFonts w:ascii="Arial" w:hAnsi="Arial" w:cs="Arial"/>
          <w:b/>
          <w:bCs/>
        </w:rPr>
        <w:t xml:space="preserve">Current </w:t>
      </w:r>
      <w:r w:rsidRPr="009410AF">
        <w:rPr>
          <w:rFonts w:ascii="Arial" w:hAnsi="Arial" w:cs="Arial"/>
          <w:b/>
          <w:bCs/>
        </w:rPr>
        <w:t>Functioning of</w:t>
      </w:r>
      <w:r w:rsidR="00952930" w:rsidRPr="00952930">
        <w:rPr>
          <w:rFonts w:ascii="Times New Roman" w:eastAsia="Times New Roman" w:hAnsi="Times New Roman" w:cs="Times New Roman"/>
          <w:sz w:val="24"/>
          <w:szCs w:val="24"/>
          <w:lang w:eastAsia="en-GB"/>
        </w:rPr>
        <w:t xml:space="preserve"> </w:t>
      </w:r>
      <w:r w:rsidR="00952930">
        <w:rPr>
          <w:rFonts w:ascii="Arial" w:hAnsi="Arial" w:cs="Arial"/>
          <w:b/>
          <w:bCs/>
        </w:rPr>
        <w:t>the</w:t>
      </w:r>
      <w:r w:rsidR="00952930" w:rsidRPr="00952930">
        <w:rPr>
          <w:rFonts w:ascii="Arial" w:hAnsi="Arial" w:cs="Arial"/>
          <w:b/>
          <w:bCs/>
        </w:rPr>
        <w:t xml:space="preserve"> NHS is now one of the largest publicly funded health services in the world. Although it still adheres to its core values, the organisation and provision of services have changed significantly</w:t>
      </w:r>
    </w:p>
    <w:p w14:paraId="5D9991EA" w14:textId="77777777" w:rsidR="00516D48" w:rsidRPr="00516D48" w:rsidRDefault="00516D48" w:rsidP="00516D48">
      <w:pPr>
        <w:rPr>
          <w:rFonts w:ascii="Arial" w:hAnsi="Arial" w:cs="Arial"/>
          <w:b/>
          <w:bCs/>
        </w:rPr>
      </w:pPr>
      <w:r w:rsidRPr="00516D48">
        <w:rPr>
          <w:rFonts w:ascii="Arial" w:hAnsi="Arial" w:cs="Arial"/>
          <w:b/>
          <w:bCs/>
        </w:rPr>
        <w:t>Additionally, because of the NHS's current devolved structure, each of England, Scotland, Wales, and Northern Ireland has its own NHS system with differing degrees of autonomy and policy (NHS, 2023). The NHS in England is run by NHS England, which is in charge of Clinical Commissioning Groups (CCGs) and Integrated Care Systems (ICSs), which are in charge of organising and commissioning medical services (NHS England, 2023).</w:t>
      </w:r>
    </w:p>
    <w:p w14:paraId="74E7FDD8" w14:textId="367F9654" w:rsidR="009410AF" w:rsidRPr="009410AF" w:rsidRDefault="005F3177" w:rsidP="00C270AB">
      <w:pPr>
        <w:rPr>
          <w:rFonts w:ascii="Arial" w:hAnsi="Arial" w:cs="Arial"/>
          <w:b/>
          <w:bCs/>
        </w:rPr>
      </w:pPr>
      <w:r>
        <w:rPr>
          <w:rFonts w:ascii="Arial" w:hAnsi="Arial" w:cs="Arial"/>
          <w:b/>
          <w:bCs/>
        </w:rPr>
        <w:t>H</w:t>
      </w:r>
      <w:r w:rsidR="00943FF3">
        <w:rPr>
          <w:rFonts w:ascii="Arial" w:hAnsi="Arial" w:cs="Arial"/>
          <w:b/>
          <w:bCs/>
        </w:rPr>
        <w:t>owev</w:t>
      </w:r>
      <w:r>
        <w:rPr>
          <w:rFonts w:ascii="Arial" w:hAnsi="Arial" w:cs="Arial"/>
          <w:b/>
          <w:bCs/>
        </w:rPr>
        <w:t xml:space="preserve">er, the </w:t>
      </w:r>
      <w:r w:rsidR="009410AF" w:rsidRPr="009410AF">
        <w:rPr>
          <w:rFonts w:ascii="Arial" w:hAnsi="Arial" w:cs="Arial"/>
          <w:b/>
          <w:bCs/>
        </w:rPr>
        <w:t>Key Components</w:t>
      </w:r>
      <w:r>
        <w:rPr>
          <w:rFonts w:ascii="Arial" w:hAnsi="Arial" w:cs="Arial"/>
          <w:b/>
          <w:bCs/>
        </w:rPr>
        <w:t xml:space="preserve"> of the NHS</w:t>
      </w:r>
      <w:r w:rsidR="00CC131D">
        <w:rPr>
          <w:rFonts w:ascii="Arial" w:hAnsi="Arial" w:cs="Arial"/>
          <w:b/>
          <w:bCs/>
        </w:rPr>
        <w:t xml:space="preserve"> </w:t>
      </w:r>
      <w:r w:rsidR="00C270AB">
        <w:rPr>
          <w:rFonts w:ascii="Arial" w:hAnsi="Arial" w:cs="Arial"/>
          <w:b/>
          <w:bCs/>
        </w:rPr>
        <w:t>include:</w:t>
      </w:r>
      <w:r w:rsidR="00B05D5F">
        <w:rPr>
          <w:rFonts w:ascii="Arial" w:hAnsi="Arial" w:cs="Arial"/>
          <w:b/>
          <w:bCs/>
        </w:rPr>
        <w:t xml:space="preserve"> </w:t>
      </w:r>
      <w:r w:rsidR="009410AF" w:rsidRPr="009410AF">
        <w:rPr>
          <w:rFonts w:ascii="Arial" w:hAnsi="Arial" w:cs="Arial"/>
          <w:b/>
          <w:bCs/>
        </w:rPr>
        <w:t>Primary Care: General practitioners (GPs), dentists, pharmacists, and optometrists provide first-contact care.</w:t>
      </w:r>
      <w:r w:rsidR="00C270AB">
        <w:rPr>
          <w:rFonts w:ascii="Arial" w:hAnsi="Arial" w:cs="Arial"/>
          <w:b/>
          <w:bCs/>
        </w:rPr>
        <w:t xml:space="preserve"> Also, </w:t>
      </w:r>
      <w:r w:rsidR="009410AF" w:rsidRPr="009410AF">
        <w:rPr>
          <w:rFonts w:ascii="Arial" w:hAnsi="Arial" w:cs="Arial"/>
          <w:b/>
          <w:bCs/>
        </w:rPr>
        <w:t xml:space="preserve">Secondary Care: Specialist services </w:t>
      </w:r>
      <w:r w:rsidR="00D22B33">
        <w:rPr>
          <w:rFonts w:ascii="Arial" w:hAnsi="Arial" w:cs="Arial"/>
          <w:b/>
          <w:bCs/>
        </w:rPr>
        <w:t xml:space="preserve">are </w:t>
      </w:r>
      <w:r w:rsidR="009410AF" w:rsidRPr="009410AF">
        <w:rPr>
          <w:rFonts w:ascii="Arial" w:hAnsi="Arial" w:cs="Arial"/>
          <w:b/>
          <w:bCs/>
        </w:rPr>
        <w:t>usually provided in hospitals, following referral from primary care</w:t>
      </w:r>
      <w:r w:rsidR="00C270AB">
        <w:rPr>
          <w:rFonts w:ascii="Arial" w:hAnsi="Arial" w:cs="Arial"/>
          <w:b/>
          <w:bCs/>
        </w:rPr>
        <w:t xml:space="preserve"> and </w:t>
      </w:r>
      <w:r w:rsidR="009410AF" w:rsidRPr="009410AF">
        <w:rPr>
          <w:rFonts w:ascii="Arial" w:hAnsi="Arial" w:cs="Arial"/>
          <w:b/>
          <w:bCs/>
        </w:rPr>
        <w:t xml:space="preserve">Tertiary Care: Highly </w:t>
      </w:r>
      <w:r w:rsidR="00EB20D5">
        <w:rPr>
          <w:rFonts w:ascii="Arial" w:hAnsi="Arial" w:cs="Arial"/>
          <w:b/>
          <w:bCs/>
        </w:rPr>
        <w:t>specialised treatments, often in major hospitals or academic centres</w:t>
      </w:r>
      <w:r w:rsidR="009410AF" w:rsidRPr="009410AF">
        <w:rPr>
          <w:rFonts w:ascii="Arial" w:hAnsi="Arial" w:cs="Arial"/>
          <w:b/>
          <w:bCs/>
        </w:rPr>
        <w:t>.</w:t>
      </w:r>
    </w:p>
    <w:p w14:paraId="07DDD62C" w14:textId="1DCC30FF" w:rsidR="009410AF" w:rsidRPr="009410AF" w:rsidRDefault="00044859" w:rsidP="009410AF">
      <w:pPr>
        <w:rPr>
          <w:rFonts w:ascii="Arial" w:hAnsi="Arial" w:cs="Arial"/>
          <w:b/>
          <w:bCs/>
        </w:rPr>
      </w:pPr>
      <w:r>
        <w:rPr>
          <w:rFonts w:ascii="Arial" w:hAnsi="Arial" w:cs="Arial"/>
          <w:b/>
          <w:bCs/>
        </w:rPr>
        <w:t>M</w:t>
      </w:r>
      <w:r w:rsidR="00EF6538">
        <w:rPr>
          <w:rFonts w:ascii="Arial" w:hAnsi="Arial" w:cs="Arial"/>
          <w:b/>
          <w:bCs/>
        </w:rPr>
        <w:t>oreso</w:t>
      </w:r>
      <w:r>
        <w:rPr>
          <w:rFonts w:ascii="Arial" w:hAnsi="Arial" w:cs="Arial"/>
          <w:b/>
          <w:bCs/>
        </w:rPr>
        <w:t xml:space="preserve">, the </w:t>
      </w:r>
      <w:r w:rsidR="009410AF" w:rsidRPr="009410AF">
        <w:rPr>
          <w:rFonts w:ascii="Arial" w:hAnsi="Arial" w:cs="Arial"/>
          <w:b/>
          <w:bCs/>
        </w:rPr>
        <w:t>Functioning and Critique</w:t>
      </w:r>
      <w:r>
        <w:rPr>
          <w:rFonts w:ascii="Arial" w:hAnsi="Arial" w:cs="Arial"/>
          <w:b/>
          <w:bCs/>
        </w:rPr>
        <w:t xml:space="preserve"> of </w:t>
      </w:r>
      <w:r w:rsidR="00D61747">
        <w:rPr>
          <w:rFonts w:ascii="Arial" w:hAnsi="Arial" w:cs="Arial"/>
          <w:b/>
          <w:bCs/>
        </w:rPr>
        <w:t>the</w:t>
      </w:r>
      <w:r w:rsidR="009410AF" w:rsidRPr="009410AF">
        <w:rPr>
          <w:rFonts w:ascii="Arial" w:hAnsi="Arial" w:cs="Arial"/>
          <w:b/>
          <w:bCs/>
        </w:rPr>
        <w:t xml:space="preserve"> NHS remains committed to providing universal </w:t>
      </w:r>
      <w:r w:rsidR="00D22B33" w:rsidRPr="009410AF">
        <w:rPr>
          <w:rFonts w:ascii="Arial" w:hAnsi="Arial" w:cs="Arial"/>
          <w:b/>
          <w:bCs/>
        </w:rPr>
        <w:t>healthcare but</w:t>
      </w:r>
      <w:r w:rsidR="009410AF" w:rsidRPr="009410AF">
        <w:rPr>
          <w:rFonts w:ascii="Arial" w:hAnsi="Arial" w:cs="Arial"/>
          <w:b/>
          <w:bCs/>
        </w:rPr>
        <w:t xml:space="preserve"> faces considerable challenges. These include funding pressures, an </w:t>
      </w:r>
      <w:r w:rsidR="00D22B33">
        <w:rPr>
          <w:rFonts w:ascii="Arial" w:hAnsi="Arial" w:cs="Arial"/>
          <w:b/>
          <w:bCs/>
        </w:rPr>
        <w:t>ageing</w:t>
      </w:r>
      <w:r w:rsidR="009410AF" w:rsidRPr="009410AF">
        <w:rPr>
          <w:rFonts w:ascii="Arial" w:hAnsi="Arial" w:cs="Arial"/>
          <w:b/>
          <w:bCs/>
        </w:rPr>
        <w:t xml:space="preserve"> population, increased demand, and workforce shortages (Appleby et al., 2017). Recent reforms have </w:t>
      </w:r>
      <w:r w:rsidR="000E2A83">
        <w:rPr>
          <w:rFonts w:ascii="Arial" w:hAnsi="Arial" w:cs="Arial"/>
          <w:b/>
          <w:bCs/>
        </w:rPr>
        <w:t>emphasised efficiency, integration of services, and patient choice, but also introduced elements of competition and privatisation</w:t>
      </w:r>
      <w:r w:rsidR="009410AF" w:rsidRPr="009410AF">
        <w:rPr>
          <w:rFonts w:ascii="Arial" w:hAnsi="Arial" w:cs="Arial"/>
          <w:b/>
          <w:bCs/>
        </w:rPr>
        <w:t>, sparking debate over the impact on equity and care quality (Timmins, 2021).</w:t>
      </w:r>
    </w:p>
    <w:p w14:paraId="3F879163" w14:textId="2508C93C" w:rsidR="00775B12" w:rsidRDefault="00070765" w:rsidP="00127DA2">
      <w:pPr>
        <w:rPr>
          <w:rFonts w:ascii="Arial" w:hAnsi="Arial" w:cs="Arial"/>
          <w:b/>
          <w:bCs/>
        </w:rPr>
      </w:pPr>
      <w:r>
        <w:rPr>
          <w:rFonts w:ascii="Arial" w:hAnsi="Arial" w:cs="Arial"/>
          <w:b/>
          <w:bCs/>
        </w:rPr>
        <w:lastRenderedPageBreak/>
        <w:t>F</w:t>
      </w:r>
      <w:r w:rsidR="00AD2A52">
        <w:rPr>
          <w:rFonts w:ascii="Arial" w:hAnsi="Arial" w:cs="Arial"/>
          <w:b/>
          <w:bCs/>
        </w:rPr>
        <w:t>ur</w:t>
      </w:r>
      <w:r>
        <w:rPr>
          <w:rFonts w:ascii="Arial" w:hAnsi="Arial" w:cs="Arial"/>
          <w:b/>
          <w:bCs/>
        </w:rPr>
        <w:t xml:space="preserve">thermore, the </w:t>
      </w:r>
      <w:r w:rsidR="009410AF" w:rsidRPr="009410AF">
        <w:rPr>
          <w:rFonts w:ascii="Arial" w:hAnsi="Arial" w:cs="Arial"/>
          <w:b/>
          <w:bCs/>
        </w:rPr>
        <w:t>Critical Issue</w:t>
      </w:r>
      <w:r>
        <w:rPr>
          <w:rFonts w:ascii="Arial" w:hAnsi="Arial" w:cs="Arial"/>
          <w:b/>
          <w:bCs/>
        </w:rPr>
        <w:t xml:space="preserve"> of the NHS</w:t>
      </w:r>
      <w:r w:rsidR="00127DA2">
        <w:rPr>
          <w:rFonts w:ascii="Arial" w:hAnsi="Arial" w:cs="Arial"/>
          <w:b/>
          <w:bCs/>
        </w:rPr>
        <w:t xml:space="preserve"> ar</w:t>
      </w:r>
      <w:r w:rsidR="008D6728">
        <w:rPr>
          <w:rFonts w:ascii="Arial" w:hAnsi="Arial" w:cs="Arial"/>
          <w:b/>
          <w:bCs/>
        </w:rPr>
        <w:t>e;</w:t>
      </w:r>
      <w:r w:rsidR="00127DA2">
        <w:rPr>
          <w:rFonts w:ascii="Arial" w:hAnsi="Arial" w:cs="Arial"/>
          <w:b/>
          <w:bCs/>
        </w:rPr>
        <w:t xml:space="preserve"> </w:t>
      </w:r>
      <w:r w:rsidR="009410AF" w:rsidRPr="009410AF">
        <w:rPr>
          <w:rFonts w:ascii="Arial" w:hAnsi="Arial" w:cs="Arial"/>
          <w:b/>
          <w:bCs/>
        </w:rPr>
        <w:t>Funding Constraints: Despite rising expenditure, resources often lag behind demand, leading to longer waiting times and system strain (Appleby et al., 2017).</w:t>
      </w:r>
      <w:r w:rsidR="00127DA2">
        <w:rPr>
          <w:rFonts w:ascii="Arial" w:hAnsi="Arial" w:cs="Arial"/>
          <w:b/>
          <w:bCs/>
        </w:rPr>
        <w:t xml:space="preserve"> </w:t>
      </w:r>
    </w:p>
    <w:p w14:paraId="209D772A" w14:textId="1B26EE10" w:rsidR="009410AF" w:rsidRPr="009410AF" w:rsidRDefault="009410AF" w:rsidP="00127DA2">
      <w:pPr>
        <w:rPr>
          <w:rFonts w:ascii="Arial" w:hAnsi="Arial" w:cs="Arial"/>
          <w:b/>
          <w:bCs/>
        </w:rPr>
      </w:pPr>
      <w:r w:rsidRPr="009410AF">
        <w:rPr>
          <w:rFonts w:ascii="Arial" w:hAnsi="Arial" w:cs="Arial"/>
          <w:b/>
          <w:bCs/>
        </w:rPr>
        <w:t>Variation in Care: Devolution and local commissioning have led to regional disparities in service provision.</w:t>
      </w:r>
    </w:p>
    <w:p w14:paraId="53F14F50" w14:textId="1541EF45" w:rsidR="009410AF" w:rsidRPr="009410AF" w:rsidRDefault="000143E3" w:rsidP="00775B12">
      <w:pPr>
        <w:rPr>
          <w:rFonts w:ascii="Arial" w:hAnsi="Arial" w:cs="Arial"/>
          <w:b/>
          <w:bCs/>
        </w:rPr>
      </w:pPr>
      <w:r>
        <w:rPr>
          <w:rFonts w:ascii="Arial" w:hAnsi="Arial" w:cs="Arial"/>
          <w:b/>
          <w:bCs/>
        </w:rPr>
        <w:t>Privatisation</w:t>
      </w:r>
      <w:r w:rsidR="009410AF" w:rsidRPr="009410AF">
        <w:rPr>
          <w:rFonts w:ascii="Arial" w:hAnsi="Arial" w:cs="Arial"/>
          <w:b/>
          <w:bCs/>
        </w:rPr>
        <w:t xml:space="preserve"> Concerns: The introduction of market mechanisms has raised questions about the NHS’s public service ethos (Pollock et al., 2012).</w:t>
      </w:r>
    </w:p>
    <w:p w14:paraId="6B7C8DB8" w14:textId="77777777" w:rsidR="009410AF" w:rsidRPr="009410AF" w:rsidRDefault="009410AF" w:rsidP="00775B12">
      <w:pPr>
        <w:rPr>
          <w:rFonts w:ascii="Arial" w:hAnsi="Arial" w:cs="Arial"/>
          <w:b/>
          <w:bCs/>
        </w:rPr>
      </w:pPr>
      <w:r w:rsidRPr="009410AF">
        <w:rPr>
          <w:rFonts w:ascii="Arial" w:hAnsi="Arial" w:cs="Arial"/>
          <w:b/>
          <w:bCs/>
        </w:rPr>
        <w:t>Integration Efforts: Recent reforms focus on integrating health and social care to improve outcomes and efficiency, but implementation remains complex (NHS England, 2023).</w:t>
      </w:r>
    </w:p>
    <w:p w14:paraId="0ACC76BF" w14:textId="6B229339" w:rsidR="009410AF" w:rsidRPr="009410AF" w:rsidRDefault="008D6728" w:rsidP="009410AF">
      <w:pPr>
        <w:rPr>
          <w:rFonts w:ascii="Arial" w:hAnsi="Arial" w:cs="Arial"/>
          <w:b/>
          <w:bCs/>
        </w:rPr>
      </w:pPr>
      <w:r>
        <w:rPr>
          <w:rFonts w:ascii="Arial" w:hAnsi="Arial" w:cs="Arial"/>
          <w:b/>
          <w:bCs/>
        </w:rPr>
        <w:t>In conclusion</w:t>
      </w:r>
      <w:r w:rsidR="00AF397B">
        <w:rPr>
          <w:rFonts w:ascii="Arial" w:hAnsi="Arial" w:cs="Arial"/>
          <w:b/>
          <w:bCs/>
        </w:rPr>
        <w:t>,</w:t>
      </w:r>
      <w:r w:rsidR="009410AF" w:rsidRPr="009410AF">
        <w:rPr>
          <w:rFonts w:ascii="Arial" w:hAnsi="Arial" w:cs="Arial"/>
          <w:b/>
          <w:bCs/>
        </w:rPr>
        <w:t xml:space="preserve"> </w:t>
      </w:r>
      <w:r w:rsidR="00AF397B">
        <w:rPr>
          <w:rFonts w:ascii="Arial" w:hAnsi="Arial" w:cs="Arial"/>
          <w:b/>
          <w:bCs/>
        </w:rPr>
        <w:t xml:space="preserve">the </w:t>
      </w:r>
      <w:r w:rsidR="009410AF" w:rsidRPr="009410AF">
        <w:rPr>
          <w:rFonts w:ascii="Arial" w:hAnsi="Arial" w:cs="Arial"/>
          <w:b/>
          <w:bCs/>
        </w:rPr>
        <w:t>NHS was founded on principles of equity, universality, and free access, responding to the urgent social needs of post-war Britain. While it remains a model for public healthcare systems worldwide, its current structure faces significant challenges. Ongoing reforms will need to balance the founding principles with the realities of 21st-century healthcare demands.</w:t>
      </w:r>
    </w:p>
    <w:p w14:paraId="20F1A3B3" w14:textId="479E109D" w:rsidR="007877F6" w:rsidRPr="00A6165E" w:rsidRDefault="00000000">
      <w:pPr>
        <w:rPr>
          <w:rFonts w:ascii="Arial" w:hAnsi="Arial" w:cs="Arial"/>
          <w:b/>
          <w:bCs/>
          <w:sz w:val="28"/>
          <w:szCs w:val="28"/>
        </w:rPr>
        <w:sectPr w:rsidR="007877F6" w:rsidRPr="00A6165E" w:rsidSect="003A000F">
          <w:pgSz w:w="11906" w:h="16838"/>
          <w:pgMar w:top="1440" w:right="1440" w:bottom="1440" w:left="1440" w:header="708" w:footer="708" w:gutter="0"/>
          <w:cols w:space="708"/>
          <w:docGrid w:linePitch="360"/>
        </w:sectPr>
      </w:pPr>
      <w:r>
        <w:rPr>
          <w:rFonts w:ascii="Arial" w:hAnsi="Arial" w:cs="Arial"/>
          <w:b/>
          <w:bCs/>
          <w:sz w:val="28"/>
          <w:szCs w:val="28"/>
        </w:rPr>
        <w:pict w14:anchorId="6B4D91DB">
          <v:rect id="_x0000_i1025" style="width:0;height:1.5pt" o:hralign="center" o:hrstd="t" o:hr="t" fillcolor="#a0a0a0" stroked="f"/>
        </w:pict>
      </w:r>
    </w:p>
    <w:p w14:paraId="23578436" w14:textId="77777777" w:rsidR="00833470" w:rsidRPr="009A6E05"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7EBF8A3" w14:textId="77777777" w:rsidR="00EF3E35" w:rsidRDefault="00EF3E35"/>
    <w:p w14:paraId="1108961A" w14:textId="77777777" w:rsidR="006A22AE" w:rsidRPr="006A22AE" w:rsidRDefault="006A22AE" w:rsidP="006A22AE">
      <w:pPr>
        <w:rPr>
          <w:rFonts w:ascii="Arial" w:hAnsi="Arial" w:cs="Arial"/>
          <w:b/>
          <w:bCs/>
        </w:rPr>
      </w:pPr>
      <w:r w:rsidRPr="006A22AE">
        <w:rPr>
          <w:rFonts w:ascii="Arial" w:hAnsi="Arial" w:cs="Arial"/>
          <w:b/>
          <w:bCs/>
        </w:rPr>
        <w:t>Holloway, K., &amp; Henry, D. (2014). WHO Essential Medicines Policies and Use in Developing and Transitional Countries: An Analysis of Reported Policy Implementation and Medicines Use Surveys. PLoS Medicine. 11(9). e1001724.</w:t>
      </w:r>
    </w:p>
    <w:p w14:paraId="33AE672B" w14:textId="77777777" w:rsidR="00B6718C" w:rsidRPr="00B6718C" w:rsidRDefault="00B6718C" w:rsidP="00B6718C">
      <w:pPr>
        <w:rPr>
          <w:rFonts w:ascii="Arial" w:hAnsi="Arial" w:cs="Arial"/>
          <w:b/>
          <w:bCs/>
        </w:rPr>
      </w:pPr>
      <w:r w:rsidRPr="00B6718C">
        <w:rPr>
          <w:rFonts w:ascii="Arial" w:hAnsi="Arial" w:cs="Arial"/>
          <w:b/>
          <w:bCs/>
        </w:rPr>
        <w:t xml:space="preserve">Sonnedecker, G. (1976). Kremers and Urdang’s: History of Pharmacy (4th ed.). Lippincott. </w:t>
      </w:r>
      <w:r w:rsidRPr="00B6718C">
        <w:rPr>
          <w:rFonts w:ascii="Arial" w:hAnsi="Arial" w:cs="Arial"/>
          <w:b/>
          <w:bCs/>
        </w:rPr>
        <w:br/>
        <w:t>S. Anderson. in 2005. Making Medicines: A Synopsis of Pharmaceuticals and Pharmacy History. Press Pharmaceutical.</w:t>
      </w:r>
      <w:r w:rsidRPr="00B6718C">
        <w:rPr>
          <w:rFonts w:ascii="Arial" w:hAnsi="Arial" w:cs="Arial"/>
          <w:b/>
          <w:bCs/>
        </w:rPr>
        <w:br/>
        <w:t xml:space="preserve">Henry, D., and K. Holloway. In 2014. An analysis of reported policy implementation and medication use surveys is presented in WHO Essential Medicines Policies and Use in Developing and Transitional Countries. PLoS Health. 11.9. 1001724. </w:t>
      </w:r>
      <w:r w:rsidRPr="00B6718C">
        <w:rPr>
          <w:rFonts w:ascii="Arial" w:hAnsi="Arial" w:cs="Arial"/>
          <w:b/>
          <w:bCs/>
        </w:rPr>
        <w:br/>
        <w:t>G. Sonnedecker. in 1976. The History of Pharmacy, by Kremers and Urdang (4th ed.). Lippinott.</w:t>
      </w:r>
    </w:p>
    <w:p w14:paraId="2A9D3E5D" w14:textId="7F50F257" w:rsidR="00615BE6" w:rsidRPr="00615BE6" w:rsidRDefault="00615BE6" w:rsidP="00615BE6">
      <w:pPr>
        <w:rPr>
          <w:rFonts w:ascii="Arial" w:hAnsi="Arial" w:cs="Arial"/>
          <w:b/>
          <w:bCs/>
        </w:rPr>
      </w:pPr>
      <w:r w:rsidRPr="00615BE6">
        <w:rPr>
          <w:rFonts w:ascii="Arial" w:hAnsi="Arial" w:cs="Arial"/>
          <w:b/>
          <w:bCs/>
        </w:rPr>
        <w:t xml:space="preserve">American Society of Health-System Pharmacists (ASHP) (2024) </w:t>
      </w:r>
      <w:r w:rsidRPr="00807EA3">
        <w:rPr>
          <w:rFonts w:ascii="Arial" w:hAnsi="Arial" w:cs="Arial"/>
          <w:b/>
          <w:bCs/>
          <w:i/>
          <w:iCs/>
        </w:rPr>
        <w:t>Pharmacy Practice.</w:t>
      </w:r>
      <w:r w:rsidRPr="00615BE6">
        <w:rPr>
          <w:rFonts w:ascii="Arial" w:hAnsi="Arial" w:cs="Arial"/>
          <w:b/>
          <w:bCs/>
        </w:rPr>
        <w:t xml:space="preserve"> Available at: </w:t>
      </w:r>
      <w:hyperlink r:id="rId13" w:tgtFrame="_blank" w:history="1">
        <w:r w:rsidRPr="00615BE6">
          <w:rPr>
            <w:rStyle w:val="Hyperlink"/>
            <w:rFonts w:ascii="Arial" w:hAnsi="Arial" w:cs="Arial"/>
            <w:b/>
            <w:bCs/>
          </w:rPr>
          <w:t>https://www.ashp.org/pharmacy-practiceOpens a new window</w:t>
        </w:r>
      </w:hyperlink>
      <w:r w:rsidRPr="00615BE6">
        <w:rPr>
          <w:rFonts w:ascii="Arial" w:hAnsi="Arial" w:cs="Arial"/>
          <w:b/>
          <w:bCs/>
        </w:rPr>
        <w:t> (Accessed: 8 November 2025).</w:t>
      </w:r>
    </w:p>
    <w:p w14:paraId="6D6E498D" w14:textId="77777777" w:rsidR="00615BE6" w:rsidRPr="00615BE6" w:rsidRDefault="00615BE6" w:rsidP="00615BE6">
      <w:pPr>
        <w:rPr>
          <w:rFonts w:ascii="Arial" w:hAnsi="Arial" w:cs="Arial"/>
          <w:b/>
          <w:bCs/>
        </w:rPr>
      </w:pPr>
      <w:r w:rsidRPr="00615BE6">
        <w:rPr>
          <w:rFonts w:ascii="Arial" w:hAnsi="Arial" w:cs="Arial"/>
          <w:b/>
          <w:bCs/>
        </w:rPr>
        <w:t>International Pharmaceutical Federation (FIP) (2024) 'Pharmacy Education.' Available at: </w:t>
      </w:r>
      <w:hyperlink r:id="rId14" w:tgtFrame="_blank" w:history="1">
        <w:r w:rsidRPr="00615BE6">
          <w:rPr>
            <w:rStyle w:val="Hyperlink"/>
            <w:rFonts w:ascii="Arial" w:hAnsi="Arial" w:cs="Arial"/>
            <w:b/>
            <w:bCs/>
          </w:rPr>
          <w:t>https://www.fip.org/pharmacy-educationOpens a new window</w:t>
        </w:r>
      </w:hyperlink>
      <w:r w:rsidRPr="00615BE6">
        <w:rPr>
          <w:rFonts w:ascii="Arial" w:hAnsi="Arial" w:cs="Arial"/>
          <w:b/>
          <w:bCs/>
        </w:rPr>
        <w:t> (Accessed: 8 November 2025).</w:t>
      </w:r>
    </w:p>
    <w:p w14:paraId="3B08A946" w14:textId="77777777" w:rsidR="00615BE6" w:rsidRPr="00615BE6" w:rsidRDefault="00615BE6" w:rsidP="00615BE6">
      <w:pPr>
        <w:rPr>
          <w:rFonts w:ascii="Arial" w:hAnsi="Arial" w:cs="Arial"/>
          <w:b/>
          <w:bCs/>
        </w:rPr>
      </w:pPr>
      <w:r w:rsidRPr="00615BE6">
        <w:rPr>
          <w:rFonts w:ascii="Arial" w:hAnsi="Arial" w:cs="Arial"/>
          <w:b/>
          <w:bCs/>
        </w:rPr>
        <w:t>Royal Pharmaceutical Society (2023) 'History of Pharmacy.' Available at: </w:t>
      </w:r>
      <w:hyperlink r:id="rId15" w:tgtFrame="_blank" w:history="1">
        <w:r w:rsidRPr="00615BE6">
          <w:rPr>
            <w:rStyle w:val="Hyperlink"/>
            <w:rFonts w:ascii="Arial" w:hAnsi="Arial" w:cs="Arial"/>
            <w:b/>
            <w:bCs/>
          </w:rPr>
          <w:t>https://www.rpharms.com/about-us/history-of-pharmacyOpens a new window</w:t>
        </w:r>
      </w:hyperlink>
      <w:r w:rsidRPr="00615BE6">
        <w:rPr>
          <w:rFonts w:ascii="Arial" w:hAnsi="Arial" w:cs="Arial"/>
          <w:b/>
          <w:bCs/>
        </w:rPr>
        <w:t> (Accessed: 8 November 2025).</w:t>
      </w:r>
    </w:p>
    <w:p w14:paraId="5652B06E" w14:textId="77777777" w:rsidR="00615BE6" w:rsidRPr="00615BE6" w:rsidRDefault="00615BE6" w:rsidP="00615BE6">
      <w:pPr>
        <w:rPr>
          <w:rFonts w:ascii="Arial" w:hAnsi="Arial" w:cs="Arial"/>
          <w:b/>
          <w:bCs/>
        </w:rPr>
      </w:pPr>
      <w:r w:rsidRPr="00615BE6">
        <w:rPr>
          <w:rFonts w:ascii="Arial" w:hAnsi="Arial" w:cs="Arial"/>
          <w:b/>
          <w:bCs/>
        </w:rPr>
        <w:t>World Health Organization (WHO) (1997) 'The Role of Pharmacist in the Health Care System.' Available at: </w:t>
      </w:r>
      <w:hyperlink r:id="rId16" w:tgtFrame="_blank" w:history="1">
        <w:r w:rsidRPr="00615BE6">
          <w:rPr>
            <w:rStyle w:val="Hyperlink"/>
            <w:rFonts w:ascii="Arial" w:hAnsi="Arial" w:cs="Arial"/>
            <w:b/>
            <w:bCs/>
          </w:rPr>
          <w:t>https://www.who.int/medicines/publications/traditional/rolepharmacist.pdfOpens a new window</w:t>
        </w:r>
      </w:hyperlink>
      <w:r w:rsidRPr="00615BE6">
        <w:rPr>
          <w:rFonts w:ascii="Arial" w:hAnsi="Arial" w:cs="Arial"/>
          <w:b/>
          <w:bCs/>
        </w:rPr>
        <w:t> (Accessed: 8</w:t>
      </w:r>
    </w:p>
    <w:p w14:paraId="373FE957" w14:textId="77777777" w:rsidR="009410AF" w:rsidRPr="009410AF" w:rsidRDefault="009410AF" w:rsidP="009410AF">
      <w:pPr>
        <w:rPr>
          <w:rFonts w:ascii="Arial" w:hAnsi="Arial" w:cs="Arial"/>
          <w:b/>
          <w:bCs/>
        </w:rPr>
      </w:pPr>
      <w:r w:rsidRPr="009410AF">
        <w:rPr>
          <w:rFonts w:ascii="Arial" w:hAnsi="Arial" w:cs="Arial"/>
          <w:b/>
          <w:bCs/>
        </w:rPr>
        <w:t>Appleby, J., Galea, A. and Murray, R. (2017) ‘The NHS at 70: What’s the problem with the NHS?’, The King’s Fund. Available at: </w:t>
      </w:r>
      <w:hyperlink r:id="rId17" w:tgtFrame="_blank" w:history="1">
        <w:r w:rsidRPr="009410AF">
          <w:rPr>
            <w:rStyle w:val="Hyperlink"/>
            <w:rFonts w:ascii="Arial" w:hAnsi="Arial" w:cs="Arial"/>
            <w:b/>
            <w:bCs/>
          </w:rPr>
          <w:t>https://www.kingsfund.org.uk/publications/nhs-70-whats-problem-nhsOpens a new window</w:t>
        </w:r>
      </w:hyperlink>
      <w:r w:rsidRPr="009410AF">
        <w:rPr>
          <w:rFonts w:ascii="Arial" w:hAnsi="Arial" w:cs="Arial"/>
          <w:b/>
          <w:bCs/>
        </w:rPr>
        <w:t> (Accessed: 8 November 2025).</w:t>
      </w:r>
    </w:p>
    <w:p w14:paraId="29E791F6" w14:textId="77777777" w:rsidR="009410AF" w:rsidRPr="009410AF" w:rsidRDefault="009410AF" w:rsidP="009410AF">
      <w:pPr>
        <w:rPr>
          <w:rFonts w:ascii="Arial" w:hAnsi="Arial" w:cs="Arial"/>
          <w:b/>
          <w:bCs/>
        </w:rPr>
      </w:pPr>
      <w:r w:rsidRPr="009410AF">
        <w:rPr>
          <w:rFonts w:ascii="Arial" w:hAnsi="Arial" w:cs="Arial"/>
          <w:b/>
          <w:bCs/>
        </w:rPr>
        <w:t>Beveridge, W. (1942) ‘Social Insurance and Allied Services’ (The Beveridge Report). London: HMSO.</w:t>
      </w:r>
    </w:p>
    <w:p w14:paraId="33D75EAA" w14:textId="77777777" w:rsidR="009410AF" w:rsidRPr="009410AF" w:rsidRDefault="009410AF" w:rsidP="009410AF">
      <w:pPr>
        <w:rPr>
          <w:rFonts w:ascii="Arial" w:hAnsi="Arial" w:cs="Arial"/>
          <w:b/>
          <w:bCs/>
        </w:rPr>
      </w:pPr>
      <w:r w:rsidRPr="009410AF">
        <w:rPr>
          <w:rFonts w:ascii="Arial" w:hAnsi="Arial" w:cs="Arial"/>
          <w:b/>
          <w:bCs/>
        </w:rPr>
        <w:t>NHS (2023) ‘About the NHS’. Available at: </w:t>
      </w:r>
      <w:hyperlink r:id="rId18" w:tgtFrame="_blank" w:history="1">
        <w:r w:rsidRPr="009410AF">
          <w:rPr>
            <w:rStyle w:val="Hyperlink"/>
            <w:rFonts w:ascii="Arial" w:hAnsi="Arial" w:cs="Arial"/>
            <w:b/>
            <w:bCs/>
          </w:rPr>
          <w:t>https://www.nhs.uk/using-the-nhs/about-the-nhs/Opens a new window</w:t>
        </w:r>
      </w:hyperlink>
      <w:r w:rsidRPr="009410AF">
        <w:rPr>
          <w:rFonts w:ascii="Arial" w:hAnsi="Arial" w:cs="Arial"/>
          <w:b/>
          <w:bCs/>
        </w:rPr>
        <w:t> (Accessed: 8 November 2025).</w:t>
      </w:r>
    </w:p>
    <w:p w14:paraId="6857607E" w14:textId="77777777" w:rsidR="009410AF" w:rsidRPr="009410AF" w:rsidRDefault="009410AF" w:rsidP="009410AF">
      <w:pPr>
        <w:rPr>
          <w:rFonts w:ascii="Arial" w:hAnsi="Arial" w:cs="Arial"/>
          <w:b/>
          <w:bCs/>
        </w:rPr>
      </w:pPr>
      <w:r w:rsidRPr="009410AF">
        <w:rPr>
          <w:rFonts w:ascii="Arial" w:hAnsi="Arial" w:cs="Arial"/>
          <w:b/>
          <w:bCs/>
        </w:rPr>
        <w:t>NHS England (2023) ‘How the NHS is structured’. Available at: </w:t>
      </w:r>
      <w:hyperlink r:id="rId19" w:tgtFrame="_blank" w:history="1">
        <w:r w:rsidRPr="009410AF">
          <w:rPr>
            <w:rStyle w:val="Hyperlink"/>
            <w:rFonts w:ascii="Arial" w:hAnsi="Arial" w:cs="Arial"/>
            <w:b/>
            <w:bCs/>
          </w:rPr>
          <w:t>https://www.england.nhs.uk/nhs-structure/Opens a new window</w:t>
        </w:r>
      </w:hyperlink>
      <w:r w:rsidRPr="009410AF">
        <w:rPr>
          <w:rFonts w:ascii="Arial" w:hAnsi="Arial" w:cs="Arial"/>
          <w:b/>
          <w:bCs/>
        </w:rPr>
        <w:t> (Accessed: 8 November 2025).</w:t>
      </w:r>
    </w:p>
    <w:p w14:paraId="7B1DBF93" w14:textId="2F61E49A" w:rsidR="009410AF" w:rsidRPr="009410AF" w:rsidRDefault="009410AF" w:rsidP="009410AF">
      <w:pPr>
        <w:rPr>
          <w:rFonts w:ascii="Arial" w:hAnsi="Arial" w:cs="Arial"/>
          <w:b/>
          <w:bCs/>
        </w:rPr>
      </w:pPr>
      <w:r w:rsidRPr="009410AF">
        <w:rPr>
          <w:rFonts w:ascii="Arial" w:hAnsi="Arial" w:cs="Arial"/>
          <w:b/>
          <w:bCs/>
        </w:rPr>
        <w:t>Pollock, A.M., Price, D., Roderick, P., Treuherz, T., McCoy, D., McKee, M. and Reynolds, L. (2012) ‘</w:t>
      </w:r>
      <w:r w:rsidR="009C68B6">
        <w:rPr>
          <w:rFonts w:ascii="Arial" w:hAnsi="Arial" w:cs="Arial"/>
          <w:b/>
          <w:bCs/>
        </w:rPr>
        <w:t>:</w:t>
      </w:r>
      <w:r w:rsidRPr="009410AF">
        <w:rPr>
          <w:rFonts w:ascii="Arial" w:hAnsi="Arial" w:cs="Arial"/>
          <w:b/>
          <w:bCs/>
        </w:rPr>
        <w:t>A critique of the UK government’s market-based reforms of the NHS’</w:t>
      </w:r>
      <w:r w:rsidR="009C68B6">
        <w:rPr>
          <w:rFonts w:ascii="Arial" w:hAnsi="Arial" w:cs="Arial"/>
          <w:b/>
          <w:bCs/>
        </w:rPr>
        <w:t>.</w:t>
      </w:r>
      <w:r w:rsidRPr="009410AF">
        <w:rPr>
          <w:rFonts w:ascii="Arial" w:hAnsi="Arial" w:cs="Arial"/>
          <w:b/>
          <w:bCs/>
        </w:rPr>
        <w:t xml:space="preserve"> BMJ</w:t>
      </w:r>
      <w:r w:rsidR="009C68B6">
        <w:rPr>
          <w:rFonts w:ascii="Arial" w:hAnsi="Arial" w:cs="Arial"/>
          <w:b/>
          <w:bCs/>
        </w:rPr>
        <w:t>.</w:t>
      </w:r>
      <w:r w:rsidRPr="009410AF">
        <w:rPr>
          <w:rFonts w:ascii="Arial" w:hAnsi="Arial" w:cs="Arial"/>
          <w:b/>
          <w:bCs/>
        </w:rPr>
        <w:t xml:space="preserve"> 344, e4357. doi:10.1136/bmj.e4357.</w:t>
      </w:r>
    </w:p>
    <w:p w14:paraId="3F4B69A2" w14:textId="77777777" w:rsidR="009410AF" w:rsidRPr="009410AF" w:rsidRDefault="009410AF" w:rsidP="009410AF">
      <w:pPr>
        <w:rPr>
          <w:rFonts w:ascii="Arial" w:hAnsi="Arial" w:cs="Arial"/>
          <w:b/>
          <w:bCs/>
        </w:rPr>
      </w:pPr>
      <w:r w:rsidRPr="009410AF">
        <w:rPr>
          <w:rFonts w:ascii="Arial" w:hAnsi="Arial" w:cs="Arial"/>
          <w:b/>
          <w:bCs/>
        </w:rPr>
        <w:t>Timmins, N. (2001) The Five Giants: A Biography of the Welfare State. London: HarperCollins.</w:t>
      </w:r>
    </w:p>
    <w:p w14:paraId="4B202FD0" w14:textId="77777777" w:rsidR="009410AF" w:rsidRPr="009410AF" w:rsidRDefault="009410AF" w:rsidP="009410AF">
      <w:pPr>
        <w:rPr>
          <w:rFonts w:ascii="Arial" w:hAnsi="Arial" w:cs="Arial"/>
          <w:b/>
          <w:bCs/>
        </w:rPr>
      </w:pPr>
      <w:r w:rsidRPr="009410AF">
        <w:rPr>
          <w:rFonts w:ascii="Arial" w:hAnsi="Arial" w:cs="Arial"/>
          <w:b/>
          <w:bCs/>
        </w:rPr>
        <w:lastRenderedPageBreak/>
        <w:t>Timmins, N. (2021) ‘The NHS after Covid-19: What next?’, The King’s Fund. Available at: </w:t>
      </w:r>
      <w:hyperlink r:id="rId20" w:tgtFrame="_blank" w:history="1">
        <w:r w:rsidRPr="009410AF">
          <w:rPr>
            <w:rStyle w:val="Hyperlink"/>
            <w:rFonts w:ascii="Arial" w:hAnsi="Arial" w:cs="Arial"/>
            <w:b/>
            <w:bCs/>
          </w:rPr>
          <w:t>https://www.kingsfund.org.uk/publications/nhs-after-covid-19Opens a new window</w:t>
        </w:r>
      </w:hyperlink>
      <w:r w:rsidRPr="009410AF">
        <w:rPr>
          <w:rFonts w:ascii="Arial" w:hAnsi="Arial" w:cs="Arial"/>
          <w:b/>
          <w:bCs/>
        </w:rPr>
        <w:t> (Accessed: 8 November 2025).</w:t>
      </w:r>
    </w:p>
    <w:p w14:paraId="2CD70EBD" w14:textId="77777777" w:rsidR="009410AF" w:rsidRPr="009410AF" w:rsidRDefault="009410AF" w:rsidP="009410AF">
      <w:pPr>
        <w:rPr>
          <w:rFonts w:ascii="Arial" w:hAnsi="Arial" w:cs="Arial"/>
          <w:b/>
          <w:bCs/>
        </w:rPr>
      </w:pPr>
      <w:r w:rsidRPr="009410AF">
        <w:rPr>
          <w:rFonts w:ascii="Arial" w:hAnsi="Arial" w:cs="Arial"/>
          <w:b/>
          <w:bCs/>
        </w:rPr>
        <w:t>Webster, C. (2002) The National Health Service: A Political History. Oxford: Oxford University Press.</w:t>
      </w:r>
    </w:p>
    <w:p w14:paraId="515D29C6" w14:textId="26B2F48B" w:rsidR="009410AF" w:rsidRPr="009C7600" w:rsidRDefault="00F679C4" w:rsidP="009410AF">
      <w:pPr>
        <w:rPr>
          <w:rFonts w:ascii="Arial" w:hAnsi="Arial" w:cs="Arial"/>
          <w:b/>
          <w:bCs/>
        </w:rPr>
      </w:pPr>
      <w:hyperlink r:id="rId21" w:history="1">
        <w:r w:rsidRPr="009C7600">
          <w:rPr>
            <w:rStyle w:val="Hyperlink"/>
            <w:rFonts w:ascii="Arial" w:hAnsi="Arial" w:cs="Arial"/>
            <w:b/>
            <w:bCs/>
          </w:rPr>
          <w:t>historical background</w:t>
        </w:r>
        <w:r w:rsidR="009C7600" w:rsidRPr="009C7600">
          <w:rPr>
            <w:rStyle w:val="Hyperlink"/>
            <w:rFonts w:ascii="Arial" w:hAnsi="Arial" w:cs="Arial"/>
            <w:b/>
            <w:bCs/>
          </w:rPr>
          <w:t xml:space="preserve"> </w:t>
        </w:r>
        <w:r w:rsidRPr="009C7600">
          <w:rPr>
            <w:rStyle w:val="Hyperlink"/>
            <w:rFonts w:ascii="Arial" w:hAnsi="Arial" w:cs="Arial"/>
            <w:b/>
            <w:bCs/>
          </w:rPr>
          <w:t>and development of profession of pharmacy - Search</w:t>
        </w:r>
      </w:hyperlink>
    </w:p>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4FBA90" w14:textId="77777777" w:rsidR="00687F0F" w:rsidRDefault="00687F0F" w:rsidP="00BE6BE0">
      <w:pPr>
        <w:spacing w:after="0" w:line="240" w:lineRule="auto"/>
      </w:pPr>
      <w:r>
        <w:separator/>
      </w:r>
    </w:p>
  </w:endnote>
  <w:endnote w:type="continuationSeparator" w:id="0">
    <w:p w14:paraId="47C038C9" w14:textId="77777777" w:rsidR="00687F0F" w:rsidRDefault="00687F0F"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F4A31" w14:textId="77777777" w:rsidR="00687F0F" w:rsidRDefault="00687F0F" w:rsidP="00BE6BE0">
      <w:pPr>
        <w:spacing w:after="0" w:line="240" w:lineRule="auto"/>
      </w:pPr>
      <w:r>
        <w:separator/>
      </w:r>
    </w:p>
  </w:footnote>
  <w:footnote w:type="continuationSeparator" w:id="0">
    <w:p w14:paraId="7A29F72F" w14:textId="77777777" w:rsidR="00687F0F" w:rsidRDefault="00687F0F"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E2024"/>
    <w:multiLevelType w:val="multilevel"/>
    <w:tmpl w:val="77F69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048BC"/>
    <w:multiLevelType w:val="multilevel"/>
    <w:tmpl w:val="4CB4F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9C7C04"/>
    <w:multiLevelType w:val="multilevel"/>
    <w:tmpl w:val="E2346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85169A"/>
    <w:multiLevelType w:val="multilevel"/>
    <w:tmpl w:val="84B6E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5762B2"/>
    <w:multiLevelType w:val="multilevel"/>
    <w:tmpl w:val="07021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F8594E"/>
    <w:multiLevelType w:val="multilevel"/>
    <w:tmpl w:val="C00E8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C87786"/>
    <w:multiLevelType w:val="multilevel"/>
    <w:tmpl w:val="2F40F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7C13A6"/>
    <w:multiLevelType w:val="multilevel"/>
    <w:tmpl w:val="E2080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BC2297"/>
    <w:multiLevelType w:val="multilevel"/>
    <w:tmpl w:val="64CEA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3261667">
    <w:abstractNumId w:val="3"/>
  </w:num>
  <w:num w:numId="2" w16cid:durableId="103307785">
    <w:abstractNumId w:val="2"/>
  </w:num>
  <w:num w:numId="3" w16cid:durableId="936596031">
    <w:abstractNumId w:val="6"/>
  </w:num>
  <w:num w:numId="4" w16cid:durableId="1789464693">
    <w:abstractNumId w:val="0"/>
  </w:num>
  <w:num w:numId="5" w16cid:durableId="1286502303">
    <w:abstractNumId w:val="5"/>
  </w:num>
  <w:num w:numId="6" w16cid:durableId="1122262266">
    <w:abstractNumId w:val="7"/>
  </w:num>
  <w:num w:numId="7" w16cid:durableId="1144539196">
    <w:abstractNumId w:val="4"/>
  </w:num>
  <w:num w:numId="8" w16cid:durableId="1765302974">
    <w:abstractNumId w:val="8"/>
  </w:num>
  <w:num w:numId="9" w16cid:durableId="863984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43E3"/>
    <w:rsid w:val="0002447D"/>
    <w:rsid w:val="00044859"/>
    <w:rsid w:val="000464A0"/>
    <w:rsid w:val="00054DBE"/>
    <w:rsid w:val="00056403"/>
    <w:rsid w:val="00056EB1"/>
    <w:rsid w:val="00065DE2"/>
    <w:rsid w:val="00070765"/>
    <w:rsid w:val="00084239"/>
    <w:rsid w:val="00085A6B"/>
    <w:rsid w:val="000B15D3"/>
    <w:rsid w:val="000E2A83"/>
    <w:rsid w:val="00127DA2"/>
    <w:rsid w:val="00135A4F"/>
    <w:rsid w:val="00140948"/>
    <w:rsid w:val="00177D1A"/>
    <w:rsid w:val="00191D83"/>
    <w:rsid w:val="001B2F7D"/>
    <w:rsid w:val="001C0029"/>
    <w:rsid w:val="001C44C5"/>
    <w:rsid w:val="001D5F17"/>
    <w:rsid w:val="001F0508"/>
    <w:rsid w:val="0020379F"/>
    <w:rsid w:val="00240908"/>
    <w:rsid w:val="002767BF"/>
    <w:rsid w:val="00292BDC"/>
    <w:rsid w:val="002B40DD"/>
    <w:rsid w:val="002D5E6B"/>
    <w:rsid w:val="002F55D6"/>
    <w:rsid w:val="003415D4"/>
    <w:rsid w:val="00360062"/>
    <w:rsid w:val="00362141"/>
    <w:rsid w:val="00397C42"/>
    <w:rsid w:val="003A000F"/>
    <w:rsid w:val="003A1079"/>
    <w:rsid w:val="003F512A"/>
    <w:rsid w:val="00400275"/>
    <w:rsid w:val="004329C3"/>
    <w:rsid w:val="00471E9D"/>
    <w:rsid w:val="004C799D"/>
    <w:rsid w:val="004F3762"/>
    <w:rsid w:val="00516D48"/>
    <w:rsid w:val="005313BA"/>
    <w:rsid w:val="005459C6"/>
    <w:rsid w:val="005869CF"/>
    <w:rsid w:val="005D0652"/>
    <w:rsid w:val="005E6E43"/>
    <w:rsid w:val="005F22C8"/>
    <w:rsid w:val="005F3177"/>
    <w:rsid w:val="00607D31"/>
    <w:rsid w:val="00615BE6"/>
    <w:rsid w:val="00677BCA"/>
    <w:rsid w:val="00687F0F"/>
    <w:rsid w:val="00695CBC"/>
    <w:rsid w:val="006A22AE"/>
    <w:rsid w:val="006A6816"/>
    <w:rsid w:val="006A6B5D"/>
    <w:rsid w:val="006B260E"/>
    <w:rsid w:val="006C2B2B"/>
    <w:rsid w:val="006D0338"/>
    <w:rsid w:val="006E41C6"/>
    <w:rsid w:val="00737FFE"/>
    <w:rsid w:val="00755EC3"/>
    <w:rsid w:val="00775B12"/>
    <w:rsid w:val="007877F6"/>
    <w:rsid w:val="00792E78"/>
    <w:rsid w:val="007A0F73"/>
    <w:rsid w:val="007B7574"/>
    <w:rsid w:val="007D7635"/>
    <w:rsid w:val="007E1341"/>
    <w:rsid w:val="00804A7F"/>
    <w:rsid w:val="00807EA3"/>
    <w:rsid w:val="00833470"/>
    <w:rsid w:val="00851A69"/>
    <w:rsid w:val="008669CC"/>
    <w:rsid w:val="00885FD2"/>
    <w:rsid w:val="008A1AC1"/>
    <w:rsid w:val="008A5E5C"/>
    <w:rsid w:val="008C4A49"/>
    <w:rsid w:val="008D6728"/>
    <w:rsid w:val="008E1B60"/>
    <w:rsid w:val="00921604"/>
    <w:rsid w:val="00925D5E"/>
    <w:rsid w:val="009410AF"/>
    <w:rsid w:val="00943FF3"/>
    <w:rsid w:val="00952930"/>
    <w:rsid w:val="00954A48"/>
    <w:rsid w:val="009A027C"/>
    <w:rsid w:val="009A6979"/>
    <w:rsid w:val="009C68B6"/>
    <w:rsid w:val="009C7600"/>
    <w:rsid w:val="009E257B"/>
    <w:rsid w:val="009E2B06"/>
    <w:rsid w:val="009E3B07"/>
    <w:rsid w:val="00A47909"/>
    <w:rsid w:val="00A6165E"/>
    <w:rsid w:val="00A6518E"/>
    <w:rsid w:val="00A82690"/>
    <w:rsid w:val="00AC1A78"/>
    <w:rsid w:val="00AC2B70"/>
    <w:rsid w:val="00AD2A52"/>
    <w:rsid w:val="00AD3D61"/>
    <w:rsid w:val="00AE24C0"/>
    <w:rsid w:val="00AE3244"/>
    <w:rsid w:val="00AE4F02"/>
    <w:rsid w:val="00AF397B"/>
    <w:rsid w:val="00B05D5F"/>
    <w:rsid w:val="00B642EF"/>
    <w:rsid w:val="00B6718C"/>
    <w:rsid w:val="00BA6C4E"/>
    <w:rsid w:val="00BB6DFA"/>
    <w:rsid w:val="00BE6BE0"/>
    <w:rsid w:val="00C0667C"/>
    <w:rsid w:val="00C14926"/>
    <w:rsid w:val="00C270AB"/>
    <w:rsid w:val="00C74536"/>
    <w:rsid w:val="00C803C2"/>
    <w:rsid w:val="00C83A82"/>
    <w:rsid w:val="00CA10A1"/>
    <w:rsid w:val="00CB47F5"/>
    <w:rsid w:val="00CC131D"/>
    <w:rsid w:val="00CC277D"/>
    <w:rsid w:val="00CC6358"/>
    <w:rsid w:val="00CD7C53"/>
    <w:rsid w:val="00CE55D8"/>
    <w:rsid w:val="00D124CA"/>
    <w:rsid w:val="00D22B33"/>
    <w:rsid w:val="00D33A2B"/>
    <w:rsid w:val="00D41763"/>
    <w:rsid w:val="00D61747"/>
    <w:rsid w:val="00D62C03"/>
    <w:rsid w:val="00DA559E"/>
    <w:rsid w:val="00E44DAB"/>
    <w:rsid w:val="00E53E1B"/>
    <w:rsid w:val="00E56BB8"/>
    <w:rsid w:val="00E85DFC"/>
    <w:rsid w:val="00EB20D5"/>
    <w:rsid w:val="00ED059A"/>
    <w:rsid w:val="00ED0D33"/>
    <w:rsid w:val="00EE12F4"/>
    <w:rsid w:val="00EF3E35"/>
    <w:rsid w:val="00EF6538"/>
    <w:rsid w:val="00F10853"/>
    <w:rsid w:val="00F23066"/>
    <w:rsid w:val="00F33EC8"/>
    <w:rsid w:val="00F36D02"/>
    <w:rsid w:val="00F64FBC"/>
    <w:rsid w:val="00F665B1"/>
    <w:rsid w:val="00F679C4"/>
    <w:rsid w:val="00F77FD5"/>
    <w:rsid w:val="00F972FC"/>
    <w:rsid w:val="00FB5D44"/>
    <w:rsid w:val="00FE24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615BE6"/>
    <w:rPr>
      <w:color w:val="0563C1" w:themeColor="hyperlink"/>
      <w:u w:val="single"/>
    </w:rPr>
  </w:style>
  <w:style w:type="character" w:styleId="UnresolvedMention">
    <w:name w:val="Unresolved Mention"/>
    <w:basedOn w:val="DefaultParagraphFont"/>
    <w:uiPriority w:val="99"/>
    <w:semiHidden/>
    <w:unhideWhenUsed/>
    <w:rsid w:val="00615B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hp.org/pharmacy-practice" TargetMode="External"/><Relationship Id="rId18" Type="http://schemas.openxmlformats.org/officeDocument/2006/relationships/hyperlink" Target="https://www.nhs.uk/using-the-nhs/about-the-nhs/" TargetMode="External"/><Relationship Id="rId3" Type="http://schemas.openxmlformats.org/officeDocument/2006/relationships/styles" Target="styles.xml"/><Relationship Id="rId21" Type="http://schemas.openxmlformats.org/officeDocument/2006/relationships/hyperlink" Target="https://www.bing.com/images/search?view=detailV2&amp;ccid=Ct2vmz8R&amp;id=9971DD90ECA3AF9DADDDD77B6A16CF5470F4DF42&amp;thid=OIP.Ct2vmz8R47H5IHv447NTKAHaFj&amp;mediaurl=https%3A%2F%2Fi.ytimg.com%2Fvi%2FbOP71lXvyHk%2Fhqdefault.jpg&amp;cdnurl=https%3A%2F%2Fth.bing.com%2Fth%2Fid%2FR.0addaf9b3f11e3b1f9207bf8e3b35328%3Frik%3DQt%252f0cFTPFmp71w%26pid%3DImgRaw%26r%3D0&amp;exph=360&amp;expw=480&amp;q=historical+backgroundand+development+of+profession+of+pharmacy&amp;form=IRPRST&amp;ck=1396DCE329593154A7C07EA0084326C2&amp;selectedindex=16&amp;itb=0&amp;cw=1145&amp;ch=535&amp;vt=0&amp;sim=11&amp;pivotparams=insightsToken%3Dccid_y%252BHkazlp*cp_40172A70AD702B5341FD872C3107C3A4*mid_7253496357780F4202AE3C4E04FA9D9A06ADB0FD*thid_OIP.y-HkazlpC16CUsCZ2RDCCwHaFj&amp;iss=VSI"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kingsfund.org.uk/publications/nhs-70-whats-problem-nhs" TargetMode="External"/><Relationship Id="rId2" Type="http://schemas.openxmlformats.org/officeDocument/2006/relationships/numbering" Target="numbering.xml"/><Relationship Id="rId16" Type="http://schemas.openxmlformats.org/officeDocument/2006/relationships/hyperlink" Target="https://www.who.int/medicines/publications/traditional/rolepharmacist.pdf" TargetMode="External"/><Relationship Id="rId20" Type="http://schemas.openxmlformats.org/officeDocument/2006/relationships/hyperlink" Target="https://www.kingsfund.org.uk/publications/nhs-after-covid-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pharms.com/about-us/history-of-pharmacy" TargetMode="External"/><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hyperlink" Target="https://www.england.nhs.uk/nhs-structur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fip.org/pharmacy-education"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7</Pages>
  <Words>1137</Words>
  <Characters>7192</Characters>
  <Application>Microsoft Office Word</Application>
  <DocSecurity>0</DocSecurity>
  <Lines>153</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BEN ADEWOLE</cp:lastModifiedBy>
  <cp:revision>127</cp:revision>
  <dcterms:created xsi:type="dcterms:W3CDTF">2025-11-08T22:10:00Z</dcterms:created>
  <dcterms:modified xsi:type="dcterms:W3CDTF">2025-11-17T12:15:00Z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9cd1517a-22d0-4ab5-972e-b1518f8b0874</vt:lpwstr>
  </property>
</Properties>
</file>