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53AD" w:rsidRDefault="000353AD" w:rsidP="000353AD">
      <w:pPr>
        <w:spacing w:line="480" w:lineRule="auto"/>
        <w:ind w:left="720" w:hanging="720"/>
        <w:jc w:val="center"/>
        <w:rPr>
          <w:u w:val="single"/>
        </w:rPr>
      </w:pPr>
      <w:proofErr w:type="gramStart"/>
      <w:r>
        <w:rPr>
          <w:u w:val="single"/>
        </w:rPr>
        <w:t>A comparison of attitudes towards mental health in rural and urban communities.</w:t>
      </w:r>
      <w:proofErr w:type="gramEnd"/>
    </w:p>
    <w:p w:rsidR="000353AD" w:rsidRDefault="000353AD" w:rsidP="000353AD">
      <w:pPr>
        <w:spacing w:line="480" w:lineRule="auto"/>
        <w:ind w:left="720" w:hanging="720"/>
      </w:pPr>
    </w:p>
    <w:p w:rsidR="000353AD" w:rsidRDefault="000353AD" w:rsidP="000353AD">
      <w:pPr>
        <w:spacing w:line="480" w:lineRule="auto"/>
        <w:ind w:left="720" w:hanging="720"/>
      </w:pPr>
      <w:r>
        <w:t xml:space="preserve"> </w:t>
      </w:r>
      <w:r>
        <w:rPr>
          <w:b/>
        </w:rPr>
        <w:t xml:space="preserve">Background </w:t>
      </w:r>
    </w:p>
    <w:p w:rsidR="000353AD" w:rsidRDefault="000353AD" w:rsidP="000353AD">
      <w:pPr>
        <w:spacing w:line="480" w:lineRule="auto"/>
        <w:ind w:left="720" w:hanging="720"/>
      </w:pPr>
      <w:r>
        <w:t xml:space="preserve">The public’s attitudes towards mental illness can be fuelled by many factors. This can include negative media attention, lack of knowledge and understanding, and conclusions that are often generalised and assumed. (Crisp, 2005) Previous research has indicated that stigma has a part to play in reluctance of people to seek medical help for many conditions, in particular depression. This could be due to </w:t>
      </w:r>
      <w:proofErr w:type="spellStart"/>
      <w:r>
        <w:t>self stigma</w:t>
      </w:r>
      <w:proofErr w:type="spellEnd"/>
      <w:r>
        <w:t>. Self-stigma is the individuals own response or stigma to the condition that they have. Perceived stigma is also influential, which is the believed perceptions that other people have of them. (Barney et el</w:t>
      </w:r>
      <w:proofErr w:type="gramStart"/>
      <w:r>
        <w:t>..</w:t>
      </w:r>
      <w:proofErr w:type="gramEnd"/>
      <w:r>
        <w:t xml:space="preserve"> 2006) </w:t>
      </w:r>
    </w:p>
    <w:p w:rsidR="000353AD" w:rsidRDefault="000353AD" w:rsidP="000353AD">
      <w:pPr>
        <w:spacing w:line="480" w:lineRule="auto"/>
        <w:ind w:left="720" w:hanging="720"/>
      </w:pPr>
      <w:r>
        <w:rPr>
          <w:rFonts w:cs="Arial"/>
        </w:rPr>
        <w:t xml:space="preserve"> Programs such as the </w:t>
      </w:r>
      <w:r>
        <w:rPr>
          <w:rFonts w:cs="Arial"/>
          <w:i/>
        </w:rPr>
        <w:t xml:space="preserve">Time to change </w:t>
      </w:r>
      <w:r>
        <w:rPr>
          <w:rFonts w:cs="Arial"/>
        </w:rPr>
        <w:t>(Mind</w:t>
      </w:r>
      <w:proofErr w:type="gramStart"/>
      <w:r>
        <w:rPr>
          <w:rFonts w:cs="Arial"/>
        </w:rPr>
        <w:t>,2007</w:t>
      </w:r>
      <w:proofErr w:type="gramEnd"/>
      <w:r>
        <w:rPr>
          <w:rFonts w:cs="Arial"/>
        </w:rPr>
        <w:t>)  campaign, are aimed to target the behaviour of the public, promote and facilitate inclusion and social contact of those with mental health disorders.</w:t>
      </w:r>
      <w:r>
        <w:rPr>
          <w:rFonts w:cs="Arial"/>
          <w:color w:val="212529"/>
          <w:shd w:val="clear" w:color="auto" w:fill="FFFFFF"/>
        </w:rPr>
        <w:t xml:space="preserve"> (Evans-</w:t>
      </w:r>
      <w:proofErr w:type="spellStart"/>
      <w:r>
        <w:rPr>
          <w:rFonts w:cs="Arial"/>
          <w:color w:val="212529"/>
          <w:shd w:val="clear" w:color="auto" w:fill="FFFFFF"/>
        </w:rPr>
        <w:t>Lacko</w:t>
      </w:r>
      <w:proofErr w:type="spellEnd"/>
      <w:r>
        <w:rPr>
          <w:rFonts w:cs="Arial"/>
          <w:color w:val="212529"/>
          <w:shd w:val="clear" w:color="auto" w:fill="FFFFFF"/>
        </w:rPr>
        <w:t xml:space="preserve">, Henderson &amp; </w:t>
      </w:r>
      <w:proofErr w:type="gramStart"/>
      <w:r>
        <w:rPr>
          <w:rFonts w:cs="Arial"/>
          <w:color w:val="212529"/>
          <w:shd w:val="clear" w:color="auto" w:fill="FFFFFF"/>
        </w:rPr>
        <w:t>Thornicroft ,</w:t>
      </w:r>
      <w:proofErr w:type="gramEnd"/>
      <w:r>
        <w:rPr>
          <w:rFonts w:cs="Arial"/>
          <w:color w:val="212529"/>
          <w:shd w:val="clear" w:color="auto" w:fill="FFFFFF"/>
        </w:rPr>
        <w:t xml:space="preserve"> 2013)</w:t>
      </w:r>
      <w:r>
        <w:rPr>
          <w:rFonts w:cs="Arial"/>
        </w:rPr>
        <w:t xml:space="preserve"> The campaign   was set up by the charity Mind in </w:t>
      </w:r>
      <w:proofErr w:type="gramStart"/>
      <w:r>
        <w:rPr>
          <w:rFonts w:cs="Arial"/>
        </w:rPr>
        <w:t>2007 .</w:t>
      </w:r>
      <w:proofErr w:type="gramEnd"/>
      <w:r>
        <w:rPr>
          <w:rFonts w:cs="Arial"/>
        </w:rPr>
        <w:t xml:space="preserve"> Since the campaign first launched the charity</w:t>
      </w:r>
      <w:r>
        <w:t xml:space="preserve"> recorded improvement of attitudes by 8.3% and a reduction of discrimination.  (</w:t>
      </w:r>
      <w:proofErr w:type="gramStart"/>
      <w:r>
        <w:t>Mind ,2007</w:t>
      </w:r>
      <w:proofErr w:type="gramEnd"/>
      <w:r>
        <w:t xml:space="preserve">) However the ongoing </w:t>
      </w:r>
      <w:proofErr w:type="gramStart"/>
      <w:r>
        <w:t>effects of the stigma in mental health continues</w:t>
      </w:r>
      <w:proofErr w:type="gramEnd"/>
      <w:r>
        <w:t xml:space="preserve"> to be detrimental to those that require treatment for mental health disorders. Stigma continues to </w:t>
      </w:r>
      <w:proofErr w:type="gramStart"/>
      <w:r>
        <w:t>effect</w:t>
      </w:r>
      <w:proofErr w:type="gramEnd"/>
      <w:r>
        <w:t xml:space="preserve"> the individuals and their families and careers. </w:t>
      </w:r>
      <w:proofErr w:type="gramStart"/>
      <w:r>
        <w:t>( Fink</w:t>
      </w:r>
      <w:proofErr w:type="gramEnd"/>
      <w:r>
        <w:t xml:space="preserve">, 1992) </w:t>
      </w:r>
    </w:p>
    <w:p w:rsidR="000353AD" w:rsidRDefault="000353AD" w:rsidP="000353AD">
      <w:pPr>
        <w:spacing w:line="480" w:lineRule="auto"/>
        <w:ind w:left="720" w:hanging="720"/>
      </w:pPr>
      <w:r>
        <w:t>This study aims to compare attitudes towards mental health, of those living in rural and urban communities and examine the differences.  According to Nicolson (</w:t>
      </w:r>
      <w:proofErr w:type="gramStart"/>
      <w:r>
        <w:t>2008 )</w:t>
      </w:r>
      <w:proofErr w:type="gramEnd"/>
      <w:r>
        <w:t xml:space="preserve">  “mental health is probably  better in rural areas with the exception of suicide.” (Nicolson 2008, </w:t>
      </w:r>
      <w:proofErr w:type="gramStart"/>
      <w:r>
        <w:t>p.302 )</w:t>
      </w:r>
      <w:proofErr w:type="gramEnd"/>
      <w:r>
        <w:t xml:space="preserve"> This statement concurs with data from the office of national statistics which indicates that farming has one of the highest rates of suicide in comparison to other occupations. (Office of national statistics, 2019)  A similar study completed in Australia, found that older adults in </w:t>
      </w:r>
      <w:r>
        <w:lastRenderedPageBreak/>
        <w:t>urban areas expressed more positivity about mental health than those of a rural community. (</w:t>
      </w:r>
      <w:proofErr w:type="spellStart"/>
      <w:r>
        <w:t>Hayslip</w:t>
      </w:r>
      <w:proofErr w:type="spellEnd"/>
      <w:r>
        <w:t xml:space="preserve"> </w:t>
      </w:r>
      <w:proofErr w:type="gramStart"/>
      <w:r>
        <w:t>et</w:t>
      </w:r>
      <w:proofErr w:type="gramEnd"/>
      <w:r>
        <w:t xml:space="preserve"> el 2010). Whilst a similar study in </w:t>
      </w:r>
      <w:proofErr w:type="gramStart"/>
      <w:r>
        <w:t>Ireland ,</w:t>
      </w:r>
      <w:proofErr w:type="gramEnd"/>
      <w:r>
        <w:t xml:space="preserve">found that rural residents had a higher tendency to normalise neurotic behaviour than those living in urban communities.( </w:t>
      </w:r>
      <w:proofErr w:type="spellStart"/>
      <w:r>
        <w:t>Keatinge</w:t>
      </w:r>
      <w:proofErr w:type="spellEnd"/>
      <w:r>
        <w:t>, 1987) By investigating attitudes in both rural and urban cultures, this study aims to gain better understanding of any shortfalls in information available to the public, and contribute to existing literature in highlighting the need to inform communities about available mental health services. Tolerance and non-discrimination for communities on the whole, is a key factor to the continued success of community based mental health care</w:t>
      </w:r>
      <w:proofErr w:type="gramStart"/>
      <w:r>
        <w:t>.(</w:t>
      </w:r>
      <w:proofErr w:type="gramEnd"/>
      <w:r>
        <w:t xml:space="preserve"> Hannigan, 1999)</w:t>
      </w:r>
    </w:p>
    <w:p w:rsidR="000353AD" w:rsidRDefault="000353AD" w:rsidP="000353AD">
      <w:pPr>
        <w:pStyle w:val="NormalWeb"/>
        <w:spacing w:line="480" w:lineRule="auto"/>
        <w:ind w:left="720" w:hanging="720"/>
      </w:pPr>
    </w:p>
    <w:p w:rsidR="000353AD" w:rsidRDefault="000353AD" w:rsidP="000353AD">
      <w:pPr>
        <w:spacing w:line="480" w:lineRule="auto"/>
        <w:ind w:left="720" w:hanging="720"/>
        <w:rPr>
          <w:b/>
        </w:rPr>
      </w:pPr>
      <w:r>
        <w:rPr>
          <w:b/>
        </w:rPr>
        <w:t>Method</w:t>
      </w:r>
    </w:p>
    <w:p w:rsidR="000353AD" w:rsidRDefault="000353AD" w:rsidP="000353AD">
      <w:pPr>
        <w:spacing w:line="480" w:lineRule="auto"/>
        <w:ind w:left="720" w:hanging="720"/>
      </w:pPr>
      <w:r>
        <w:t>The proposed study will involve the use of a CAMI Questionnaire that will be offered to residents from both rural and urban communities.  Participants will be sourced from two different venues that are likely to be busy environments. The rural venue will be an agricultural show where participants will be approached and asked if they are willing to participate in a face to face interview to complete the questionnaire.  Urban participants will be sought from a supermarket located in a city centre and offered to participate in the same survey, in exactly the same way.</w:t>
      </w:r>
    </w:p>
    <w:p w:rsidR="000353AD" w:rsidRDefault="000353AD" w:rsidP="000353AD">
      <w:pPr>
        <w:spacing w:line="480" w:lineRule="auto"/>
        <w:ind w:left="720" w:hanging="720"/>
        <w:rPr>
          <w:b/>
        </w:rPr>
      </w:pPr>
      <w:r>
        <w:rPr>
          <w:b/>
        </w:rPr>
        <w:t xml:space="preserve">   </w:t>
      </w:r>
    </w:p>
    <w:p w:rsidR="000353AD" w:rsidRDefault="000353AD" w:rsidP="000353AD">
      <w:pPr>
        <w:spacing w:line="480" w:lineRule="auto"/>
        <w:ind w:left="720" w:hanging="720"/>
      </w:pPr>
      <w:r>
        <w:rPr>
          <w:b/>
        </w:rPr>
        <w:t xml:space="preserve">           </w:t>
      </w:r>
      <w:proofErr w:type="gramStart"/>
      <w:r>
        <w:rPr>
          <w:b/>
        </w:rPr>
        <w:t>Intended participants.</w:t>
      </w:r>
      <w:proofErr w:type="gramEnd"/>
      <w:r>
        <w:rPr>
          <w:b/>
        </w:rPr>
        <w:t xml:space="preserve"> </w:t>
      </w:r>
      <w:r>
        <w:t xml:space="preserve">The intended participants for this study are residents from rural communities and residents from urban communities. An equal number of participants need to be sought from each community. A minimum of 100 participants from each community will be sought. In order for accurate measures participants will need to have lived in their communities for a minimum of 5 years. </w:t>
      </w:r>
    </w:p>
    <w:p w:rsidR="000353AD" w:rsidRDefault="000353AD" w:rsidP="000353AD">
      <w:pPr>
        <w:spacing w:line="480" w:lineRule="auto"/>
        <w:ind w:left="720" w:hanging="720"/>
      </w:pPr>
    </w:p>
    <w:p w:rsidR="000353AD" w:rsidRDefault="000353AD" w:rsidP="000353AD">
      <w:pPr>
        <w:spacing w:line="480" w:lineRule="auto"/>
        <w:ind w:left="720" w:hanging="720"/>
        <w:rPr>
          <w:b/>
        </w:rPr>
      </w:pPr>
      <w:r>
        <w:rPr>
          <w:b/>
        </w:rPr>
        <w:t xml:space="preserve">          Design  </w:t>
      </w:r>
    </w:p>
    <w:p w:rsidR="000353AD" w:rsidRDefault="000353AD" w:rsidP="000353AD">
      <w:pPr>
        <w:spacing w:line="480" w:lineRule="auto"/>
        <w:ind w:left="720" w:hanging="720"/>
      </w:pPr>
      <w:r>
        <w:t>This study is a between study design, looking at the differences between attitudes of those living in rural communities and urban communities.</w:t>
      </w:r>
    </w:p>
    <w:p w:rsidR="000353AD" w:rsidRDefault="000353AD" w:rsidP="000353AD">
      <w:pPr>
        <w:spacing w:line="480" w:lineRule="auto"/>
        <w:ind w:left="720" w:hanging="720"/>
      </w:pPr>
      <w:r>
        <w:t xml:space="preserve">      </w:t>
      </w:r>
      <w:r>
        <w:rPr>
          <w:b/>
        </w:rPr>
        <w:t xml:space="preserve">  Materials</w:t>
      </w:r>
    </w:p>
    <w:p w:rsidR="000353AD" w:rsidRDefault="000353AD" w:rsidP="000353AD">
      <w:pPr>
        <w:spacing w:line="480" w:lineRule="auto"/>
        <w:ind w:left="720" w:hanging="720"/>
      </w:pPr>
      <w:r>
        <w:t xml:space="preserve">A Cami questionnaire will be the materials used in this survey, </w:t>
      </w:r>
      <w:proofErr w:type="gramStart"/>
      <w:r>
        <w:t>The</w:t>
      </w:r>
      <w:proofErr w:type="gramEnd"/>
      <w:r>
        <w:t xml:space="preserve"> questionnaire will include statements that express opinion about those that might be mentally unwell or the statements will be about mental health in general.  The participant’s response to the statement will be recorded on the survey. These answers choices will range from strongly agree to strongly disagree.  The Cami questionnaire will be made up of 40 questions.  After interviewing the scores will then be calculated in accordance to the key.  The questions are categorised into one of 4 groups. These are Authoritarianism, </w:t>
      </w:r>
      <w:proofErr w:type="spellStart"/>
      <w:r>
        <w:t>Benevolance</w:t>
      </w:r>
      <w:proofErr w:type="spellEnd"/>
      <w:r>
        <w:t xml:space="preserve">, social Restrictiveness, </w:t>
      </w:r>
      <w:proofErr w:type="gramStart"/>
      <w:r>
        <w:t>Community</w:t>
      </w:r>
      <w:proofErr w:type="gramEnd"/>
      <w:r>
        <w:t xml:space="preserve"> Mental Health Ideology. </w:t>
      </w:r>
    </w:p>
    <w:p w:rsidR="000353AD" w:rsidRDefault="000353AD" w:rsidP="000353AD">
      <w:pPr>
        <w:spacing w:line="480" w:lineRule="auto"/>
        <w:ind w:left="720" w:hanging="720"/>
        <w:rPr>
          <w:b/>
        </w:rPr>
      </w:pPr>
      <w:r>
        <w:rPr>
          <w:b/>
        </w:rPr>
        <w:t xml:space="preserve">       Recruitment plan </w:t>
      </w:r>
    </w:p>
    <w:p w:rsidR="000353AD" w:rsidRDefault="000353AD" w:rsidP="000353AD">
      <w:pPr>
        <w:spacing w:line="480" w:lineRule="auto"/>
        <w:ind w:left="720" w:hanging="720"/>
      </w:pPr>
      <w:r>
        <w:t xml:space="preserve">Participants will be recruited from community based events being held in that particular area.  Participants interviewed from rural communities will be sought from an agricultural show where there is likely to be a large amount of rural residents in attendance. To sought participants from urban communities this will be done by recruiting participants that are shopping in a supermarket located in the city. The Survey will be conducted by the use of a face to face interview, this method of surveying has many advantages, </w:t>
      </w:r>
      <w:proofErr w:type="gramStart"/>
      <w:r>
        <w:t>the</w:t>
      </w:r>
      <w:proofErr w:type="gramEnd"/>
      <w:r>
        <w:t xml:space="preserve"> main advantages being that the interviewer can be on hand to explain any terminology and promote explanation and provide a level of privacy to the interviewee. </w:t>
      </w:r>
      <w:proofErr w:type="gramStart"/>
      <w:r>
        <w:t xml:space="preserve">( </w:t>
      </w:r>
      <w:proofErr w:type="spellStart"/>
      <w:r>
        <w:t>Hilgert</w:t>
      </w:r>
      <w:proofErr w:type="spellEnd"/>
      <w:proofErr w:type="gramEnd"/>
      <w:r>
        <w:t xml:space="preserve"> , L, Martin, M &amp; Richter, D. 2016).  Body language and facial expression can also be examined. Implications with this method are mostly surrounding the time it will take to conduct the interview. A </w:t>
      </w:r>
      <w:r>
        <w:lastRenderedPageBreak/>
        <w:t>more time efficient method could be sought. However answers may not be as accurate, as reactions can be better hidden with other interview methods such as online and postal surveys.</w:t>
      </w:r>
    </w:p>
    <w:p w:rsidR="000353AD" w:rsidRDefault="000353AD" w:rsidP="000353AD">
      <w:pPr>
        <w:spacing w:line="480" w:lineRule="auto"/>
        <w:ind w:left="720" w:hanging="720"/>
        <w:rPr>
          <w:b/>
        </w:rPr>
      </w:pPr>
    </w:p>
    <w:p w:rsidR="000353AD" w:rsidRDefault="000353AD" w:rsidP="000353AD">
      <w:pPr>
        <w:spacing w:line="480" w:lineRule="auto"/>
        <w:ind w:left="720" w:hanging="720"/>
        <w:rPr>
          <w:b/>
        </w:rPr>
      </w:pPr>
      <w:r>
        <w:rPr>
          <w:b/>
        </w:rPr>
        <w:t>Ethical Participation</w:t>
      </w:r>
    </w:p>
    <w:p w:rsidR="000353AD" w:rsidRDefault="000353AD" w:rsidP="000353AD">
      <w:pPr>
        <w:spacing w:line="480" w:lineRule="auto"/>
        <w:ind w:left="720" w:hanging="720"/>
      </w:pPr>
      <w:r>
        <w:t>Good research practise will be upheld at all times. An information sheet will be given to those participating. Confidentiality and the protection of data will be upheld at all times. The data protection risk is minimal, due to the survey being completed anonymously.</w:t>
      </w:r>
    </w:p>
    <w:p w:rsidR="000353AD" w:rsidRPr="00FE190D" w:rsidRDefault="000353AD" w:rsidP="000353AD">
      <w:pPr>
        <w:spacing w:line="480" w:lineRule="auto"/>
        <w:ind w:left="720" w:hanging="720"/>
        <w:rPr>
          <w:b/>
        </w:rPr>
      </w:pPr>
      <w:r>
        <w:t>Prior to the completion of the survey, the participants will be given a consent form to sign, this will state that they can withdraw from the study at any time and it will also fully explain the aims of the study and how the gathered information will be used. The true nature of the study will be clearly explained to the participant.  There are no physical requirements and no financial risk to this study as it is entirely voluntary. After the interview, the participant will be given a debriefing about how their information will be used, and answer any further questions.</w:t>
      </w:r>
      <w:r>
        <w:tab/>
      </w:r>
    </w:p>
    <w:p w:rsidR="000353AD" w:rsidRPr="00FE190D" w:rsidRDefault="000353AD" w:rsidP="000353AD">
      <w:pPr>
        <w:spacing w:line="480" w:lineRule="auto"/>
        <w:ind w:left="720" w:hanging="720"/>
        <w:rPr>
          <w:b/>
        </w:rPr>
      </w:pPr>
      <w:r w:rsidRPr="00FE190D">
        <w:rPr>
          <w:b/>
        </w:rPr>
        <w:t>Study outcomes</w:t>
      </w:r>
    </w:p>
    <w:p w:rsidR="000353AD" w:rsidRDefault="000353AD" w:rsidP="000353AD">
      <w:pPr>
        <w:spacing w:line="480" w:lineRule="auto"/>
        <w:ind w:left="720" w:hanging="720"/>
      </w:pPr>
      <w:r>
        <w:t xml:space="preserve">Previous Literature suggests that there have been various </w:t>
      </w:r>
      <w:proofErr w:type="gramStart"/>
      <w:r>
        <w:t>outcomes ,</w:t>
      </w:r>
      <w:proofErr w:type="gramEnd"/>
      <w:r>
        <w:t xml:space="preserve"> in other studies that have investigated attitudes in different community settings, such as rural and urban. Whilst it is likely that some differences will be reported, it’s difficult to predict exactly what these might be in this proposed study. However due to the potential of some residents being isolated within rural communities, it is predicted that their attitudes will be more negative towards mental health, due to less awareness.</w:t>
      </w:r>
    </w:p>
    <w:p w:rsidR="000353AD" w:rsidRDefault="000353AD" w:rsidP="000353AD">
      <w:pPr>
        <w:spacing w:line="480" w:lineRule="auto"/>
        <w:ind w:left="720" w:hanging="720"/>
      </w:pPr>
      <w:r>
        <w:lastRenderedPageBreak/>
        <w:t xml:space="preserve"> Early studies conducted in 1969 by Edgerton and </w:t>
      </w:r>
      <w:proofErr w:type="spellStart"/>
      <w:r>
        <w:t>Bentz</w:t>
      </w:r>
      <w:proofErr w:type="spellEnd"/>
      <w:r>
        <w:t>, found that rural communities have very minimal awareness of the mental health services available to them; (</w:t>
      </w:r>
      <w:proofErr w:type="spellStart"/>
      <w:r>
        <w:t>Egderton</w:t>
      </w:r>
      <w:proofErr w:type="spellEnd"/>
      <w:r>
        <w:t xml:space="preserve"> &amp; </w:t>
      </w:r>
      <w:proofErr w:type="spellStart"/>
      <w:r>
        <w:t>Bentz</w:t>
      </w:r>
      <w:proofErr w:type="spellEnd"/>
      <w:r>
        <w:t xml:space="preserve"> 1969) Contrary to this; other findings suggested that there was little difference between rural and urban cultures on attitudes towards treatments of mental health. As this study is now dated, it would be hoped that awareness has improved in rural areas since this study was undertaken. </w:t>
      </w:r>
    </w:p>
    <w:p w:rsidR="000353AD" w:rsidRDefault="000353AD" w:rsidP="000353AD">
      <w:pPr>
        <w:spacing w:line="480" w:lineRule="auto"/>
        <w:ind w:left="720" w:hanging="720"/>
      </w:pPr>
      <w:r>
        <w:t xml:space="preserve"> Rural occupations such as farming, and other outdoor careers, are exposed to number unpredictable factors that could potentially contribute to high levels of stress, such as the weather, unpredictable economic factors and enduring long working hours. Geographical isolation and lack of accessibility to health services could also be contributing factors to high suicide rates in farmers (</w:t>
      </w:r>
      <w:proofErr w:type="spellStart"/>
      <w:r>
        <w:t>Gregiore</w:t>
      </w:r>
      <w:proofErr w:type="spellEnd"/>
      <w:r>
        <w:t xml:space="preserve"> 2002) These factors could have generated many changes in attitudes towards health in rural areas.   Other variables in this study could include ethnic origins. Attitudes are likely to differ between ethnicity as previously found in a study conducted by Hall and Tucker </w:t>
      </w:r>
      <w:proofErr w:type="gramStart"/>
      <w:r>
        <w:t>( 1985</w:t>
      </w:r>
      <w:proofErr w:type="gramEnd"/>
      <w:r>
        <w:t>) who noted some higher negative attitudes of some ethnicities than others.  Whilst a mix a participants from different ethnicities will be invited to participate in the survey it is more likely that that will be residing in urban communities, therefore this could influence the findings.</w:t>
      </w:r>
    </w:p>
    <w:p w:rsidR="000353AD" w:rsidRDefault="000353AD" w:rsidP="000353AD">
      <w:pPr>
        <w:spacing w:line="480" w:lineRule="auto"/>
        <w:ind w:left="720" w:hanging="720"/>
      </w:pPr>
      <w:r>
        <w:t>Previous reviews have found that rural male residents in particular farmers, are less likely to seek help than females. Findings suggest that mental health stigma, pride and masculinities are likely to be responsible.  (Roy et al</w:t>
      </w:r>
      <w:proofErr w:type="gramStart"/>
      <w:r>
        <w:t>..</w:t>
      </w:r>
      <w:proofErr w:type="gramEnd"/>
      <w:r>
        <w:t xml:space="preserve"> 2014) The likelihood of finding similar outcomes in this study is high. Should gender become a variable in this study, future studies could investigate further into differences in male and female attitudes in each of these </w:t>
      </w:r>
      <w:proofErr w:type="gramStart"/>
      <w:r>
        <w:t>communities.</w:t>
      </w:r>
      <w:proofErr w:type="gramEnd"/>
      <w:r>
        <w:t xml:space="preserve"> </w:t>
      </w:r>
    </w:p>
    <w:p w:rsidR="000353AD" w:rsidRDefault="000353AD" w:rsidP="000353AD">
      <w:pPr>
        <w:spacing w:line="480" w:lineRule="auto"/>
        <w:ind w:left="720" w:hanging="720"/>
      </w:pPr>
    </w:p>
    <w:p w:rsidR="000353AD" w:rsidRDefault="000353AD" w:rsidP="000353AD">
      <w:pPr>
        <w:rPr>
          <w:b/>
        </w:rPr>
      </w:pPr>
    </w:p>
    <w:p w:rsidR="000353AD" w:rsidRDefault="000353AD" w:rsidP="000353AD">
      <w:pPr>
        <w:rPr>
          <w:b/>
        </w:rPr>
      </w:pPr>
    </w:p>
    <w:p w:rsidR="000353AD" w:rsidRDefault="000353AD" w:rsidP="000353AD">
      <w:pPr>
        <w:rPr>
          <w:b/>
        </w:rPr>
      </w:pPr>
    </w:p>
    <w:p w:rsidR="000353AD" w:rsidRDefault="000353AD" w:rsidP="000353AD">
      <w:pPr>
        <w:jc w:val="center"/>
        <w:rPr>
          <w:b/>
        </w:rPr>
      </w:pPr>
      <w:r>
        <w:rPr>
          <w:b/>
        </w:rPr>
        <w:t>References</w:t>
      </w:r>
    </w:p>
    <w:p w:rsidR="000353AD" w:rsidRDefault="000353AD" w:rsidP="000353AD">
      <w:pPr>
        <w:rPr>
          <w:rFonts w:cs="Segoe UI"/>
          <w:color w:val="212529"/>
          <w:sz w:val="20"/>
          <w:szCs w:val="20"/>
          <w:shd w:val="clear" w:color="auto" w:fill="FFFFFF"/>
        </w:rPr>
      </w:pPr>
      <w:r>
        <w:rPr>
          <w:rFonts w:cs="Segoe UI"/>
          <w:color w:val="212529"/>
          <w:sz w:val="20"/>
          <w:szCs w:val="20"/>
          <w:shd w:val="clear" w:color="auto" w:fill="FFFFFF"/>
        </w:rPr>
        <w:t>Barney et al</w:t>
      </w:r>
      <w:proofErr w:type="gramStart"/>
      <w:r>
        <w:rPr>
          <w:rFonts w:cs="Segoe UI"/>
          <w:color w:val="212529"/>
          <w:sz w:val="20"/>
          <w:szCs w:val="20"/>
          <w:shd w:val="clear" w:color="auto" w:fill="FFFFFF"/>
        </w:rPr>
        <w:t>..</w:t>
      </w:r>
      <w:proofErr w:type="gramEnd"/>
      <w:r>
        <w:rPr>
          <w:rFonts w:cs="Segoe UI"/>
          <w:color w:val="212529"/>
          <w:sz w:val="20"/>
          <w:szCs w:val="20"/>
          <w:shd w:val="clear" w:color="auto" w:fill="FFFFFF"/>
        </w:rPr>
        <w:t> </w:t>
      </w:r>
      <w:proofErr w:type="gramStart"/>
      <w:r>
        <w:rPr>
          <w:rFonts w:cs="Segoe UI"/>
          <w:color w:val="212529"/>
          <w:sz w:val="20"/>
          <w:szCs w:val="20"/>
          <w:shd w:val="clear" w:color="auto" w:fill="FFFFFF"/>
        </w:rPr>
        <w:t>(2006). Stigma about depression and its impact on help seeking intentions.</w:t>
      </w:r>
      <w:proofErr w:type="gramEnd"/>
      <w:r>
        <w:rPr>
          <w:rFonts w:cs="Segoe UI"/>
          <w:color w:val="212529"/>
          <w:sz w:val="20"/>
          <w:szCs w:val="20"/>
          <w:shd w:val="clear" w:color="auto" w:fill="FFFFFF"/>
        </w:rPr>
        <w:t xml:space="preserve"> Australian and New Zealand Journal of </w:t>
      </w:r>
      <w:proofErr w:type="gramStart"/>
      <w:r>
        <w:rPr>
          <w:rFonts w:cs="Segoe UI"/>
          <w:color w:val="212529"/>
          <w:sz w:val="20"/>
          <w:szCs w:val="20"/>
          <w:shd w:val="clear" w:color="auto" w:fill="FFFFFF"/>
        </w:rPr>
        <w:t>Psychiatry ,</w:t>
      </w:r>
      <w:proofErr w:type="gramEnd"/>
      <w:r>
        <w:rPr>
          <w:rFonts w:cs="Segoe UI"/>
          <w:color w:val="212529"/>
          <w:sz w:val="20"/>
          <w:szCs w:val="20"/>
          <w:shd w:val="clear" w:color="auto" w:fill="FFFFFF"/>
        </w:rPr>
        <w:t xml:space="preserve"> 40 (1), 51-54 </w:t>
      </w:r>
    </w:p>
    <w:p w:rsidR="000353AD" w:rsidRDefault="000353AD" w:rsidP="000353AD">
      <w:proofErr w:type="gramStart"/>
      <w:r>
        <w:rPr>
          <w:rFonts w:cs="Segoe UI"/>
          <w:color w:val="212529"/>
          <w:sz w:val="20"/>
          <w:szCs w:val="20"/>
          <w:shd w:val="clear" w:color="auto" w:fill="FFFFFF"/>
        </w:rPr>
        <w:t>Crisp, A. (2005).</w:t>
      </w:r>
      <w:proofErr w:type="gramEnd"/>
      <w:r>
        <w:rPr>
          <w:rFonts w:cs="Segoe UI"/>
          <w:color w:val="212529"/>
          <w:sz w:val="20"/>
          <w:szCs w:val="20"/>
          <w:shd w:val="clear" w:color="auto" w:fill="FFFFFF"/>
        </w:rPr>
        <w:t xml:space="preserve"> Stigmatization of people with mental illnesses: a follow up study within the challenging minds campaign of the royal college of psychiatrists. World </w:t>
      </w:r>
      <w:proofErr w:type="gramStart"/>
      <w:r>
        <w:rPr>
          <w:rFonts w:cs="Segoe UI"/>
          <w:color w:val="212529"/>
          <w:sz w:val="20"/>
          <w:szCs w:val="20"/>
          <w:shd w:val="clear" w:color="auto" w:fill="FFFFFF"/>
        </w:rPr>
        <w:t>psychiatry ;</w:t>
      </w:r>
      <w:proofErr w:type="gramEnd"/>
      <w:r>
        <w:rPr>
          <w:rFonts w:cs="Segoe UI"/>
          <w:color w:val="212529"/>
          <w:sz w:val="20"/>
          <w:szCs w:val="20"/>
          <w:shd w:val="clear" w:color="auto" w:fill="FFFFFF"/>
        </w:rPr>
        <w:t xml:space="preserve"> official journal of the world psychiatric association (WPA), 4(2), 106-113.</w:t>
      </w:r>
      <w:r>
        <w:t xml:space="preserve"> </w:t>
      </w:r>
    </w:p>
    <w:p w:rsidR="000353AD" w:rsidRDefault="000353AD" w:rsidP="000353AD">
      <w:pPr>
        <w:rPr>
          <w:rFonts w:cs="Segoe UI"/>
          <w:color w:val="212529"/>
          <w:sz w:val="20"/>
          <w:szCs w:val="20"/>
          <w:shd w:val="clear" w:color="auto" w:fill="FFFFFF"/>
        </w:rPr>
      </w:pPr>
      <w:r>
        <w:rPr>
          <w:rFonts w:cs="Segoe UI"/>
          <w:color w:val="212529"/>
          <w:sz w:val="20"/>
          <w:szCs w:val="20"/>
          <w:shd w:val="clear" w:color="auto" w:fill="FFFFFF"/>
        </w:rPr>
        <w:t>Edgerton, J</w:t>
      </w:r>
      <w:proofErr w:type="gramStart"/>
      <w:r>
        <w:rPr>
          <w:rFonts w:cs="Segoe UI"/>
          <w:color w:val="212529"/>
          <w:sz w:val="20"/>
          <w:szCs w:val="20"/>
          <w:shd w:val="clear" w:color="auto" w:fill="FFFFFF"/>
        </w:rPr>
        <w:t>. .</w:t>
      </w:r>
      <w:proofErr w:type="gramEnd"/>
      <w:r>
        <w:rPr>
          <w:rFonts w:cs="Segoe UI"/>
          <w:color w:val="212529"/>
          <w:sz w:val="20"/>
          <w:szCs w:val="20"/>
          <w:shd w:val="clear" w:color="auto" w:fill="FFFFFF"/>
        </w:rPr>
        <w:t xml:space="preserve">W &amp; </w:t>
      </w:r>
      <w:proofErr w:type="spellStart"/>
      <w:r>
        <w:rPr>
          <w:rFonts w:cs="Segoe UI"/>
          <w:color w:val="212529"/>
          <w:sz w:val="20"/>
          <w:szCs w:val="20"/>
          <w:shd w:val="clear" w:color="auto" w:fill="FFFFFF"/>
        </w:rPr>
        <w:t>Bentz</w:t>
      </w:r>
      <w:proofErr w:type="spellEnd"/>
      <w:r>
        <w:rPr>
          <w:rFonts w:cs="Segoe UI"/>
          <w:color w:val="212529"/>
          <w:sz w:val="20"/>
          <w:szCs w:val="20"/>
          <w:shd w:val="clear" w:color="auto" w:fill="FFFFFF"/>
        </w:rPr>
        <w:t>, K</w:t>
      </w:r>
      <w:proofErr w:type="gramStart"/>
      <w:r>
        <w:rPr>
          <w:rFonts w:cs="Segoe UI"/>
          <w:color w:val="212529"/>
          <w:sz w:val="20"/>
          <w:szCs w:val="20"/>
          <w:shd w:val="clear" w:color="auto" w:fill="FFFFFF"/>
        </w:rPr>
        <w:t>. .W. (1969).</w:t>
      </w:r>
      <w:proofErr w:type="gramEnd"/>
      <w:r>
        <w:rPr>
          <w:rFonts w:cs="Segoe UI"/>
          <w:color w:val="212529"/>
          <w:sz w:val="20"/>
          <w:szCs w:val="20"/>
          <w:shd w:val="clear" w:color="auto" w:fill="FFFFFF"/>
        </w:rPr>
        <w:t xml:space="preserve"> Attitudes and opinions of rural people about mental illness and program </w:t>
      </w:r>
      <w:proofErr w:type="gramStart"/>
      <w:r>
        <w:rPr>
          <w:rFonts w:cs="Segoe UI"/>
          <w:color w:val="212529"/>
          <w:sz w:val="20"/>
          <w:szCs w:val="20"/>
          <w:shd w:val="clear" w:color="auto" w:fill="FFFFFF"/>
        </w:rPr>
        <w:t>services .</w:t>
      </w:r>
      <w:proofErr w:type="gramEnd"/>
      <w:r>
        <w:rPr>
          <w:rFonts w:cs="Segoe UI"/>
          <w:color w:val="212529"/>
          <w:sz w:val="20"/>
          <w:szCs w:val="20"/>
          <w:shd w:val="clear" w:color="auto" w:fill="FFFFFF"/>
        </w:rPr>
        <w:t xml:space="preserve"> American Journal of public health and the nation’s health, 59(3), 470-477.</w:t>
      </w:r>
    </w:p>
    <w:p w:rsidR="000353AD" w:rsidRDefault="000353AD" w:rsidP="000353AD">
      <w:pPr>
        <w:rPr>
          <w:rFonts w:cs="Segoe UI"/>
          <w:color w:val="212529"/>
          <w:sz w:val="20"/>
          <w:szCs w:val="20"/>
          <w:shd w:val="clear" w:color="auto" w:fill="FFFFFF"/>
        </w:rPr>
      </w:pPr>
      <w:r>
        <w:rPr>
          <w:rFonts w:cs="Segoe UI"/>
          <w:color w:val="212529"/>
          <w:sz w:val="20"/>
          <w:szCs w:val="20"/>
          <w:shd w:val="clear" w:color="auto" w:fill="FFFFFF"/>
        </w:rPr>
        <w:br/>
        <w:t>Evans-</w:t>
      </w:r>
      <w:proofErr w:type="spellStart"/>
      <w:r>
        <w:rPr>
          <w:rFonts w:cs="Segoe UI"/>
          <w:color w:val="212529"/>
          <w:sz w:val="20"/>
          <w:szCs w:val="20"/>
          <w:shd w:val="clear" w:color="auto" w:fill="FFFFFF"/>
        </w:rPr>
        <w:t>lacko</w:t>
      </w:r>
      <w:proofErr w:type="spellEnd"/>
      <w:r>
        <w:rPr>
          <w:rFonts w:cs="Segoe UI"/>
          <w:color w:val="212529"/>
          <w:sz w:val="20"/>
          <w:szCs w:val="20"/>
          <w:shd w:val="clear" w:color="auto" w:fill="FFFFFF"/>
        </w:rPr>
        <w:t xml:space="preserve">, S, Henderson, C &amp; </w:t>
      </w:r>
      <w:proofErr w:type="gramStart"/>
      <w:r>
        <w:rPr>
          <w:rFonts w:cs="Segoe UI"/>
          <w:color w:val="212529"/>
          <w:sz w:val="20"/>
          <w:szCs w:val="20"/>
          <w:shd w:val="clear" w:color="auto" w:fill="FFFFFF"/>
        </w:rPr>
        <w:t>Thornicroft ,</w:t>
      </w:r>
      <w:proofErr w:type="gramEnd"/>
      <w:r>
        <w:rPr>
          <w:rFonts w:cs="Segoe UI"/>
          <w:color w:val="212529"/>
          <w:sz w:val="20"/>
          <w:szCs w:val="20"/>
          <w:shd w:val="clear" w:color="auto" w:fill="FFFFFF"/>
        </w:rPr>
        <w:t xml:space="preserve"> G. (2013). </w:t>
      </w:r>
      <w:proofErr w:type="gramStart"/>
      <w:r>
        <w:rPr>
          <w:rFonts w:cs="Segoe UI"/>
          <w:color w:val="212529"/>
          <w:sz w:val="20"/>
          <w:szCs w:val="20"/>
          <w:shd w:val="clear" w:color="auto" w:fill="FFFFFF"/>
        </w:rPr>
        <w:t xml:space="preserve">Public knowledge, attitudes and </w:t>
      </w:r>
      <w:proofErr w:type="spellStart"/>
      <w:r>
        <w:rPr>
          <w:rFonts w:cs="Segoe UI"/>
          <w:color w:val="212529"/>
          <w:sz w:val="20"/>
          <w:szCs w:val="20"/>
          <w:shd w:val="clear" w:color="auto" w:fill="FFFFFF"/>
        </w:rPr>
        <w:t>behavior</w:t>
      </w:r>
      <w:proofErr w:type="spellEnd"/>
      <w:r>
        <w:rPr>
          <w:rFonts w:cs="Segoe UI"/>
          <w:color w:val="212529"/>
          <w:sz w:val="20"/>
          <w:szCs w:val="20"/>
          <w:shd w:val="clear" w:color="auto" w:fill="FFFFFF"/>
        </w:rPr>
        <w:t xml:space="preserve"> regarding people with mental illness in England 2009-2012202.</w:t>
      </w:r>
      <w:proofErr w:type="gramEnd"/>
      <w:r>
        <w:rPr>
          <w:rFonts w:cs="Segoe UI"/>
          <w:color w:val="212529"/>
          <w:sz w:val="20"/>
          <w:szCs w:val="20"/>
          <w:shd w:val="clear" w:color="auto" w:fill="FFFFFF"/>
        </w:rPr>
        <w:t> </w:t>
      </w:r>
      <w:proofErr w:type="gramStart"/>
      <w:r>
        <w:rPr>
          <w:rFonts w:cs="Segoe UI"/>
          <w:color w:val="212529"/>
          <w:sz w:val="20"/>
          <w:szCs w:val="20"/>
          <w:shd w:val="clear" w:color="auto" w:fill="FFFFFF"/>
        </w:rPr>
        <w:t>The British journal of Psychiatry, 10(202), 51-57.</w:t>
      </w:r>
      <w:proofErr w:type="gramEnd"/>
    </w:p>
    <w:p w:rsidR="000353AD" w:rsidRDefault="000353AD" w:rsidP="000353AD">
      <w:pPr>
        <w:rPr>
          <w:rFonts w:cs="Segoe UI"/>
          <w:color w:val="212529"/>
          <w:sz w:val="20"/>
          <w:szCs w:val="20"/>
          <w:shd w:val="clear" w:color="auto" w:fill="FFFFFF"/>
        </w:rPr>
      </w:pPr>
      <w:r>
        <w:rPr>
          <w:rFonts w:cs="Segoe UI"/>
          <w:color w:val="212529"/>
          <w:sz w:val="20"/>
          <w:szCs w:val="20"/>
          <w:shd w:val="clear" w:color="auto" w:fill="FFFFFF"/>
        </w:rPr>
        <w:t>Fink, P</w:t>
      </w:r>
      <w:proofErr w:type="gramStart"/>
      <w:r>
        <w:rPr>
          <w:rFonts w:cs="Segoe UI"/>
          <w:color w:val="212529"/>
          <w:sz w:val="20"/>
          <w:szCs w:val="20"/>
          <w:shd w:val="clear" w:color="auto" w:fill="FFFFFF"/>
        </w:rPr>
        <w:t>. .J. (1992).</w:t>
      </w:r>
      <w:proofErr w:type="gramEnd"/>
      <w:r>
        <w:rPr>
          <w:rFonts w:cs="Segoe UI"/>
          <w:color w:val="212529"/>
          <w:sz w:val="20"/>
          <w:szCs w:val="20"/>
          <w:shd w:val="clear" w:color="auto" w:fill="FFFFFF"/>
        </w:rPr>
        <w:t xml:space="preserve"> Stigma and Mental </w:t>
      </w:r>
      <w:proofErr w:type="gramStart"/>
      <w:r>
        <w:rPr>
          <w:rFonts w:cs="Segoe UI"/>
          <w:color w:val="212529"/>
          <w:sz w:val="20"/>
          <w:szCs w:val="20"/>
          <w:shd w:val="clear" w:color="auto" w:fill="FFFFFF"/>
        </w:rPr>
        <w:t>illness . Philadelphia :</w:t>
      </w:r>
      <w:proofErr w:type="gramEnd"/>
      <w:r>
        <w:rPr>
          <w:rFonts w:cs="Segoe UI"/>
          <w:color w:val="212529"/>
          <w:sz w:val="20"/>
          <w:szCs w:val="20"/>
          <w:shd w:val="clear" w:color="auto" w:fill="FFFFFF"/>
        </w:rPr>
        <w:t> American Psychiatric press .</w:t>
      </w:r>
    </w:p>
    <w:p w:rsidR="000353AD" w:rsidRDefault="000353AD" w:rsidP="000353AD">
      <w:pPr>
        <w:rPr>
          <w:sz w:val="20"/>
          <w:szCs w:val="20"/>
        </w:rPr>
      </w:pPr>
      <w:proofErr w:type="spellStart"/>
      <w:r>
        <w:rPr>
          <w:sz w:val="20"/>
          <w:szCs w:val="20"/>
        </w:rPr>
        <w:t>Gregoire</w:t>
      </w:r>
      <w:proofErr w:type="spellEnd"/>
      <w:r>
        <w:rPr>
          <w:sz w:val="20"/>
          <w:szCs w:val="20"/>
        </w:rPr>
        <w:t xml:space="preserve">, A. (2002). The mental health of </w:t>
      </w:r>
      <w:proofErr w:type="gramStart"/>
      <w:r>
        <w:rPr>
          <w:sz w:val="20"/>
          <w:szCs w:val="20"/>
        </w:rPr>
        <w:t>farmers .</w:t>
      </w:r>
      <w:proofErr w:type="gramEnd"/>
      <w:r>
        <w:rPr>
          <w:sz w:val="20"/>
          <w:szCs w:val="20"/>
        </w:rPr>
        <w:t xml:space="preserve"> Occupation </w:t>
      </w:r>
      <w:proofErr w:type="gramStart"/>
      <w:r>
        <w:rPr>
          <w:sz w:val="20"/>
          <w:szCs w:val="20"/>
        </w:rPr>
        <w:t>medicine ,</w:t>
      </w:r>
      <w:proofErr w:type="gramEnd"/>
      <w:r>
        <w:rPr>
          <w:sz w:val="20"/>
          <w:szCs w:val="20"/>
        </w:rPr>
        <w:t xml:space="preserve"> 52(8), 471-476.</w:t>
      </w:r>
    </w:p>
    <w:p w:rsidR="000353AD" w:rsidRDefault="000353AD" w:rsidP="000353AD">
      <w:pPr>
        <w:rPr>
          <w:rFonts w:cs="Segoe UI"/>
          <w:color w:val="212529"/>
          <w:sz w:val="20"/>
          <w:szCs w:val="20"/>
          <w:shd w:val="clear" w:color="auto" w:fill="FFFFFF"/>
        </w:rPr>
      </w:pPr>
      <w:proofErr w:type="gramStart"/>
      <w:r>
        <w:rPr>
          <w:rFonts w:cs="Segoe UI"/>
          <w:color w:val="212529"/>
          <w:sz w:val="20"/>
          <w:szCs w:val="20"/>
          <w:shd w:val="clear" w:color="auto" w:fill="FFFFFF"/>
        </w:rPr>
        <w:t>Hannigan ,</w:t>
      </w:r>
      <w:proofErr w:type="gramEnd"/>
      <w:r>
        <w:rPr>
          <w:rFonts w:cs="Segoe UI"/>
          <w:color w:val="212529"/>
          <w:sz w:val="20"/>
          <w:szCs w:val="20"/>
          <w:shd w:val="clear" w:color="auto" w:fill="FFFFFF"/>
        </w:rPr>
        <w:t xml:space="preserve"> B. (1999). Mental health care in the community: An analysis of contemporary public attitudes towards public representation of mental illness. </w:t>
      </w:r>
      <w:proofErr w:type="gramStart"/>
      <w:r>
        <w:rPr>
          <w:rFonts w:cs="Segoe UI"/>
          <w:color w:val="212529"/>
          <w:sz w:val="20"/>
          <w:szCs w:val="20"/>
          <w:shd w:val="clear" w:color="auto" w:fill="FFFFFF"/>
        </w:rPr>
        <w:t>Journal of mental health, 8(5), 431-440.</w:t>
      </w:r>
      <w:proofErr w:type="gramEnd"/>
    </w:p>
    <w:p w:rsidR="000353AD" w:rsidRDefault="000353AD" w:rsidP="000353AD">
      <w:pPr>
        <w:rPr>
          <w:rFonts w:cs="Segoe UI"/>
          <w:color w:val="212529"/>
          <w:sz w:val="20"/>
          <w:szCs w:val="20"/>
          <w:shd w:val="clear" w:color="auto" w:fill="FFFFFF"/>
        </w:rPr>
      </w:pPr>
      <w:proofErr w:type="spellStart"/>
      <w:r>
        <w:rPr>
          <w:rFonts w:cs="Segoe UI"/>
          <w:color w:val="212529"/>
          <w:sz w:val="20"/>
          <w:szCs w:val="20"/>
          <w:shd w:val="clear" w:color="auto" w:fill="FFFFFF"/>
        </w:rPr>
        <w:t>Hayslip</w:t>
      </w:r>
      <w:proofErr w:type="spellEnd"/>
      <w:r>
        <w:rPr>
          <w:rFonts w:cs="Segoe UI"/>
          <w:color w:val="212529"/>
          <w:sz w:val="20"/>
          <w:szCs w:val="20"/>
          <w:shd w:val="clear" w:color="auto" w:fill="FFFFFF"/>
        </w:rPr>
        <w:t xml:space="preserve"> et al</w:t>
      </w:r>
      <w:proofErr w:type="gramStart"/>
      <w:r>
        <w:rPr>
          <w:rFonts w:cs="Segoe UI"/>
          <w:color w:val="212529"/>
          <w:sz w:val="20"/>
          <w:szCs w:val="20"/>
          <w:shd w:val="clear" w:color="auto" w:fill="FFFFFF"/>
        </w:rPr>
        <w:t>..</w:t>
      </w:r>
      <w:proofErr w:type="gramEnd"/>
      <w:r>
        <w:rPr>
          <w:rFonts w:cs="Segoe UI"/>
          <w:color w:val="212529"/>
          <w:sz w:val="20"/>
          <w:szCs w:val="20"/>
          <w:shd w:val="clear" w:color="auto" w:fill="FFFFFF"/>
        </w:rPr>
        <w:t xml:space="preserve"> (2010). Mental Health Attitudes </w:t>
      </w:r>
      <w:proofErr w:type="gramStart"/>
      <w:r>
        <w:rPr>
          <w:rFonts w:cs="Segoe UI"/>
          <w:color w:val="212529"/>
          <w:sz w:val="20"/>
          <w:szCs w:val="20"/>
          <w:shd w:val="clear" w:color="auto" w:fill="FFFFFF"/>
        </w:rPr>
        <w:t>Among</w:t>
      </w:r>
      <w:proofErr w:type="gramEnd"/>
      <w:r>
        <w:rPr>
          <w:rFonts w:cs="Segoe UI"/>
          <w:color w:val="212529"/>
          <w:sz w:val="20"/>
          <w:szCs w:val="20"/>
          <w:shd w:val="clear" w:color="auto" w:fill="FFFFFF"/>
        </w:rPr>
        <w:t xml:space="preserve"> Rural and Urban Older Adults. Clinical </w:t>
      </w:r>
      <w:proofErr w:type="gramStart"/>
      <w:r>
        <w:rPr>
          <w:rFonts w:cs="Segoe UI"/>
          <w:color w:val="212529"/>
          <w:sz w:val="20"/>
          <w:szCs w:val="20"/>
          <w:shd w:val="clear" w:color="auto" w:fill="FFFFFF"/>
        </w:rPr>
        <w:t>Gerontologist ,</w:t>
      </w:r>
      <w:proofErr w:type="gramEnd"/>
      <w:r>
        <w:rPr>
          <w:rFonts w:cs="Segoe UI"/>
          <w:color w:val="212529"/>
          <w:sz w:val="20"/>
          <w:szCs w:val="20"/>
          <w:shd w:val="clear" w:color="auto" w:fill="FFFFFF"/>
        </w:rPr>
        <w:t xml:space="preserve"> 33(4), 316-331.</w:t>
      </w:r>
    </w:p>
    <w:p w:rsidR="000353AD" w:rsidRDefault="000353AD" w:rsidP="000353AD">
      <w:pPr>
        <w:shd w:val="clear" w:color="auto" w:fill="FFFFFF"/>
        <w:suppressAutoHyphens w:val="0"/>
        <w:spacing w:after="100" w:line="240" w:lineRule="auto"/>
        <w:textAlignment w:val="auto"/>
        <w:rPr>
          <w:rFonts w:cs="Segoe UI"/>
          <w:color w:val="212529"/>
          <w:sz w:val="20"/>
          <w:szCs w:val="20"/>
          <w:shd w:val="clear" w:color="auto" w:fill="FFFFFF"/>
        </w:rPr>
      </w:pPr>
      <w:proofErr w:type="spellStart"/>
      <w:r>
        <w:rPr>
          <w:rFonts w:cs="Segoe UI"/>
          <w:color w:val="212529"/>
          <w:sz w:val="20"/>
          <w:szCs w:val="20"/>
          <w:shd w:val="clear" w:color="auto" w:fill="FFFFFF"/>
        </w:rPr>
        <w:t>Keatinge</w:t>
      </w:r>
      <w:proofErr w:type="spellEnd"/>
      <w:r>
        <w:rPr>
          <w:rFonts w:cs="Segoe UI"/>
          <w:color w:val="212529"/>
          <w:sz w:val="20"/>
          <w:szCs w:val="20"/>
          <w:shd w:val="clear" w:color="auto" w:fill="FFFFFF"/>
        </w:rPr>
        <w:t xml:space="preserve">, C. (1987). Community factors influencing psychiatric hospital utilization in rural and urban </w:t>
      </w:r>
      <w:proofErr w:type="gramStart"/>
      <w:r>
        <w:rPr>
          <w:rFonts w:cs="Segoe UI"/>
          <w:color w:val="212529"/>
          <w:sz w:val="20"/>
          <w:szCs w:val="20"/>
          <w:shd w:val="clear" w:color="auto" w:fill="FFFFFF"/>
        </w:rPr>
        <w:t>Ir</w:t>
      </w:r>
      <w:r>
        <w:rPr>
          <w:rFonts w:cs="Segoe UI"/>
          <w:color w:val="212529"/>
          <w:sz w:val="20"/>
          <w:szCs w:val="20"/>
          <w:shd w:val="clear" w:color="auto" w:fill="FFFFFF"/>
        </w:rPr>
        <w:t>e</w:t>
      </w:r>
      <w:r>
        <w:rPr>
          <w:rFonts w:cs="Segoe UI"/>
          <w:color w:val="212529"/>
          <w:sz w:val="20"/>
          <w:szCs w:val="20"/>
          <w:shd w:val="clear" w:color="auto" w:fill="FFFFFF"/>
        </w:rPr>
        <w:t>land . </w:t>
      </w:r>
      <w:proofErr w:type="gramEnd"/>
      <w:r>
        <w:rPr>
          <w:rFonts w:cs="Segoe UI"/>
          <w:color w:val="212529"/>
          <w:sz w:val="20"/>
          <w:szCs w:val="20"/>
          <w:shd w:val="clear" w:color="auto" w:fill="FFFFFF"/>
        </w:rPr>
        <w:t>Community Mental Health Journal, 1(23), 192-203.</w:t>
      </w:r>
    </w:p>
    <w:p w:rsidR="000353AD" w:rsidRDefault="000353AD" w:rsidP="000353AD">
      <w:pPr>
        <w:pStyle w:val="Heading4"/>
        <w:shd w:val="clear" w:color="auto" w:fill="FFFFFF"/>
        <w:rPr>
          <w:b w:val="0"/>
          <w:i w:val="0"/>
        </w:rPr>
      </w:pPr>
      <w:proofErr w:type="gramStart"/>
      <w:r w:rsidRPr="00F907DF">
        <w:rPr>
          <w:rFonts w:ascii="Calibri" w:hAnsi="Calibri" w:cs="Segoe UI"/>
          <w:b w:val="0"/>
          <w:i w:val="0"/>
          <w:color w:val="212529"/>
          <w:sz w:val="20"/>
          <w:szCs w:val="20"/>
          <w:shd w:val="clear" w:color="auto" w:fill="FFFFFF"/>
        </w:rPr>
        <w:t>Mind .</w:t>
      </w:r>
      <w:proofErr w:type="gramEnd"/>
      <w:r w:rsidRPr="00F907DF">
        <w:rPr>
          <w:rFonts w:ascii="Calibri" w:hAnsi="Calibri" w:cs="Segoe UI"/>
          <w:b w:val="0"/>
          <w:i w:val="0"/>
          <w:color w:val="212529"/>
          <w:sz w:val="20"/>
          <w:szCs w:val="20"/>
          <w:shd w:val="clear" w:color="auto" w:fill="FFFFFF"/>
        </w:rPr>
        <w:t xml:space="preserve"> (2013). </w:t>
      </w:r>
      <w:proofErr w:type="spellStart"/>
      <w:r w:rsidRPr="00F907DF">
        <w:rPr>
          <w:rFonts w:ascii="Calibri" w:hAnsi="Calibri" w:cs="Segoe UI"/>
          <w:b w:val="0"/>
          <w:color w:val="212529"/>
          <w:sz w:val="20"/>
          <w:szCs w:val="20"/>
          <w:shd w:val="clear" w:color="auto" w:fill="FFFFFF"/>
        </w:rPr>
        <w:t>Its</w:t>
      </w:r>
      <w:proofErr w:type="spellEnd"/>
      <w:r w:rsidRPr="00F907DF">
        <w:rPr>
          <w:rFonts w:ascii="Calibri" w:hAnsi="Calibri" w:cs="Segoe UI"/>
          <w:b w:val="0"/>
          <w:color w:val="212529"/>
          <w:sz w:val="20"/>
          <w:szCs w:val="20"/>
          <w:shd w:val="clear" w:color="auto" w:fill="FFFFFF"/>
        </w:rPr>
        <w:t xml:space="preserve"> time to talk, </w:t>
      </w:r>
      <w:proofErr w:type="spellStart"/>
      <w:r w:rsidRPr="00F907DF">
        <w:rPr>
          <w:rFonts w:ascii="Calibri" w:hAnsi="Calibri" w:cs="Segoe UI"/>
          <w:b w:val="0"/>
          <w:color w:val="212529"/>
          <w:sz w:val="20"/>
          <w:szCs w:val="20"/>
          <w:shd w:val="clear" w:color="auto" w:fill="FFFFFF"/>
        </w:rPr>
        <w:t>its</w:t>
      </w:r>
      <w:proofErr w:type="spellEnd"/>
      <w:r w:rsidRPr="00F907DF">
        <w:rPr>
          <w:rFonts w:ascii="Calibri" w:hAnsi="Calibri" w:cs="Segoe UI"/>
          <w:b w:val="0"/>
          <w:color w:val="212529"/>
          <w:sz w:val="20"/>
          <w:szCs w:val="20"/>
          <w:shd w:val="clear" w:color="auto" w:fill="FFFFFF"/>
        </w:rPr>
        <w:t xml:space="preserve"> time to </w:t>
      </w:r>
      <w:proofErr w:type="gramStart"/>
      <w:r w:rsidRPr="00F907DF">
        <w:rPr>
          <w:rFonts w:ascii="Calibri" w:hAnsi="Calibri" w:cs="Segoe UI"/>
          <w:b w:val="0"/>
          <w:color w:val="212529"/>
          <w:sz w:val="20"/>
          <w:szCs w:val="20"/>
          <w:shd w:val="clear" w:color="auto" w:fill="FFFFFF"/>
        </w:rPr>
        <w:t>change</w:t>
      </w:r>
      <w:r w:rsidRPr="00F907DF">
        <w:rPr>
          <w:rFonts w:ascii="Calibri" w:hAnsi="Calibri" w:cs="Segoe UI"/>
          <w:b w:val="0"/>
          <w:i w:val="0"/>
          <w:color w:val="212529"/>
          <w:sz w:val="20"/>
          <w:szCs w:val="20"/>
          <w:shd w:val="clear" w:color="auto" w:fill="FFFFFF"/>
        </w:rPr>
        <w:t xml:space="preserve"> .</w:t>
      </w:r>
      <w:proofErr w:type="gramEnd"/>
      <w:r w:rsidRPr="00F907DF">
        <w:rPr>
          <w:rFonts w:ascii="Calibri" w:hAnsi="Calibri" w:cs="Segoe UI"/>
          <w:b w:val="0"/>
          <w:i w:val="0"/>
          <w:color w:val="212529"/>
          <w:sz w:val="20"/>
          <w:szCs w:val="20"/>
          <w:shd w:val="clear" w:color="auto" w:fill="FFFFFF"/>
        </w:rPr>
        <w:t xml:space="preserve"> Retrieved 14 January, 2020, from </w:t>
      </w:r>
      <w:hyperlink w:history="1">
        <w:r w:rsidRPr="00F907DF">
          <w:rPr>
            <w:rStyle w:val="Hyperlink"/>
            <w:rFonts w:ascii="Calibri" w:hAnsi="Calibri" w:cs="Segoe UI"/>
            <w:b w:val="0"/>
            <w:i w:val="0"/>
            <w:sz w:val="20"/>
            <w:szCs w:val="20"/>
            <w:shd w:val="clear" w:color="auto" w:fill="FFFFFF"/>
          </w:rPr>
          <w:t>http://"www.mind.org.uk</w:t>
        </w:r>
      </w:hyperlink>
      <w:r w:rsidRPr="00F907DF">
        <w:rPr>
          <w:rFonts w:ascii="Calibri" w:hAnsi="Calibri" w:cs="Segoe UI"/>
          <w:b w:val="0"/>
          <w:i w:val="0"/>
          <w:color w:val="212529"/>
          <w:sz w:val="20"/>
          <w:szCs w:val="20"/>
          <w:shd w:val="clear" w:color="auto" w:fill="FFFFFF"/>
        </w:rPr>
        <w:t xml:space="preserve"> accessed 15/01/20</w:t>
      </w:r>
      <w:r w:rsidRPr="00F907DF">
        <w:rPr>
          <w:rFonts w:ascii="Calibri" w:hAnsi="Calibri" w:cs="Segoe UI"/>
          <w:b w:val="0"/>
          <w:i w:val="0"/>
          <w:color w:val="212529"/>
          <w:sz w:val="20"/>
          <w:szCs w:val="20"/>
          <w:shd w:val="clear" w:color="auto" w:fill="FFFFFF"/>
        </w:rPr>
        <w:br/>
      </w:r>
    </w:p>
    <w:p w:rsidR="000353AD" w:rsidRPr="00F907DF" w:rsidRDefault="000353AD" w:rsidP="000353AD">
      <w:pPr>
        <w:pStyle w:val="Heading4"/>
        <w:shd w:val="clear" w:color="auto" w:fill="FFFFFF"/>
        <w:rPr>
          <w:b w:val="0"/>
          <w:i w:val="0"/>
        </w:rPr>
      </w:pPr>
      <w:r>
        <w:rPr>
          <w:rFonts w:ascii="Calibri" w:hAnsi="Calibri" w:cs="Segoe UI"/>
          <w:b w:val="0"/>
          <w:i w:val="0"/>
          <w:color w:val="212529"/>
          <w:sz w:val="20"/>
          <w:szCs w:val="20"/>
          <w:shd w:val="clear" w:color="auto" w:fill="FFFFFF"/>
        </w:rPr>
        <w:t>Nicholson, L</w:t>
      </w:r>
      <w:proofErr w:type="gramStart"/>
      <w:r>
        <w:rPr>
          <w:rFonts w:ascii="Calibri" w:hAnsi="Calibri" w:cs="Segoe UI"/>
          <w:b w:val="0"/>
          <w:i w:val="0"/>
          <w:color w:val="212529"/>
          <w:sz w:val="20"/>
          <w:szCs w:val="20"/>
          <w:shd w:val="clear" w:color="auto" w:fill="FFFFFF"/>
        </w:rPr>
        <w:t>. .A. (2008).</w:t>
      </w:r>
      <w:proofErr w:type="gramEnd"/>
      <w:r>
        <w:rPr>
          <w:rFonts w:ascii="Calibri" w:hAnsi="Calibri" w:cs="Segoe UI"/>
          <w:b w:val="0"/>
          <w:i w:val="0"/>
          <w:color w:val="212529"/>
          <w:sz w:val="20"/>
          <w:szCs w:val="20"/>
          <w:shd w:val="clear" w:color="auto" w:fill="FFFFFF"/>
        </w:rPr>
        <w:t xml:space="preserve"> Advantages in Psychiatric </w:t>
      </w:r>
      <w:proofErr w:type="gramStart"/>
      <w:r>
        <w:rPr>
          <w:rFonts w:ascii="Calibri" w:hAnsi="Calibri" w:cs="Segoe UI"/>
          <w:b w:val="0"/>
          <w:i w:val="0"/>
          <w:color w:val="212529"/>
          <w:sz w:val="20"/>
          <w:szCs w:val="20"/>
          <w:shd w:val="clear" w:color="auto" w:fill="FFFFFF"/>
        </w:rPr>
        <w:t>Treatment . </w:t>
      </w:r>
      <w:proofErr w:type="gramEnd"/>
      <w:r>
        <w:rPr>
          <w:rFonts w:ascii="Calibri" w:hAnsi="Calibri" w:cs="Segoe UI"/>
          <w:b w:val="0"/>
          <w:i w:val="0"/>
          <w:color w:val="212529"/>
          <w:sz w:val="20"/>
          <w:szCs w:val="20"/>
          <w:shd w:val="clear" w:color="auto" w:fill="FFFFFF"/>
        </w:rPr>
        <w:t xml:space="preserve">Advantages in Psychiatric </w:t>
      </w:r>
      <w:proofErr w:type="gramStart"/>
      <w:r>
        <w:rPr>
          <w:rFonts w:ascii="Calibri" w:hAnsi="Calibri" w:cs="Segoe UI"/>
          <w:b w:val="0"/>
          <w:i w:val="0"/>
          <w:color w:val="212529"/>
          <w:sz w:val="20"/>
          <w:szCs w:val="20"/>
          <w:shd w:val="clear" w:color="auto" w:fill="FFFFFF"/>
        </w:rPr>
        <w:t>treatment ,</w:t>
      </w:r>
      <w:proofErr w:type="gramEnd"/>
      <w:r>
        <w:rPr>
          <w:rFonts w:ascii="Calibri" w:hAnsi="Calibri" w:cs="Segoe UI"/>
          <w:b w:val="0"/>
          <w:i w:val="0"/>
          <w:color w:val="212529"/>
          <w:sz w:val="20"/>
          <w:szCs w:val="20"/>
          <w:shd w:val="clear" w:color="auto" w:fill="FFFFFF"/>
        </w:rPr>
        <w:t> 14(4), 302-311</w:t>
      </w:r>
      <w:r>
        <w:rPr>
          <w:rFonts w:ascii="Calibri" w:hAnsi="Calibri" w:cs="Segoe UI"/>
          <w:color w:val="212529"/>
          <w:sz w:val="20"/>
          <w:szCs w:val="20"/>
          <w:shd w:val="clear" w:color="auto" w:fill="FFFFFF"/>
        </w:rPr>
        <w:t>.</w:t>
      </w:r>
      <w:r>
        <w:rPr>
          <w:rFonts w:ascii="Calibri" w:hAnsi="Calibri" w:cs="Segoe UI"/>
          <w:b w:val="0"/>
          <w:bCs w:val="0"/>
          <w:i w:val="0"/>
          <w:iCs w:val="0"/>
          <w:color w:val="212529"/>
          <w:sz w:val="20"/>
          <w:szCs w:val="20"/>
          <w:lang w:eastAsia="en-GB"/>
        </w:rPr>
        <w:t xml:space="preserve"> </w:t>
      </w:r>
    </w:p>
    <w:p w:rsidR="000353AD" w:rsidRDefault="000353AD" w:rsidP="000353AD">
      <w:pPr>
        <w:shd w:val="clear" w:color="auto" w:fill="FFFFFF"/>
        <w:suppressAutoHyphens w:val="0"/>
        <w:spacing w:after="100" w:line="240" w:lineRule="auto"/>
        <w:textAlignment w:val="auto"/>
        <w:rPr>
          <w:lang w:eastAsia="en-GB"/>
        </w:rPr>
      </w:pPr>
    </w:p>
    <w:p w:rsidR="000353AD" w:rsidRDefault="000353AD" w:rsidP="000353AD">
      <w:pPr>
        <w:shd w:val="clear" w:color="auto" w:fill="FFFFFF"/>
        <w:suppressAutoHyphens w:val="0"/>
        <w:spacing w:after="100" w:line="240" w:lineRule="auto"/>
        <w:textAlignment w:val="auto"/>
      </w:pPr>
      <w:proofErr w:type="gramStart"/>
      <w:r>
        <w:rPr>
          <w:rFonts w:eastAsia="Times New Roman" w:cs="Segoe UI"/>
          <w:color w:val="212529"/>
          <w:sz w:val="20"/>
          <w:szCs w:val="20"/>
          <w:lang w:eastAsia="en-GB"/>
        </w:rPr>
        <w:t>Office of national statistics.</w:t>
      </w:r>
      <w:proofErr w:type="gramEnd"/>
      <w:r>
        <w:rPr>
          <w:rFonts w:eastAsia="Times New Roman" w:cs="Segoe UI"/>
          <w:color w:val="212529"/>
          <w:sz w:val="20"/>
          <w:szCs w:val="20"/>
          <w:lang w:eastAsia="en-GB"/>
        </w:rPr>
        <w:t xml:space="preserve"> (2019). Suicides in the UK: 2018 </w:t>
      </w:r>
      <w:proofErr w:type="gramStart"/>
      <w:r>
        <w:rPr>
          <w:rFonts w:eastAsia="Times New Roman" w:cs="Segoe UI"/>
          <w:color w:val="212529"/>
          <w:sz w:val="20"/>
          <w:szCs w:val="20"/>
          <w:lang w:eastAsia="en-GB"/>
        </w:rPr>
        <w:t>registrations . </w:t>
      </w:r>
      <w:proofErr w:type="gramEnd"/>
      <w:r>
        <w:rPr>
          <w:rFonts w:eastAsia="Times New Roman" w:cs="Segoe UI"/>
          <w:color w:val="212529"/>
          <w:sz w:val="20"/>
          <w:szCs w:val="20"/>
          <w:lang w:eastAsia="en-GB"/>
        </w:rPr>
        <w:t>Retrieved 10 January, 2020, from http://"www.ons.gov.uk</w:t>
      </w:r>
    </w:p>
    <w:p w:rsidR="000353AD" w:rsidRDefault="000353AD" w:rsidP="000353AD">
      <w:pPr>
        <w:rPr>
          <w:sz w:val="20"/>
          <w:szCs w:val="20"/>
        </w:rPr>
      </w:pPr>
    </w:p>
    <w:p w:rsidR="000353AD" w:rsidRDefault="000353AD" w:rsidP="000353AD">
      <w:pPr>
        <w:rPr>
          <w:sz w:val="20"/>
          <w:szCs w:val="20"/>
        </w:rPr>
      </w:pPr>
      <w:r>
        <w:rPr>
          <w:sz w:val="20"/>
          <w:szCs w:val="20"/>
        </w:rPr>
        <w:t>Roy et al</w:t>
      </w:r>
      <w:proofErr w:type="gramStart"/>
      <w:r>
        <w:rPr>
          <w:sz w:val="20"/>
          <w:szCs w:val="20"/>
        </w:rPr>
        <w:t>..</w:t>
      </w:r>
      <w:proofErr w:type="gramEnd"/>
      <w:r>
        <w:rPr>
          <w:sz w:val="20"/>
          <w:szCs w:val="20"/>
        </w:rPr>
        <w:t xml:space="preserve"> (2013). Male farmers with mental health disorders: A scoping </w:t>
      </w:r>
      <w:proofErr w:type="gramStart"/>
      <w:r>
        <w:rPr>
          <w:sz w:val="20"/>
          <w:szCs w:val="20"/>
        </w:rPr>
        <w:t>view .</w:t>
      </w:r>
      <w:proofErr w:type="gramEnd"/>
      <w:r>
        <w:rPr>
          <w:sz w:val="20"/>
          <w:szCs w:val="20"/>
        </w:rPr>
        <w:t xml:space="preserve"> Australian Journal of Rural Health, 21(1), 3-7</w:t>
      </w:r>
    </w:p>
    <w:p w:rsidR="000353AD" w:rsidRDefault="000353AD" w:rsidP="000353AD">
      <w:pPr>
        <w:rPr>
          <w:sz w:val="20"/>
          <w:szCs w:val="20"/>
        </w:rPr>
      </w:pPr>
      <w:proofErr w:type="gramStart"/>
      <w:r>
        <w:rPr>
          <w:sz w:val="20"/>
          <w:szCs w:val="20"/>
        </w:rPr>
        <w:t>Tucker ,</w:t>
      </w:r>
      <w:proofErr w:type="gramEnd"/>
      <w:r>
        <w:rPr>
          <w:sz w:val="20"/>
          <w:szCs w:val="20"/>
        </w:rPr>
        <w:t xml:space="preserve"> C. .M &amp; Hall, L</w:t>
      </w:r>
      <w:proofErr w:type="gramStart"/>
      <w:r>
        <w:rPr>
          <w:sz w:val="20"/>
          <w:szCs w:val="20"/>
        </w:rPr>
        <w:t>. .E. (1985).</w:t>
      </w:r>
      <w:proofErr w:type="gramEnd"/>
      <w:r>
        <w:rPr>
          <w:sz w:val="20"/>
          <w:szCs w:val="20"/>
        </w:rPr>
        <w:t xml:space="preserve"> Attitudes associated with seeking psychological help. Psychological </w:t>
      </w:r>
      <w:proofErr w:type="gramStart"/>
      <w:r>
        <w:rPr>
          <w:sz w:val="20"/>
          <w:szCs w:val="20"/>
        </w:rPr>
        <w:t>reports ,</w:t>
      </w:r>
      <w:proofErr w:type="gramEnd"/>
      <w:r>
        <w:rPr>
          <w:sz w:val="20"/>
          <w:szCs w:val="20"/>
        </w:rPr>
        <w:t xml:space="preserve"> 57(3), 907-916.</w:t>
      </w:r>
    </w:p>
    <w:p w:rsidR="000353AD" w:rsidRDefault="000353AD" w:rsidP="000353AD">
      <w:pPr>
        <w:rPr>
          <w:sz w:val="20"/>
          <w:szCs w:val="20"/>
        </w:rPr>
      </w:pPr>
    </w:p>
    <w:p w:rsidR="000A3411" w:rsidRDefault="00CB1B2E">
      <w:bookmarkStart w:id="0" w:name="_GoBack"/>
      <w:bookmarkEnd w:id="0"/>
    </w:p>
    <w:sectPr w:rsidR="000A341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53AD"/>
    <w:rsid w:val="000353AD"/>
    <w:rsid w:val="001217AD"/>
    <w:rsid w:val="003E6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353AD"/>
    <w:pPr>
      <w:suppressAutoHyphens/>
      <w:autoSpaceDN w:val="0"/>
      <w:textAlignment w:val="baseline"/>
    </w:pPr>
    <w:rPr>
      <w:rFonts w:ascii="Calibri" w:eastAsia="Calibri" w:hAnsi="Calibri" w:cs="Times New Roman"/>
    </w:rPr>
  </w:style>
  <w:style w:type="paragraph" w:styleId="Heading4">
    <w:name w:val="heading 4"/>
    <w:basedOn w:val="Normal"/>
    <w:next w:val="Normal"/>
    <w:link w:val="Heading4Char"/>
    <w:rsid w:val="000353AD"/>
    <w:pPr>
      <w:keepNext/>
      <w:keepLines/>
      <w:spacing w:before="200" w:after="0"/>
      <w:outlineLvl w:val="3"/>
    </w:pPr>
    <w:rPr>
      <w:rFonts w:ascii="Cambria" w:eastAsia="Times New Roman"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0353AD"/>
    <w:rPr>
      <w:rFonts w:ascii="Cambria" w:eastAsia="Times New Roman" w:hAnsi="Cambria" w:cs="Times New Roman"/>
      <w:b/>
      <w:bCs/>
      <w:i/>
      <w:iCs/>
      <w:color w:val="4F81BD"/>
    </w:rPr>
  </w:style>
  <w:style w:type="paragraph" w:styleId="NormalWeb">
    <w:name w:val="Normal (Web)"/>
    <w:basedOn w:val="Normal"/>
    <w:rsid w:val="000353AD"/>
    <w:pPr>
      <w:suppressAutoHyphens w:val="0"/>
      <w:spacing w:before="100" w:after="100" w:line="240" w:lineRule="auto"/>
      <w:textAlignment w:val="auto"/>
    </w:pPr>
    <w:rPr>
      <w:rFonts w:ascii="Times New Roman" w:eastAsia="Times New Roman" w:hAnsi="Times New Roman"/>
      <w:sz w:val="24"/>
      <w:szCs w:val="24"/>
      <w:lang w:eastAsia="en-GB"/>
    </w:rPr>
  </w:style>
  <w:style w:type="character" w:styleId="Hyperlink">
    <w:name w:val="Hyperlink"/>
    <w:basedOn w:val="DefaultParagraphFont"/>
    <w:rsid w:val="000353AD"/>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353AD"/>
    <w:pPr>
      <w:suppressAutoHyphens/>
      <w:autoSpaceDN w:val="0"/>
      <w:textAlignment w:val="baseline"/>
    </w:pPr>
    <w:rPr>
      <w:rFonts w:ascii="Calibri" w:eastAsia="Calibri" w:hAnsi="Calibri" w:cs="Times New Roman"/>
    </w:rPr>
  </w:style>
  <w:style w:type="paragraph" w:styleId="Heading4">
    <w:name w:val="heading 4"/>
    <w:basedOn w:val="Normal"/>
    <w:next w:val="Normal"/>
    <w:link w:val="Heading4Char"/>
    <w:rsid w:val="000353AD"/>
    <w:pPr>
      <w:keepNext/>
      <w:keepLines/>
      <w:spacing w:before="200" w:after="0"/>
      <w:outlineLvl w:val="3"/>
    </w:pPr>
    <w:rPr>
      <w:rFonts w:ascii="Cambria" w:eastAsia="Times New Roman"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0353AD"/>
    <w:rPr>
      <w:rFonts w:ascii="Cambria" w:eastAsia="Times New Roman" w:hAnsi="Cambria" w:cs="Times New Roman"/>
      <w:b/>
      <w:bCs/>
      <w:i/>
      <w:iCs/>
      <w:color w:val="4F81BD"/>
    </w:rPr>
  </w:style>
  <w:style w:type="paragraph" w:styleId="NormalWeb">
    <w:name w:val="Normal (Web)"/>
    <w:basedOn w:val="Normal"/>
    <w:rsid w:val="000353AD"/>
    <w:pPr>
      <w:suppressAutoHyphens w:val="0"/>
      <w:spacing w:before="100" w:after="100" w:line="240" w:lineRule="auto"/>
      <w:textAlignment w:val="auto"/>
    </w:pPr>
    <w:rPr>
      <w:rFonts w:ascii="Times New Roman" w:eastAsia="Times New Roman" w:hAnsi="Times New Roman"/>
      <w:sz w:val="24"/>
      <w:szCs w:val="24"/>
      <w:lang w:eastAsia="en-GB"/>
    </w:rPr>
  </w:style>
  <w:style w:type="character" w:styleId="Hyperlink">
    <w:name w:val="Hyperlink"/>
    <w:basedOn w:val="DefaultParagraphFont"/>
    <w:rsid w:val="000353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1658</Words>
  <Characters>9456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amanda smith</dc:creator>
  <cp:lastModifiedBy>amanda smith</cp:lastModifiedBy>
  <cp:revision>1</cp:revision>
  <dcterms:created xsi:type="dcterms:W3CDTF">2020-01-17T17:15:00Z</dcterms:created>
  <dcterms:modified xsi:type="dcterms:W3CDTF">2020-01-17T17:15:00Z</dcterms:modified>
</cp:coreProperties>
</file>