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2A0E1E" w14:textId="22896CB2" w:rsidR="00CE256F" w:rsidRPr="00CE256F" w:rsidRDefault="00CE256F">
      <w:pPr>
        <w:rPr>
          <w:rFonts w:cstheme="minorHAnsi"/>
          <w:sz w:val="24"/>
          <w:szCs w:val="24"/>
          <w:shd w:val="clear" w:color="auto" w:fill="FFFFFF"/>
        </w:rPr>
      </w:pPr>
      <w:r w:rsidRPr="00CE256F">
        <w:rPr>
          <w:rFonts w:cstheme="minorHAnsi"/>
          <w:sz w:val="24"/>
          <w:szCs w:val="24"/>
          <w:shd w:val="clear" w:color="auto" w:fill="FFFFFF"/>
        </w:rPr>
        <w:t>Assign. 2</w:t>
      </w:r>
    </w:p>
    <w:p w14:paraId="44E46FC0" w14:textId="77777777" w:rsidR="00CE256F" w:rsidRDefault="00CE256F">
      <w:pPr>
        <w:rPr>
          <w:rFonts w:cstheme="minorHAnsi"/>
          <w:shd w:val="clear" w:color="auto" w:fill="FFFFFF"/>
        </w:rPr>
      </w:pPr>
    </w:p>
    <w:p w14:paraId="5DF3715F" w14:textId="3524D807" w:rsidR="008D3809" w:rsidRDefault="00CE256F">
      <w:pPr>
        <w:rPr>
          <w:rFonts w:cstheme="minorHAnsi"/>
          <w:sz w:val="24"/>
          <w:szCs w:val="24"/>
          <w:shd w:val="clear" w:color="auto" w:fill="FFFFFF"/>
        </w:rPr>
      </w:pPr>
      <w:r w:rsidRPr="00CE256F">
        <w:rPr>
          <w:rFonts w:cstheme="minorHAnsi"/>
          <w:sz w:val="24"/>
          <w:szCs w:val="24"/>
          <w:shd w:val="clear" w:color="auto" w:fill="FFFFFF"/>
        </w:rPr>
        <w:t>“"Contact trace" scientific evidence, utilised in convictions prior to 1989 in the UK, provided inconclusive outcomes in some cases. Critically evaluate Contact Trace Evidence and discuss cases where the introduction of DNA and amplification methods of profile extraction changed the final outcome”</w:t>
      </w:r>
    </w:p>
    <w:p w14:paraId="55A080BB" w14:textId="1A99D04A" w:rsidR="003F4820" w:rsidRPr="002B60AA" w:rsidRDefault="002B60AA">
      <w:pPr>
        <w:rPr>
          <w:rFonts w:cstheme="minorHAnsi"/>
          <w:sz w:val="24"/>
          <w:szCs w:val="24"/>
          <w:shd w:val="clear" w:color="auto" w:fill="FFFFFF"/>
        </w:rPr>
      </w:pPr>
      <w:r>
        <w:rPr>
          <w:rFonts w:cstheme="minorHAnsi"/>
          <w:sz w:val="24"/>
          <w:szCs w:val="24"/>
          <w:u w:val="single"/>
          <w:shd w:val="clear" w:color="auto" w:fill="FFFFFF"/>
        </w:rPr>
        <w:t>Introduction</w:t>
      </w:r>
      <w:r w:rsidR="00FB3D45">
        <w:rPr>
          <w:rFonts w:cstheme="minorHAnsi"/>
          <w:sz w:val="24"/>
          <w:szCs w:val="24"/>
          <w:u w:val="single"/>
          <w:shd w:val="clear" w:color="auto" w:fill="FFFFFF"/>
        </w:rPr>
        <w:t xml:space="preserve">, Contact Trace and DNA </w:t>
      </w:r>
    </w:p>
    <w:p w14:paraId="4FCFFA46" w14:textId="4FC608EF" w:rsidR="004874E5" w:rsidRDefault="00872118">
      <w:pPr>
        <w:rPr>
          <w:rFonts w:cstheme="minorHAnsi"/>
          <w:sz w:val="24"/>
          <w:szCs w:val="24"/>
          <w:shd w:val="clear" w:color="auto" w:fill="FFFFFF"/>
        </w:rPr>
      </w:pPr>
      <w:r>
        <w:rPr>
          <w:rFonts w:cstheme="minorHAnsi"/>
          <w:sz w:val="24"/>
          <w:szCs w:val="24"/>
          <w:shd w:val="clear" w:color="auto" w:fill="FFFFFF"/>
        </w:rPr>
        <w:t xml:space="preserve">The world is interconnected and meshed, everything is in contact with everything else and that contact produces a physical record of the interaction. From the dawn of mankind, hunters knew the significance of a footprint or droppings as a lead on prey. Even non-human predators work on the scent of their prey as an aid to the hunt. Within modern forensics, this ancient concept is no less useful in catching criminals. No matter how careful an individual is, it is impossible to eliminate contact with other elements and therefore will always </w:t>
      </w:r>
      <w:r w:rsidR="00094EF4">
        <w:rPr>
          <w:rFonts w:cstheme="minorHAnsi"/>
          <w:sz w:val="24"/>
          <w:szCs w:val="24"/>
          <w:shd w:val="clear" w:color="auto" w:fill="FFFFFF"/>
        </w:rPr>
        <w:t>‘contaminate’ an area they have interacted in</w:t>
      </w:r>
      <w:r>
        <w:rPr>
          <w:rFonts w:cstheme="minorHAnsi"/>
          <w:sz w:val="24"/>
          <w:szCs w:val="24"/>
          <w:shd w:val="clear" w:color="auto" w:fill="FFFFFF"/>
        </w:rPr>
        <w:t xml:space="preserve">. </w:t>
      </w:r>
      <w:r w:rsidR="00C01361">
        <w:rPr>
          <w:rFonts w:cstheme="minorHAnsi"/>
          <w:sz w:val="24"/>
          <w:szCs w:val="24"/>
          <w:shd w:val="clear" w:color="auto" w:fill="FFFFFF"/>
        </w:rPr>
        <w:t>Humans, like most animals are biologically deciduous and shed skin cells, hair, nails etc. and also produce a number of fluids such as blood (usually through some sort of injury), oils from the skin, saliva, sweat etc.. The exertion of force or action also leaves contact trace such as footprints and fingerprints.</w:t>
      </w:r>
      <w:r>
        <w:rPr>
          <w:rFonts w:cstheme="minorHAnsi"/>
          <w:sz w:val="24"/>
          <w:szCs w:val="24"/>
          <w:shd w:val="clear" w:color="auto" w:fill="FFFFFF"/>
        </w:rPr>
        <w:t xml:space="preserve"> </w:t>
      </w:r>
      <w:r w:rsidR="00C01361">
        <w:rPr>
          <w:rFonts w:cstheme="minorHAnsi"/>
          <w:sz w:val="24"/>
          <w:szCs w:val="24"/>
          <w:shd w:val="clear" w:color="auto" w:fill="FFFFFF"/>
        </w:rPr>
        <w:t>To further the amount of contact our species have: people, especially in the modern era, have dealings with a wide variety of materials</w:t>
      </w:r>
      <w:r w:rsidR="004874E5">
        <w:rPr>
          <w:rFonts w:cstheme="minorHAnsi"/>
          <w:sz w:val="24"/>
          <w:szCs w:val="24"/>
          <w:shd w:val="clear" w:color="auto" w:fill="FFFFFF"/>
        </w:rPr>
        <w:t xml:space="preserve">. This can be the basics of food and clothing which can provide chemical trace evidence or fibres, to the specialist such as chemicals, minerals, pigments etc. encountered in the workplace or in personal </w:t>
      </w:r>
      <w:r w:rsidR="001C68C5">
        <w:rPr>
          <w:rFonts w:cstheme="minorHAnsi"/>
          <w:sz w:val="24"/>
          <w:szCs w:val="24"/>
          <w:shd w:val="clear" w:color="auto" w:fill="FFFFFF"/>
        </w:rPr>
        <w:t>hobbies</w:t>
      </w:r>
      <w:r w:rsidR="004874E5">
        <w:rPr>
          <w:rFonts w:cstheme="minorHAnsi"/>
          <w:sz w:val="24"/>
          <w:szCs w:val="24"/>
          <w:shd w:val="clear" w:color="auto" w:fill="FFFFFF"/>
        </w:rPr>
        <w:t>. Within the body itself there is a whole ecosystem of itself containing bacteria and possibly pathogens and parasites that may give away an individual’s presence at a microscopic level. On the same level is toxins, which may indicate contact/ingestion of drugs such as alcohol and even radiation.</w:t>
      </w:r>
      <w:r w:rsidR="001C68C5">
        <w:rPr>
          <w:rFonts w:cstheme="minorHAnsi"/>
          <w:sz w:val="24"/>
          <w:szCs w:val="24"/>
          <w:shd w:val="clear" w:color="auto" w:fill="FFFFFF"/>
        </w:rPr>
        <w:t xml:space="preserve"> This aforementioned list is not exhaustive by any manner, but before moving on it is also important to note that some forms of evidence are living, as is examined by forensic </w:t>
      </w:r>
      <w:r w:rsidR="002257B2">
        <w:rPr>
          <w:rFonts w:cstheme="minorHAnsi"/>
          <w:sz w:val="24"/>
          <w:szCs w:val="24"/>
          <w:shd w:val="clear" w:color="auto" w:fill="FFFFFF"/>
        </w:rPr>
        <w:t>entomology; detritivores such as flies will inevitably seek out a deceased human body for consumption and as an area for reproduction</w:t>
      </w:r>
      <w:r w:rsidR="00932C21">
        <w:rPr>
          <w:rFonts w:cstheme="minorHAnsi"/>
          <w:sz w:val="24"/>
          <w:szCs w:val="24"/>
          <w:shd w:val="clear" w:color="auto" w:fill="FFFFFF"/>
        </w:rPr>
        <w:t xml:space="preserve"> (Hu </w:t>
      </w:r>
      <w:r w:rsidR="00932C21">
        <w:rPr>
          <w:rFonts w:cstheme="minorHAnsi"/>
          <w:i/>
          <w:iCs/>
          <w:sz w:val="24"/>
          <w:szCs w:val="24"/>
          <w:shd w:val="clear" w:color="auto" w:fill="FFFFFF"/>
        </w:rPr>
        <w:t>et al.</w:t>
      </w:r>
      <w:r w:rsidR="00932C21">
        <w:rPr>
          <w:rFonts w:cstheme="minorHAnsi"/>
          <w:sz w:val="24"/>
          <w:szCs w:val="24"/>
          <w:shd w:val="clear" w:color="auto" w:fill="FFFFFF"/>
        </w:rPr>
        <w:t xml:space="preserve"> 2019, Hall </w:t>
      </w:r>
      <w:r w:rsidR="00932C21">
        <w:rPr>
          <w:rFonts w:cstheme="minorHAnsi"/>
          <w:i/>
          <w:iCs/>
          <w:sz w:val="24"/>
          <w:szCs w:val="24"/>
          <w:shd w:val="clear" w:color="auto" w:fill="FFFFFF"/>
        </w:rPr>
        <w:t>et al.</w:t>
      </w:r>
      <w:r w:rsidR="00932C21">
        <w:rPr>
          <w:rFonts w:cstheme="minorHAnsi"/>
          <w:sz w:val="24"/>
          <w:szCs w:val="24"/>
          <w:shd w:val="clear" w:color="auto" w:fill="FFFFFF"/>
        </w:rPr>
        <w:t xml:space="preserve"> 2012).</w:t>
      </w:r>
      <w:r w:rsidR="002257B2">
        <w:rPr>
          <w:rFonts w:cstheme="minorHAnsi"/>
          <w:sz w:val="24"/>
          <w:szCs w:val="24"/>
          <w:shd w:val="clear" w:color="auto" w:fill="FFFFFF"/>
        </w:rPr>
        <w:t xml:space="preserve"> </w:t>
      </w:r>
      <w:r w:rsidR="00932C21">
        <w:rPr>
          <w:rFonts w:cstheme="minorHAnsi"/>
          <w:sz w:val="24"/>
          <w:szCs w:val="24"/>
          <w:shd w:val="clear" w:color="auto" w:fill="FFFFFF"/>
        </w:rPr>
        <w:t>T</w:t>
      </w:r>
      <w:r w:rsidR="002257B2">
        <w:rPr>
          <w:rFonts w:cstheme="minorHAnsi"/>
          <w:sz w:val="24"/>
          <w:szCs w:val="24"/>
          <w:shd w:val="clear" w:color="auto" w:fill="FFFFFF"/>
        </w:rPr>
        <w:t>his usually takes some time as the human body will not produce the certain compounds attractive to necrophagous creatures until a certain stage of decomposition</w:t>
      </w:r>
      <w:r w:rsidR="00932C21">
        <w:rPr>
          <w:rFonts w:cstheme="minorHAnsi"/>
          <w:sz w:val="24"/>
          <w:szCs w:val="24"/>
          <w:shd w:val="clear" w:color="auto" w:fill="FFFFFF"/>
        </w:rPr>
        <w:t xml:space="preserve">, this may be delayed if the body is wrapped or enclosed (Hu </w:t>
      </w:r>
      <w:r w:rsidR="00932C21">
        <w:rPr>
          <w:rFonts w:cstheme="minorHAnsi"/>
          <w:i/>
          <w:iCs/>
          <w:sz w:val="24"/>
          <w:szCs w:val="24"/>
          <w:shd w:val="clear" w:color="auto" w:fill="FFFFFF"/>
        </w:rPr>
        <w:t>et al.</w:t>
      </w:r>
      <w:r w:rsidR="00932C21">
        <w:rPr>
          <w:rFonts w:cstheme="minorHAnsi"/>
          <w:sz w:val="24"/>
          <w:szCs w:val="24"/>
          <w:shd w:val="clear" w:color="auto" w:fill="FFFFFF"/>
        </w:rPr>
        <w:t xml:space="preserve"> 2019:1-2)</w:t>
      </w:r>
      <w:r w:rsidR="002257B2">
        <w:rPr>
          <w:rFonts w:cstheme="minorHAnsi"/>
          <w:sz w:val="24"/>
          <w:szCs w:val="24"/>
          <w:shd w:val="clear" w:color="auto" w:fill="FFFFFF"/>
        </w:rPr>
        <w:t>.</w:t>
      </w:r>
      <w:r w:rsidR="00876B73">
        <w:rPr>
          <w:rFonts w:cstheme="minorHAnsi"/>
          <w:sz w:val="24"/>
          <w:szCs w:val="24"/>
          <w:shd w:val="clear" w:color="auto" w:fill="FFFFFF"/>
        </w:rPr>
        <w:t xml:space="preserve"> As such, these detritivores are useful in determining the time of death or post-mortem interval.</w:t>
      </w:r>
      <w:r w:rsidR="002257B2">
        <w:rPr>
          <w:rFonts w:cstheme="minorHAnsi"/>
          <w:sz w:val="24"/>
          <w:szCs w:val="24"/>
          <w:shd w:val="clear" w:color="auto" w:fill="FFFFFF"/>
        </w:rPr>
        <w:t xml:space="preserve"> </w:t>
      </w:r>
      <w:r w:rsidR="007F3B61">
        <w:rPr>
          <w:rFonts w:cstheme="minorHAnsi"/>
          <w:sz w:val="24"/>
          <w:szCs w:val="24"/>
          <w:shd w:val="clear" w:color="auto" w:fill="FFFFFF"/>
        </w:rPr>
        <w:t xml:space="preserve">All these elements prove that something/someone was in contact with another thing/person as alien materials that would not be found there normally: i.e. contamination. </w:t>
      </w:r>
    </w:p>
    <w:p w14:paraId="5425D3C5" w14:textId="69FBE97B" w:rsidR="009F51BB" w:rsidRPr="00E2462B" w:rsidRDefault="00A6161C">
      <w:pPr>
        <w:rPr>
          <w:rFonts w:cstheme="minorHAnsi"/>
          <w:sz w:val="24"/>
          <w:szCs w:val="24"/>
          <w:shd w:val="clear" w:color="auto" w:fill="FFFFFF"/>
        </w:rPr>
      </w:pPr>
      <w:r>
        <w:rPr>
          <w:rFonts w:cstheme="minorHAnsi"/>
          <w:sz w:val="24"/>
          <w:szCs w:val="24"/>
          <w:shd w:val="clear" w:color="auto" w:fill="FFFFFF"/>
        </w:rPr>
        <w:t>In the actual crime scene, these contact trace</w:t>
      </w:r>
      <w:r w:rsidR="00AC5C51">
        <w:rPr>
          <w:rFonts w:cstheme="minorHAnsi"/>
          <w:sz w:val="24"/>
          <w:szCs w:val="24"/>
          <w:shd w:val="clear" w:color="auto" w:fill="FFFFFF"/>
        </w:rPr>
        <w:t xml:space="preserve"> evidence</w:t>
      </w:r>
      <w:r>
        <w:rPr>
          <w:rFonts w:cstheme="minorHAnsi"/>
          <w:sz w:val="24"/>
          <w:szCs w:val="24"/>
          <w:shd w:val="clear" w:color="auto" w:fill="FFFFFF"/>
        </w:rPr>
        <w:t xml:space="preserve"> are collected as exhibits by specialists such as Evidence Recovery Units</w:t>
      </w:r>
      <w:r w:rsidR="00E2462B">
        <w:rPr>
          <w:rFonts w:cstheme="minorHAnsi"/>
          <w:sz w:val="24"/>
          <w:szCs w:val="24"/>
          <w:shd w:val="clear" w:color="auto" w:fill="FFFFFF"/>
        </w:rPr>
        <w:t xml:space="preserve">, Forensic Practitioners of which should be photographed </w:t>
      </w:r>
      <w:r w:rsidR="00E2462B">
        <w:rPr>
          <w:rFonts w:cstheme="minorHAnsi"/>
          <w:i/>
          <w:iCs/>
          <w:sz w:val="24"/>
          <w:szCs w:val="24"/>
          <w:shd w:val="clear" w:color="auto" w:fill="FFFFFF"/>
        </w:rPr>
        <w:t>in situ</w:t>
      </w:r>
      <w:r w:rsidR="00E2462B">
        <w:rPr>
          <w:rFonts w:cstheme="minorHAnsi"/>
          <w:sz w:val="24"/>
          <w:szCs w:val="24"/>
          <w:shd w:val="clear" w:color="auto" w:fill="FFFFFF"/>
        </w:rPr>
        <w:t xml:space="preserve"> by a Forensic Photographer before moving the </w:t>
      </w:r>
      <w:r w:rsidR="00AC5C51">
        <w:rPr>
          <w:rFonts w:cstheme="minorHAnsi"/>
          <w:sz w:val="24"/>
          <w:szCs w:val="24"/>
          <w:shd w:val="clear" w:color="auto" w:fill="FFFFFF"/>
        </w:rPr>
        <w:t>evidence as an exhibit – indeed the photo may become an exhibit itself</w:t>
      </w:r>
      <w:r w:rsidR="00E2462B">
        <w:rPr>
          <w:rFonts w:cstheme="minorHAnsi"/>
          <w:sz w:val="24"/>
          <w:szCs w:val="24"/>
          <w:shd w:val="clear" w:color="auto" w:fill="FFFFFF"/>
        </w:rPr>
        <w:t xml:space="preserve"> (</w:t>
      </w:r>
      <w:r w:rsidR="00E2462B" w:rsidRPr="00C607C7">
        <w:rPr>
          <w:sz w:val="24"/>
          <w:szCs w:val="24"/>
        </w:rPr>
        <w:t>Buckley &amp; Langley</w:t>
      </w:r>
      <w:r w:rsidR="00E2462B">
        <w:rPr>
          <w:sz w:val="24"/>
          <w:szCs w:val="24"/>
        </w:rPr>
        <w:t xml:space="preserve"> 2012:10-11)</w:t>
      </w:r>
      <w:r w:rsidR="00AC5C51">
        <w:rPr>
          <w:sz w:val="24"/>
          <w:szCs w:val="24"/>
        </w:rPr>
        <w:t>.</w:t>
      </w:r>
      <w:r w:rsidR="00840B3C">
        <w:rPr>
          <w:sz w:val="24"/>
          <w:szCs w:val="24"/>
        </w:rPr>
        <w:t xml:space="preserve"> Contact traces may of course be found both on and within the human body itself</w:t>
      </w:r>
      <w:r w:rsidR="001C68C5">
        <w:rPr>
          <w:sz w:val="24"/>
          <w:szCs w:val="24"/>
        </w:rPr>
        <w:t xml:space="preserve">, and these pieces of evidence are usually collected by a coroner during a post-mortem, but also may be collected by a pathologist while the body is </w:t>
      </w:r>
      <w:r w:rsidR="001C68C5">
        <w:rPr>
          <w:i/>
          <w:iCs/>
          <w:sz w:val="24"/>
          <w:szCs w:val="24"/>
        </w:rPr>
        <w:t>in situ</w:t>
      </w:r>
      <w:r w:rsidR="001C68C5">
        <w:rPr>
          <w:sz w:val="24"/>
          <w:szCs w:val="24"/>
        </w:rPr>
        <w:t xml:space="preserve"> (pp.11-12). These pieces of contact trace </w:t>
      </w:r>
      <w:r w:rsidR="001C68C5">
        <w:rPr>
          <w:sz w:val="24"/>
          <w:szCs w:val="24"/>
        </w:rPr>
        <w:lastRenderedPageBreak/>
        <w:t xml:space="preserve">evidence are carefully bagged and sealed as exhibits, of which their movement, testing and contextual information is constantly logged by an Exhibits Officer in order to maintain continuity (pp.8-9,13-14). </w:t>
      </w:r>
    </w:p>
    <w:p w14:paraId="3A29B79C" w14:textId="3F41A363" w:rsidR="00872118" w:rsidRDefault="004874E5">
      <w:pPr>
        <w:rPr>
          <w:rFonts w:cstheme="minorHAnsi"/>
          <w:sz w:val="24"/>
          <w:szCs w:val="24"/>
          <w:shd w:val="clear" w:color="auto" w:fill="FFFFFF"/>
        </w:rPr>
      </w:pPr>
      <w:r>
        <w:rPr>
          <w:rFonts w:cstheme="minorHAnsi"/>
          <w:sz w:val="24"/>
          <w:szCs w:val="24"/>
          <w:shd w:val="clear" w:color="auto" w:fill="FFFFFF"/>
        </w:rPr>
        <w:t xml:space="preserve">With this plethora of contact trace, it may seem that forensic science might as well be determined as </w:t>
      </w:r>
      <w:r w:rsidR="00094EF4">
        <w:rPr>
          <w:rFonts w:cstheme="minorHAnsi"/>
          <w:sz w:val="24"/>
          <w:szCs w:val="24"/>
          <w:shd w:val="clear" w:color="auto" w:fill="FFFFFF"/>
        </w:rPr>
        <w:t>omniscient but</w:t>
      </w:r>
      <w:r>
        <w:rPr>
          <w:rFonts w:cstheme="minorHAnsi"/>
          <w:sz w:val="24"/>
          <w:szCs w:val="24"/>
          <w:shd w:val="clear" w:color="auto" w:fill="FFFFFF"/>
        </w:rPr>
        <w:t xml:space="preserve"> contact trace c</w:t>
      </w:r>
      <w:r w:rsidR="00094EF4">
        <w:rPr>
          <w:rFonts w:cstheme="minorHAnsi"/>
          <w:sz w:val="24"/>
          <w:szCs w:val="24"/>
          <w:shd w:val="clear" w:color="auto" w:fill="FFFFFF"/>
        </w:rPr>
        <w:t>an tell only so much by itself. Context is of vital importance in the examination of contact trace, for example: drugs were found in the bloodstream of a drowned corpse, but was the individual a regular user of such substances or not? Such a distinction can the difference between determining an accident or a suspicious death. It is all very well to identify small specs of blood</w:t>
      </w:r>
      <w:r w:rsidR="003152A8">
        <w:rPr>
          <w:rFonts w:cstheme="minorHAnsi"/>
          <w:sz w:val="24"/>
          <w:szCs w:val="24"/>
          <w:shd w:val="clear" w:color="auto" w:fill="FFFFFF"/>
        </w:rPr>
        <w:t>/hair/etc.</w:t>
      </w:r>
      <w:r w:rsidR="00094EF4">
        <w:rPr>
          <w:rFonts w:cstheme="minorHAnsi"/>
          <w:sz w:val="24"/>
          <w:szCs w:val="24"/>
          <w:shd w:val="clear" w:color="auto" w:fill="FFFFFF"/>
        </w:rPr>
        <w:t xml:space="preserve"> on an individual’s clothing, but </w:t>
      </w:r>
      <w:r w:rsidR="00094EF4">
        <w:rPr>
          <w:rFonts w:cstheme="minorHAnsi"/>
          <w:i/>
          <w:iCs/>
          <w:sz w:val="24"/>
          <w:szCs w:val="24"/>
          <w:shd w:val="clear" w:color="auto" w:fill="FFFFFF"/>
        </w:rPr>
        <w:t>whose</w:t>
      </w:r>
      <w:r w:rsidR="00094EF4">
        <w:rPr>
          <w:rFonts w:cstheme="minorHAnsi"/>
          <w:sz w:val="24"/>
          <w:szCs w:val="24"/>
          <w:shd w:val="clear" w:color="auto" w:fill="FFFFFF"/>
        </w:rPr>
        <w:t xml:space="preserve"> blood</w:t>
      </w:r>
      <w:r w:rsidR="00D27C78">
        <w:rPr>
          <w:rFonts w:cstheme="minorHAnsi"/>
          <w:sz w:val="24"/>
          <w:szCs w:val="24"/>
          <w:shd w:val="clear" w:color="auto" w:fill="FFFFFF"/>
        </w:rPr>
        <w:t>/hair/etc.</w:t>
      </w:r>
      <w:r w:rsidR="00094EF4">
        <w:rPr>
          <w:rFonts w:cstheme="minorHAnsi"/>
          <w:sz w:val="24"/>
          <w:szCs w:val="24"/>
          <w:shd w:val="clear" w:color="auto" w:fill="FFFFFF"/>
        </w:rPr>
        <w:t xml:space="preserve"> is it? </w:t>
      </w:r>
      <w:r w:rsidR="00E2474C">
        <w:rPr>
          <w:rFonts w:cstheme="minorHAnsi"/>
          <w:sz w:val="24"/>
          <w:szCs w:val="24"/>
          <w:shd w:val="clear" w:color="auto" w:fill="FFFFFF"/>
        </w:rPr>
        <w:t>At the dawn of the 20</w:t>
      </w:r>
      <w:r w:rsidR="00E2474C" w:rsidRPr="00E2474C">
        <w:rPr>
          <w:rFonts w:cstheme="minorHAnsi"/>
          <w:sz w:val="24"/>
          <w:szCs w:val="24"/>
          <w:shd w:val="clear" w:color="auto" w:fill="FFFFFF"/>
          <w:vertAlign w:val="superscript"/>
        </w:rPr>
        <w:t>th</w:t>
      </w:r>
      <w:r w:rsidR="00E2474C">
        <w:rPr>
          <w:rFonts w:cstheme="minorHAnsi"/>
          <w:sz w:val="24"/>
          <w:szCs w:val="24"/>
          <w:shd w:val="clear" w:color="auto" w:fill="FFFFFF"/>
        </w:rPr>
        <w:t xml:space="preserve"> century, Karl </w:t>
      </w:r>
      <w:r w:rsidR="006B4A82">
        <w:rPr>
          <w:rFonts w:cstheme="minorHAnsi"/>
          <w:sz w:val="24"/>
          <w:szCs w:val="24"/>
          <w:shd w:val="clear" w:color="auto" w:fill="FFFFFF"/>
        </w:rPr>
        <w:t>Landsteiner</w:t>
      </w:r>
      <w:r w:rsidR="00E2474C">
        <w:rPr>
          <w:rFonts w:cstheme="minorHAnsi"/>
          <w:sz w:val="24"/>
          <w:szCs w:val="24"/>
          <w:shd w:val="clear" w:color="auto" w:fill="FFFFFF"/>
        </w:rPr>
        <w:t xml:space="preserve"> </w:t>
      </w:r>
      <w:r w:rsidR="006B4A82">
        <w:rPr>
          <w:rFonts w:cstheme="minorHAnsi"/>
          <w:sz w:val="24"/>
          <w:szCs w:val="24"/>
          <w:shd w:val="clear" w:color="auto" w:fill="FFFFFF"/>
        </w:rPr>
        <w:t xml:space="preserve">discovered that people had different variants of blood which paved the way for medicals advancements as well as forensic advancements (Harbison 2016). Of course, this led to approximate, not precise profiling as one likely shared a blood type with millions of others around the world and likely multiple individual within ones’ local area. </w:t>
      </w:r>
      <w:r w:rsidR="0045725E">
        <w:rPr>
          <w:rFonts w:cstheme="minorHAnsi"/>
          <w:sz w:val="24"/>
          <w:szCs w:val="24"/>
          <w:shd w:val="clear" w:color="auto" w:fill="FFFFFF"/>
        </w:rPr>
        <w:t xml:space="preserve">In 1987 </w:t>
      </w:r>
      <w:r w:rsidR="00A53749">
        <w:rPr>
          <w:rFonts w:cstheme="minorHAnsi"/>
          <w:sz w:val="24"/>
          <w:szCs w:val="24"/>
          <w:shd w:val="clear" w:color="auto" w:fill="FFFFFF"/>
        </w:rPr>
        <w:t xml:space="preserve">Sir Alec Jeffreys would develop DNA profiling, which could accurately pinpoint an individual (with the exception of identical twins) through their genetic code </w:t>
      </w:r>
      <w:r w:rsidR="00A53749">
        <w:rPr>
          <w:sz w:val="24"/>
          <w:szCs w:val="24"/>
        </w:rPr>
        <w:t xml:space="preserve">(Walbank &amp; McDonald 2012:85,92). This could also be used to determine whether the sample came from a relation of another individual, as biological families share DNA as well (p.91). </w:t>
      </w:r>
      <w:r w:rsidR="00EF20E6">
        <w:rPr>
          <w:sz w:val="24"/>
          <w:szCs w:val="24"/>
        </w:rPr>
        <w:t>Even at small levels DNA can be processed to detected and recorded with such techniques as amplification, in which a polymerase chain reaction can duplicate DNA (p.94) – this can be done at even higher multipliers, increasing the efficiency of further testing (p.96).</w:t>
      </w:r>
      <w:r w:rsidR="00A53749">
        <w:rPr>
          <w:sz w:val="24"/>
          <w:szCs w:val="24"/>
        </w:rPr>
        <w:t xml:space="preserve"> </w:t>
      </w:r>
      <w:r w:rsidR="00D27C78">
        <w:rPr>
          <w:sz w:val="24"/>
          <w:szCs w:val="24"/>
        </w:rPr>
        <w:t xml:space="preserve">Electrophoresis </w:t>
      </w:r>
      <w:r w:rsidR="00D27C78">
        <w:rPr>
          <w:rFonts w:cstheme="minorHAnsi"/>
          <w:sz w:val="24"/>
          <w:szCs w:val="24"/>
          <w:shd w:val="clear" w:color="auto" w:fill="FFFFFF"/>
        </w:rPr>
        <w:t xml:space="preserve">is then used to sort out the samples by size and record the DNA sites for recording and profiling (p.94). If the DNA had to be amplified, then all biproducts of the amplification before electrophoresis can be undertaken to make the process as efficient as possible through enhancement (p.96). </w:t>
      </w:r>
      <w:r w:rsidR="00806064">
        <w:rPr>
          <w:rFonts w:cstheme="minorHAnsi"/>
          <w:sz w:val="24"/>
          <w:szCs w:val="24"/>
          <w:shd w:val="clear" w:color="auto" w:fill="FFFFFF"/>
        </w:rPr>
        <w:t>DNA analysis is not invincible and through the degradation of DNA overtime or the yield of a sample, it may be that the match is not particularly strong however, considering that DNA inhabits every aspect of the human body from blood, bones, hair and even the compounds exuded from skin as well as the ever advancing collection and storage techniques of DNA: it still proves to be one of the strongest avenue</w:t>
      </w:r>
      <w:r w:rsidR="007F3B61">
        <w:rPr>
          <w:rFonts w:cstheme="minorHAnsi"/>
          <w:sz w:val="24"/>
          <w:szCs w:val="24"/>
          <w:shd w:val="clear" w:color="auto" w:fill="FFFFFF"/>
        </w:rPr>
        <w:t>s</w:t>
      </w:r>
      <w:r w:rsidR="00806064">
        <w:rPr>
          <w:rFonts w:cstheme="minorHAnsi"/>
          <w:sz w:val="24"/>
          <w:szCs w:val="24"/>
          <w:shd w:val="clear" w:color="auto" w:fill="FFFFFF"/>
        </w:rPr>
        <w:t xml:space="preserve"> of evidence in forensic science.</w:t>
      </w:r>
    </w:p>
    <w:p w14:paraId="701460CE" w14:textId="21CA79E4" w:rsidR="00385D41" w:rsidRPr="00E47CEE" w:rsidRDefault="00E47CEE">
      <w:pPr>
        <w:rPr>
          <w:rFonts w:cstheme="minorHAnsi"/>
          <w:sz w:val="24"/>
          <w:szCs w:val="24"/>
        </w:rPr>
      </w:pPr>
      <w:r>
        <w:rPr>
          <w:rFonts w:cstheme="minorHAnsi"/>
          <w:sz w:val="24"/>
          <w:szCs w:val="24"/>
        </w:rPr>
        <w:t>In the collection of DNA, ideally flesh and blood samples contain the highest yield of DNA, but bone/teeth may be usable as well – preferably organs and flesh should be as fresh as possible as decomposition may compromise the sample (</w:t>
      </w:r>
      <w:r>
        <w:rPr>
          <w:sz w:val="24"/>
          <w:szCs w:val="24"/>
        </w:rPr>
        <w:t>Walbank &amp; McDonald 2012</w:t>
      </w:r>
      <w:r>
        <w:rPr>
          <w:sz w:val="24"/>
          <w:szCs w:val="24"/>
        </w:rPr>
        <w:t xml:space="preserve">:85-89). These samples are exhibits and should be responsibly dealt with, stored and logged with appropriate measures taken </w:t>
      </w:r>
      <w:r w:rsidR="00D05B55">
        <w:rPr>
          <w:sz w:val="24"/>
          <w:szCs w:val="24"/>
        </w:rPr>
        <w:t xml:space="preserve">to preserve the sample’s integrity </w:t>
      </w:r>
      <w:r>
        <w:rPr>
          <w:sz w:val="24"/>
          <w:szCs w:val="24"/>
        </w:rPr>
        <w:t xml:space="preserve">(pp.88,90). Samples taken for DNA profiling from living individuals or taken from people with living next of kin should be repatriated according to the wishes of those individuals as stated in the Human Tissues Act (2004). Indeed for disaster </w:t>
      </w:r>
      <w:r w:rsidR="00F34C72">
        <w:rPr>
          <w:sz w:val="24"/>
          <w:szCs w:val="24"/>
        </w:rPr>
        <w:t xml:space="preserve">scenes/mass fatality and missing persons incidents, it the purpose of DNA testing to repatriate the remains of individuals back to next of kin – or more hopefully, find them alive. </w:t>
      </w:r>
    </w:p>
    <w:p w14:paraId="3A9CBB02" w14:textId="77777777" w:rsidR="00C152FB" w:rsidRDefault="00C152FB">
      <w:pPr>
        <w:rPr>
          <w:rFonts w:cstheme="minorHAnsi"/>
          <w:sz w:val="24"/>
          <w:szCs w:val="24"/>
          <w:u w:val="single"/>
        </w:rPr>
      </w:pPr>
    </w:p>
    <w:p w14:paraId="242C5C05" w14:textId="77777777" w:rsidR="00C152FB" w:rsidRDefault="00C152FB">
      <w:pPr>
        <w:rPr>
          <w:rFonts w:cstheme="minorHAnsi"/>
          <w:sz w:val="24"/>
          <w:szCs w:val="24"/>
          <w:u w:val="single"/>
        </w:rPr>
      </w:pPr>
    </w:p>
    <w:p w14:paraId="2C41E874" w14:textId="29BF1F9C" w:rsidR="003F4820" w:rsidRDefault="00A6114E">
      <w:pPr>
        <w:rPr>
          <w:rFonts w:cstheme="minorHAnsi"/>
          <w:sz w:val="24"/>
          <w:szCs w:val="24"/>
        </w:rPr>
      </w:pPr>
      <w:r>
        <w:rPr>
          <w:rFonts w:cstheme="minorHAnsi"/>
          <w:sz w:val="24"/>
          <w:szCs w:val="24"/>
          <w:u w:val="single"/>
        </w:rPr>
        <w:lastRenderedPageBreak/>
        <w:t>Case study</w:t>
      </w:r>
      <w:r w:rsidR="004A57FA">
        <w:rPr>
          <w:rFonts w:cstheme="minorHAnsi"/>
          <w:sz w:val="24"/>
          <w:szCs w:val="24"/>
          <w:u w:val="single"/>
        </w:rPr>
        <w:t xml:space="preserve"> 1</w:t>
      </w:r>
      <w:r>
        <w:rPr>
          <w:rFonts w:cstheme="minorHAnsi"/>
          <w:sz w:val="24"/>
          <w:szCs w:val="24"/>
          <w:u w:val="single"/>
        </w:rPr>
        <w:t xml:space="preserve">: </w:t>
      </w:r>
      <w:r w:rsidR="00B00448">
        <w:rPr>
          <w:rFonts w:cstheme="minorHAnsi"/>
          <w:sz w:val="24"/>
          <w:szCs w:val="24"/>
          <w:u w:val="single"/>
        </w:rPr>
        <w:t>R. vs Hodgson</w:t>
      </w:r>
    </w:p>
    <w:p w14:paraId="1F611105" w14:textId="2D41FC2F" w:rsidR="008B0F5D" w:rsidRDefault="008B0F5D">
      <w:pPr>
        <w:rPr>
          <w:rFonts w:cstheme="minorHAnsi"/>
          <w:sz w:val="24"/>
          <w:szCs w:val="24"/>
        </w:rPr>
      </w:pPr>
      <w:r>
        <w:rPr>
          <w:rFonts w:cstheme="minorHAnsi"/>
          <w:sz w:val="24"/>
          <w:szCs w:val="24"/>
        </w:rPr>
        <w:t xml:space="preserve">Late in the year of 1979, Teresa De Simone was sexually assaulted and murdered near a Southampton pub (Royal Courts of Justice 2009:Clause 1). The original investigation lead to the conviction of Robert Hodgson, bases largely on confessions made by the suspect that eerily coincided with undisclosed details of the crime </w:t>
      </w:r>
      <w:r w:rsidR="00D326F0">
        <w:rPr>
          <w:rFonts w:cstheme="minorHAnsi"/>
          <w:sz w:val="24"/>
          <w:szCs w:val="24"/>
        </w:rPr>
        <w:t xml:space="preserve">(Clause 36) – although some suspicions were raised over the possibility of a coerced confession (Clause 17). Through the statements given by Hodgson, we can see a man who was deeply confused and had trouble distinguishing reality (Clause 12) something that may have been worsened under the pressure of intensive interview conditions. Although of major note within the case as a whole as an example of psychological and social contamination, what shall be examined is the contact trace of </w:t>
      </w:r>
      <w:r w:rsidR="00A35554">
        <w:rPr>
          <w:rFonts w:cstheme="minorHAnsi"/>
          <w:sz w:val="24"/>
          <w:szCs w:val="24"/>
        </w:rPr>
        <w:t>blood found at the scene of crime that revealed that the perpetrator was blood type A of which Hodgson also belonged to – as do around thirty percent of the population (Royal Courts of Justice 2009:Clause 10, NHS no date). This seemed like the nail in the coffin to an already overwhelming stack of evidence,</w:t>
      </w:r>
      <w:r w:rsidR="00EE42C7">
        <w:rPr>
          <w:rFonts w:cstheme="minorHAnsi"/>
          <w:sz w:val="24"/>
          <w:szCs w:val="24"/>
        </w:rPr>
        <w:t xml:space="preserve"> combined with such confessions the slightest piece of evidence – no matter how broad or vague (such as applying to a third of the population) – appeared to be as undefeatable as a red-handed apprehension. However with the development of DNA profiling, and the efforts of the Criminal Cases Review Commission (CCRC)</w:t>
      </w:r>
      <w:r w:rsidR="00876B73">
        <w:rPr>
          <w:rFonts w:cstheme="minorHAnsi"/>
          <w:sz w:val="24"/>
          <w:szCs w:val="24"/>
        </w:rPr>
        <w:t>,</w:t>
      </w:r>
      <w:r w:rsidR="00EE42C7">
        <w:rPr>
          <w:rFonts w:cstheme="minorHAnsi"/>
          <w:sz w:val="24"/>
          <w:szCs w:val="24"/>
        </w:rPr>
        <w:t xml:space="preserve"> Hodgson made a </w:t>
      </w:r>
      <w:r w:rsidR="00876B73">
        <w:rPr>
          <w:rFonts w:cstheme="minorHAnsi"/>
          <w:sz w:val="24"/>
          <w:szCs w:val="24"/>
        </w:rPr>
        <w:t>successful</w:t>
      </w:r>
      <w:r w:rsidR="00EE42C7">
        <w:rPr>
          <w:rFonts w:cstheme="minorHAnsi"/>
          <w:sz w:val="24"/>
          <w:szCs w:val="24"/>
        </w:rPr>
        <w:t xml:space="preserve"> appeal in 2009 after it had been proved that the semen taken by swabbing did not belong to Hodgson (Royal Courts of Justice 2009: Clause 6, Daily Echo 2009).   </w:t>
      </w:r>
    </w:p>
    <w:p w14:paraId="5BC8F69D" w14:textId="483524FA" w:rsidR="00A35554" w:rsidRDefault="00E427D0">
      <w:pPr>
        <w:rPr>
          <w:rFonts w:cstheme="minorHAnsi"/>
          <w:sz w:val="24"/>
          <w:szCs w:val="24"/>
        </w:rPr>
      </w:pPr>
      <w:r>
        <w:rPr>
          <w:rFonts w:cstheme="minorHAnsi"/>
          <w:sz w:val="24"/>
          <w:szCs w:val="24"/>
        </w:rPr>
        <w:t>So</w:t>
      </w:r>
      <w:r w:rsidR="00EE42C7">
        <w:rPr>
          <w:rFonts w:cstheme="minorHAnsi"/>
          <w:sz w:val="24"/>
          <w:szCs w:val="24"/>
        </w:rPr>
        <w:t xml:space="preserve"> what happened? How </w:t>
      </w:r>
      <w:r>
        <w:rPr>
          <w:rFonts w:cstheme="minorHAnsi"/>
          <w:sz w:val="24"/>
          <w:szCs w:val="24"/>
        </w:rPr>
        <w:t xml:space="preserve">did a </w:t>
      </w:r>
      <w:r w:rsidR="003F71AF">
        <w:rPr>
          <w:rFonts w:cstheme="minorHAnsi"/>
          <w:sz w:val="24"/>
          <w:szCs w:val="24"/>
        </w:rPr>
        <w:t>rock-solid</w:t>
      </w:r>
      <w:r>
        <w:rPr>
          <w:rFonts w:cstheme="minorHAnsi"/>
          <w:sz w:val="24"/>
          <w:szCs w:val="24"/>
        </w:rPr>
        <w:t xml:space="preserve"> conviction turn into a complete disaster that lead to a false incarceration? Firstly it should be noted that not all confessions determine guilt (at least not in a legal sense), as Kassin (2008) notes, it could be the result of a host of psychological factors that may alter memorised events or invoke remorseful responses caused by certain interview techniques. The usage of DNA also renders the identification of blood types as forensic evidence woefully obsolete – at least for proving the guilt of individuals. That is not to say that blood type is not useful in forensics, as Claridge (2016) notes that it can be important data in narrowing the search for suspects</w:t>
      </w:r>
      <w:r w:rsidR="003F71AF">
        <w:rPr>
          <w:rFonts w:cstheme="minorHAnsi"/>
          <w:sz w:val="24"/>
          <w:szCs w:val="24"/>
        </w:rPr>
        <w:t>, but it is a wide net that cannot compete with the precise harpoon of DNA.</w:t>
      </w:r>
    </w:p>
    <w:p w14:paraId="39D85932" w14:textId="282BFE19" w:rsidR="004A57FA" w:rsidRPr="004A57FA" w:rsidRDefault="004A57FA">
      <w:pPr>
        <w:rPr>
          <w:rFonts w:cstheme="minorHAnsi"/>
          <w:sz w:val="24"/>
          <w:szCs w:val="24"/>
          <w:u w:val="single"/>
        </w:rPr>
      </w:pPr>
      <w:r>
        <w:rPr>
          <w:rFonts w:cstheme="minorHAnsi"/>
          <w:sz w:val="24"/>
          <w:szCs w:val="24"/>
          <w:u w:val="single"/>
        </w:rPr>
        <w:t>Case study 2:</w:t>
      </w:r>
      <w:r w:rsidR="00872422">
        <w:rPr>
          <w:rFonts w:cstheme="minorHAnsi"/>
          <w:sz w:val="24"/>
          <w:szCs w:val="24"/>
          <w:u w:val="single"/>
        </w:rPr>
        <w:t xml:space="preserve"> </w:t>
      </w:r>
      <w:r w:rsidR="00B00448">
        <w:rPr>
          <w:rFonts w:cstheme="minorHAnsi"/>
          <w:sz w:val="24"/>
          <w:szCs w:val="24"/>
          <w:u w:val="single"/>
        </w:rPr>
        <w:t>R. vs</w:t>
      </w:r>
      <w:r>
        <w:rPr>
          <w:rFonts w:cstheme="minorHAnsi"/>
          <w:sz w:val="24"/>
          <w:szCs w:val="24"/>
          <w:u w:val="single"/>
        </w:rPr>
        <w:t xml:space="preserve"> Shirley</w:t>
      </w:r>
      <w:r w:rsidR="00872422">
        <w:rPr>
          <w:rFonts w:cstheme="minorHAnsi"/>
          <w:sz w:val="24"/>
          <w:szCs w:val="24"/>
          <w:u w:val="single"/>
        </w:rPr>
        <w:t xml:space="preserve"> </w:t>
      </w:r>
    </w:p>
    <w:p w14:paraId="365BAE38" w14:textId="19390284" w:rsidR="00FE7208" w:rsidRDefault="00872422">
      <w:pPr>
        <w:rPr>
          <w:sz w:val="24"/>
          <w:szCs w:val="24"/>
        </w:rPr>
      </w:pPr>
      <w:r>
        <w:rPr>
          <w:rFonts w:cstheme="minorHAnsi"/>
          <w:sz w:val="24"/>
          <w:szCs w:val="24"/>
        </w:rPr>
        <w:t xml:space="preserve">Similar to the previous case study, the appellant had been convicted of rape and murder. It had originally been Michael Shirley who had been sentenced for the offence against the victim, Linda Cook (Johnson &amp; Williams 2004:78). In addition to a </w:t>
      </w:r>
      <w:r w:rsidR="008376FA">
        <w:rPr>
          <w:rFonts w:cstheme="minorHAnsi"/>
          <w:sz w:val="24"/>
          <w:szCs w:val="24"/>
        </w:rPr>
        <w:t xml:space="preserve">similar blood group to the assailant – similar to the Hodgson case – Shirley also seemed to possess the same make or brand of shoes as well and had clear signs of violence on his person including blood stains and scratch marks (p.79). </w:t>
      </w:r>
      <w:r w:rsidR="00A43489">
        <w:rPr>
          <w:rFonts w:cstheme="minorHAnsi"/>
          <w:sz w:val="24"/>
          <w:szCs w:val="24"/>
        </w:rPr>
        <w:t xml:space="preserve">It would later be determined that after the DNA swabs taken from Cook had undergone </w:t>
      </w:r>
      <w:r w:rsidR="00A43489">
        <w:rPr>
          <w:sz w:val="24"/>
          <w:szCs w:val="24"/>
        </w:rPr>
        <w:t>polymerase chain reaction and testing that Shirley’s DNA did not match the same DNA that was found in the semen samples taken (p.79). Although there was some query as to whether Cook had sexual intercourse (consensual or not) before she had been attacked</w:t>
      </w:r>
      <w:r w:rsidR="009625D5">
        <w:rPr>
          <w:sz w:val="24"/>
          <w:szCs w:val="24"/>
        </w:rPr>
        <w:t xml:space="preserve"> leading to a mixed sample</w:t>
      </w:r>
      <w:r w:rsidR="00A43489">
        <w:rPr>
          <w:sz w:val="24"/>
          <w:szCs w:val="24"/>
        </w:rPr>
        <w:t xml:space="preserve"> (p.79-80). This point was overruled due to the lack of semen on Cook’s underwear </w:t>
      </w:r>
      <w:r w:rsidR="00B00448">
        <w:rPr>
          <w:sz w:val="24"/>
          <w:szCs w:val="24"/>
        </w:rPr>
        <w:t xml:space="preserve">which insinuated that the semen belonged to her murderer (p.80). This </w:t>
      </w:r>
      <w:r w:rsidR="0027593B">
        <w:rPr>
          <w:sz w:val="24"/>
          <w:szCs w:val="24"/>
        </w:rPr>
        <w:t>is</w:t>
      </w:r>
      <w:r w:rsidR="00B00448">
        <w:rPr>
          <w:sz w:val="24"/>
          <w:szCs w:val="24"/>
        </w:rPr>
        <w:t xml:space="preserve"> a rather interesting point as it demonstrates that contact trace evidence (or </w:t>
      </w:r>
      <w:r w:rsidR="00B00448">
        <w:rPr>
          <w:sz w:val="24"/>
          <w:szCs w:val="24"/>
        </w:rPr>
        <w:lastRenderedPageBreak/>
        <w:t>lack thereof) supported the findings of DNA tests, a</w:t>
      </w:r>
      <w:r w:rsidR="00A94289">
        <w:rPr>
          <w:sz w:val="24"/>
          <w:szCs w:val="24"/>
        </w:rPr>
        <w:t xml:space="preserve">s the results of DNA samples on its own </w:t>
      </w:r>
      <w:r w:rsidR="0013618A">
        <w:rPr>
          <w:sz w:val="24"/>
          <w:szCs w:val="24"/>
        </w:rPr>
        <w:t>could not fully settle the appeal.</w:t>
      </w:r>
      <w:r w:rsidR="003E44FE">
        <w:rPr>
          <w:sz w:val="24"/>
          <w:szCs w:val="24"/>
        </w:rPr>
        <w:t xml:space="preserve"> </w:t>
      </w:r>
    </w:p>
    <w:p w14:paraId="0BE7384F" w14:textId="7D07FC01" w:rsidR="003F71AF" w:rsidRDefault="008A4223">
      <w:pPr>
        <w:rPr>
          <w:rFonts w:cstheme="minorHAnsi"/>
          <w:sz w:val="24"/>
          <w:szCs w:val="24"/>
          <w:shd w:val="clear" w:color="auto" w:fill="FFFFFF"/>
        </w:rPr>
      </w:pPr>
      <w:r>
        <w:rPr>
          <w:rFonts w:cstheme="minorHAnsi"/>
          <w:sz w:val="24"/>
          <w:szCs w:val="24"/>
        </w:rPr>
        <w:t>In the introduction I gave an example question: ‘</w:t>
      </w:r>
      <w:r w:rsidRPr="008A4223">
        <w:rPr>
          <w:rFonts w:cstheme="minorHAnsi"/>
          <w:sz w:val="24"/>
          <w:szCs w:val="24"/>
          <w:shd w:val="clear" w:color="auto" w:fill="FFFFFF"/>
        </w:rPr>
        <w:t>whose</w:t>
      </w:r>
      <w:r>
        <w:rPr>
          <w:rFonts w:cstheme="minorHAnsi"/>
          <w:sz w:val="24"/>
          <w:szCs w:val="24"/>
          <w:shd w:val="clear" w:color="auto" w:fill="FFFFFF"/>
        </w:rPr>
        <w:t xml:space="preserve"> blood/hair/etc. is it?’. However</w:t>
      </w:r>
      <w:r w:rsidR="00632705">
        <w:rPr>
          <w:rFonts w:cstheme="minorHAnsi"/>
          <w:sz w:val="24"/>
          <w:szCs w:val="24"/>
          <w:shd w:val="clear" w:color="auto" w:fill="FFFFFF"/>
        </w:rPr>
        <w:t>,</w:t>
      </w:r>
      <w:r>
        <w:rPr>
          <w:rFonts w:cstheme="minorHAnsi"/>
          <w:sz w:val="24"/>
          <w:szCs w:val="24"/>
          <w:shd w:val="clear" w:color="auto" w:fill="FFFFFF"/>
        </w:rPr>
        <w:t xml:space="preserve"> DNA, like all evidence, requires far more contextual information for it to be of use in an investigation. So more rightly: ‘</w:t>
      </w:r>
      <w:r>
        <w:rPr>
          <w:rFonts w:cstheme="minorHAnsi"/>
          <w:i/>
          <w:iCs/>
          <w:sz w:val="24"/>
          <w:szCs w:val="24"/>
          <w:shd w:val="clear" w:color="auto" w:fill="FFFFFF"/>
        </w:rPr>
        <w:t xml:space="preserve">where </w:t>
      </w:r>
      <w:r>
        <w:rPr>
          <w:rFonts w:cstheme="minorHAnsi"/>
          <w:sz w:val="24"/>
          <w:szCs w:val="24"/>
          <w:shd w:val="clear" w:color="auto" w:fill="FFFFFF"/>
        </w:rPr>
        <w:t>was it found?’, ‘</w:t>
      </w:r>
      <w:r w:rsidRPr="000C75D0">
        <w:rPr>
          <w:rFonts w:cstheme="minorHAnsi"/>
          <w:i/>
          <w:iCs/>
          <w:sz w:val="24"/>
          <w:szCs w:val="24"/>
          <w:shd w:val="clear" w:color="auto" w:fill="FFFFFF"/>
        </w:rPr>
        <w:t>how</w:t>
      </w:r>
      <w:r>
        <w:rPr>
          <w:rFonts w:cstheme="minorHAnsi"/>
          <w:sz w:val="24"/>
          <w:szCs w:val="24"/>
          <w:shd w:val="clear" w:color="auto" w:fill="FFFFFF"/>
        </w:rPr>
        <w:t xml:space="preserve"> was it found?’, ‘</w:t>
      </w:r>
      <w:r w:rsidRPr="000C75D0">
        <w:rPr>
          <w:rFonts w:cstheme="minorHAnsi"/>
          <w:i/>
          <w:iCs/>
          <w:sz w:val="24"/>
          <w:szCs w:val="24"/>
          <w:shd w:val="clear" w:color="auto" w:fill="FFFFFF"/>
        </w:rPr>
        <w:t>when</w:t>
      </w:r>
      <w:r>
        <w:rPr>
          <w:rFonts w:cstheme="minorHAnsi"/>
          <w:sz w:val="24"/>
          <w:szCs w:val="24"/>
          <w:shd w:val="clear" w:color="auto" w:fill="FFFFFF"/>
        </w:rPr>
        <w:t xml:space="preserve"> was it found’ and even ‘</w:t>
      </w:r>
      <w:r w:rsidRPr="000C75D0">
        <w:rPr>
          <w:rFonts w:cstheme="minorHAnsi"/>
          <w:i/>
          <w:iCs/>
          <w:sz w:val="24"/>
          <w:szCs w:val="24"/>
          <w:shd w:val="clear" w:color="auto" w:fill="FFFFFF"/>
        </w:rPr>
        <w:t>who</w:t>
      </w:r>
      <w:r>
        <w:rPr>
          <w:rFonts w:cstheme="minorHAnsi"/>
          <w:sz w:val="24"/>
          <w:szCs w:val="24"/>
          <w:shd w:val="clear" w:color="auto" w:fill="FFFFFF"/>
        </w:rPr>
        <w:t xml:space="preserve"> found it’</w:t>
      </w:r>
      <w:r w:rsidR="000C75D0">
        <w:rPr>
          <w:rFonts w:cstheme="minorHAnsi"/>
          <w:sz w:val="24"/>
          <w:szCs w:val="24"/>
          <w:shd w:val="clear" w:color="auto" w:fill="FFFFFF"/>
        </w:rPr>
        <w:t xml:space="preserve"> are equally important questions in order to properly map out the evidence in a three-dimensional, real world crime scene as well as maintaining continuity and integrity</w:t>
      </w:r>
      <w:r w:rsidR="00632705">
        <w:rPr>
          <w:rFonts w:cstheme="minorHAnsi"/>
          <w:sz w:val="24"/>
          <w:szCs w:val="24"/>
          <w:shd w:val="clear" w:color="auto" w:fill="FFFFFF"/>
        </w:rPr>
        <w:t xml:space="preserve"> through the recording of these details</w:t>
      </w:r>
      <w:r w:rsidR="000C75D0">
        <w:rPr>
          <w:rFonts w:cstheme="minorHAnsi"/>
          <w:sz w:val="24"/>
          <w:szCs w:val="24"/>
          <w:shd w:val="clear" w:color="auto" w:fill="FFFFFF"/>
        </w:rPr>
        <w:t xml:space="preserve"> (</w:t>
      </w:r>
      <w:r w:rsidR="00632705">
        <w:rPr>
          <w:rFonts w:cstheme="minorHAnsi"/>
          <w:sz w:val="24"/>
          <w:szCs w:val="24"/>
          <w:shd w:val="clear" w:color="auto" w:fill="FFFFFF"/>
        </w:rPr>
        <w:t xml:space="preserve">Buckley &amp; Langley 2012:13-14). </w:t>
      </w:r>
    </w:p>
    <w:p w14:paraId="4A0D32C4" w14:textId="2B7102BD" w:rsidR="00F71B84" w:rsidRDefault="00632705">
      <w:pPr>
        <w:rPr>
          <w:rFonts w:cstheme="minorHAnsi"/>
          <w:sz w:val="24"/>
          <w:szCs w:val="24"/>
        </w:rPr>
      </w:pPr>
      <w:r>
        <w:rPr>
          <w:rFonts w:cstheme="minorHAnsi"/>
          <w:sz w:val="24"/>
          <w:szCs w:val="24"/>
        </w:rPr>
        <w:t>Overall, the confirmation that Shirley did not share DNA with that of the semen samples taken from Cook, is only one key factor in the appeal. Although it spearheaded the appeal and proved that Shirley’s conviction was unsafe, it did not fully prove his innocence (Johnson &amp; Williams 2004:80-81) and ultimately this case study demonstrates that DNA is not always the ‘be-all</w:t>
      </w:r>
      <w:r w:rsidR="00F71B84">
        <w:rPr>
          <w:rFonts w:cstheme="minorHAnsi"/>
          <w:sz w:val="24"/>
          <w:szCs w:val="24"/>
        </w:rPr>
        <w:t>-</w:t>
      </w:r>
      <w:r>
        <w:rPr>
          <w:rFonts w:cstheme="minorHAnsi"/>
          <w:sz w:val="24"/>
          <w:szCs w:val="24"/>
        </w:rPr>
        <w:t xml:space="preserve">end-all’ of an investigation. </w:t>
      </w:r>
      <w:r w:rsidR="009734C5">
        <w:rPr>
          <w:rFonts w:cstheme="minorHAnsi"/>
          <w:sz w:val="24"/>
          <w:szCs w:val="24"/>
        </w:rPr>
        <w:t>As said before, a crime scene is a three-dimensional environment that a DNA profile cannot represent by itself – however, there is a fourth dimension as well, in that human nature</w:t>
      </w:r>
      <w:r w:rsidR="009625D5">
        <w:rPr>
          <w:rFonts w:cstheme="minorHAnsi"/>
          <w:sz w:val="24"/>
          <w:szCs w:val="24"/>
        </w:rPr>
        <w:t>,</w:t>
      </w:r>
      <w:r w:rsidR="009734C5">
        <w:rPr>
          <w:rFonts w:cstheme="minorHAnsi"/>
          <w:sz w:val="24"/>
          <w:szCs w:val="24"/>
        </w:rPr>
        <w:t xml:space="preserve"> behaviour and psychology add a whole new area that must be also considered as well. As Johnson and Williams (2004:80-81) argues, the most crucial points in the appeal could well have been addressed in the original investigation, such as the widespread distribution of the shoe make</w:t>
      </w:r>
      <w:r w:rsidR="00F71B84">
        <w:rPr>
          <w:rFonts w:cstheme="minorHAnsi"/>
          <w:sz w:val="24"/>
          <w:szCs w:val="24"/>
        </w:rPr>
        <w:t>/type</w:t>
      </w:r>
      <w:r w:rsidR="009734C5">
        <w:rPr>
          <w:rFonts w:cstheme="minorHAnsi"/>
          <w:sz w:val="24"/>
          <w:szCs w:val="24"/>
        </w:rPr>
        <w:t xml:space="preserve"> used in the murder; Shirley may have possessed the same make of shoe and a similar blood type to the assailant but these are both very vague factors that alone do not make the original conviction entirely safe. It should be noted that Johnson and Williams (pp.80-81), while rightly critiquing the universal application of DNA in either prosecuting or defending a suspect, underplays that Shirley’s appeal could only have been strengthened by it, and not only that, but by a large margin too</w:t>
      </w:r>
      <w:r w:rsidR="001953F5">
        <w:rPr>
          <w:rFonts w:cstheme="minorHAnsi"/>
          <w:sz w:val="24"/>
          <w:szCs w:val="24"/>
        </w:rPr>
        <w:t>. Allied with other contextual evidence it completely flips the narrative entirely, it not only weakened the safety of the original conviction but strengthened his innocence – both in the eyes of the law and undoubtably to the public as well.</w:t>
      </w:r>
    </w:p>
    <w:p w14:paraId="773C2467" w14:textId="37AB84AA" w:rsidR="00A35554" w:rsidRPr="00F71B84" w:rsidRDefault="00BF15D3">
      <w:pPr>
        <w:rPr>
          <w:rFonts w:cstheme="minorHAnsi"/>
          <w:sz w:val="24"/>
          <w:szCs w:val="24"/>
        </w:rPr>
      </w:pPr>
      <w:r>
        <w:rPr>
          <w:rFonts w:cstheme="minorHAnsi"/>
          <w:sz w:val="24"/>
          <w:szCs w:val="24"/>
          <w:u w:val="single"/>
        </w:rPr>
        <w:t>Case study 3:</w:t>
      </w:r>
      <w:r w:rsidR="002546ED">
        <w:rPr>
          <w:rFonts w:cstheme="minorHAnsi"/>
          <w:sz w:val="24"/>
          <w:szCs w:val="24"/>
          <w:u w:val="single"/>
        </w:rPr>
        <w:t xml:space="preserve"> R v. Pitchfork</w:t>
      </w:r>
    </w:p>
    <w:p w14:paraId="2FC847FA" w14:textId="0F326C33" w:rsidR="00185310" w:rsidRDefault="002546ED">
      <w:pPr>
        <w:rPr>
          <w:rFonts w:cstheme="minorHAnsi"/>
          <w:sz w:val="24"/>
          <w:szCs w:val="24"/>
        </w:rPr>
      </w:pPr>
      <w:r>
        <w:rPr>
          <w:rFonts w:cstheme="minorHAnsi"/>
          <w:sz w:val="24"/>
          <w:szCs w:val="24"/>
        </w:rPr>
        <w:t>This final case study differs from the two earlier cases studies as within the Pitchfork case, DNA profiling managed to convict an individual rather than prove a suspect’s innocence. Although the victims of the previous case studies suffered tragic and violent ends, the stakes were much higher in this example; Pitchfork showed extremely psychopathic and sadistic traits (Royal Courts of Justice 2009:Clause</w:t>
      </w:r>
      <w:r w:rsidR="00185310">
        <w:rPr>
          <w:rFonts w:cstheme="minorHAnsi"/>
          <w:sz w:val="24"/>
          <w:szCs w:val="24"/>
        </w:rPr>
        <w:t>s</w:t>
      </w:r>
      <w:r>
        <w:rPr>
          <w:rFonts w:cstheme="minorHAnsi"/>
          <w:sz w:val="24"/>
          <w:szCs w:val="24"/>
        </w:rPr>
        <w:t xml:space="preserve"> 12</w:t>
      </w:r>
      <w:r w:rsidR="00185310">
        <w:rPr>
          <w:rFonts w:cstheme="minorHAnsi"/>
          <w:sz w:val="24"/>
          <w:szCs w:val="24"/>
        </w:rPr>
        <w:t>-13</w:t>
      </w:r>
      <w:r>
        <w:rPr>
          <w:rFonts w:cstheme="minorHAnsi"/>
          <w:sz w:val="24"/>
          <w:szCs w:val="24"/>
        </w:rPr>
        <w:t xml:space="preserve">), with such a predatory nature, it was necessary to protect the public from such a dangerous </w:t>
      </w:r>
      <w:r w:rsidR="0000402F">
        <w:rPr>
          <w:rFonts w:cstheme="minorHAnsi"/>
          <w:sz w:val="24"/>
          <w:szCs w:val="24"/>
        </w:rPr>
        <w:t xml:space="preserve">individual. </w:t>
      </w:r>
    </w:p>
    <w:p w14:paraId="7F7C8461" w14:textId="1F5CE33A" w:rsidR="00FE7208" w:rsidRDefault="00F87F74">
      <w:pPr>
        <w:rPr>
          <w:rFonts w:cstheme="minorHAnsi"/>
          <w:sz w:val="24"/>
          <w:szCs w:val="24"/>
        </w:rPr>
      </w:pPr>
      <w:r>
        <w:rPr>
          <w:rFonts w:cstheme="minorHAnsi"/>
          <w:sz w:val="24"/>
          <w:szCs w:val="24"/>
        </w:rPr>
        <w:t xml:space="preserve">Colin Pitchfork had committed </w:t>
      </w:r>
      <w:r w:rsidR="00185310">
        <w:rPr>
          <w:rFonts w:cstheme="minorHAnsi"/>
          <w:sz w:val="24"/>
          <w:szCs w:val="24"/>
        </w:rPr>
        <w:t>four sexual assaults, of which two culminated in murder in a span from 1979 to the mid-1980s (Clauses 6-9). This was many years in which he had evaded capture</w:t>
      </w:r>
      <w:r w:rsidR="00F80D26">
        <w:rPr>
          <w:rFonts w:cstheme="minorHAnsi"/>
          <w:sz w:val="24"/>
          <w:szCs w:val="24"/>
        </w:rPr>
        <w:t xml:space="preserve">, but eventually </w:t>
      </w:r>
      <w:r w:rsidR="00DC74F6">
        <w:rPr>
          <w:rFonts w:cstheme="minorHAnsi"/>
          <w:sz w:val="24"/>
          <w:szCs w:val="24"/>
        </w:rPr>
        <w:t xml:space="preserve">in the late 1980s the police conducted a sweep for blood samples (Clause 10). Pitchfork’s evasiveness persisted, asking a friend to take the blood sample in his name, thus foiling the attempt to catch the perpetrator with the blood test. Whether by divine grace, sheer chance or hubris on Pitchfork’s part, the ruse was let slip in a </w:t>
      </w:r>
      <w:r w:rsidR="00DC74F6">
        <w:rPr>
          <w:rFonts w:cstheme="minorHAnsi"/>
          <w:sz w:val="24"/>
          <w:szCs w:val="24"/>
        </w:rPr>
        <w:lastRenderedPageBreak/>
        <w:t>pub leading to the arrest and interrogation of both the accomplice and then Pitchfork himself (Clauses 10-11). Once Pitchfork’s actual sample was taken, it was clear that it matched the</w:t>
      </w:r>
      <w:r w:rsidR="00F71B84">
        <w:rPr>
          <w:rFonts w:cstheme="minorHAnsi"/>
          <w:sz w:val="24"/>
          <w:szCs w:val="24"/>
        </w:rPr>
        <w:t xml:space="preserve"> DNA</w:t>
      </w:r>
      <w:r w:rsidR="00DC74F6">
        <w:rPr>
          <w:rFonts w:cstheme="minorHAnsi"/>
          <w:sz w:val="24"/>
          <w:szCs w:val="24"/>
        </w:rPr>
        <w:t xml:space="preserve"> samples taken from all four incidents</w:t>
      </w:r>
      <w:r w:rsidR="00FE7208">
        <w:rPr>
          <w:rFonts w:cstheme="minorHAnsi"/>
          <w:sz w:val="24"/>
          <w:szCs w:val="24"/>
        </w:rPr>
        <w:t xml:space="preserve"> making the sentence a very safe indeed</w:t>
      </w:r>
      <w:r w:rsidR="00DC74F6">
        <w:rPr>
          <w:rFonts w:cstheme="minorHAnsi"/>
          <w:sz w:val="24"/>
          <w:szCs w:val="24"/>
        </w:rPr>
        <w:t xml:space="preserve"> (Clause 11)</w:t>
      </w:r>
      <w:r w:rsidR="00FE7208">
        <w:rPr>
          <w:rFonts w:cstheme="minorHAnsi"/>
          <w:sz w:val="24"/>
          <w:szCs w:val="24"/>
        </w:rPr>
        <w:t>.</w:t>
      </w:r>
    </w:p>
    <w:p w14:paraId="7A515F79" w14:textId="5FA4AD5D" w:rsidR="00F87F74" w:rsidRPr="002546ED" w:rsidRDefault="00F71B84">
      <w:pPr>
        <w:rPr>
          <w:rFonts w:cstheme="minorHAnsi"/>
          <w:sz w:val="24"/>
          <w:szCs w:val="24"/>
        </w:rPr>
      </w:pPr>
      <w:r>
        <w:rPr>
          <w:rFonts w:cstheme="minorHAnsi"/>
          <w:sz w:val="24"/>
          <w:szCs w:val="24"/>
        </w:rPr>
        <w:t>What is perhaps of great concern in this case study is how close Pitchfork had come to evading the blood test, and thus his DNA may never have been taken.</w:t>
      </w:r>
      <w:r w:rsidR="004227A1">
        <w:rPr>
          <w:rFonts w:cstheme="minorHAnsi"/>
          <w:sz w:val="24"/>
          <w:szCs w:val="24"/>
        </w:rPr>
        <w:t xml:space="preserve"> Once again, I return to the point made in the discussion of the second case study: in that the fourth dimension of the human element can completely change the nature of DNA outcome. In this example, it demonstrates that DNA profiling and matching is similar to telephone technology: one needs to have two ends for a single connection. In an extreme case, a person could flee to the wilderness in complete exile after committing a crime and thus any DNA sweeps would be in vain, no matter how many samples they had taken from the crime scene.</w:t>
      </w:r>
      <w:r w:rsidR="004F6BF1">
        <w:rPr>
          <w:rFonts w:cstheme="minorHAnsi"/>
          <w:sz w:val="24"/>
          <w:szCs w:val="24"/>
        </w:rPr>
        <w:t xml:space="preserve"> A more realistic example is the complete lack of a body, in which case throws a huge amount of questions onto a scenario</w:t>
      </w:r>
      <w:r w:rsidR="00DB5C00">
        <w:rPr>
          <w:rFonts w:cstheme="minorHAnsi"/>
          <w:sz w:val="24"/>
          <w:szCs w:val="24"/>
        </w:rPr>
        <w:t>;</w:t>
      </w:r>
      <w:r w:rsidR="004F6BF1">
        <w:rPr>
          <w:rFonts w:cstheme="minorHAnsi"/>
          <w:sz w:val="24"/>
          <w:szCs w:val="24"/>
        </w:rPr>
        <w:t xml:space="preserve"> no contact trace nor DNA evidence can be sampled from the body (if there even is one).</w:t>
      </w:r>
      <w:r>
        <w:rPr>
          <w:rFonts w:cstheme="minorHAnsi"/>
          <w:sz w:val="24"/>
          <w:szCs w:val="24"/>
        </w:rPr>
        <w:t xml:space="preserve"> Although it is arguable that Pitchfork’s aggressive and sadistic nature would have eventually led him to suspicion anyway, it is reasonable to say that this would have led to more suffering victims (living or dead) and it is a relief that such a spree was ended as soon as it was. Of course, his arrest and conviction could not bring back the murdered nor erase the ordeals of the living victims – of which included entire families – yet they would become martyrs to a new age of forensic ability</w:t>
      </w:r>
      <w:r w:rsidR="004227A1">
        <w:rPr>
          <w:rFonts w:cstheme="minorHAnsi"/>
          <w:sz w:val="24"/>
          <w:szCs w:val="24"/>
        </w:rPr>
        <w:t xml:space="preserve"> in which it becomes harder and harder for criminals to escape detection. </w:t>
      </w:r>
    </w:p>
    <w:p w14:paraId="20C64B8C" w14:textId="52DC921E" w:rsidR="004B5217" w:rsidRDefault="002934AB">
      <w:pPr>
        <w:rPr>
          <w:rFonts w:cstheme="minorHAnsi"/>
          <w:sz w:val="24"/>
          <w:szCs w:val="24"/>
        </w:rPr>
      </w:pPr>
      <w:r>
        <w:rPr>
          <w:rFonts w:cstheme="minorHAnsi"/>
          <w:sz w:val="24"/>
          <w:szCs w:val="24"/>
          <w:u w:val="single"/>
        </w:rPr>
        <w:t>Conclusion</w:t>
      </w:r>
    </w:p>
    <w:p w14:paraId="72DE7132" w14:textId="6AA28866" w:rsidR="002934AB" w:rsidRDefault="00B95002">
      <w:pPr>
        <w:rPr>
          <w:rFonts w:cstheme="minorHAnsi"/>
          <w:sz w:val="24"/>
          <w:szCs w:val="24"/>
        </w:rPr>
      </w:pPr>
      <w:r>
        <w:rPr>
          <w:rFonts w:cstheme="minorHAnsi"/>
          <w:sz w:val="24"/>
          <w:szCs w:val="24"/>
        </w:rPr>
        <w:t>As we have seen from the case studies examined, DNA profiling has not supplanted the usefulness of contact trace evidence (as it is in of itself a contact trace), instead it has enhanced the potential that contact trace has as evidence. The ability to link even a single drop of blood to a single individual in the entire world has vast implications for mankind as a whole – not just in forensics, but in genealogy or lost persons. This does not mean that DNA itself can solve a case by itself, for like everything, needs context to be able to fit into a wider</w:t>
      </w:r>
      <w:r w:rsidR="00FB3B27">
        <w:rPr>
          <w:rFonts w:cstheme="minorHAnsi"/>
          <w:sz w:val="24"/>
          <w:szCs w:val="24"/>
        </w:rPr>
        <w:t xml:space="preserve"> scenario. With all but the third case study, the hindsight perspective showed that there were issues with the original conviction that grew exponentially once DNA profiling was introduced. </w:t>
      </w:r>
      <w:r w:rsidR="0060758E">
        <w:rPr>
          <w:rFonts w:cstheme="minorHAnsi"/>
          <w:sz w:val="24"/>
          <w:szCs w:val="24"/>
        </w:rPr>
        <w:t xml:space="preserve">Even in the third case study, the main fault was that the blood test sweep was vulnerable to fraud and it was perhaps naïve to expect guilty parties to ‘play ball’. </w:t>
      </w:r>
      <w:r w:rsidR="004F6BF1">
        <w:rPr>
          <w:rFonts w:cstheme="minorHAnsi"/>
          <w:sz w:val="24"/>
          <w:szCs w:val="24"/>
        </w:rPr>
        <w:t>Admittedly the Pitchfork case was something of a prototype of DNA investigations, and institutions such as Interpol’s DNA database (Interpol 2019) makes DNA profiling much more logistically feasible and more resilient to fraudulent attempts of evasion.</w:t>
      </w:r>
    </w:p>
    <w:p w14:paraId="5BDA80FF" w14:textId="26A85B6F" w:rsidR="007A27B4" w:rsidRDefault="002A45CC">
      <w:pPr>
        <w:rPr>
          <w:rFonts w:cstheme="minorHAnsi"/>
          <w:sz w:val="24"/>
          <w:szCs w:val="24"/>
        </w:rPr>
      </w:pPr>
      <w:r>
        <w:rPr>
          <w:rFonts w:cstheme="minorHAnsi"/>
          <w:sz w:val="24"/>
          <w:szCs w:val="24"/>
        </w:rPr>
        <w:t xml:space="preserve">As one can see, </w:t>
      </w:r>
      <w:r w:rsidR="005D32CA">
        <w:rPr>
          <w:rFonts w:cstheme="minorHAnsi"/>
          <w:sz w:val="24"/>
          <w:szCs w:val="24"/>
        </w:rPr>
        <w:t>all</w:t>
      </w:r>
      <w:r>
        <w:rPr>
          <w:rFonts w:cstheme="minorHAnsi"/>
          <w:sz w:val="24"/>
          <w:szCs w:val="24"/>
        </w:rPr>
        <w:t xml:space="preserve"> these case studies involve sexual assault in addition to murder; it is both unfortunate and fortunate that rape/sexual assault is such a potential example of the capabilities of DNA profiling and DNA amplification methods. Unfortunate in that it involves the invasion of intimate areas and spaces of an indi</w:t>
      </w:r>
      <w:r w:rsidR="005D32CA">
        <w:rPr>
          <w:rFonts w:cstheme="minorHAnsi"/>
          <w:sz w:val="24"/>
          <w:szCs w:val="24"/>
        </w:rPr>
        <w:t>vidual that</w:t>
      </w:r>
      <w:r w:rsidR="004E7EC7">
        <w:rPr>
          <w:rFonts w:cstheme="minorHAnsi"/>
          <w:sz w:val="24"/>
          <w:szCs w:val="24"/>
        </w:rPr>
        <w:t xml:space="preserve"> also</w:t>
      </w:r>
      <w:bookmarkStart w:id="0" w:name="_GoBack"/>
      <w:bookmarkEnd w:id="0"/>
      <w:r w:rsidR="005D32CA">
        <w:rPr>
          <w:rFonts w:cstheme="minorHAnsi"/>
          <w:sz w:val="24"/>
          <w:szCs w:val="24"/>
        </w:rPr>
        <w:t xml:space="preserve"> results in trauma. Fortunate </w:t>
      </w:r>
      <w:r w:rsidR="00351128">
        <w:rPr>
          <w:rFonts w:cstheme="minorHAnsi"/>
          <w:sz w:val="24"/>
          <w:szCs w:val="24"/>
        </w:rPr>
        <w:t xml:space="preserve">in </w:t>
      </w:r>
      <w:r w:rsidR="005D32CA">
        <w:rPr>
          <w:rFonts w:cstheme="minorHAnsi"/>
          <w:sz w:val="24"/>
          <w:szCs w:val="24"/>
        </w:rPr>
        <w:t xml:space="preserve">that the leaving of high amounts of contact trace and therefore DNA is impossible to avoid, leading to accurate convictions and bringing justice unto the perpetrators and comfort to the victims – as well as making communities that bit safer on a </w:t>
      </w:r>
      <w:r w:rsidR="005D32CA">
        <w:rPr>
          <w:rFonts w:cstheme="minorHAnsi"/>
          <w:sz w:val="24"/>
          <w:szCs w:val="24"/>
        </w:rPr>
        <w:lastRenderedPageBreak/>
        <w:t xml:space="preserve">successful conviction. It must be noted that often things do not always happen </w:t>
      </w:r>
      <w:r w:rsidR="003877CF">
        <w:rPr>
          <w:rFonts w:cstheme="minorHAnsi"/>
          <w:sz w:val="24"/>
          <w:szCs w:val="24"/>
        </w:rPr>
        <w:t xml:space="preserve">in the best possible manner. No matter how strong the science is, there is always a human factor that must be considered especially when considering the nature of sexual assault. Some victims may not </w:t>
      </w:r>
      <w:r w:rsidR="00535904">
        <w:rPr>
          <w:rFonts w:cstheme="minorHAnsi"/>
          <w:sz w:val="24"/>
          <w:szCs w:val="24"/>
        </w:rPr>
        <w:t>report the crime for whatever reason, and according to a survey undertaken by ISTAT (2006), the majority of sexual crimes go unreported, though I personally am sceptical of such high figures, I do not doubt that it is certainly something that must be considered. It must also be considered that unfortunately</w:t>
      </w:r>
      <w:r w:rsidR="00C41FA5">
        <w:rPr>
          <w:rFonts w:cstheme="minorHAnsi"/>
          <w:sz w:val="24"/>
          <w:szCs w:val="24"/>
        </w:rPr>
        <w:t>,</w:t>
      </w:r>
      <w:r w:rsidR="00535904">
        <w:rPr>
          <w:rFonts w:cstheme="minorHAnsi"/>
          <w:sz w:val="24"/>
          <w:szCs w:val="24"/>
        </w:rPr>
        <w:t xml:space="preserve"> police departments </w:t>
      </w:r>
      <w:r w:rsidR="00C41FA5">
        <w:rPr>
          <w:rFonts w:cstheme="minorHAnsi"/>
          <w:sz w:val="24"/>
          <w:szCs w:val="24"/>
        </w:rPr>
        <w:t xml:space="preserve">sometimes do not investigate sexual assault cases, which means a loss of contemporary data and evidence. </w:t>
      </w:r>
      <w:r w:rsidR="00716DBA">
        <w:rPr>
          <w:rFonts w:cstheme="minorHAnsi"/>
          <w:sz w:val="24"/>
          <w:szCs w:val="24"/>
        </w:rPr>
        <w:t>The Rotherham scandal exposed a large inadequacy on the part of the police department to protect young women and girls from grooming gangs (The Telegraph 2014)</w:t>
      </w:r>
      <w:r w:rsidR="007A27B4">
        <w:rPr>
          <w:rFonts w:cstheme="minorHAnsi"/>
          <w:sz w:val="24"/>
          <w:szCs w:val="24"/>
        </w:rPr>
        <w:t xml:space="preserve"> in the early 2010s</w:t>
      </w:r>
      <w:r w:rsidR="00716DBA">
        <w:rPr>
          <w:rFonts w:cstheme="minorHAnsi"/>
          <w:sz w:val="24"/>
          <w:szCs w:val="24"/>
        </w:rPr>
        <w:t>.</w:t>
      </w:r>
    </w:p>
    <w:p w14:paraId="0D3BFD09" w14:textId="532AE05D" w:rsidR="002A45CC" w:rsidRDefault="00BE0216">
      <w:pPr>
        <w:rPr>
          <w:rFonts w:cstheme="minorHAnsi"/>
          <w:sz w:val="24"/>
          <w:szCs w:val="24"/>
        </w:rPr>
      </w:pPr>
      <w:r>
        <w:rPr>
          <w:rFonts w:cstheme="minorHAnsi"/>
          <w:sz w:val="24"/>
          <w:szCs w:val="24"/>
        </w:rPr>
        <w:t xml:space="preserve">Ultimately, what this proves is that DNA profiling and amplification is nothing when </w:t>
      </w:r>
      <w:r w:rsidR="00D30667">
        <w:rPr>
          <w:rFonts w:cstheme="minorHAnsi"/>
          <w:sz w:val="24"/>
          <w:szCs w:val="24"/>
        </w:rPr>
        <w:t>compared to human ingenuity. Though the basis of all life as it has been for billions of years, it was by one person, Sir Alec Jeffreys, that its true potential could be unlocked. It is through the efforts of other scientific institutions that this original potential is ever expanded on. Its failings are that of human factors, yet its successes are also based on human factors such as ingenuity, tenacity, integrity and the desire for security and justice.</w:t>
      </w:r>
      <w:r w:rsidR="00716DBA">
        <w:rPr>
          <w:rFonts w:cstheme="minorHAnsi"/>
          <w:sz w:val="24"/>
          <w:szCs w:val="24"/>
        </w:rPr>
        <w:t xml:space="preserve"> </w:t>
      </w:r>
    </w:p>
    <w:p w14:paraId="3FC007E6" w14:textId="77777777" w:rsidR="00716DBA" w:rsidRPr="002934AB" w:rsidRDefault="00716DBA">
      <w:pPr>
        <w:rPr>
          <w:rFonts w:cstheme="minorHAnsi"/>
          <w:sz w:val="24"/>
          <w:szCs w:val="24"/>
        </w:rPr>
      </w:pPr>
    </w:p>
    <w:p w14:paraId="0A07C73E" w14:textId="11FC8D52" w:rsidR="00A35554" w:rsidRDefault="00A35554">
      <w:pPr>
        <w:rPr>
          <w:rFonts w:cstheme="minorHAnsi"/>
          <w:sz w:val="24"/>
          <w:szCs w:val="24"/>
        </w:rPr>
      </w:pPr>
      <w:r>
        <w:rPr>
          <w:rFonts w:cstheme="minorHAnsi"/>
          <w:sz w:val="24"/>
          <w:szCs w:val="24"/>
          <w:u w:val="single"/>
        </w:rPr>
        <w:t>Reference List</w:t>
      </w:r>
    </w:p>
    <w:p w14:paraId="3DAA09C6" w14:textId="77777777" w:rsidR="000C75D0" w:rsidRPr="00C607C7" w:rsidRDefault="000C75D0" w:rsidP="000C75D0">
      <w:pPr>
        <w:rPr>
          <w:sz w:val="24"/>
          <w:szCs w:val="24"/>
        </w:rPr>
      </w:pPr>
      <w:r w:rsidRPr="00C607C7">
        <w:rPr>
          <w:sz w:val="24"/>
          <w:szCs w:val="24"/>
        </w:rPr>
        <w:t>Buckley R. &amp; Langley A.</w:t>
      </w:r>
      <w:r>
        <w:rPr>
          <w:sz w:val="24"/>
          <w:szCs w:val="24"/>
        </w:rPr>
        <w:t xml:space="preserve"> 2012. ‘Aspects of crime scene management’, in </w:t>
      </w:r>
      <w:r w:rsidRPr="00C607C7">
        <w:rPr>
          <w:i/>
          <w:iCs/>
          <w:sz w:val="24"/>
          <w:szCs w:val="24"/>
        </w:rPr>
        <w:t xml:space="preserve">Forensic Ecology Handbook: From Crime Scene to Court </w:t>
      </w:r>
      <w:r>
        <w:rPr>
          <w:sz w:val="24"/>
          <w:szCs w:val="24"/>
        </w:rPr>
        <w:t xml:space="preserve">(editors </w:t>
      </w:r>
      <w:r w:rsidRPr="00C607C7">
        <w:rPr>
          <w:sz w:val="24"/>
          <w:szCs w:val="24"/>
        </w:rPr>
        <w:t xml:space="preserve">Marquez-Grant N. &amp; Roberts J.). </w:t>
      </w:r>
      <w:r>
        <w:rPr>
          <w:sz w:val="24"/>
          <w:szCs w:val="24"/>
        </w:rPr>
        <w:t xml:space="preserve">Wiley- Blackwell, </w:t>
      </w:r>
      <w:r w:rsidRPr="00C607C7">
        <w:rPr>
          <w:sz w:val="24"/>
          <w:szCs w:val="24"/>
        </w:rPr>
        <w:t>Chichester, West Sussex, England</w:t>
      </w:r>
      <w:r>
        <w:rPr>
          <w:sz w:val="24"/>
          <w:szCs w:val="24"/>
        </w:rPr>
        <w:t>.</w:t>
      </w:r>
    </w:p>
    <w:p w14:paraId="0007160F" w14:textId="263D23E5" w:rsidR="003F71AF" w:rsidRDefault="003F71AF">
      <w:pPr>
        <w:rPr>
          <w:rFonts w:cstheme="minorHAnsi"/>
          <w:sz w:val="24"/>
          <w:szCs w:val="24"/>
        </w:rPr>
      </w:pPr>
      <w:r>
        <w:rPr>
          <w:rFonts w:cstheme="minorHAnsi"/>
          <w:sz w:val="24"/>
          <w:szCs w:val="24"/>
        </w:rPr>
        <w:t xml:space="preserve">Claridge J. 2012. ‘Blood Types’. </w:t>
      </w:r>
      <w:hyperlink r:id="rId7" w:history="1">
        <w:r w:rsidRPr="007C36A4">
          <w:rPr>
            <w:rStyle w:val="Hyperlink"/>
            <w:rFonts w:cstheme="minorHAnsi"/>
            <w:sz w:val="24"/>
            <w:szCs w:val="24"/>
          </w:rPr>
          <w:t>http://www.exploreforensics.co.uk/blood-types.html</w:t>
        </w:r>
      </w:hyperlink>
      <w:r>
        <w:rPr>
          <w:rFonts w:cstheme="minorHAnsi"/>
          <w:sz w:val="24"/>
          <w:szCs w:val="24"/>
        </w:rPr>
        <w:t xml:space="preserve"> Accessed 09/12/2019. </w:t>
      </w:r>
    </w:p>
    <w:p w14:paraId="73337A02" w14:textId="1C122AF7" w:rsidR="00EE42C7" w:rsidRDefault="00EE42C7">
      <w:pPr>
        <w:rPr>
          <w:rFonts w:cstheme="minorHAnsi"/>
          <w:sz w:val="24"/>
          <w:szCs w:val="24"/>
        </w:rPr>
      </w:pPr>
      <w:r>
        <w:rPr>
          <w:rFonts w:cstheme="minorHAnsi"/>
          <w:sz w:val="24"/>
          <w:szCs w:val="24"/>
        </w:rPr>
        <w:t>Daily Echo 2009. ‘</w:t>
      </w:r>
      <w:r w:rsidRPr="00EE42C7">
        <w:rPr>
          <w:rFonts w:cstheme="minorHAnsi"/>
          <w:sz w:val="24"/>
          <w:szCs w:val="24"/>
        </w:rPr>
        <w:t>Teresa De Simone's murder investigation means 240 more cases could be re-examined</w:t>
      </w:r>
      <w:r>
        <w:rPr>
          <w:rFonts w:cstheme="minorHAnsi"/>
          <w:sz w:val="24"/>
          <w:szCs w:val="24"/>
        </w:rPr>
        <w:t xml:space="preserve">’. </w:t>
      </w:r>
      <w:hyperlink r:id="rId8" w:history="1">
        <w:r w:rsidRPr="007C36A4">
          <w:rPr>
            <w:rStyle w:val="Hyperlink"/>
            <w:rFonts w:cstheme="minorHAnsi"/>
            <w:sz w:val="24"/>
            <w:szCs w:val="24"/>
          </w:rPr>
          <w:t>https://www.dailyecho.co.uk/news/4638766.teresa-de-simones-murder-investigation-means-240-more-cases-could-be-re-examined/</w:t>
        </w:r>
      </w:hyperlink>
      <w:r>
        <w:rPr>
          <w:rFonts w:cstheme="minorHAnsi"/>
          <w:sz w:val="24"/>
          <w:szCs w:val="24"/>
        </w:rPr>
        <w:t xml:space="preserve"> Accessed 09/12/2019.</w:t>
      </w:r>
    </w:p>
    <w:p w14:paraId="2C556729" w14:textId="77777777" w:rsidR="004D5555" w:rsidRPr="00C607C7" w:rsidRDefault="00932C21" w:rsidP="004D5555">
      <w:pPr>
        <w:rPr>
          <w:sz w:val="24"/>
          <w:szCs w:val="24"/>
        </w:rPr>
      </w:pPr>
      <w:r>
        <w:rPr>
          <w:sz w:val="24"/>
          <w:szCs w:val="24"/>
        </w:rPr>
        <w:t xml:space="preserve">Hall M., Whitaker A. &amp; Cameron R. 2012. ‘Forensic entomology’ in </w:t>
      </w:r>
      <w:r w:rsidR="004D5555" w:rsidRPr="00C607C7">
        <w:rPr>
          <w:i/>
          <w:iCs/>
          <w:sz w:val="24"/>
          <w:szCs w:val="24"/>
        </w:rPr>
        <w:t xml:space="preserve">Forensic Ecology Handbook: From Crime Scene to Court </w:t>
      </w:r>
      <w:r w:rsidR="004D5555">
        <w:rPr>
          <w:sz w:val="24"/>
          <w:szCs w:val="24"/>
        </w:rPr>
        <w:t xml:space="preserve">(editors </w:t>
      </w:r>
      <w:r w:rsidR="004D5555" w:rsidRPr="00C607C7">
        <w:rPr>
          <w:sz w:val="24"/>
          <w:szCs w:val="24"/>
        </w:rPr>
        <w:t xml:space="preserve">Marquez-Grant N. &amp; Roberts J.). </w:t>
      </w:r>
      <w:r w:rsidR="004D5555">
        <w:rPr>
          <w:sz w:val="24"/>
          <w:szCs w:val="24"/>
        </w:rPr>
        <w:t xml:space="preserve">Wiley- Blackwell, </w:t>
      </w:r>
      <w:r w:rsidR="004D5555" w:rsidRPr="00C607C7">
        <w:rPr>
          <w:sz w:val="24"/>
          <w:szCs w:val="24"/>
        </w:rPr>
        <w:t>Chichester, West Sussex, England</w:t>
      </w:r>
      <w:r w:rsidR="004D5555">
        <w:rPr>
          <w:sz w:val="24"/>
          <w:szCs w:val="24"/>
        </w:rPr>
        <w:t>.</w:t>
      </w:r>
    </w:p>
    <w:p w14:paraId="3FA75163" w14:textId="337EB892" w:rsidR="006B4A82" w:rsidRDefault="006B4A82" w:rsidP="00E427D0">
      <w:pPr>
        <w:rPr>
          <w:sz w:val="24"/>
          <w:szCs w:val="24"/>
        </w:rPr>
      </w:pPr>
      <w:r>
        <w:rPr>
          <w:sz w:val="24"/>
          <w:szCs w:val="24"/>
        </w:rPr>
        <w:t>Harbison C. 2016. ‘</w:t>
      </w:r>
      <w:r w:rsidRPr="006B4A82">
        <w:rPr>
          <w:sz w:val="24"/>
          <w:szCs w:val="24"/>
        </w:rPr>
        <w:t>ABO Blood Type Identification and Forensic Science (1900-1960)</w:t>
      </w:r>
      <w:r>
        <w:rPr>
          <w:sz w:val="24"/>
          <w:szCs w:val="24"/>
        </w:rPr>
        <w:t xml:space="preserve">’ </w:t>
      </w:r>
      <w:hyperlink r:id="rId9" w:history="1">
        <w:r w:rsidRPr="007C36A4">
          <w:rPr>
            <w:rStyle w:val="Hyperlink"/>
            <w:sz w:val="24"/>
            <w:szCs w:val="24"/>
          </w:rPr>
          <w:t>https://embryo.asu.edu/pages/abo-blood-type-identification-and-forensic-science-1900-1960</w:t>
        </w:r>
      </w:hyperlink>
      <w:r>
        <w:rPr>
          <w:sz w:val="24"/>
          <w:szCs w:val="24"/>
        </w:rPr>
        <w:t xml:space="preserve"> Accessed 09/12/2019. </w:t>
      </w:r>
    </w:p>
    <w:p w14:paraId="54FE0DCE" w14:textId="0E040DC1" w:rsidR="00932C21" w:rsidRPr="00932C21" w:rsidRDefault="00932C21" w:rsidP="00932C21">
      <w:pPr>
        <w:rPr>
          <w:sz w:val="24"/>
          <w:szCs w:val="24"/>
        </w:rPr>
      </w:pPr>
      <w:r>
        <w:rPr>
          <w:sz w:val="24"/>
          <w:szCs w:val="24"/>
        </w:rPr>
        <w:t xml:space="preserve">Hu G. </w:t>
      </w:r>
      <w:r>
        <w:rPr>
          <w:i/>
          <w:iCs/>
          <w:sz w:val="24"/>
          <w:szCs w:val="24"/>
        </w:rPr>
        <w:t>et al.</w:t>
      </w:r>
      <w:r>
        <w:rPr>
          <w:sz w:val="24"/>
          <w:szCs w:val="24"/>
        </w:rPr>
        <w:t xml:space="preserve"> 2019. ‘</w:t>
      </w:r>
      <w:r w:rsidRPr="00932C21">
        <w:rPr>
          <w:sz w:val="24"/>
          <w:szCs w:val="24"/>
        </w:rPr>
        <w:t>Estimation</w:t>
      </w:r>
      <w:r>
        <w:rPr>
          <w:sz w:val="24"/>
          <w:szCs w:val="24"/>
        </w:rPr>
        <w:t xml:space="preserve"> </w:t>
      </w:r>
      <w:r w:rsidRPr="00932C21">
        <w:rPr>
          <w:sz w:val="24"/>
          <w:szCs w:val="24"/>
        </w:rPr>
        <w:t>of</w:t>
      </w:r>
      <w:r>
        <w:rPr>
          <w:sz w:val="24"/>
          <w:szCs w:val="24"/>
        </w:rPr>
        <w:t xml:space="preserve"> </w:t>
      </w:r>
      <w:r w:rsidRPr="00932C21">
        <w:rPr>
          <w:sz w:val="24"/>
          <w:szCs w:val="24"/>
        </w:rPr>
        <w:t>post-mortem</w:t>
      </w:r>
      <w:r>
        <w:rPr>
          <w:sz w:val="24"/>
          <w:szCs w:val="24"/>
        </w:rPr>
        <w:t xml:space="preserve"> </w:t>
      </w:r>
      <w:r w:rsidRPr="00932C21">
        <w:rPr>
          <w:sz w:val="24"/>
          <w:szCs w:val="24"/>
        </w:rPr>
        <w:t>interval</w:t>
      </w:r>
      <w:r>
        <w:rPr>
          <w:sz w:val="24"/>
          <w:szCs w:val="24"/>
        </w:rPr>
        <w:t xml:space="preserve"> </w:t>
      </w:r>
      <w:r w:rsidRPr="00932C21">
        <w:rPr>
          <w:sz w:val="24"/>
          <w:szCs w:val="24"/>
        </w:rPr>
        <w:t>based</w:t>
      </w:r>
      <w:r>
        <w:rPr>
          <w:sz w:val="24"/>
          <w:szCs w:val="24"/>
        </w:rPr>
        <w:t xml:space="preserve"> </w:t>
      </w:r>
      <w:r w:rsidRPr="00932C21">
        <w:rPr>
          <w:sz w:val="24"/>
          <w:szCs w:val="24"/>
        </w:rPr>
        <w:t>on</w:t>
      </w:r>
      <w:r>
        <w:rPr>
          <w:sz w:val="24"/>
          <w:szCs w:val="24"/>
        </w:rPr>
        <w:t xml:space="preserve"> </w:t>
      </w:r>
      <w:r w:rsidRPr="00932C21">
        <w:rPr>
          <w:sz w:val="24"/>
          <w:szCs w:val="24"/>
        </w:rPr>
        <w:t>insect</w:t>
      </w:r>
      <w:r>
        <w:rPr>
          <w:sz w:val="24"/>
          <w:szCs w:val="24"/>
        </w:rPr>
        <w:t xml:space="preserve"> </w:t>
      </w:r>
      <w:r w:rsidRPr="00932C21">
        <w:rPr>
          <w:sz w:val="24"/>
          <w:szCs w:val="24"/>
        </w:rPr>
        <w:t>species</w:t>
      </w:r>
      <w:r>
        <w:rPr>
          <w:sz w:val="24"/>
          <w:szCs w:val="24"/>
        </w:rPr>
        <w:t xml:space="preserve"> </w:t>
      </w:r>
      <w:r w:rsidRPr="00932C21">
        <w:rPr>
          <w:sz w:val="24"/>
          <w:szCs w:val="24"/>
        </w:rPr>
        <w:t>present</w:t>
      </w:r>
      <w:r>
        <w:rPr>
          <w:sz w:val="24"/>
          <w:szCs w:val="24"/>
        </w:rPr>
        <w:t xml:space="preserve"> </w:t>
      </w:r>
      <w:r w:rsidRPr="00932C21">
        <w:rPr>
          <w:sz w:val="24"/>
          <w:szCs w:val="24"/>
        </w:rPr>
        <w:t>on</w:t>
      </w:r>
      <w:r>
        <w:rPr>
          <w:sz w:val="24"/>
          <w:szCs w:val="24"/>
        </w:rPr>
        <w:t xml:space="preserve"> </w:t>
      </w:r>
      <w:r w:rsidRPr="00932C21">
        <w:rPr>
          <w:sz w:val="24"/>
          <w:szCs w:val="24"/>
        </w:rPr>
        <w:t>a</w:t>
      </w:r>
      <w:r>
        <w:rPr>
          <w:sz w:val="24"/>
          <w:szCs w:val="24"/>
        </w:rPr>
        <w:t xml:space="preserve"> </w:t>
      </w:r>
      <w:r w:rsidRPr="00932C21">
        <w:rPr>
          <w:sz w:val="24"/>
          <w:szCs w:val="24"/>
        </w:rPr>
        <w:t>corpse</w:t>
      </w:r>
      <w:r>
        <w:rPr>
          <w:sz w:val="24"/>
          <w:szCs w:val="24"/>
        </w:rPr>
        <w:t xml:space="preserve"> </w:t>
      </w:r>
      <w:r w:rsidRPr="00932C21">
        <w:rPr>
          <w:sz w:val="24"/>
          <w:szCs w:val="24"/>
        </w:rPr>
        <w:t>found</w:t>
      </w:r>
      <w:r>
        <w:rPr>
          <w:sz w:val="24"/>
          <w:szCs w:val="24"/>
        </w:rPr>
        <w:t xml:space="preserve"> </w:t>
      </w:r>
      <w:r w:rsidRPr="00932C21">
        <w:rPr>
          <w:sz w:val="24"/>
          <w:szCs w:val="24"/>
        </w:rPr>
        <w:t>in</w:t>
      </w:r>
      <w:r>
        <w:rPr>
          <w:sz w:val="24"/>
          <w:szCs w:val="24"/>
        </w:rPr>
        <w:t xml:space="preserve"> </w:t>
      </w:r>
      <w:r w:rsidRPr="00932C21">
        <w:rPr>
          <w:sz w:val="24"/>
          <w:szCs w:val="24"/>
        </w:rPr>
        <w:t>a</w:t>
      </w:r>
      <w:r>
        <w:rPr>
          <w:sz w:val="24"/>
          <w:szCs w:val="24"/>
        </w:rPr>
        <w:t xml:space="preserve"> </w:t>
      </w:r>
      <w:r w:rsidRPr="00932C21">
        <w:rPr>
          <w:sz w:val="24"/>
          <w:szCs w:val="24"/>
        </w:rPr>
        <w:t>suitcase</w:t>
      </w:r>
      <w:r>
        <w:rPr>
          <w:sz w:val="24"/>
          <w:szCs w:val="24"/>
        </w:rPr>
        <w:t xml:space="preserve">’, in </w:t>
      </w:r>
      <w:r>
        <w:rPr>
          <w:i/>
          <w:iCs/>
          <w:sz w:val="24"/>
          <w:szCs w:val="24"/>
        </w:rPr>
        <w:t>Forensic Science International</w:t>
      </w:r>
      <w:r>
        <w:rPr>
          <w:sz w:val="24"/>
          <w:szCs w:val="24"/>
        </w:rPr>
        <w:t>. Vol.306.</w:t>
      </w:r>
    </w:p>
    <w:p w14:paraId="33A39723" w14:textId="3D037A84" w:rsidR="00E47CEE" w:rsidRDefault="00E47CEE" w:rsidP="00E427D0">
      <w:pPr>
        <w:rPr>
          <w:sz w:val="24"/>
          <w:szCs w:val="24"/>
        </w:rPr>
      </w:pPr>
      <w:r w:rsidRPr="00E47CEE">
        <w:rPr>
          <w:sz w:val="24"/>
          <w:szCs w:val="24"/>
        </w:rPr>
        <w:t>Human Tissue Act 2004</w:t>
      </w:r>
      <w:r>
        <w:rPr>
          <w:sz w:val="24"/>
          <w:szCs w:val="24"/>
        </w:rPr>
        <w:t>.</w:t>
      </w:r>
    </w:p>
    <w:p w14:paraId="2D372445" w14:textId="6B7CF3D8" w:rsidR="004F6BF1" w:rsidRDefault="004F6BF1" w:rsidP="00E427D0">
      <w:pPr>
        <w:rPr>
          <w:sz w:val="24"/>
          <w:szCs w:val="24"/>
        </w:rPr>
      </w:pPr>
      <w:r>
        <w:rPr>
          <w:sz w:val="24"/>
          <w:szCs w:val="24"/>
        </w:rPr>
        <w:t xml:space="preserve">Interpol 2019. ‘DNA’ </w:t>
      </w:r>
      <w:hyperlink r:id="rId10" w:history="1">
        <w:r w:rsidRPr="00644DDD">
          <w:rPr>
            <w:rStyle w:val="Hyperlink"/>
            <w:sz w:val="24"/>
            <w:szCs w:val="24"/>
          </w:rPr>
          <w:t>https://www.interpol.int/How-we-work/Forensics/DNA</w:t>
        </w:r>
      </w:hyperlink>
      <w:r>
        <w:rPr>
          <w:sz w:val="24"/>
          <w:szCs w:val="24"/>
        </w:rPr>
        <w:t xml:space="preserve"> Accessed 15/12/2019. </w:t>
      </w:r>
    </w:p>
    <w:p w14:paraId="783A2AE1" w14:textId="53486B3C" w:rsidR="00535904" w:rsidRDefault="00535904" w:rsidP="00E427D0">
      <w:pPr>
        <w:rPr>
          <w:sz w:val="24"/>
          <w:szCs w:val="24"/>
        </w:rPr>
      </w:pPr>
      <w:r>
        <w:rPr>
          <w:sz w:val="24"/>
          <w:szCs w:val="24"/>
        </w:rPr>
        <w:lastRenderedPageBreak/>
        <w:t>ISTAT 2006. ‘</w:t>
      </w:r>
      <w:r w:rsidRPr="00535904">
        <w:rPr>
          <w:sz w:val="24"/>
          <w:szCs w:val="24"/>
        </w:rPr>
        <w:t>Italian National Statistic Institute (ISTAT) survey on violence against women, 2006</w:t>
      </w:r>
      <w:r>
        <w:rPr>
          <w:sz w:val="24"/>
          <w:szCs w:val="24"/>
        </w:rPr>
        <w:t xml:space="preserve">’. </w:t>
      </w:r>
      <w:hyperlink r:id="rId11" w:history="1">
        <w:r w:rsidRPr="00644DDD">
          <w:rPr>
            <w:rStyle w:val="Hyperlink"/>
            <w:sz w:val="24"/>
            <w:szCs w:val="24"/>
          </w:rPr>
          <w:t>https://web.archive.org/web/20140201182537/http://sgdatabase.unwomen.org/searchDetail.action?measureId=26309&amp;baseHREF=country&amp;baseHREFId=675</w:t>
        </w:r>
      </w:hyperlink>
      <w:r>
        <w:rPr>
          <w:sz w:val="24"/>
          <w:szCs w:val="24"/>
        </w:rPr>
        <w:t xml:space="preserve"> Accessed 15/12/2019.</w:t>
      </w:r>
    </w:p>
    <w:p w14:paraId="2E68A98D" w14:textId="15D3C506" w:rsidR="00C93BAC" w:rsidRPr="00C93BAC" w:rsidRDefault="00C93BAC" w:rsidP="00E427D0">
      <w:pPr>
        <w:rPr>
          <w:sz w:val="24"/>
          <w:szCs w:val="24"/>
        </w:rPr>
      </w:pPr>
      <w:r>
        <w:rPr>
          <w:sz w:val="24"/>
          <w:szCs w:val="24"/>
        </w:rPr>
        <w:t>Johnson P. &amp; Williams R. 2004. ‘</w:t>
      </w:r>
      <w:r w:rsidRPr="00C93BAC">
        <w:rPr>
          <w:sz w:val="24"/>
          <w:szCs w:val="24"/>
        </w:rPr>
        <w:t>Post-conviction DNA testing: the UK's first 'exoneration' case?</w:t>
      </w:r>
      <w:r>
        <w:rPr>
          <w:sz w:val="24"/>
          <w:szCs w:val="24"/>
        </w:rPr>
        <w:t xml:space="preserve">’, in </w:t>
      </w:r>
      <w:r>
        <w:rPr>
          <w:i/>
          <w:iCs/>
          <w:sz w:val="24"/>
          <w:szCs w:val="24"/>
        </w:rPr>
        <w:t>Science &amp; Justice</w:t>
      </w:r>
      <w:r>
        <w:rPr>
          <w:sz w:val="24"/>
          <w:szCs w:val="24"/>
        </w:rPr>
        <w:t>. Vol.44, No.2.</w:t>
      </w:r>
    </w:p>
    <w:p w14:paraId="642DED27" w14:textId="04438C43" w:rsidR="00E427D0" w:rsidRDefault="00E427D0" w:rsidP="00E427D0">
      <w:pPr>
        <w:rPr>
          <w:sz w:val="24"/>
          <w:szCs w:val="24"/>
        </w:rPr>
      </w:pPr>
      <w:r>
        <w:rPr>
          <w:sz w:val="24"/>
          <w:szCs w:val="24"/>
        </w:rPr>
        <w:t>Kassin S.M. 2008. ‘</w:t>
      </w:r>
      <w:r w:rsidRPr="00A82286">
        <w:rPr>
          <w:sz w:val="24"/>
          <w:szCs w:val="24"/>
        </w:rPr>
        <w:t>False Confessions Causes, Consequences, and Implications for Refor</w:t>
      </w:r>
      <w:r>
        <w:rPr>
          <w:sz w:val="24"/>
          <w:szCs w:val="24"/>
        </w:rPr>
        <w:t>m’, in Association for Psychological Science. Vol.17, No.4.</w:t>
      </w:r>
    </w:p>
    <w:p w14:paraId="0649D680" w14:textId="462D9A94" w:rsidR="00A35554" w:rsidRDefault="00A35554">
      <w:pPr>
        <w:rPr>
          <w:rFonts w:cstheme="minorHAnsi"/>
          <w:sz w:val="24"/>
          <w:szCs w:val="24"/>
        </w:rPr>
      </w:pPr>
      <w:r>
        <w:rPr>
          <w:rFonts w:cstheme="minorHAnsi"/>
          <w:sz w:val="24"/>
          <w:szCs w:val="24"/>
        </w:rPr>
        <w:t>NHS no date. ‘</w:t>
      </w:r>
      <w:r w:rsidRPr="00A35554">
        <w:rPr>
          <w:rFonts w:cstheme="minorHAnsi"/>
          <w:sz w:val="24"/>
          <w:szCs w:val="24"/>
        </w:rPr>
        <w:t>Blood types</w:t>
      </w:r>
      <w:r>
        <w:rPr>
          <w:rFonts w:cstheme="minorHAnsi"/>
          <w:sz w:val="24"/>
          <w:szCs w:val="24"/>
        </w:rPr>
        <w:t xml:space="preserve">’. </w:t>
      </w:r>
      <w:hyperlink r:id="rId12" w:history="1">
        <w:r w:rsidRPr="007C36A4">
          <w:rPr>
            <w:rStyle w:val="Hyperlink"/>
            <w:rFonts w:cstheme="minorHAnsi"/>
            <w:sz w:val="24"/>
            <w:szCs w:val="24"/>
          </w:rPr>
          <w:t>https://www.blood.co.uk/why-give-blood/blood-types/</w:t>
        </w:r>
      </w:hyperlink>
      <w:r>
        <w:rPr>
          <w:rFonts w:cstheme="minorHAnsi"/>
          <w:sz w:val="24"/>
          <w:szCs w:val="24"/>
        </w:rPr>
        <w:t xml:space="preserve"> Accessed 09/12/2019.</w:t>
      </w:r>
    </w:p>
    <w:p w14:paraId="01A599C4" w14:textId="2235D56F" w:rsidR="00A35554" w:rsidRDefault="00A35554">
      <w:pPr>
        <w:rPr>
          <w:rFonts w:cstheme="minorHAnsi"/>
          <w:sz w:val="24"/>
          <w:szCs w:val="24"/>
        </w:rPr>
      </w:pPr>
      <w:r>
        <w:rPr>
          <w:rFonts w:cstheme="minorHAnsi"/>
          <w:sz w:val="24"/>
          <w:szCs w:val="24"/>
        </w:rPr>
        <w:t>Royal Courts of Justice 2009. ‘Regina vs Hodgson R.G.’</w:t>
      </w:r>
    </w:p>
    <w:p w14:paraId="43F6BA09" w14:textId="0E7BEB50" w:rsidR="0000402F" w:rsidRDefault="0000402F" w:rsidP="0045725E">
      <w:pPr>
        <w:rPr>
          <w:sz w:val="24"/>
          <w:szCs w:val="24"/>
        </w:rPr>
      </w:pPr>
      <w:r>
        <w:rPr>
          <w:sz w:val="24"/>
          <w:szCs w:val="24"/>
        </w:rPr>
        <w:t>Royal Courts of Justice 2009. ‘Regina vs Pitchfork C.’</w:t>
      </w:r>
    </w:p>
    <w:p w14:paraId="26CE34E1" w14:textId="44FBDAE5" w:rsidR="0045725E" w:rsidRDefault="0045725E" w:rsidP="0045725E">
      <w:pPr>
        <w:rPr>
          <w:sz w:val="24"/>
          <w:szCs w:val="24"/>
        </w:rPr>
      </w:pPr>
      <w:r>
        <w:rPr>
          <w:sz w:val="24"/>
          <w:szCs w:val="24"/>
        </w:rPr>
        <w:t xml:space="preserve">Walbank M. &amp; McDonald A. 2012. ‘DNA analysis for victim identification’, in </w:t>
      </w:r>
      <w:r w:rsidRPr="00C607C7">
        <w:rPr>
          <w:i/>
          <w:iCs/>
          <w:sz w:val="24"/>
          <w:szCs w:val="24"/>
        </w:rPr>
        <w:t xml:space="preserve">Forensic Ecology Handbook: From Crime Scene to Court </w:t>
      </w:r>
      <w:r>
        <w:rPr>
          <w:sz w:val="24"/>
          <w:szCs w:val="24"/>
        </w:rPr>
        <w:t xml:space="preserve">(editors </w:t>
      </w:r>
      <w:r w:rsidRPr="00C607C7">
        <w:rPr>
          <w:sz w:val="24"/>
          <w:szCs w:val="24"/>
        </w:rPr>
        <w:t xml:space="preserve">Marquez-Grant N. &amp; Roberts J.). </w:t>
      </w:r>
      <w:r>
        <w:rPr>
          <w:sz w:val="24"/>
          <w:szCs w:val="24"/>
        </w:rPr>
        <w:t xml:space="preserve">Wiley- Blackwell, </w:t>
      </w:r>
      <w:r w:rsidRPr="00C607C7">
        <w:rPr>
          <w:sz w:val="24"/>
          <w:szCs w:val="24"/>
        </w:rPr>
        <w:t>Chichester, West Sussex, England</w:t>
      </w:r>
      <w:r>
        <w:rPr>
          <w:sz w:val="24"/>
          <w:szCs w:val="24"/>
        </w:rPr>
        <w:t>.</w:t>
      </w:r>
    </w:p>
    <w:p w14:paraId="0D0962F4" w14:textId="27C62883" w:rsidR="00716DBA" w:rsidRPr="00C607C7" w:rsidRDefault="00716DBA" w:rsidP="0045725E">
      <w:pPr>
        <w:rPr>
          <w:sz w:val="24"/>
          <w:szCs w:val="24"/>
        </w:rPr>
      </w:pPr>
      <w:r>
        <w:rPr>
          <w:sz w:val="24"/>
          <w:szCs w:val="24"/>
        </w:rPr>
        <w:t>The Telegraph 2014. ‘</w:t>
      </w:r>
      <w:r w:rsidRPr="00716DBA">
        <w:rPr>
          <w:sz w:val="24"/>
          <w:szCs w:val="24"/>
        </w:rPr>
        <w:t>Rotherham child sexual exploitation: Victims raped, beaten and doused in petrol if they threatened to tell</w:t>
      </w:r>
      <w:r>
        <w:rPr>
          <w:sz w:val="24"/>
          <w:szCs w:val="24"/>
        </w:rPr>
        <w:t xml:space="preserve">’ </w:t>
      </w:r>
      <w:hyperlink r:id="rId13" w:history="1">
        <w:r w:rsidRPr="00644DDD">
          <w:rPr>
            <w:rStyle w:val="Hyperlink"/>
            <w:sz w:val="24"/>
            <w:szCs w:val="24"/>
          </w:rPr>
          <w:t>https://www.telegraph.co.uk/news/uknews/crime/11057622/Rotherham-child-sexual-exploitation-Victims-raped-beaten-and-doused-in-petrol-if-they-threatened-to-tell.html</w:t>
        </w:r>
      </w:hyperlink>
      <w:r>
        <w:rPr>
          <w:sz w:val="24"/>
          <w:szCs w:val="24"/>
        </w:rPr>
        <w:t xml:space="preserve"> Accessed 15/12/2019.</w:t>
      </w:r>
    </w:p>
    <w:p w14:paraId="6349D323" w14:textId="77777777" w:rsidR="00A35554" w:rsidRPr="00A35554" w:rsidRDefault="00A35554">
      <w:pPr>
        <w:rPr>
          <w:rFonts w:cstheme="minorHAnsi"/>
          <w:sz w:val="24"/>
          <w:szCs w:val="24"/>
        </w:rPr>
      </w:pPr>
    </w:p>
    <w:sectPr w:rsidR="00A35554" w:rsidRPr="00A35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56F"/>
    <w:rsid w:val="0000402F"/>
    <w:rsid w:val="00094EF4"/>
    <w:rsid w:val="000C75D0"/>
    <w:rsid w:val="00120B0B"/>
    <w:rsid w:val="0013618A"/>
    <w:rsid w:val="00185310"/>
    <w:rsid w:val="001953F5"/>
    <w:rsid w:val="001C68C5"/>
    <w:rsid w:val="002138CD"/>
    <w:rsid w:val="002257B2"/>
    <w:rsid w:val="00245AB6"/>
    <w:rsid w:val="002546ED"/>
    <w:rsid w:val="0027593B"/>
    <w:rsid w:val="002934AB"/>
    <w:rsid w:val="002A45CC"/>
    <w:rsid w:val="002B60AA"/>
    <w:rsid w:val="003152A8"/>
    <w:rsid w:val="00351128"/>
    <w:rsid w:val="00385D41"/>
    <w:rsid w:val="003877CF"/>
    <w:rsid w:val="003E44FE"/>
    <w:rsid w:val="003F4820"/>
    <w:rsid w:val="003F71AF"/>
    <w:rsid w:val="004227A1"/>
    <w:rsid w:val="0045725E"/>
    <w:rsid w:val="004874E5"/>
    <w:rsid w:val="004A57FA"/>
    <w:rsid w:val="004B5217"/>
    <w:rsid w:val="004D5555"/>
    <w:rsid w:val="004E7EC7"/>
    <w:rsid w:val="004F6BF1"/>
    <w:rsid w:val="00527D43"/>
    <w:rsid w:val="00535904"/>
    <w:rsid w:val="00572E7D"/>
    <w:rsid w:val="005D32CA"/>
    <w:rsid w:val="0060758E"/>
    <w:rsid w:val="00632705"/>
    <w:rsid w:val="006B4A82"/>
    <w:rsid w:val="00716DBA"/>
    <w:rsid w:val="007A27B4"/>
    <w:rsid w:val="007F3B61"/>
    <w:rsid w:val="00806064"/>
    <w:rsid w:val="008376FA"/>
    <w:rsid w:val="00840B3C"/>
    <w:rsid w:val="00872118"/>
    <w:rsid w:val="00872422"/>
    <w:rsid w:val="00876B73"/>
    <w:rsid w:val="008A4223"/>
    <w:rsid w:val="008B0F5D"/>
    <w:rsid w:val="008D3809"/>
    <w:rsid w:val="008E6356"/>
    <w:rsid w:val="00932C21"/>
    <w:rsid w:val="009625D5"/>
    <w:rsid w:val="009734C5"/>
    <w:rsid w:val="009F51BB"/>
    <w:rsid w:val="00A35554"/>
    <w:rsid w:val="00A43489"/>
    <w:rsid w:val="00A53749"/>
    <w:rsid w:val="00A6114E"/>
    <w:rsid w:val="00A6161C"/>
    <w:rsid w:val="00A94289"/>
    <w:rsid w:val="00AC5C51"/>
    <w:rsid w:val="00AD596B"/>
    <w:rsid w:val="00B00448"/>
    <w:rsid w:val="00B95002"/>
    <w:rsid w:val="00BE0216"/>
    <w:rsid w:val="00BF15D3"/>
    <w:rsid w:val="00C01361"/>
    <w:rsid w:val="00C152FB"/>
    <w:rsid w:val="00C41FA5"/>
    <w:rsid w:val="00C93BAC"/>
    <w:rsid w:val="00CB3076"/>
    <w:rsid w:val="00CE256F"/>
    <w:rsid w:val="00D05B55"/>
    <w:rsid w:val="00D2362E"/>
    <w:rsid w:val="00D27C78"/>
    <w:rsid w:val="00D30667"/>
    <w:rsid w:val="00D326F0"/>
    <w:rsid w:val="00DB5C00"/>
    <w:rsid w:val="00DC74F6"/>
    <w:rsid w:val="00E2462B"/>
    <w:rsid w:val="00E2474C"/>
    <w:rsid w:val="00E427D0"/>
    <w:rsid w:val="00E47CEE"/>
    <w:rsid w:val="00E938B2"/>
    <w:rsid w:val="00EE42C7"/>
    <w:rsid w:val="00EF20E6"/>
    <w:rsid w:val="00F34C72"/>
    <w:rsid w:val="00F71B84"/>
    <w:rsid w:val="00F80D26"/>
    <w:rsid w:val="00F87F74"/>
    <w:rsid w:val="00FA7925"/>
    <w:rsid w:val="00FB3B27"/>
    <w:rsid w:val="00FB3D45"/>
    <w:rsid w:val="00FE7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5C94E"/>
  <w15:chartTrackingRefBased/>
  <w15:docId w15:val="{8C56FCDA-E513-4D3F-B8C3-0CF0DF7D6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554"/>
    <w:rPr>
      <w:color w:val="0563C1" w:themeColor="hyperlink"/>
      <w:u w:val="single"/>
    </w:rPr>
  </w:style>
  <w:style w:type="character" w:styleId="UnresolvedMention">
    <w:name w:val="Unresolved Mention"/>
    <w:basedOn w:val="DefaultParagraphFont"/>
    <w:uiPriority w:val="99"/>
    <w:semiHidden/>
    <w:unhideWhenUsed/>
    <w:rsid w:val="00A355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echo.co.uk/news/4638766.teresa-de-simones-murder-investigation-means-240-more-cases-could-be-re-examined/" TargetMode="External"/><Relationship Id="rId13" Type="http://schemas.openxmlformats.org/officeDocument/2006/relationships/hyperlink" Target="https://www.telegraph.co.uk/news/uknews/crime/11057622/Rotherham-child-sexual-exploitation-Victims-raped-beaten-and-doused-in-petrol-if-they-threatened-to-tell.html" TargetMode="External"/><Relationship Id="rId3" Type="http://schemas.openxmlformats.org/officeDocument/2006/relationships/customXml" Target="../customXml/item3.xml"/><Relationship Id="rId7" Type="http://schemas.openxmlformats.org/officeDocument/2006/relationships/hyperlink" Target="http://www.exploreforensics.co.uk/blood-types.html" TargetMode="External"/><Relationship Id="rId12" Type="http://schemas.openxmlformats.org/officeDocument/2006/relationships/hyperlink" Target="https://www.blood.co.uk/why-give-blood/blood-typ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eb.archive.org/web/20140201182537/http://sgdatabase.unwomen.org/searchDetail.action?measureId=26309&amp;baseHREF=country&amp;baseHREFId=675"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interpol.int/How-we-work/Forensics/DNA" TargetMode="External"/><Relationship Id="rId4" Type="http://schemas.openxmlformats.org/officeDocument/2006/relationships/styles" Target="styles.xml"/><Relationship Id="rId9" Type="http://schemas.openxmlformats.org/officeDocument/2006/relationships/hyperlink" Target="https://embryo.asu.edu/pages/abo-blood-type-identification-and-forensic-science-1900-196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F47284-D15C-4244-AE03-CA8BBE2320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03EB63-8BD4-471E-9E3B-39B675245BB0}">
  <ds:schemaRefs>
    <ds:schemaRef ds:uri="http://schemas.microsoft.com/sharepoint/v3/contenttype/forms"/>
  </ds:schemaRefs>
</ds:datastoreItem>
</file>

<file path=customXml/itemProps3.xml><?xml version="1.0" encoding="utf-8"?>
<ds:datastoreItem xmlns:ds="http://schemas.openxmlformats.org/officeDocument/2006/customXml" ds:itemID="{F26C3144-B3B1-41C5-83D6-29E14FCDDD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3197</TotalTime>
  <Pages>7</Pages>
  <Words>3284</Words>
  <Characters>18723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 (1702209)</dc:creator>
  <cp:keywords/>
  <dc:description/>
  <cp:lastModifiedBy>Kai Barkla (1702209)</cp:lastModifiedBy>
  <cp:revision>20</cp:revision>
  <dcterms:created xsi:type="dcterms:W3CDTF">2019-11-29T16:33:00Z</dcterms:created>
  <dcterms:modified xsi:type="dcterms:W3CDTF">2019-12-18T19:15:00Z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