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110004165"/>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79B29CB4" w14:textId="595A4639" w:rsidR="00353BF3" w:rsidRDefault="00353BF3">
          <w:pPr>
            <w:pStyle w:val="NoSpacing"/>
            <w:spacing w:before="1540" w:after="240"/>
            <w:jc w:val="center"/>
            <w:rPr>
              <w:color w:val="156082" w:themeColor="accent1"/>
            </w:rPr>
          </w:pPr>
          <w:r>
            <w:rPr>
              <w:noProof/>
              <w:color w:val="156082" w:themeColor="accent1"/>
            </w:rPr>
            <w:drawing>
              <wp:anchor distT="0" distB="0" distL="114300" distR="114300" simplePos="0" relativeHeight="251658240" behindDoc="1" locked="0" layoutInCell="1" allowOverlap="1" wp14:anchorId="4F24C971" wp14:editId="082A3ACC">
                <wp:simplePos x="0" y="0"/>
                <wp:positionH relativeFrom="column">
                  <wp:posOffset>3746500</wp:posOffset>
                </wp:positionH>
                <wp:positionV relativeFrom="page">
                  <wp:posOffset>786765</wp:posOffset>
                </wp:positionV>
                <wp:extent cx="2521585" cy="1009650"/>
                <wp:effectExtent l="0" t="0" r="0" b="0"/>
                <wp:wrapTight wrapText="bothSides">
                  <wp:wrapPolygon edited="0">
                    <wp:start x="0" y="408"/>
                    <wp:lineTo x="0" y="17932"/>
                    <wp:lineTo x="2448" y="19562"/>
                    <wp:lineTo x="8486" y="20377"/>
                    <wp:lineTo x="9628" y="20377"/>
                    <wp:lineTo x="21377" y="19562"/>
                    <wp:lineTo x="21377" y="11819"/>
                    <wp:lineTo x="18929" y="7743"/>
                    <wp:lineTo x="19908" y="3668"/>
                    <wp:lineTo x="19419" y="1630"/>
                    <wp:lineTo x="15176" y="408"/>
                    <wp:lineTo x="0" y="408"/>
                  </wp:wrapPolygon>
                </wp:wrapTight>
                <wp:docPr id="1731482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1585" cy="1009650"/>
                        </a:xfrm>
                        <a:prstGeom prst="rect">
                          <a:avLst/>
                        </a:prstGeom>
                        <a:noFill/>
                      </pic:spPr>
                    </pic:pic>
                  </a:graphicData>
                </a:graphic>
                <wp14:sizeRelH relativeFrom="margin">
                  <wp14:pctWidth>0</wp14:pctWidth>
                </wp14:sizeRelH>
                <wp14:sizeRelV relativeFrom="margin">
                  <wp14:pctHeight>0</wp14:pctHeight>
                </wp14:sizeRelV>
              </wp:anchor>
            </w:drawing>
          </w:r>
        </w:p>
        <w:p w14:paraId="12423980" w14:textId="77777777" w:rsidR="00353BF3" w:rsidRDefault="00353BF3">
          <w:pPr>
            <w:pStyle w:val="NoSpacing"/>
            <w:spacing w:before="1540" w:after="240"/>
            <w:jc w:val="center"/>
            <w:rPr>
              <w:color w:val="156082" w:themeColor="accent1"/>
            </w:rPr>
          </w:pPr>
        </w:p>
        <w:p w14:paraId="205B7A3A" w14:textId="77777777" w:rsidR="00353BF3" w:rsidRDefault="00353BF3">
          <w:pPr>
            <w:pStyle w:val="NoSpacing"/>
            <w:spacing w:before="1540" w:after="240"/>
            <w:jc w:val="center"/>
            <w:rPr>
              <w:color w:val="156082" w:themeColor="accent1"/>
            </w:rPr>
          </w:pPr>
        </w:p>
        <w:sdt>
          <w:sdtPr>
            <w:rPr>
              <w:rFonts w:ascii="Arial Black" w:eastAsiaTheme="majorEastAsia" w:hAnsi="Arial Black" w:cstheme="majorBidi"/>
              <w:caps/>
              <w:color w:val="000000" w:themeColor="text1"/>
              <w:sz w:val="72"/>
              <w:szCs w:val="72"/>
            </w:rPr>
            <w:alias w:val="Title"/>
            <w:tag w:val=""/>
            <w:id w:val="1735040861"/>
            <w:placeholder>
              <w:docPart w:val="6B5C1005B1CE4655844172EDF030A0A8"/>
            </w:placeholder>
            <w:dataBinding w:prefixMappings="xmlns:ns0='http://purl.org/dc/elements/1.1/' xmlns:ns1='http://schemas.openxmlformats.org/package/2006/metadata/core-properties' " w:xpath="/ns1:coreProperties[1]/ns0:title[1]" w:storeItemID="{6C3C8BC8-F283-45AE-878A-BAB7291924A1}"/>
            <w:text/>
          </w:sdtPr>
          <w:sdtContent>
            <w:p w14:paraId="371505C9" w14:textId="000F794F" w:rsidR="00353BF3" w:rsidRPr="00353BF3" w:rsidRDefault="00353BF3" w:rsidP="00353BF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53BF3">
                <w:rPr>
                  <w:rFonts w:ascii="Arial Black" w:eastAsiaTheme="majorEastAsia" w:hAnsi="Arial Black" w:cstheme="majorBidi"/>
                  <w:caps/>
                  <w:color w:val="000000" w:themeColor="text1"/>
                  <w:sz w:val="72"/>
                  <w:szCs w:val="72"/>
                </w:rPr>
                <w:t>Opportunities and Threats to Social Enterprise</w:t>
              </w:r>
            </w:p>
          </w:sdtContent>
        </w:sdt>
        <w:p w14:paraId="3C8BC86F" w14:textId="7241B410" w:rsidR="00353BF3" w:rsidRDefault="00353BF3">
          <w:pPr>
            <w:pStyle w:val="NoSpacing"/>
            <w:spacing w:before="480"/>
            <w:jc w:val="center"/>
            <w:rPr>
              <w:color w:val="156082" w:themeColor="accent1"/>
            </w:rPr>
          </w:pPr>
        </w:p>
        <w:p w14:paraId="2F9BF3CA" w14:textId="0ED0C0CC" w:rsidR="00353BF3" w:rsidRDefault="00353BF3">
          <w:pPr>
            <w:rPr>
              <w:rFonts w:ascii="Arial Black" w:hAnsi="Arial Black" w:cs="Arial"/>
            </w:rPr>
          </w:pPr>
          <w:r>
            <w:rPr>
              <w:rFonts w:ascii="Arial Black" w:hAnsi="Arial Black" w:cs="Arial"/>
            </w:rPr>
            <w:br w:type="page"/>
          </w:r>
        </w:p>
      </w:sdtContent>
    </w:sdt>
    <w:p w14:paraId="012C6404" w14:textId="5C07BAF3" w:rsidR="00E01CC0" w:rsidRPr="00353BF3" w:rsidRDefault="00E01CC0" w:rsidP="00E01CC0">
      <w:pPr>
        <w:spacing w:line="360" w:lineRule="auto"/>
        <w:rPr>
          <w:rFonts w:ascii="Arial Black" w:hAnsi="Arial Black" w:cs="Arial"/>
        </w:rPr>
      </w:pPr>
      <w:r w:rsidRPr="00353BF3">
        <w:rPr>
          <w:rFonts w:ascii="Arial Black" w:hAnsi="Arial Black" w:cs="Arial"/>
        </w:rPr>
        <w:lastRenderedPageBreak/>
        <w:t>Introduction</w:t>
      </w:r>
    </w:p>
    <w:p w14:paraId="32C0AE0E" w14:textId="77777777" w:rsidR="00E01CC0" w:rsidRDefault="00E01CC0" w:rsidP="00E01CC0">
      <w:pPr>
        <w:spacing w:line="360" w:lineRule="auto"/>
        <w:rPr>
          <w:rFonts w:ascii="Arial" w:hAnsi="Arial" w:cs="Arial"/>
        </w:rPr>
      </w:pPr>
      <w:r w:rsidRPr="00E01CC0">
        <w:rPr>
          <w:rFonts w:ascii="Arial" w:hAnsi="Arial" w:cs="Arial"/>
        </w:rPr>
        <w:t>Social enterprises operate in a unique place between public, private, and voluntary sectors, serving social and environmental purposes in a market-oriented manner. These organi</w:t>
      </w:r>
      <w:r>
        <w:rPr>
          <w:rFonts w:ascii="Arial" w:hAnsi="Arial" w:cs="Arial"/>
        </w:rPr>
        <w:t>s</w:t>
      </w:r>
      <w:r w:rsidRPr="00E01CC0">
        <w:rPr>
          <w:rFonts w:ascii="Arial" w:hAnsi="Arial" w:cs="Arial"/>
        </w:rPr>
        <w:t>ations are engaged in addressing social inequities while promoting sustainable development, all with financial independence and accountability as key principles. The hybrid nature provides social enterprises with both opportunity and vulnerability as they balance the work of social missions with the reality of the market (</w:t>
      </w:r>
      <w:proofErr w:type="spellStart"/>
      <w:r w:rsidRPr="00E01CC0">
        <w:rPr>
          <w:rFonts w:ascii="Arial" w:hAnsi="Arial" w:cs="Arial"/>
        </w:rPr>
        <w:t>Defourny</w:t>
      </w:r>
      <w:proofErr w:type="spellEnd"/>
      <w:r w:rsidRPr="00E01CC0">
        <w:rPr>
          <w:rFonts w:ascii="Arial" w:hAnsi="Arial" w:cs="Arial"/>
        </w:rPr>
        <w:t xml:space="preserve"> &amp; Nyssens, &amp; </w:t>
      </w:r>
      <w:proofErr w:type="spellStart"/>
      <w:r w:rsidRPr="00E01CC0">
        <w:rPr>
          <w:rFonts w:ascii="Arial" w:hAnsi="Arial" w:cs="Arial"/>
        </w:rPr>
        <w:t>Brolis</w:t>
      </w:r>
      <w:proofErr w:type="spellEnd"/>
      <w:r w:rsidRPr="00E01CC0">
        <w:rPr>
          <w:rFonts w:ascii="Arial" w:hAnsi="Arial" w:cs="Arial"/>
        </w:rPr>
        <w:t>, 2021). A SWOT analysis looks at strengths, weaknesses, opportunities, and threats</w:t>
      </w:r>
      <w:r>
        <w:rPr>
          <w:rFonts w:ascii="Arial" w:hAnsi="Arial" w:cs="Arial"/>
        </w:rPr>
        <w:t>,</w:t>
      </w:r>
      <w:r w:rsidRPr="00E01CC0">
        <w:rPr>
          <w:rFonts w:ascii="Arial" w:hAnsi="Arial" w:cs="Arial"/>
        </w:rPr>
        <w:t xml:space="preserve"> it is a coherent way of thinking about social enterprises strategic position within this complex space.</w:t>
      </w:r>
    </w:p>
    <w:p w14:paraId="6C25556D" w14:textId="77777777" w:rsidR="00E01CC0" w:rsidRPr="00353BF3" w:rsidRDefault="00E01CC0" w:rsidP="00E01CC0">
      <w:pPr>
        <w:spacing w:line="360" w:lineRule="auto"/>
        <w:rPr>
          <w:rFonts w:ascii="Arial Black" w:hAnsi="Arial Black" w:cs="Arial"/>
        </w:rPr>
      </w:pPr>
      <w:r w:rsidRPr="00353BF3">
        <w:rPr>
          <w:rFonts w:ascii="Arial Black" w:hAnsi="Arial Black" w:cs="Arial"/>
        </w:rPr>
        <w:t>Strengths</w:t>
      </w:r>
    </w:p>
    <w:p w14:paraId="2F168CDA" w14:textId="77777777" w:rsidR="00E01CC0" w:rsidRDefault="00E01CC0" w:rsidP="00E01CC0">
      <w:pPr>
        <w:spacing w:line="360" w:lineRule="auto"/>
        <w:rPr>
          <w:rFonts w:ascii="Arial" w:hAnsi="Arial" w:cs="Arial"/>
        </w:rPr>
      </w:pPr>
      <w:r w:rsidRPr="00E01CC0">
        <w:rPr>
          <w:rFonts w:ascii="Arial" w:hAnsi="Arial" w:cs="Arial"/>
        </w:rPr>
        <w:t>A notable strength of social enterprises is in their mission-driven model. By putting equal emphasis on social value and financial return, these organi</w:t>
      </w:r>
      <w:r>
        <w:rPr>
          <w:rFonts w:ascii="Arial" w:hAnsi="Arial" w:cs="Arial"/>
        </w:rPr>
        <w:t>s</w:t>
      </w:r>
      <w:r w:rsidRPr="00E01CC0">
        <w:rPr>
          <w:rFonts w:ascii="Arial" w:hAnsi="Arial" w:cs="Arial"/>
        </w:rPr>
        <w:t>ations create legitimacy and trust with the public to enable equality among stakeholders, including communities, customers, and investors (Lyon &amp; Sepulveda, 2009). Social enterprises create an environment of engaging and inline commitment to both purpose and profit, thereby establishing a foundation for long-term sustainability and engagement by stakeholders (Emerson, 1999).</w:t>
      </w:r>
    </w:p>
    <w:p w14:paraId="51BDF6C9" w14:textId="77777777" w:rsidR="00E01CC0" w:rsidRDefault="00E01CC0" w:rsidP="00E01CC0">
      <w:pPr>
        <w:spacing w:line="360" w:lineRule="auto"/>
        <w:rPr>
          <w:rFonts w:ascii="Arial" w:hAnsi="Arial" w:cs="Arial"/>
        </w:rPr>
      </w:pPr>
      <w:r w:rsidRPr="00E01CC0">
        <w:rPr>
          <w:rFonts w:ascii="Arial" w:hAnsi="Arial" w:cs="Arial"/>
        </w:rPr>
        <w:t>Flexibility in the organi</w:t>
      </w:r>
      <w:r>
        <w:rPr>
          <w:rFonts w:ascii="Arial" w:hAnsi="Arial" w:cs="Arial"/>
        </w:rPr>
        <w:t>s</w:t>
      </w:r>
      <w:r w:rsidRPr="00E01CC0">
        <w:rPr>
          <w:rFonts w:ascii="Arial" w:hAnsi="Arial" w:cs="Arial"/>
        </w:rPr>
        <w:t xml:space="preserve">ational model contributes to resilience. Many social enterprises adopt a </w:t>
      </w:r>
      <w:r w:rsidRPr="00E01CC0">
        <w:rPr>
          <w:rFonts w:ascii="Arial" w:hAnsi="Arial" w:cs="Arial"/>
        </w:rPr>
        <w:t>hybrid structure</w:t>
      </w:r>
      <w:r w:rsidRPr="00E01CC0">
        <w:rPr>
          <w:rFonts w:ascii="Arial" w:hAnsi="Arial" w:cs="Arial"/>
        </w:rPr>
        <w:t xml:space="preserve"> that include elements of participatory management and entrepreneurial efficiency, which encourages innovation and adaptability in shifting contexts (</w:t>
      </w:r>
      <w:proofErr w:type="spellStart"/>
      <w:r w:rsidRPr="00E01CC0">
        <w:rPr>
          <w:rFonts w:ascii="Arial" w:hAnsi="Arial" w:cs="Arial"/>
        </w:rPr>
        <w:t>Defourny</w:t>
      </w:r>
      <w:proofErr w:type="spellEnd"/>
      <w:r w:rsidRPr="00E01CC0">
        <w:rPr>
          <w:rFonts w:ascii="Arial" w:hAnsi="Arial" w:cs="Arial"/>
        </w:rPr>
        <w:t xml:space="preserve"> et al., 2021). This ability to adapt to structure allows social enterprises to be responsive to social needs while providing the capacity for efficient services in different national and cultural contexts (Kerlin, 2009). </w:t>
      </w:r>
    </w:p>
    <w:p w14:paraId="7359D82E" w14:textId="77777777" w:rsidR="00E01CC0" w:rsidRDefault="00E01CC0" w:rsidP="00E01CC0">
      <w:pPr>
        <w:spacing w:line="360" w:lineRule="auto"/>
        <w:rPr>
          <w:rFonts w:ascii="Arial" w:hAnsi="Arial" w:cs="Arial"/>
        </w:rPr>
      </w:pPr>
      <w:r w:rsidRPr="00E01CC0">
        <w:rPr>
          <w:rFonts w:ascii="Arial" w:hAnsi="Arial" w:cs="Arial"/>
        </w:rPr>
        <w:t>Leadership in social enterprises is participatory, values-driven, and transformational. Leadership enters into a relational dynamic of motivation and engagement with teams through a shared social vision, rather than engaging reliance on hierarchical control, engagement, and creativity (Jackson, Nicoll, &amp; Roy, 2018).This leadership approach creates strong internal cultures and encourages cooperation amongst staff who are driven by social, intrinsic goals, in contrast to a desire for financial gain.</w:t>
      </w:r>
    </w:p>
    <w:p w14:paraId="558AD8F2" w14:textId="77777777" w:rsidR="00E01CC0" w:rsidRDefault="00E01CC0" w:rsidP="00E01CC0">
      <w:pPr>
        <w:spacing w:line="360" w:lineRule="auto"/>
        <w:rPr>
          <w:rFonts w:ascii="Arial" w:hAnsi="Arial" w:cs="Arial"/>
        </w:rPr>
      </w:pPr>
      <w:r w:rsidRPr="00E01CC0">
        <w:rPr>
          <w:rFonts w:ascii="Arial" w:hAnsi="Arial" w:cs="Arial"/>
        </w:rPr>
        <w:lastRenderedPageBreak/>
        <w:t>Another internal strength is the ethical lens integrated into organi</w:t>
      </w:r>
      <w:r>
        <w:rPr>
          <w:rFonts w:ascii="Arial" w:hAnsi="Arial" w:cs="Arial"/>
        </w:rPr>
        <w:t>s</w:t>
      </w:r>
      <w:r w:rsidRPr="00E01CC0">
        <w:rPr>
          <w:rFonts w:ascii="Arial" w:hAnsi="Arial" w:cs="Arial"/>
        </w:rPr>
        <w:t>ational decision making. Complex moral dilemmas</w:t>
      </w:r>
      <w:r>
        <w:rPr>
          <w:rFonts w:ascii="Arial" w:hAnsi="Arial" w:cs="Arial"/>
        </w:rPr>
        <w:t xml:space="preserve"> </w:t>
      </w:r>
      <w:r w:rsidRPr="00E01CC0">
        <w:rPr>
          <w:rFonts w:ascii="Arial" w:hAnsi="Arial" w:cs="Arial"/>
        </w:rPr>
        <w:t>such as balancing community welfare with fiscal responsibility</w:t>
      </w:r>
      <w:r>
        <w:rPr>
          <w:rFonts w:ascii="Arial" w:hAnsi="Arial" w:cs="Arial"/>
        </w:rPr>
        <w:t xml:space="preserve">, </w:t>
      </w:r>
      <w:r w:rsidRPr="00E01CC0">
        <w:rPr>
          <w:rFonts w:ascii="Arial" w:hAnsi="Arial" w:cs="Arial"/>
        </w:rPr>
        <w:t xml:space="preserve">are navigated through negotiations and are mutually understood, thus developing transparency and trust between the enterprise and stakeholders (Bhatt, 2022). This ethical lens reinforces legitimacy, particularly in sensitive industries such as health care, education, and community development. </w:t>
      </w:r>
    </w:p>
    <w:p w14:paraId="4ADC5652" w14:textId="77777777" w:rsidR="00E01CC0" w:rsidRDefault="00E01CC0" w:rsidP="00E01CC0">
      <w:pPr>
        <w:spacing w:line="360" w:lineRule="auto"/>
        <w:rPr>
          <w:rFonts w:ascii="Arial" w:hAnsi="Arial" w:cs="Arial"/>
        </w:rPr>
      </w:pPr>
      <w:r w:rsidRPr="00E01CC0">
        <w:rPr>
          <w:rFonts w:ascii="Arial" w:hAnsi="Arial" w:cs="Arial"/>
        </w:rPr>
        <w:t xml:space="preserve">Social enterprises also serve as laboratories of innovation. Their hybrid structure facilitates intrepidity in experimenting with business models that blend profitability with social value creation, such as microfinance programs, renewable energy cooperatives, and </w:t>
      </w:r>
      <w:r w:rsidRPr="00E01CC0">
        <w:rPr>
          <w:rFonts w:ascii="Arial" w:hAnsi="Arial" w:cs="Arial"/>
        </w:rPr>
        <w:t>fair-trade</w:t>
      </w:r>
      <w:r w:rsidRPr="00E01CC0">
        <w:rPr>
          <w:rFonts w:ascii="Arial" w:hAnsi="Arial" w:cs="Arial"/>
        </w:rPr>
        <w:t xml:space="preserve"> networks (Doherty &amp; Thompson, 2006). Through this innovative potential, social enterprises </w:t>
      </w:r>
      <w:r w:rsidRPr="00E01CC0">
        <w:rPr>
          <w:rFonts w:ascii="Arial" w:hAnsi="Arial" w:cs="Arial"/>
        </w:rPr>
        <w:t>can</w:t>
      </w:r>
      <w:r w:rsidRPr="00E01CC0">
        <w:rPr>
          <w:rFonts w:ascii="Arial" w:hAnsi="Arial" w:cs="Arial"/>
        </w:rPr>
        <w:t xml:space="preserve"> develop pioneering new responses to social issues that neither the market, nor the state can achieve on its own.</w:t>
      </w:r>
    </w:p>
    <w:p w14:paraId="695A6B50" w14:textId="77777777" w:rsidR="00E01CC0" w:rsidRPr="00353BF3" w:rsidRDefault="00E01CC0" w:rsidP="00E01CC0">
      <w:pPr>
        <w:spacing w:line="360" w:lineRule="auto"/>
        <w:rPr>
          <w:rFonts w:ascii="Arial Black" w:hAnsi="Arial Black" w:cs="Arial"/>
        </w:rPr>
      </w:pPr>
      <w:r w:rsidRPr="00353BF3">
        <w:rPr>
          <w:rFonts w:ascii="Arial Black" w:hAnsi="Arial Black" w:cs="Arial"/>
        </w:rPr>
        <w:t xml:space="preserve">Weaknesses </w:t>
      </w:r>
    </w:p>
    <w:p w14:paraId="6C21D3C7" w14:textId="77777777" w:rsidR="00E01CC0" w:rsidRDefault="00E01CC0" w:rsidP="00E01CC0">
      <w:pPr>
        <w:spacing w:line="360" w:lineRule="auto"/>
        <w:rPr>
          <w:rFonts w:ascii="Arial" w:hAnsi="Arial" w:cs="Arial"/>
        </w:rPr>
      </w:pPr>
      <w:r w:rsidRPr="00E01CC0">
        <w:rPr>
          <w:rFonts w:ascii="Arial" w:hAnsi="Arial" w:cs="Arial"/>
        </w:rPr>
        <w:t>However, the internal advantages of social enterprises also foster long-running internal disadvantages. Financial sustainability is arguably the most significant of challenges. Balancing commercial and social community commitments often cock blocks access to traditional investments, since returns on investment are often lower in return and less attractive to traditional investors (Abramson &amp; Billings, 2019). And hybrid reliance on combined revenue sources</w:t>
      </w:r>
      <w:r>
        <w:rPr>
          <w:rFonts w:ascii="Arial" w:hAnsi="Arial" w:cs="Arial"/>
        </w:rPr>
        <w:t xml:space="preserve">, </w:t>
      </w:r>
      <w:r w:rsidRPr="00E01CC0">
        <w:rPr>
          <w:rFonts w:ascii="Arial" w:hAnsi="Arial" w:cs="Arial"/>
        </w:rPr>
        <w:t>grants, donations, trading</w:t>
      </w:r>
      <w:r>
        <w:rPr>
          <w:rFonts w:ascii="Arial" w:hAnsi="Arial" w:cs="Arial"/>
        </w:rPr>
        <w:t xml:space="preserve"> </w:t>
      </w:r>
      <w:r w:rsidRPr="00E01CC0">
        <w:rPr>
          <w:rFonts w:ascii="Arial" w:hAnsi="Arial" w:cs="Arial"/>
        </w:rPr>
        <w:t xml:space="preserve">to collectively assess vulnerability to outside shocks and policy changes, and constrains both growth and continuity of future planning. </w:t>
      </w:r>
    </w:p>
    <w:p w14:paraId="39315489" w14:textId="77777777" w:rsidR="00E01CC0" w:rsidRDefault="00E01CC0" w:rsidP="00E01CC0">
      <w:pPr>
        <w:spacing w:line="360" w:lineRule="auto"/>
        <w:rPr>
          <w:rFonts w:ascii="Arial" w:hAnsi="Arial" w:cs="Arial"/>
        </w:rPr>
      </w:pPr>
      <w:r w:rsidRPr="00E01CC0">
        <w:rPr>
          <w:rFonts w:ascii="Arial" w:hAnsi="Arial" w:cs="Arial"/>
        </w:rPr>
        <w:t>Measurement performance is another identified weakness. Measuring social impact is problematic due to limitations in methodology and the intangible nature of social outcomes (Lee - Battilana &amp; Wang, 2014). A lot of organi</w:t>
      </w:r>
      <w:r>
        <w:rPr>
          <w:rFonts w:ascii="Arial" w:hAnsi="Arial" w:cs="Arial"/>
        </w:rPr>
        <w:t>s</w:t>
      </w:r>
      <w:r w:rsidRPr="00E01CC0">
        <w:rPr>
          <w:rFonts w:ascii="Arial" w:hAnsi="Arial" w:cs="Arial"/>
        </w:rPr>
        <w:t xml:space="preserve">ations do not have the capacity or know-how to collect any systematic data about either the financial or the social results of their work, which diminishes their ability to show accountability and attract funding. </w:t>
      </w:r>
    </w:p>
    <w:p w14:paraId="78EB1824" w14:textId="77777777" w:rsidR="00E01CC0" w:rsidRDefault="00E01CC0" w:rsidP="00E01CC0">
      <w:pPr>
        <w:spacing w:line="360" w:lineRule="auto"/>
        <w:rPr>
          <w:rFonts w:ascii="Arial" w:hAnsi="Arial" w:cs="Arial"/>
        </w:rPr>
      </w:pPr>
      <w:r w:rsidRPr="00E01CC0">
        <w:rPr>
          <w:rFonts w:ascii="Arial" w:hAnsi="Arial" w:cs="Arial"/>
        </w:rPr>
        <w:t xml:space="preserve">Managerial capacity gaps are frequently found across the sector. Many social entrepreneurs are deeply committed to their mission, but they may lack business or operational know-how (Campbell, Kelly, &amp; Harrison, 2011). This underdeveloped array of managerial and financial skills impedes effective scaling, marketing, and </w:t>
      </w:r>
      <w:r w:rsidRPr="00E01CC0">
        <w:rPr>
          <w:rFonts w:ascii="Arial" w:hAnsi="Arial" w:cs="Arial"/>
        </w:rPr>
        <w:lastRenderedPageBreak/>
        <w:t>organi</w:t>
      </w:r>
      <w:r>
        <w:rPr>
          <w:rFonts w:ascii="Arial" w:hAnsi="Arial" w:cs="Arial"/>
        </w:rPr>
        <w:t>s</w:t>
      </w:r>
      <w:r w:rsidRPr="00E01CC0">
        <w:rPr>
          <w:rFonts w:ascii="Arial" w:hAnsi="Arial" w:cs="Arial"/>
        </w:rPr>
        <w:t>ational strategy and, even worse, organi</w:t>
      </w:r>
      <w:r>
        <w:rPr>
          <w:rFonts w:ascii="Arial" w:hAnsi="Arial" w:cs="Arial"/>
        </w:rPr>
        <w:t>s</w:t>
      </w:r>
      <w:r w:rsidRPr="00E01CC0">
        <w:rPr>
          <w:rFonts w:ascii="Arial" w:hAnsi="Arial" w:cs="Arial"/>
        </w:rPr>
        <w:t xml:space="preserve">ations tend to develop informal managerial structures without consideration of how things need to be coordinated professionally to enable scaling (Jackson et al., 2018). </w:t>
      </w:r>
    </w:p>
    <w:p w14:paraId="127C6458" w14:textId="77777777" w:rsidR="00E01CC0" w:rsidRDefault="00E01CC0" w:rsidP="00E01CC0">
      <w:pPr>
        <w:spacing w:line="360" w:lineRule="auto"/>
        <w:rPr>
          <w:rFonts w:ascii="Arial" w:hAnsi="Arial" w:cs="Arial"/>
        </w:rPr>
      </w:pPr>
      <w:r w:rsidRPr="00E01CC0">
        <w:rPr>
          <w:rFonts w:ascii="Arial" w:hAnsi="Arial" w:cs="Arial"/>
        </w:rPr>
        <w:t>The existence of legal and institutional ambiguity directly contributes to another complexity as well. In many countries, social enterprises work in contexts where definitions are unclear and there is providing a regulatory framework for social enterprises to earn formal recognition and receive support from government (</w:t>
      </w:r>
      <w:proofErr w:type="spellStart"/>
      <w:r w:rsidRPr="00E01CC0">
        <w:rPr>
          <w:rFonts w:ascii="Arial" w:hAnsi="Arial" w:cs="Arial"/>
        </w:rPr>
        <w:t>Umfreville</w:t>
      </w:r>
      <w:proofErr w:type="spellEnd"/>
      <w:r w:rsidRPr="00E01CC0">
        <w:rPr>
          <w:rFonts w:ascii="Arial" w:hAnsi="Arial" w:cs="Arial"/>
        </w:rPr>
        <w:t xml:space="preserve"> &amp; Bonnin, 2021). Not only this, </w:t>
      </w:r>
      <w:r w:rsidRPr="00E01CC0">
        <w:rPr>
          <w:rFonts w:ascii="Arial" w:hAnsi="Arial" w:cs="Arial"/>
        </w:rPr>
        <w:t>but the lack of a distinct legal identity also complicates</w:t>
      </w:r>
      <w:r w:rsidRPr="00E01CC0">
        <w:rPr>
          <w:rFonts w:ascii="Arial" w:hAnsi="Arial" w:cs="Arial"/>
        </w:rPr>
        <w:t xml:space="preserve"> solutions to challenges related to taxation, financing, or public procurement. </w:t>
      </w:r>
    </w:p>
    <w:p w14:paraId="376FB91B" w14:textId="77777777" w:rsidR="003E0223" w:rsidRDefault="00E01CC0" w:rsidP="00E01CC0">
      <w:pPr>
        <w:spacing w:line="360" w:lineRule="auto"/>
        <w:rPr>
          <w:rFonts w:ascii="Arial" w:hAnsi="Arial" w:cs="Arial"/>
        </w:rPr>
      </w:pPr>
      <w:r w:rsidRPr="00E01CC0">
        <w:rPr>
          <w:rFonts w:ascii="Arial" w:hAnsi="Arial" w:cs="Arial"/>
        </w:rPr>
        <w:t>The tension between social purpose and financial sustainability is also a structural weakness that is inherent to the model. The pursuit of profit threatens to compromise the social mission, while drive to deliver on social goals threatens financial sustainability (</w:t>
      </w:r>
      <w:proofErr w:type="spellStart"/>
      <w:r w:rsidRPr="00E01CC0">
        <w:rPr>
          <w:rFonts w:ascii="Arial" w:hAnsi="Arial" w:cs="Arial"/>
        </w:rPr>
        <w:t>Tykkyl</w:t>
      </w:r>
      <w:r>
        <w:rPr>
          <w:rFonts w:ascii="Arial" w:hAnsi="Arial" w:cs="Arial"/>
        </w:rPr>
        <w:t>a</w:t>
      </w:r>
      <w:r w:rsidRPr="00E01CC0">
        <w:rPr>
          <w:rFonts w:ascii="Arial" w:hAnsi="Arial" w:cs="Arial"/>
        </w:rPr>
        <w:t>inen</w:t>
      </w:r>
      <w:proofErr w:type="spellEnd"/>
      <w:r w:rsidRPr="00E01CC0">
        <w:rPr>
          <w:rFonts w:ascii="Arial" w:hAnsi="Arial" w:cs="Arial"/>
        </w:rPr>
        <w:t>, 2019). Having to successfully manage and reconcile the pursuit of this dual logic and manage to balance these two areas creates further requirement for adjustment, especially where external funders or investors prioriti</w:t>
      </w:r>
      <w:r>
        <w:rPr>
          <w:rFonts w:ascii="Arial" w:hAnsi="Arial" w:cs="Arial"/>
        </w:rPr>
        <w:t>s</w:t>
      </w:r>
      <w:r w:rsidRPr="00E01CC0">
        <w:rPr>
          <w:rFonts w:ascii="Arial" w:hAnsi="Arial" w:cs="Arial"/>
        </w:rPr>
        <w:t xml:space="preserve">e economic over social performance.  </w:t>
      </w:r>
    </w:p>
    <w:p w14:paraId="031E76F4" w14:textId="77777777" w:rsidR="003E0223" w:rsidRDefault="00E01CC0" w:rsidP="00E01CC0">
      <w:pPr>
        <w:spacing w:line="360" w:lineRule="auto"/>
        <w:rPr>
          <w:rFonts w:ascii="Arial" w:hAnsi="Arial" w:cs="Arial"/>
        </w:rPr>
      </w:pPr>
      <w:r w:rsidRPr="00E01CC0">
        <w:rPr>
          <w:rFonts w:ascii="Arial" w:hAnsi="Arial" w:cs="Arial"/>
        </w:rPr>
        <w:t>Workforce diversity, while an asset, can also present worker force challenges internally. Innovative and diverse teams can generate novel solutions, but organi</w:t>
      </w:r>
      <w:r w:rsidR="003E0223">
        <w:rPr>
          <w:rFonts w:ascii="Arial" w:hAnsi="Arial" w:cs="Arial"/>
        </w:rPr>
        <w:t>s</w:t>
      </w:r>
      <w:r w:rsidRPr="00E01CC0">
        <w:rPr>
          <w:rFonts w:ascii="Arial" w:hAnsi="Arial" w:cs="Arial"/>
        </w:rPr>
        <w:t xml:space="preserve">ational policies, procedures, and practices that lack intentionality and inclusiveness hinder high-performing, diversified teams from working together. A lack of communication and cultural competence is likely </w:t>
      </w:r>
      <w:r w:rsidR="003E0223" w:rsidRPr="00E01CC0">
        <w:rPr>
          <w:rFonts w:ascii="Arial" w:hAnsi="Arial" w:cs="Arial"/>
        </w:rPr>
        <w:t>exacerbating</w:t>
      </w:r>
      <w:r w:rsidRPr="00E01CC0">
        <w:rPr>
          <w:rFonts w:ascii="Arial" w:hAnsi="Arial" w:cs="Arial"/>
        </w:rPr>
        <w:t xml:space="preserve"> the challenges of workforce diversity which often creates barriers to organi</w:t>
      </w:r>
      <w:r w:rsidR="003E0223">
        <w:rPr>
          <w:rFonts w:ascii="Arial" w:hAnsi="Arial" w:cs="Arial"/>
        </w:rPr>
        <w:t>s</w:t>
      </w:r>
      <w:r w:rsidRPr="00E01CC0">
        <w:rPr>
          <w:rFonts w:ascii="Arial" w:hAnsi="Arial" w:cs="Arial"/>
        </w:rPr>
        <w:t>ational cohesion and need for collective decision making (Cho, Kim, &amp; Mor Barak, 2017).</w:t>
      </w:r>
    </w:p>
    <w:p w14:paraId="0543FE7F" w14:textId="77777777" w:rsidR="003E0223" w:rsidRPr="00353BF3" w:rsidRDefault="00E01CC0" w:rsidP="00E01CC0">
      <w:pPr>
        <w:spacing w:line="360" w:lineRule="auto"/>
        <w:rPr>
          <w:rFonts w:ascii="Arial Black" w:hAnsi="Arial Black" w:cs="Arial"/>
        </w:rPr>
      </w:pPr>
      <w:r w:rsidRPr="00353BF3">
        <w:rPr>
          <w:rFonts w:ascii="Arial Black" w:hAnsi="Arial Black" w:cs="Arial"/>
        </w:rPr>
        <w:t>Opportunities</w:t>
      </w:r>
    </w:p>
    <w:p w14:paraId="07906FA7" w14:textId="77777777" w:rsidR="003E0223" w:rsidRDefault="00E01CC0" w:rsidP="00E01CC0">
      <w:pPr>
        <w:spacing w:line="360" w:lineRule="auto"/>
        <w:rPr>
          <w:rFonts w:ascii="Arial" w:hAnsi="Arial" w:cs="Arial"/>
        </w:rPr>
      </w:pPr>
      <w:r w:rsidRPr="00E01CC0">
        <w:rPr>
          <w:rFonts w:ascii="Arial" w:hAnsi="Arial" w:cs="Arial"/>
        </w:rPr>
        <w:t xml:space="preserve">Generally, the opportunities in the external environment are increasing for social enterprise and social impact. The global rise in recognition of the role social enterprise strategy can play in sustainable development is encouraging governments and international organisations to better locate the sector within their governance systems and support the sector with financial donations, social investment funds, </w:t>
      </w:r>
      <w:r w:rsidRPr="00E01CC0">
        <w:rPr>
          <w:rFonts w:ascii="Arial" w:hAnsi="Arial" w:cs="Arial"/>
        </w:rPr>
        <w:lastRenderedPageBreak/>
        <w:t>and policy development (Kerlin, 2009). This type of recognition helps to validate social entrepreneurship as a form of welfare innovation and community regeneration.</w:t>
      </w:r>
    </w:p>
    <w:p w14:paraId="73E95AA4" w14:textId="77777777" w:rsidR="003E0223" w:rsidRDefault="00E01CC0" w:rsidP="00E01CC0">
      <w:pPr>
        <w:spacing w:line="360" w:lineRule="auto"/>
        <w:rPr>
          <w:rFonts w:ascii="Arial" w:hAnsi="Arial" w:cs="Arial"/>
        </w:rPr>
      </w:pPr>
      <w:r w:rsidRPr="00E01CC0">
        <w:rPr>
          <w:rFonts w:ascii="Arial" w:hAnsi="Arial" w:cs="Arial"/>
        </w:rPr>
        <w:t>The rise of the impact investment market presents large opportunities for scaling up. Investors who want both financial and social returns are now providing capital that is suitable to social enterprises. Having access to this type of "patient capital" enables social enterprises to pursue their long-term goals without compromising their mission (</w:t>
      </w:r>
      <w:proofErr w:type="spellStart"/>
      <w:r w:rsidRPr="00E01CC0">
        <w:rPr>
          <w:rFonts w:ascii="Arial" w:hAnsi="Arial" w:cs="Arial"/>
        </w:rPr>
        <w:t>Tykkyl</w:t>
      </w:r>
      <w:r w:rsidR="003E0223">
        <w:rPr>
          <w:rFonts w:ascii="Arial" w:hAnsi="Arial" w:cs="Arial"/>
        </w:rPr>
        <w:t>a</w:t>
      </w:r>
      <w:r w:rsidRPr="00E01CC0">
        <w:rPr>
          <w:rFonts w:ascii="Arial" w:hAnsi="Arial" w:cs="Arial"/>
        </w:rPr>
        <w:t>inen</w:t>
      </w:r>
      <w:proofErr w:type="spellEnd"/>
      <w:r w:rsidRPr="00E01CC0">
        <w:rPr>
          <w:rFonts w:ascii="Arial" w:hAnsi="Arial" w:cs="Arial"/>
        </w:rPr>
        <w:t>, 2019). Furthermore, as the measures of impact and tools for measurement become more sophisticated, investor confidence continues to deepen in this sector.</w:t>
      </w:r>
    </w:p>
    <w:p w14:paraId="11E92B5B" w14:textId="77777777" w:rsidR="003E0223" w:rsidRDefault="00E01CC0" w:rsidP="00E01CC0">
      <w:pPr>
        <w:spacing w:line="360" w:lineRule="auto"/>
        <w:rPr>
          <w:rFonts w:ascii="Arial" w:hAnsi="Arial" w:cs="Arial"/>
        </w:rPr>
      </w:pPr>
      <w:r w:rsidRPr="00E01CC0">
        <w:rPr>
          <w:rFonts w:ascii="Arial" w:hAnsi="Arial" w:cs="Arial"/>
        </w:rPr>
        <w:t xml:space="preserve">Technological development also provides a transformative aspect to the social enterprise sector. Digital tools mean social enterprises can reach previously underserved communities, become more efficient in their operations, and improve transparency. Mobile technologies </w:t>
      </w:r>
      <w:r w:rsidR="003E0223" w:rsidRPr="00E01CC0">
        <w:rPr>
          <w:rFonts w:ascii="Arial" w:hAnsi="Arial" w:cs="Arial"/>
        </w:rPr>
        <w:t>have</w:t>
      </w:r>
      <w:r w:rsidRPr="00E01CC0">
        <w:rPr>
          <w:rFonts w:ascii="Arial" w:hAnsi="Arial" w:cs="Arial"/>
        </w:rPr>
        <w:t xml:space="preserve"> allowed inclusive business models to address low-income markets by decreasing operational costs and reducing transaction barriers (Goyal, Sergi, &amp; Jaiswal, 2016). Technology enables data-based decisions and impact reporting, which in turn excite investors and donors.</w:t>
      </w:r>
    </w:p>
    <w:p w14:paraId="5DAD37FD" w14:textId="77777777" w:rsidR="003E0223" w:rsidRDefault="00E01CC0" w:rsidP="00E01CC0">
      <w:pPr>
        <w:spacing w:line="360" w:lineRule="auto"/>
        <w:rPr>
          <w:rFonts w:ascii="Arial" w:hAnsi="Arial" w:cs="Arial"/>
        </w:rPr>
      </w:pPr>
      <w:r w:rsidRPr="00E01CC0">
        <w:rPr>
          <w:rFonts w:ascii="Arial" w:hAnsi="Arial" w:cs="Arial"/>
        </w:rPr>
        <w:t xml:space="preserve">Changing values of consumers and employees provide added opportunity in the market. Ethical consumption and awareness of social issues in younger generations </w:t>
      </w:r>
      <w:r w:rsidR="003E0223" w:rsidRPr="00E01CC0">
        <w:rPr>
          <w:rFonts w:ascii="Arial" w:hAnsi="Arial" w:cs="Arial"/>
        </w:rPr>
        <w:t>have</w:t>
      </w:r>
      <w:r w:rsidRPr="00E01CC0">
        <w:rPr>
          <w:rFonts w:ascii="Arial" w:hAnsi="Arial" w:cs="Arial"/>
        </w:rPr>
        <w:t xml:space="preserve"> stimulated demand for fair-trade products, ethical banking or financing and sustainable services (Lyon &amp; Sepulveda, 2009). In the same vein, values systems drive a workforce that is socially conscious, seeking employment that it finds purpose in, thus providing access to a pool of employees that are principled (Jackson et al., 2018).</w:t>
      </w:r>
    </w:p>
    <w:p w14:paraId="555E8090" w14:textId="77777777" w:rsidR="003E0223" w:rsidRDefault="00E01CC0" w:rsidP="00E01CC0">
      <w:pPr>
        <w:spacing w:line="360" w:lineRule="auto"/>
        <w:rPr>
          <w:rFonts w:ascii="Arial" w:hAnsi="Arial" w:cs="Arial"/>
        </w:rPr>
      </w:pPr>
      <w:r w:rsidRPr="00E01CC0">
        <w:rPr>
          <w:rFonts w:ascii="Arial" w:hAnsi="Arial" w:cs="Arial"/>
        </w:rPr>
        <w:t>Lastly, emerging markets provide additional opportunity for "base of the pyramid" market entry that is focused on adapting the pricing and distribution model to low-income consumers whilst still generating revenue (Goyal et al., 2016</w:t>
      </w:r>
      <w:r w:rsidR="003E0223" w:rsidRPr="00E01CC0">
        <w:rPr>
          <w:rFonts w:ascii="Arial" w:hAnsi="Arial" w:cs="Arial"/>
        </w:rPr>
        <w:t>). These</w:t>
      </w:r>
      <w:r w:rsidRPr="00E01CC0">
        <w:rPr>
          <w:rFonts w:ascii="Arial" w:hAnsi="Arial" w:cs="Arial"/>
        </w:rPr>
        <w:t xml:space="preserve"> inclusive business strategies stimulate economic involvement and local empowerment for development purposes.</w:t>
      </w:r>
    </w:p>
    <w:p w14:paraId="63EC6136" w14:textId="77777777" w:rsidR="003E0223" w:rsidRDefault="00E01CC0" w:rsidP="00E01CC0">
      <w:pPr>
        <w:spacing w:line="360" w:lineRule="auto"/>
        <w:rPr>
          <w:rFonts w:ascii="Arial" w:hAnsi="Arial" w:cs="Arial"/>
        </w:rPr>
      </w:pPr>
      <w:r w:rsidRPr="00E01CC0">
        <w:rPr>
          <w:rFonts w:ascii="Arial" w:hAnsi="Arial" w:cs="Arial"/>
        </w:rPr>
        <w:t>Partnerships and research also represent important opportunities. Research initiatives that are comparative and global have developed empirical understanding in the field, while stimulating knowledge exchange and collaboration between practitioners and academics (</w:t>
      </w:r>
      <w:proofErr w:type="spellStart"/>
      <w:r w:rsidRPr="00E01CC0">
        <w:rPr>
          <w:rFonts w:ascii="Arial" w:hAnsi="Arial" w:cs="Arial"/>
        </w:rPr>
        <w:t>Defourny</w:t>
      </w:r>
      <w:proofErr w:type="spellEnd"/>
      <w:r w:rsidRPr="00E01CC0">
        <w:rPr>
          <w:rFonts w:ascii="Arial" w:hAnsi="Arial" w:cs="Arial"/>
        </w:rPr>
        <w:t xml:space="preserve"> et al., 2021). A stronger research </w:t>
      </w:r>
      <w:r w:rsidRPr="00E01CC0">
        <w:rPr>
          <w:rFonts w:ascii="Arial" w:hAnsi="Arial" w:cs="Arial"/>
        </w:rPr>
        <w:lastRenderedPageBreak/>
        <w:t xml:space="preserve">infrastructure supports policy development and building capacity, beyond the original regions to where they are from (Lee et al., 2014). </w:t>
      </w:r>
    </w:p>
    <w:p w14:paraId="19143236" w14:textId="77777777" w:rsidR="003E0223" w:rsidRPr="00353BF3" w:rsidRDefault="00E01CC0" w:rsidP="00E01CC0">
      <w:pPr>
        <w:spacing w:line="360" w:lineRule="auto"/>
        <w:rPr>
          <w:rFonts w:ascii="Arial Black" w:hAnsi="Arial Black" w:cs="Arial"/>
        </w:rPr>
      </w:pPr>
      <w:r w:rsidRPr="00353BF3">
        <w:rPr>
          <w:rFonts w:ascii="Arial Black" w:hAnsi="Arial Black" w:cs="Arial"/>
        </w:rPr>
        <w:t>Threats</w:t>
      </w:r>
    </w:p>
    <w:p w14:paraId="4F148C03" w14:textId="77777777" w:rsidR="003E0223" w:rsidRDefault="00E01CC0" w:rsidP="00E01CC0">
      <w:pPr>
        <w:spacing w:line="360" w:lineRule="auto"/>
        <w:rPr>
          <w:rFonts w:ascii="Arial" w:hAnsi="Arial" w:cs="Arial"/>
        </w:rPr>
      </w:pPr>
      <w:r w:rsidRPr="00E01CC0">
        <w:rPr>
          <w:rFonts w:ascii="Arial" w:hAnsi="Arial" w:cs="Arial"/>
        </w:rPr>
        <w:t>Social enterprises globally encounter numerous external threats that threaten to undermine their progress, and they face multiple external threats. No threat may be more salient than the instability of policy. Policies can change by new government priorities, or funding, and may undermine social enterprises access to subsidies, social investment funds, or to procurement contracts (Abramson &amp; Billings, 2019). Lack of a consistent/long-term policy framework reduces confidence of both investors and beneficiaries.</w:t>
      </w:r>
    </w:p>
    <w:p w14:paraId="60A75CFC" w14:textId="77777777" w:rsidR="003E0223" w:rsidRDefault="00E01CC0" w:rsidP="00E01CC0">
      <w:pPr>
        <w:spacing w:line="360" w:lineRule="auto"/>
        <w:rPr>
          <w:rFonts w:ascii="Arial" w:hAnsi="Arial" w:cs="Arial"/>
        </w:rPr>
      </w:pPr>
      <w:r w:rsidRPr="00E01CC0">
        <w:rPr>
          <w:rFonts w:ascii="Arial" w:hAnsi="Arial" w:cs="Arial"/>
        </w:rPr>
        <w:t xml:space="preserve">Furthermore, competition from businesses in the mainstream who frame their business in a social or environmental language presents additional threats. Much "greenwashing" and "impact washing" by traditional businesses have entered the vernacular and threatens to confuse the </w:t>
      </w:r>
      <w:r w:rsidR="003E0223" w:rsidRPr="00E01CC0">
        <w:rPr>
          <w:rFonts w:ascii="Arial" w:hAnsi="Arial" w:cs="Arial"/>
        </w:rPr>
        <w:t>public</w:t>
      </w:r>
      <w:r w:rsidRPr="00E01CC0">
        <w:rPr>
          <w:rFonts w:ascii="Arial" w:hAnsi="Arial" w:cs="Arial"/>
        </w:rPr>
        <w:t xml:space="preserve"> as they attempt to distinguish genuine social enterprises from non-genuine profit-oriented businesses (Doherty &amp; Thompson, 2006). This confusion jeopardi</w:t>
      </w:r>
      <w:r w:rsidR="003E0223">
        <w:rPr>
          <w:rFonts w:ascii="Arial" w:hAnsi="Arial" w:cs="Arial"/>
        </w:rPr>
        <w:t>s</w:t>
      </w:r>
      <w:r w:rsidRPr="00E01CC0">
        <w:rPr>
          <w:rFonts w:ascii="Arial" w:hAnsi="Arial" w:cs="Arial"/>
        </w:rPr>
        <w:t>es public trust, and ultimately, the mission-oriented reputational advantage of social enterprises.</w:t>
      </w:r>
    </w:p>
    <w:p w14:paraId="3798EE2D" w14:textId="77777777" w:rsidR="003E0223" w:rsidRDefault="00E01CC0" w:rsidP="00E01CC0">
      <w:pPr>
        <w:spacing w:line="360" w:lineRule="auto"/>
        <w:rPr>
          <w:rFonts w:ascii="Arial" w:hAnsi="Arial" w:cs="Arial"/>
        </w:rPr>
      </w:pPr>
      <w:r w:rsidRPr="00E01CC0">
        <w:rPr>
          <w:rFonts w:ascii="Arial" w:hAnsi="Arial" w:cs="Arial"/>
        </w:rPr>
        <w:t>Economic uncertainty in many regions adds another level of vulnerability. Approaching a recession, or cuts in funding, can threaten organi</w:t>
      </w:r>
      <w:r w:rsidR="003E0223">
        <w:rPr>
          <w:rFonts w:ascii="Arial" w:hAnsi="Arial" w:cs="Arial"/>
        </w:rPr>
        <w:t>s</w:t>
      </w:r>
      <w:r w:rsidRPr="00E01CC0">
        <w:rPr>
          <w:rFonts w:ascii="Arial" w:hAnsi="Arial" w:cs="Arial"/>
        </w:rPr>
        <w:t>ations that rely on discretionary spending from consumers, or other public-sector contracts (Campbell, et al., 2011). For many social enterprises, limited financial reserves to "weather the storm" can threaten activity during extended downturns.</w:t>
      </w:r>
    </w:p>
    <w:p w14:paraId="5516528C" w14:textId="77777777" w:rsidR="003E0223" w:rsidRDefault="00E01CC0" w:rsidP="00E01CC0">
      <w:pPr>
        <w:spacing w:line="360" w:lineRule="auto"/>
        <w:rPr>
          <w:rFonts w:ascii="Arial" w:hAnsi="Arial" w:cs="Arial"/>
        </w:rPr>
      </w:pPr>
      <w:r w:rsidRPr="00E01CC0">
        <w:rPr>
          <w:rFonts w:ascii="Arial" w:hAnsi="Arial" w:cs="Arial"/>
        </w:rPr>
        <w:t xml:space="preserve">Institutional and cultural barriers are still present in developing </w:t>
      </w:r>
      <w:r w:rsidR="003E0223" w:rsidRPr="00E01CC0">
        <w:rPr>
          <w:rFonts w:ascii="Arial" w:hAnsi="Arial" w:cs="Arial"/>
        </w:rPr>
        <w:t>countries. Weak</w:t>
      </w:r>
      <w:r w:rsidRPr="00E01CC0">
        <w:rPr>
          <w:rFonts w:ascii="Arial" w:hAnsi="Arial" w:cs="Arial"/>
        </w:rPr>
        <w:t xml:space="preserve"> infrastructure, lack of awareness, and bureaucratic challenges regularly dampen growth and legitimacy, diminishing partnership with both the public and private sectors (</w:t>
      </w:r>
      <w:proofErr w:type="spellStart"/>
      <w:r w:rsidRPr="00E01CC0">
        <w:rPr>
          <w:rFonts w:ascii="Arial" w:hAnsi="Arial" w:cs="Arial"/>
        </w:rPr>
        <w:t>Umfreville</w:t>
      </w:r>
      <w:proofErr w:type="spellEnd"/>
      <w:r w:rsidRPr="00E01CC0">
        <w:rPr>
          <w:rFonts w:ascii="Arial" w:hAnsi="Arial" w:cs="Arial"/>
        </w:rPr>
        <w:t xml:space="preserve"> &amp; Bonnin, 2021). Without automotive ecosystems in place, it is challenging for a social enterprise to recruit professional </w:t>
      </w:r>
      <w:r w:rsidR="003E0223" w:rsidRPr="00E01CC0">
        <w:rPr>
          <w:rFonts w:ascii="Arial" w:hAnsi="Arial" w:cs="Arial"/>
        </w:rPr>
        <w:t>talent and</w:t>
      </w:r>
      <w:r w:rsidRPr="00E01CC0">
        <w:rPr>
          <w:rFonts w:ascii="Arial" w:hAnsi="Arial" w:cs="Arial"/>
        </w:rPr>
        <w:t xml:space="preserve"> attract sustainable capital.</w:t>
      </w:r>
    </w:p>
    <w:p w14:paraId="30BF2CAF" w14:textId="77777777" w:rsidR="003E0223" w:rsidRDefault="00E01CC0" w:rsidP="00E01CC0">
      <w:pPr>
        <w:spacing w:line="360" w:lineRule="auto"/>
        <w:rPr>
          <w:rFonts w:ascii="Arial" w:hAnsi="Arial" w:cs="Arial"/>
        </w:rPr>
      </w:pPr>
      <w:r w:rsidRPr="00E01CC0">
        <w:rPr>
          <w:rFonts w:ascii="Arial" w:hAnsi="Arial" w:cs="Arial"/>
        </w:rPr>
        <w:t xml:space="preserve">Ethical and governance risks also present serious challenges. Due to the ambiguous morality that encapsulates social change work, conflict may arise with stakeholders when expectations conflict, or transparency is not established (Bhatt, 2022). </w:t>
      </w:r>
      <w:r w:rsidRPr="00E01CC0">
        <w:rPr>
          <w:rFonts w:ascii="Arial" w:hAnsi="Arial" w:cs="Arial"/>
        </w:rPr>
        <w:lastRenderedPageBreak/>
        <w:t>Misalignment towards partner or donor interests risk creating distrust and reputational losses, especially with multi-stakeholder enterprises.</w:t>
      </w:r>
    </w:p>
    <w:p w14:paraId="4A974D75" w14:textId="77777777" w:rsidR="003E0223" w:rsidRDefault="00E01CC0" w:rsidP="00E01CC0">
      <w:pPr>
        <w:spacing w:line="360" w:lineRule="auto"/>
        <w:rPr>
          <w:rFonts w:ascii="Arial" w:hAnsi="Arial" w:cs="Arial"/>
        </w:rPr>
      </w:pPr>
      <w:r w:rsidRPr="00E01CC0">
        <w:rPr>
          <w:rFonts w:ascii="Arial" w:hAnsi="Arial" w:cs="Arial"/>
        </w:rPr>
        <w:t>Mission drift is another potential and perpetual risk and should be identified. The search for financial sustainability, especially if growth capital is potentially on-hand, will perpetually cause a subtle drift in interests away from the social interests each social enterprise began (</w:t>
      </w:r>
      <w:proofErr w:type="spellStart"/>
      <w:r w:rsidRPr="00E01CC0">
        <w:rPr>
          <w:rFonts w:ascii="Arial" w:hAnsi="Arial" w:cs="Arial"/>
        </w:rPr>
        <w:t>Tykkyl</w:t>
      </w:r>
      <w:r w:rsidR="003E0223">
        <w:rPr>
          <w:rFonts w:ascii="Arial" w:hAnsi="Arial" w:cs="Arial"/>
        </w:rPr>
        <w:t>a</w:t>
      </w:r>
      <w:r w:rsidRPr="00E01CC0">
        <w:rPr>
          <w:rFonts w:ascii="Arial" w:hAnsi="Arial" w:cs="Arial"/>
        </w:rPr>
        <w:t>inen</w:t>
      </w:r>
      <w:proofErr w:type="spellEnd"/>
      <w:r w:rsidRPr="00E01CC0">
        <w:rPr>
          <w:rFonts w:ascii="Arial" w:hAnsi="Arial" w:cs="Arial"/>
        </w:rPr>
        <w:t>, 2019). Ongoing reconciliation of purpose and profit will ultimately require organi</w:t>
      </w:r>
      <w:r w:rsidR="003E0223">
        <w:rPr>
          <w:rFonts w:ascii="Arial" w:hAnsi="Arial" w:cs="Arial"/>
        </w:rPr>
        <w:t>s</w:t>
      </w:r>
      <w:r w:rsidRPr="00E01CC0">
        <w:rPr>
          <w:rFonts w:ascii="Arial" w:hAnsi="Arial" w:cs="Arial"/>
        </w:rPr>
        <w:t>ational governance and accountability mechanisms to maintain fidelity and within the social enterprise’s values of inception.</w:t>
      </w:r>
    </w:p>
    <w:p w14:paraId="6A47B4A3" w14:textId="77777777" w:rsidR="003E0223" w:rsidRPr="00353BF3" w:rsidRDefault="003E0223" w:rsidP="00E01CC0">
      <w:pPr>
        <w:spacing w:line="360" w:lineRule="auto"/>
        <w:rPr>
          <w:rFonts w:ascii="Arial Black" w:hAnsi="Arial Black" w:cs="Arial"/>
        </w:rPr>
      </w:pPr>
      <w:r w:rsidRPr="00353BF3">
        <w:rPr>
          <w:rFonts w:ascii="Arial Black" w:hAnsi="Arial Black" w:cs="Arial"/>
        </w:rPr>
        <w:t>Conclusion</w:t>
      </w:r>
    </w:p>
    <w:p w14:paraId="64BF8828" w14:textId="77777777" w:rsidR="003E0223" w:rsidRDefault="00E01CC0" w:rsidP="00E01CC0">
      <w:pPr>
        <w:spacing w:line="360" w:lineRule="auto"/>
        <w:rPr>
          <w:rFonts w:ascii="Arial" w:hAnsi="Arial" w:cs="Arial"/>
        </w:rPr>
      </w:pPr>
      <w:r w:rsidRPr="00E01CC0">
        <w:rPr>
          <w:rFonts w:ascii="Arial" w:hAnsi="Arial" w:cs="Arial"/>
        </w:rPr>
        <w:t>SWOT analysis illustrates the multi -dimension of social enterprise exposing both promise and fragility. Mission orientation, ethical legitimacy, and adaptive leadership provide each social enterprise with unique internal competencies to address complex social problems with entrepreneurial agility. Meanwhile, continued financial fragility, risk related to managerial capacity, and difficulty of measuring impact will remain sustained internal challenges.</w:t>
      </w:r>
    </w:p>
    <w:p w14:paraId="73265054" w14:textId="77777777" w:rsidR="003E0223" w:rsidRDefault="00E01CC0" w:rsidP="00E01CC0">
      <w:pPr>
        <w:spacing w:line="360" w:lineRule="auto"/>
        <w:rPr>
          <w:rFonts w:ascii="Arial" w:hAnsi="Arial" w:cs="Arial"/>
        </w:rPr>
      </w:pPr>
      <w:r w:rsidRPr="00E01CC0">
        <w:rPr>
          <w:rFonts w:ascii="Arial" w:hAnsi="Arial" w:cs="Arial"/>
        </w:rPr>
        <w:t>Externally, the landscape is no less ambivalent. General growth in global recognition, impact investing, and technological innovation have established great challenges for the growth of social enterprise to exist. Conversely, policy volatility, competition from for-profit enterprise, and mission drift are significant, threatening the sustainability of the social enterprise. Long term success, either through social enterprise, will depend on successfully institutionali</w:t>
      </w:r>
      <w:r w:rsidR="003E0223">
        <w:rPr>
          <w:rFonts w:ascii="Arial" w:hAnsi="Arial" w:cs="Arial"/>
        </w:rPr>
        <w:t>s</w:t>
      </w:r>
      <w:r w:rsidRPr="00E01CC0">
        <w:rPr>
          <w:rFonts w:ascii="Arial" w:hAnsi="Arial" w:cs="Arial"/>
        </w:rPr>
        <w:t>ing accountability, professionali</w:t>
      </w:r>
      <w:r w:rsidR="003E0223">
        <w:rPr>
          <w:rFonts w:ascii="Arial" w:hAnsi="Arial" w:cs="Arial"/>
        </w:rPr>
        <w:t>s</w:t>
      </w:r>
      <w:r w:rsidRPr="00E01CC0">
        <w:rPr>
          <w:rFonts w:ascii="Arial" w:hAnsi="Arial" w:cs="Arial"/>
        </w:rPr>
        <w:t>ing the management framework, and retaining ethical integrity, while under market pressure.</w:t>
      </w:r>
    </w:p>
    <w:p w14:paraId="2E2149EC" w14:textId="1ED60569" w:rsidR="00E01CC0" w:rsidRDefault="00E01CC0" w:rsidP="00E01CC0">
      <w:pPr>
        <w:spacing w:line="360" w:lineRule="auto"/>
        <w:rPr>
          <w:rFonts w:ascii="Arial" w:hAnsi="Arial" w:cs="Arial"/>
        </w:rPr>
      </w:pPr>
      <w:r w:rsidRPr="00E01CC0">
        <w:rPr>
          <w:rFonts w:ascii="Arial" w:hAnsi="Arial" w:cs="Arial"/>
        </w:rPr>
        <w:t>Social enterprise embodies the exercise of retaining ethical and practical tension between social good, and financial necessity. The entertainment value of creativity to navigate this tension, without abandoning mission adherence or operational efficiency, defines the resilience and legitimacy of the sector (Bhatt, 2022). Further advancement and development of ethics ecosystems, inclusive leadership models, and evidence generated by and accounted for, social impact will position social enterprise with a chance towards actuali</w:t>
      </w:r>
      <w:r w:rsidR="003E0223">
        <w:rPr>
          <w:rFonts w:ascii="Arial" w:hAnsi="Arial" w:cs="Arial"/>
        </w:rPr>
        <w:t>s</w:t>
      </w:r>
      <w:r w:rsidRPr="00E01CC0">
        <w:rPr>
          <w:rFonts w:ascii="Arial" w:hAnsi="Arial" w:cs="Arial"/>
        </w:rPr>
        <w:t>ation and adequately fill its vision for ultimate sustainable progress as a global sustainable development power.</w:t>
      </w:r>
    </w:p>
    <w:p w14:paraId="1E9F5BD5" w14:textId="77777777" w:rsidR="00353BF3" w:rsidRDefault="00353BF3" w:rsidP="00E01CC0">
      <w:pPr>
        <w:spacing w:line="360" w:lineRule="auto"/>
        <w:rPr>
          <w:rFonts w:ascii="Arial" w:hAnsi="Arial" w:cs="Arial"/>
        </w:rPr>
      </w:pPr>
    </w:p>
    <w:p w14:paraId="331E39F6" w14:textId="3B4BCD12" w:rsidR="00353BF3" w:rsidRPr="00353BF3" w:rsidRDefault="00353BF3" w:rsidP="00E01CC0">
      <w:pPr>
        <w:spacing w:line="360" w:lineRule="auto"/>
        <w:rPr>
          <w:rFonts w:ascii="Arial Black" w:hAnsi="Arial Black" w:cs="Arial"/>
        </w:rPr>
      </w:pPr>
      <w:r w:rsidRPr="00353BF3">
        <w:rPr>
          <w:rFonts w:ascii="Arial Black" w:hAnsi="Arial Black" w:cs="Arial"/>
        </w:rPr>
        <w:lastRenderedPageBreak/>
        <w:t xml:space="preserve">References </w:t>
      </w:r>
    </w:p>
    <w:p w14:paraId="785A03B4" w14:textId="77777777" w:rsidR="00353BF3" w:rsidRDefault="00353BF3" w:rsidP="00353BF3">
      <w:pPr>
        <w:spacing w:line="360" w:lineRule="auto"/>
        <w:rPr>
          <w:rFonts w:ascii="Arial" w:hAnsi="Arial" w:cs="Arial"/>
        </w:rPr>
      </w:pPr>
      <w:r w:rsidRPr="00353BF3">
        <w:rPr>
          <w:rFonts w:ascii="Arial" w:hAnsi="Arial" w:cs="Arial"/>
        </w:rPr>
        <w:t xml:space="preserve">Abramson, A. J., &amp; Billings, K. C. (2019). Challenges facing social enterprises in the United States. </w:t>
      </w:r>
      <w:r w:rsidRPr="00353BF3">
        <w:rPr>
          <w:rFonts w:ascii="Arial" w:hAnsi="Arial" w:cs="Arial"/>
          <w:i/>
          <w:iCs/>
        </w:rPr>
        <w:t>Nonprofit Policy Forum, 10</w:t>
      </w:r>
      <w:r w:rsidRPr="00353BF3">
        <w:rPr>
          <w:rFonts w:ascii="Arial" w:hAnsi="Arial" w:cs="Arial"/>
        </w:rPr>
        <w:t xml:space="preserve">(2). </w:t>
      </w:r>
    </w:p>
    <w:p w14:paraId="5A6ADF95" w14:textId="77777777" w:rsidR="00353BF3" w:rsidRDefault="00353BF3" w:rsidP="00353BF3">
      <w:pPr>
        <w:spacing w:line="360" w:lineRule="auto"/>
        <w:rPr>
          <w:rFonts w:ascii="Arial" w:hAnsi="Arial" w:cs="Arial"/>
        </w:rPr>
      </w:pPr>
      <w:r w:rsidRPr="00353BF3">
        <w:rPr>
          <w:rFonts w:ascii="Arial" w:hAnsi="Arial" w:cs="Arial"/>
        </w:rPr>
        <w:t xml:space="preserve">Bhatt, B. (2022). Ethical complexity of social change: Negotiated actions of a social enterprise. </w:t>
      </w:r>
      <w:r w:rsidRPr="00353BF3">
        <w:rPr>
          <w:rFonts w:ascii="Arial" w:hAnsi="Arial" w:cs="Arial"/>
          <w:i/>
          <w:iCs/>
        </w:rPr>
        <w:t>Journal of Business Ethics, 177</w:t>
      </w:r>
      <w:r w:rsidRPr="00353BF3">
        <w:rPr>
          <w:rFonts w:ascii="Arial" w:hAnsi="Arial" w:cs="Arial"/>
        </w:rPr>
        <w:t xml:space="preserve">(4), 743–762. </w:t>
      </w:r>
    </w:p>
    <w:p w14:paraId="2734E7DD" w14:textId="77777777" w:rsidR="00353BF3" w:rsidRDefault="00353BF3" w:rsidP="00353BF3">
      <w:pPr>
        <w:spacing w:line="360" w:lineRule="auto"/>
        <w:rPr>
          <w:rFonts w:ascii="Arial" w:hAnsi="Arial" w:cs="Arial"/>
        </w:rPr>
      </w:pPr>
      <w:r w:rsidRPr="00353BF3">
        <w:rPr>
          <w:rFonts w:ascii="Arial" w:hAnsi="Arial" w:cs="Arial"/>
        </w:rPr>
        <w:t xml:space="preserve">Campbell, P., Kelly, P., &amp; Harrison, L. (2011). </w:t>
      </w:r>
      <w:r w:rsidRPr="00353BF3">
        <w:rPr>
          <w:rFonts w:ascii="Arial" w:hAnsi="Arial" w:cs="Arial"/>
          <w:i/>
          <w:iCs/>
        </w:rPr>
        <w:t>Social enterprise: Challenges and opportunities.</w:t>
      </w:r>
      <w:r w:rsidRPr="00353BF3">
        <w:rPr>
          <w:rFonts w:ascii="Arial" w:hAnsi="Arial" w:cs="Arial"/>
        </w:rPr>
        <w:t xml:space="preserve"> Deakin University.</w:t>
      </w:r>
    </w:p>
    <w:p w14:paraId="568FD924" w14:textId="77777777" w:rsidR="00353BF3" w:rsidRDefault="00353BF3" w:rsidP="00353BF3">
      <w:pPr>
        <w:spacing w:line="360" w:lineRule="auto"/>
        <w:rPr>
          <w:rFonts w:ascii="Arial" w:hAnsi="Arial" w:cs="Arial"/>
        </w:rPr>
      </w:pPr>
      <w:r w:rsidRPr="00353BF3">
        <w:rPr>
          <w:rFonts w:ascii="Arial" w:hAnsi="Arial" w:cs="Arial"/>
        </w:rPr>
        <w:t xml:space="preserve">Cho, S., Kim, A., &amp; Mor Barak, M. E. (2017). Does diversity matter? Exploring workforce diversity, diversity management, and organizational performance in social enterprises. </w:t>
      </w:r>
      <w:r w:rsidRPr="00353BF3">
        <w:rPr>
          <w:rFonts w:ascii="Arial" w:hAnsi="Arial" w:cs="Arial"/>
          <w:i/>
          <w:iCs/>
        </w:rPr>
        <w:t>Asian Social Work and Policy Review, 11</w:t>
      </w:r>
      <w:r w:rsidRPr="00353BF3">
        <w:rPr>
          <w:rFonts w:ascii="Arial" w:hAnsi="Arial" w:cs="Arial"/>
        </w:rPr>
        <w:t xml:space="preserve">(3), 193–204. </w:t>
      </w:r>
    </w:p>
    <w:p w14:paraId="090BE7CF" w14:textId="678A0F32" w:rsidR="00353BF3" w:rsidRPr="00353BF3" w:rsidRDefault="00353BF3" w:rsidP="00353BF3">
      <w:pPr>
        <w:spacing w:line="360" w:lineRule="auto"/>
        <w:rPr>
          <w:rFonts w:ascii="Arial" w:hAnsi="Arial" w:cs="Arial"/>
        </w:rPr>
      </w:pPr>
      <w:proofErr w:type="spellStart"/>
      <w:r w:rsidRPr="00353BF3">
        <w:rPr>
          <w:rFonts w:ascii="Arial" w:hAnsi="Arial" w:cs="Arial"/>
        </w:rPr>
        <w:t>Defourny</w:t>
      </w:r>
      <w:proofErr w:type="spellEnd"/>
      <w:r w:rsidRPr="00353BF3">
        <w:rPr>
          <w:rFonts w:ascii="Arial" w:hAnsi="Arial" w:cs="Arial"/>
        </w:rPr>
        <w:t xml:space="preserve">, J., Nyssens, M., &amp; </w:t>
      </w:r>
      <w:proofErr w:type="spellStart"/>
      <w:r w:rsidRPr="00353BF3">
        <w:rPr>
          <w:rFonts w:ascii="Arial" w:hAnsi="Arial" w:cs="Arial"/>
        </w:rPr>
        <w:t>Brolis</w:t>
      </w:r>
      <w:proofErr w:type="spellEnd"/>
      <w:r w:rsidRPr="00353BF3">
        <w:rPr>
          <w:rFonts w:ascii="Arial" w:hAnsi="Arial" w:cs="Arial"/>
        </w:rPr>
        <w:t xml:space="preserve">, O. (2021). Testing social enterprise models across the world: Evidence from the “International Comparative Social Enterprise Models (ICSEM) project”. Nonprofit and Voluntary Sector Quarterly, 50(2), 420–440. </w:t>
      </w:r>
    </w:p>
    <w:p w14:paraId="0F5D1E4F" w14:textId="77777777" w:rsidR="00353BF3" w:rsidRDefault="00353BF3" w:rsidP="00353BF3">
      <w:pPr>
        <w:spacing w:line="360" w:lineRule="auto"/>
        <w:rPr>
          <w:rFonts w:ascii="Arial" w:hAnsi="Arial" w:cs="Arial"/>
        </w:rPr>
      </w:pPr>
      <w:r w:rsidRPr="00353BF3">
        <w:rPr>
          <w:rFonts w:ascii="Arial" w:hAnsi="Arial" w:cs="Arial"/>
        </w:rPr>
        <w:t xml:space="preserve">Doherty, B., &amp; Thompson, J. (2006). The diverse world of social enterprise. </w:t>
      </w:r>
      <w:r w:rsidRPr="00353BF3">
        <w:rPr>
          <w:rFonts w:ascii="Arial" w:hAnsi="Arial" w:cs="Arial"/>
          <w:i/>
          <w:iCs/>
        </w:rPr>
        <w:t>Social Enterprise Journal, 33</w:t>
      </w:r>
      <w:r w:rsidRPr="00353BF3">
        <w:rPr>
          <w:rFonts w:ascii="Arial" w:hAnsi="Arial" w:cs="Arial"/>
        </w:rPr>
        <w:t xml:space="preserve">(5/6), 361–375. </w:t>
      </w:r>
    </w:p>
    <w:p w14:paraId="140DC688" w14:textId="77777777" w:rsidR="00353BF3" w:rsidRDefault="00353BF3" w:rsidP="00353BF3">
      <w:pPr>
        <w:spacing w:line="360" w:lineRule="auto"/>
        <w:rPr>
          <w:rFonts w:ascii="Arial" w:hAnsi="Arial" w:cs="Arial"/>
        </w:rPr>
      </w:pPr>
      <w:r w:rsidRPr="00353BF3">
        <w:rPr>
          <w:rFonts w:ascii="Arial" w:hAnsi="Arial" w:cs="Arial"/>
        </w:rPr>
        <w:t xml:space="preserve">Emerson, J. (1999). </w:t>
      </w:r>
      <w:r w:rsidRPr="00353BF3">
        <w:rPr>
          <w:rFonts w:ascii="Arial" w:hAnsi="Arial" w:cs="Arial"/>
          <w:i/>
          <w:iCs/>
        </w:rPr>
        <w:t>Five challenges in social purpose enterprise development.</w:t>
      </w:r>
      <w:r w:rsidRPr="00353BF3">
        <w:rPr>
          <w:rFonts w:ascii="Arial" w:hAnsi="Arial" w:cs="Arial"/>
        </w:rPr>
        <w:t xml:space="preserve"> Roberts Enterprise Development Fund.</w:t>
      </w:r>
    </w:p>
    <w:p w14:paraId="2A14A052" w14:textId="77777777" w:rsidR="00353BF3" w:rsidRDefault="00353BF3" w:rsidP="00353BF3">
      <w:pPr>
        <w:spacing w:line="360" w:lineRule="auto"/>
        <w:rPr>
          <w:rFonts w:ascii="Arial" w:hAnsi="Arial" w:cs="Arial"/>
        </w:rPr>
      </w:pPr>
      <w:r w:rsidRPr="00353BF3">
        <w:rPr>
          <w:rFonts w:ascii="Arial" w:hAnsi="Arial" w:cs="Arial"/>
        </w:rPr>
        <w:t xml:space="preserve">Goyal, S., Sergi, B. S., &amp; Jaiswal, M. P. (2016). Understanding the challenges and strategic actions of social entrepreneurship at base of the pyramid. </w:t>
      </w:r>
      <w:r w:rsidRPr="00353BF3">
        <w:rPr>
          <w:rFonts w:ascii="Arial" w:hAnsi="Arial" w:cs="Arial"/>
          <w:i/>
          <w:iCs/>
        </w:rPr>
        <w:t>Management Decision, 54</w:t>
      </w:r>
      <w:r w:rsidRPr="00353BF3">
        <w:rPr>
          <w:rFonts w:ascii="Arial" w:hAnsi="Arial" w:cs="Arial"/>
        </w:rPr>
        <w:t xml:space="preserve">(2), 418–440. </w:t>
      </w:r>
    </w:p>
    <w:p w14:paraId="17EDBF00" w14:textId="77777777" w:rsidR="00353BF3" w:rsidRDefault="00353BF3" w:rsidP="00353BF3">
      <w:pPr>
        <w:spacing w:line="360" w:lineRule="auto"/>
        <w:rPr>
          <w:rFonts w:ascii="Arial" w:hAnsi="Arial" w:cs="Arial"/>
        </w:rPr>
      </w:pPr>
      <w:r w:rsidRPr="00353BF3">
        <w:rPr>
          <w:rFonts w:ascii="Arial" w:hAnsi="Arial" w:cs="Arial"/>
        </w:rPr>
        <w:t xml:space="preserve">Jackson, B., Nicoll, M., &amp; Roy, M. J. (2018). The distinctive challenges and opportunities for creating leadership within social enterprises. </w:t>
      </w:r>
      <w:r w:rsidRPr="00353BF3">
        <w:rPr>
          <w:rFonts w:ascii="Arial" w:hAnsi="Arial" w:cs="Arial"/>
          <w:i/>
          <w:iCs/>
        </w:rPr>
        <w:t>Social Enterprise Journal, 14</w:t>
      </w:r>
      <w:r w:rsidRPr="00353BF3">
        <w:rPr>
          <w:rFonts w:ascii="Arial" w:hAnsi="Arial" w:cs="Arial"/>
        </w:rPr>
        <w:t>(1), 71–91</w:t>
      </w:r>
    </w:p>
    <w:p w14:paraId="0E0DC945" w14:textId="77777777" w:rsidR="00353BF3" w:rsidRDefault="00353BF3" w:rsidP="00353BF3">
      <w:pPr>
        <w:spacing w:line="360" w:lineRule="auto"/>
        <w:rPr>
          <w:rFonts w:ascii="Arial" w:hAnsi="Arial" w:cs="Arial"/>
        </w:rPr>
      </w:pPr>
      <w:r w:rsidRPr="00353BF3">
        <w:rPr>
          <w:rFonts w:ascii="Arial" w:hAnsi="Arial" w:cs="Arial"/>
        </w:rPr>
        <w:t xml:space="preserve">Kerlin, J. A. (Ed.). (2009). </w:t>
      </w:r>
      <w:r w:rsidRPr="00353BF3">
        <w:rPr>
          <w:rFonts w:ascii="Arial" w:hAnsi="Arial" w:cs="Arial"/>
          <w:i/>
          <w:iCs/>
        </w:rPr>
        <w:t>Social enterprise: A global comparison.</w:t>
      </w:r>
      <w:r w:rsidRPr="00353BF3">
        <w:rPr>
          <w:rFonts w:ascii="Arial" w:hAnsi="Arial" w:cs="Arial"/>
        </w:rPr>
        <w:t xml:space="preserve"> University Press of New England.</w:t>
      </w:r>
    </w:p>
    <w:p w14:paraId="500FFB36" w14:textId="77777777" w:rsidR="00353BF3" w:rsidRDefault="00353BF3" w:rsidP="00353BF3">
      <w:pPr>
        <w:spacing w:line="360" w:lineRule="auto"/>
        <w:rPr>
          <w:rFonts w:ascii="Arial" w:hAnsi="Arial" w:cs="Arial"/>
        </w:rPr>
      </w:pPr>
      <w:r w:rsidRPr="00353BF3">
        <w:rPr>
          <w:rFonts w:ascii="Arial" w:hAnsi="Arial" w:cs="Arial"/>
        </w:rPr>
        <w:t xml:space="preserve">Lee, M., Battilana, J., &amp; Wang, T. (2014). </w:t>
      </w:r>
      <w:r w:rsidRPr="00353BF3">
        <w:rPr>
          <w:rFonts w:ascii="Arial" w:hAnsi="Arial" w:cs="Arial"/>
          <w:i/>
          <w:iCs/>
        </w:rPr>
        <w:t>Building an infrastructure for empirical research on social enterprise: Challenges and opportunities</w:t>
      </w:r>
      <w:r w:rsidRPr="00353BF3">
        <w:rPr>
          <w:rFonts w:ascii="Arial" w:hAnsi="Arial" w:cs="Arial"/>
        </w:rPr>
        <w:t xml:space="preserve">. In R. D. Mair (Ed.), Social entrepreneurship and research methods (Vol. 9, pp. 241–264). Emerald Group Publishing. </w:t>
      </w:r>
    </w:p>
    <w:p w14:paraId="09631087" w14:textId="77777777" w:rsidR="00353BF3" w:rsidRDefault="00353BF3" w:rsidP="00353BF3">
      <w:pPr>
        <w:spacing w:line="360" w:lineRule="auto"/>
        <w:rPr>
          <w:rFonts w:ascii="Arial" w:hAnsi="Arial" w:cs="Arial"/>
        </w:rPr>
      </w:pPr>
      <w:r w:rsidRPr="00353BF3">
        <w:rPr>
          <w:rFonts w:ascii="Arial" w:hAnsi="Arial" w:cs="Arial"/>
        </w:rPr>
        <w:lastRenderedPageBreak/>
        <w:t xml:space="preserve">Lyon, F., &amp; Sepulveda, L. (2009). Mapping social enterprises: Past approaches, challenges and future directions. </w:t>
      </w:r>
      <w:r w:rsidRPr="00353BF3">
        <w:rPr>
          <w:rFonts w:ascii="Arial" w:hAnsi="Arial" w:cs="Arial"/>
          <w:i/>
          <w:iCs/>
        </w:rPr>
        <w:t>Social Enterprise Journal, 5</w:t>
      </w:r>
      <w:r w:rsidRPr="00353BF3">
        <w:rPr>
          <w:rFonts w:ascii="Arial" w:hAnsi="Arial" w:cs="Arial"/>
        </w:rPr>
        <w:t xml:space="preserve">(1), 83–94. </w:t>
      </w:r>
    </w:p>
    <w:p w14:paraId="554AB218" w14:textId="77777777" w:rsidR="00353BF3" w:rsidRDefault="00353BF3" w:rsidP="00353BF3">
      <w:pPr>
        <w:spacing w:line="360" w:lineRule="auto"/>
        <w:rPr>
          <w:rFonts w:ascii="Arial" w:hAnsi="Arial" w:cs="Arial"/>
        </w:rPr>
      </w:pPr>
      <w:proofErr w:type="spellStart"/>
      <w:r w:rsidRPr="00353BF3">
        <w:rPr>
          <w:rFonts w:ascii="Arial" w:hAnsi="Arial" w:cs="Arial"/>
        </w:rPr>
        <w:t>Tykkyl</w:t>
      </w:r>
      <w:r>
        <w:rPr>
          <w:rFonts w:ascii="Arial" w:hAnsi="Arial" w:cs="Arial"/>
        </w:rPr>
        <w:t>a</w:t>
      </w:r>
      <w:r w:rsidRPr="00353BF3">
        <w:rPr>
          <w:rFonts w:ascii="Arial" w:hAnsi="Arial" w:cs="Arial"/>
        </w:rPr>
        <w:t>inen</w:t>
      </w:r>
      <w:proofErr w:type="spellEnd"/>
      <w:r w:rsidRPr="00353BF3">
        <w:rPr>
          <w:rFonts w:ascii="Arial" w:hAnsi="Arial" w:cs="Arial"/>
        </w:rPr>
        <w:t xml:space="preserve">, S. (2019). Why social enterprises pursue growth? Analysis of threats and opportunities. </w:t>
      </w:r>
      <w:r w:rsidRPr="00353BF3">
        <w:rPr>
          <w:rFonts w:ascii="Arial" w:hAnsi="Arial" w:cs="Arial"/>
          <w:i/>
          <w:iCs/>
        </w:rPr>
        <w:t>Social Enterprise Journal, 15</w:t>
      </w:r>
      <w:r w:rsidRPr="00353BF3">
        <w:rPr>
          <w:rFonts w:ascii="Arial" w:hAnsi="Arial" w:cs="Arial"/>
        </w:rPr>
        <w:t xml:space="preserve">(3), 376–396. </w:t>
      </w:r>
    </w:p>
    <w:p w14:paraId="3615AF88" w14:textId="2D9F3822" w:rsidR="00353BF3" w:rsidRPr="003E0223" w:rsidRDefault="00353BF3" w:rsidP="00353BF3">
      <w:pPr>
        <w:spacing w:line="360" w:lineRule="auto"/>
        <w:rPr>
          <w:rFonts w:ascii="Arial" w:hAnsi="Arial" w:cs="Arial"/>
        </w:rPr>
      </w:pPr>
      <w:proofErr w:type="spellStart"/>
      <w:r w:rsidRPr="00353BF3">
        <w:rPr>
          <w:rFonts w:ascii="Arial" w:hAnsi="Arial" w:cs="Arial"/>
        </w:rPr>
        <w:t>Umfreville</w:t>
      </w:r>
      <w:proofErr w:type="spellEnd"/>
      <w:r w:rsidRPr="00353BF3">
        <w:rPr>
          <w:rFonts w:ascii="Arial" w:hAnsi="Arial" w:cs="Arial"/>
        </w:rPr>
        <w:t xml:space="preserve">, P., &amp; Bonnin, C. (2021). Mind the gap: Exploring the challenges and opportunities for social enterprise in Vietnam. </w:t>
      </w:r>
      <w:r w:rsidRPr="00353BF3">
        <w:rPr>
          <w:rFonts w:ascii="Arial" w:hAnsi="Arial" w:cs="Arial"/>
          <w:i/>
          <w:iCs/>
        </w:rPr>
        <w:t>Forum for Development Studies, 48</w:t>
      </w:r>
      <w:r w:rsidRPr="00353BF3">
        <w:rPr>
          <w:rFonts w:ascii="Arial" w:hAnsi="Arial" w:cs="Arial"/>
        </w:rPr>
        <w:t xml:space="preserve">(2), 331–355. </w:t>
      </w:r>
    </w:p>
    <w:sectPr w:rsidR="00353BF3" w:rsidRPr="003E0223" w:rsidSect="00353BF3">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2F97B" w14:textId="77777777" w:rsidR="0055656C" w:rsidRDefault="0055656C" w:rsidP="00353BF3">
      <w:pPr>
        <w:spacing w:after="0" w:line="240" w:lineRule="auto"/>
      </w:pPr>
      <w:r>
        <w:separator/>
      </w:r>
    </w:p>
  </w:endnote>
  <w:endnote w:type="continuationSeparator" w:id="0">
    <w:p w14:paraId="3224FD31" w14:textId="77777777" w:rsidR="0055656C" w:rsidRDefault="0055656C" w:rsidP="00353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779A6" w14:textId="77777777" w:rsidR="0055656C" w:rsidRDefault="0055656C" w:rsidP="00353BF3">
      <w:pPr>
        <w:spacing w:after="0" w:line="240" w:lineRule="auto"/>
      </w:pPr>
      <w:r>
        <w:separator/>
      </w:r>
    </w:p>
  </w:footnote>
  <w:footnote w:type="continuationSeparator" w:id="0">
    <w:p w14:paraId="1178BF6F" w14:textId="77777777" w:rsidR="0055656C" w:rsidRDefault="0055656C" w:rsidP="00353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969795"/>
      <w:docPartObj>
        <w:docPartGallery w:val="Page Numbers (Top of Page)"/>
        <w:docPartUnique/>
      </w:docPartObj>
    </w:sdtPr>
    <w:sdtEndPr>
      <w:rPr>
        <w:noProof/>
      </w:rPr>
    </w:sdtEndPr>
    <w:sdtContent>
      <w:p w14:paraId="70DEDB3B" w14:textId="3C9E81D7" w:rsidR="00353BF3" w:rsidRDefault="00353BF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E1475E" w14:textId="77777777" w:rsidR="00353BF3" w:rsidRDefault="00353B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C0"/>
    <w:rsid w:val="00353BF3"/>
    <w:rsid w:val="003E0223"/>
    <w:rsid w:val="0055656C"/>
    <w:rsid w:val="00864D15"/>
    <w:rsid w:val="00E01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52611"/>
  <w15:chartTrackingRefBased/>
  <w15:docId w15:val="{3D56B2F2-7C1B-4FAB-901C-30F13F48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1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CC0"/>
    <w:rPr>
      <w:rFonts w:eastAsiaTheme="majorEastAsia" w:cstheme="majorBidi"/>
      <w:color w:val="272727" w:themeColor="text1" w:themeTint="D8"/>
    </w:rPr>
  </w:style>
  <w:style w:type="paragraph" w:styleId="Title">
    <w:name w:val="Title"/>
    <w:basedOn w:val="Normal"/>
    <w:next w:val="Normal"/>
    <w:link w:val="TitleChar"/>
    <w:uiPriority w:val="10"/>
    <w:qFormat/>
    <w:rsid w:val="00E01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CC0"/>
    <w:pPr>
      <w:spacing w:before="160"/>
      <w:jc w:val="center"/>
    </w:pPr>
    <w:rPr>
      <w:i/>
      <w:iCs/>
      <w:color w:val="404040" w:themeColor="text1" w:themeTint="BF"/>
    </w:rPr>
  </w:style>
  <w:style w:type="character" w:customStyle="1" w:styleId="QuoteChar">
    <w:name w:val="Quote Char"/>
    <w:basedOn w:val="DefaultParagraphFont"/>
    <w:link w:val="Quote"/>
    <w:uiPriority w:val="29"/>
    <w:rsid w:val="00E01CC0"/>
    <w:rPr>
      <w:i/>
      <w:iCs/>
      <w:color w:val="404040" w:themeColor="text1" w:themeTint="BF"/>
    </w:rPr>
  </w:style>
  <w:style w:type="paragraph" w:styleId="ListParagraph">
    <w:name w:val="List Paragraph"/>
    <w:basedOn w:val="Normal"/>
    <w:uiPriority w:val="34"/>
    <w:qFormat/>
    <w:rsid w:val="00E01CC0"/>
    <w:pPr>
      <w:ind w:left="720"/>
      <w:contextualSpacing/>
    </w:pPr>
  </w:style>
  <w:style w:type="character" w:styleId="IntenseEmphasis">
    <w:name w:val="Intense Emphasis"/>
    <w:basedOn w:val="DefaultParagraphFont"/>
    <w:uiPriority w:val="21"/>
    <w:qFormat/>
    <w:rsid w:val="00E01CC0"/>
    <w:rPr>
      <w:i/>
      <w:iCs/>
      <w:color w:val="0F4761" w:themeColor="accent1" w:themeShade="BF"/>
    </w:rPr>
  </w:style>
  <w:style w:type="paragraph" w:styleId="IntenseQuote">
    <w:name w:val="Intense Quote"/>
    <w:basedOn w:val="Normal"/>
    <w:next w:val="Normal"/>
    <w:link w:val="IntenseQuoteChar"/>
    <w:uiPriority w:val="30"/>
    <w:qFormat/>
    <w:rsid w:val="00E01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CC0"/>
    <w:rPr>
      <w:i/>
      <w:iCs/>
      <w:color w:val="0F4761" w:themeColor="accent1" w:themeShade="BF"/>
    </w:rPr>
  </w:style>
  <w:style w:type="character" w:styleId="IntenseReference">
    <w:name w:val="Intense Reference"/>
    <w:basedOn w:val="DefaultParagraphFont"/>
    <w:uiPriority w:val="32"/>
    <w:qFormat/>
    <w:rsid w:val="00E01CC0"/>
    <w:rPr>
      <w:b/>
      <w:bCs/>
      <w:smallCaps/>
      <w:color w:val="0F4761" w:themeColor="accent1" w:themeShade="BF"/>
      <w:spacing w:val="5"/>
    </w:rPr>
  </w:style>
  <w:style w:type="paragraph" w:styleId="Header">
    <w:name w:val="header"/>
    <w:basedOn w:val="Normal"/>
    <w:link w:val="HeaderChar"/>
    <w:uiPriority w:val="99"/>
    <w:unhideWhenUsed/>
    <w:rsid w:val="00353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F3"/>
  </w:style>
  <w:style w:type="paragraph" w:styleId="Footer">
    <w:name w:val="footer"/>
    <w:basedOn w:val="Normal"/>
    <w:link w:val="FooterChar"/>
    <w:uiPriority w:val="99"/>
    <w:unhideWhenUsed/>
    <w:rsid w:val="00353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F3"/>
  </w:style>
  <w:style w:type="paragraph" w:styleId="NoSpacing">
    <w:name w:val="No Spacing"/>
    <w:link w:val="NoSpacingChar"/>
    <w:uiPriority w:val="1"/>
    <w:qFormat/>
    <w:rsid w:val="00353BF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53BF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5C1005B1CE4655844172EDF030A0A8"/>
        <w:category>
          <w:name w:val="General"/>
          <w:gallery w:val="placeholder"/>
        </w:category>
        <w:types>
          <w:type w:val="bbPlcHdr"/>
        </w:types>
        <w:behaviors>
          <w:behavior w:val="content"/>
        </w:behaviors>
        <w:guid w:val="{C79A90C7-545E-42F0-9CD2-8A6269C9A980}"/>
      </w:docPartPr>
      <w:docPartBody>
        <w:p w:rsidR="00000000" w:rsidRDefault="000E7A00" w:rsidP="000E7A00">
          <w:pPr>
            <w:pStyle w:val="6B5C1005B1CE4655844172EDF030A0A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A00"/>
    <w:rsid w:val="000E7A00"/>
    <w:rsid w:val="008471D4"/>
    <w:rsid w:val="0086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5C1005B1CE4655844172EDF030A0A8">
    <w:name w:val="6B5C1005B1CE4655844172EDF030A0A8"/>
    <w:rsid w:val="000E7A00"/>
  </w:style>
  <w:style w:type="paragraph" w:customStyle="1" w:styleId="36554994BDC6448884338A75B7BA5162">
    <w:name w:val="36554994BDC6448884338A75B7BA5162"/>
    <w:rsid w:val="000E7A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2425</Words>
  <Characters>13824</Characters>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2025-10-30T07:58:00Z</dcterms:created>
  <dcterms:modified xsi:type="dcterms:W3CDTF">2025-10-30T08:29:00Z</dcterms:modified>
</cp:coreProperties>
</file>