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3E8358" w14:textId="75BEB270" w:rsidR="00A746A4" w:rsidRDefault="0089345C" w:rsidP="00B77685">
      <w:pPr>
        <w:jc w:val="center"/>
      </w:pPr>
      <w:bookmarkStart w:id="0" w:name="_Hlk104151274"/>
      <w:r>
        <w:t>Financial Management for the Hotel Industry</w:t>
      </w:r>
      <w:bookmarkEnd w:id="0"/>
    </w:p>
    <w:p w14:paraId="2FD066AE" w14:textId="56507A1D" w:rsidR="00377F12" w:rsidRDefault="00377F12" w:rsidP="00B77685">
      <w:pPr>
        <w:jc w:val="center"/>
      </w:pPr>
      <w:r>
        <w:t>Student name: Ruksana Miah</w:t>
      </w:r>
    </w:p>
    <w:p w14:paraId="68699142" w14:textId="271CDA5C" w:rsidR="00377F12" w:rsidRDefault="00377F12" w:rsidP="00B77685">
      <w:pPr>
        <w:jc w:val="center"/>
      </w:pPr>
      <w:r>
        <w:t>Student ID: 2013067</w:t>
      </w:r>
    </w:p>
    <w:p w14:paraId="18F1BEC9" w14:textId="75EFA8B3" w:rsidR="00377F12" w:rsidRDefault="00377F12" w:rsidP="00B77685">
      <w:pPr>
        <w:jc w:val="center"/>
      </w:pPr>
      <w:r>
        <w:t xml:space="preserve">Lecturer: Dale Clarke </w:t>
      </w:r>
    </w:p>
    <w:p w14:paraId="0627D7B6" w14:textId="150948BB" w:rsidR="00377F12" w:rsidRDefault="00377F12" w:rsidP="00B77685">
      <w:pPr>
        <w:jc w:val="center"/>
      </w:pPr>
      <w:r>
        <w:t>Module code: BMIH5007</w:t>
      </w:r>
      <w:bookmarkStart w:id="1" w:name="_GoBack"/>
      <w:bookmarkEnd w:id="1"/>
    </w:p>
    <w:p w14:paraId="408AA0BB" w14:textId="77777777" w:rsidR="00A746A4" w:rsidRDefault="00A746A4">
      <w:pPr>
        <w:spacing w:after="160" w:line="259" w:lineRule="auto"/>
        <w:jc w:val="left"/>
      </w:pPr>
      <w:r>
        <w:br w:type="page"/>
      </w:r>
    </w:p>
    <w:p w14:paraId="1CF05C1D" w14:textId="2781807E" w:rsidR="00A746A4" w:rsidRDefault="00A746A4" w:rsidP="00A746A4">
      <w:pPr>
        <w:pStyle w:val="Heading1"/>
      </w:pPr>
      <w:bookmarkStart w:id="2" w:name="_Toc104559916"/>
      <w:r>
        <w:lastRenderedPageBreak/>
        <w:t xml:space="preserve">Executive </w:t>
      </w:r>
      <w:r w:rsidR="00700A8D">
        <w:t>Summary</w:t>
      </w:r>
      <w:bookmarkEnd w:id="2"/>
      <w:r>
        <w:t xml:space="preserve"> </w:t>
      </w:r>
    </w:p>
    <w:p w14:paraId="64BF373A" w14:textId="4AEC4840" w:rsidR="006B32F0" w:rsidRPr="00B77685" w:rsidRDefault="00700A8D" w:rsidP="00A746A4">
      <w:r>
        <w:t xml:space="preserve">The financial information of Hilton Worldwide Holdings Inc. (HLT) has been driven in this report. All the financial information has been used to draw some basic trend analyses. The profitability ratio has been used to analyse profitability between two different years. Again, the liquidity ratio has been used to find out the liquidate position of the firm. Furthermore, the gearing ratio has been used to find out the </w:t>
      </w:r>
      <w:r w:rsidR="000A4504">
        <w:t>equity and debt position of the firm. From all the analyses the comparison of different years has been drawn too in this report. Through this ratio analysis</w:t>
      </w:r>
      <w:r w:rsidR="004F45A0">
        <w:t>,</w:t>
      </w:r>
      <w:r w:rsidR="000A4504">
        <w:t xml:space="preserve"> the financial viability can be measured of this firm. </w:t>
      </w:r>
      <w:r>
        <w:t xml:space="preserve"> </w:t>
      </w:r>
      <w:r w:rsidR="006B32F0" w:rsidRPr="00B77685">
        <w:br w:type="page"/>
      </w:r>
    </w:p>
    <w:sdt>
      <w:sdtPr>
        <w:rPr>
          <w:rFonts w:ascii="Times New Roman" w:eastAsia="Times New Roman" w:hAnsi="Times New Roman" w:cs="Times New Roman"/>
          <w:color w:val="auto"/>
          <w:sz w:val="24"/>
          <w:szCs w:val="20"/>
          <w:lang w:val="en-GB"/>
        </w:rPr>
        <w:id w:val="-1912459247"/>
        <w:docPartObj>
          <w:docPartGallery w:val="Table of Contents"/>
          <w:docPartUnique/>
        </w:docPartObj>
      </w:sdtPr>
      <w:sdtEndPr>
        <w:rPr>
          <w:b/>
          <w:bCs/>
          <w:noProof/>
        </w:rPr>
      </w:sdtEndPr>
      <w:sdtContent>
        <w:p w14:paraId="32645FDE" w14:textId="71D0C250" w:rsidR="002A3CD4" w:rsidRDefault="002A3CD4">
          <w:pPr>
            <w:pStyle w:val="TOCHeading"/>
          </w:pPr>
          <w:r>
            <w:t>Table of Contents</w:t>
          </w:r>
        </w:p>
        <w:p w14:paraId="1C3F30C8" w14:textId="7CA7C2CA" w:rsidR="003B7E5D" w:rsidRDefault="002A3CD4">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04559916" w:history="1">
            <w:r w:rsidR="003B7E5D" w:rsidRPr="00615A6F">
              <w:rPr>
                <w:rStyle w:val="Hyperlink"/>
                <w:noProof/>
              </w:rPr>
              <w:t>Executive Summary</w:t>
            </w:r>
            <w:r w:rsidR="003B7E5D">
              <w:rPr>
                <w:noProof/>
                <w:webHidden/>
              </w:rPr>
              <w:tab/>
            </w:r>
            <w:r w:rsidR="003B7E5D">
              <w:rPr>
                <w:noProof/>
                <w:webHidden/>
              </w:rPr>
              <w:fldChar w:fldCharType="begin"/>
            </w:r>
            <w:r w:rsidR="003B7E5D">
              <w:rPr>
                <w:noProof/>
                <w:webHidden/>
              </w:rPr>
              <w:instrText xml:space="preserve"> PAGEREF _Toc104559916 \h </w:instrText>
            </w:r>
            <w:r w:rsidR="003B7E5D">
              <w:rPr>
                <w:noProof/>
                <w:webHidden/>
              </w:rPr>
            </w:r>
            <w:r w:rsidR="003B7E5D">
              <w:rPr>
                <w:noProof/>
                <w:webHidden/>
              </w:rPr>
              <w:fldChar w:fldCharType="separate"/>
            </w:r>
            <w:r w:rsidR="003B7E5D">
              <w:rPr>
                <w:noProof/>
                <w:webHidden/>
              </w:rPr>
              <w:t>2</w:t>
            </w:r>
            <w:r w:rsidR="003B7E5D">
              <w:rPr>
                <w:noProof/>
                <w:webHidden/>
              </w:rPr>
              <w:fldChar w:fldCharType="end"/>
            </w:r>
          </w:hyperlink>
        </w:p>
        <w:p w14:paraId="3F3F3096" w14:textId="32043470"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17" w:history="1">
            <w:r w:rsidR="003B7E5D" w:rsidRPr="00615A6F">
              <w:rPr>
                <w:rStyle w:val="Hyperlink"/>
                <w:noProof/>
              </w:rPr>
              <w:t>Introduction</w:t>
            </w:r>
            <w:r w:rsidR="003B7E5D">
              <w:rPr>
                <w:noProof/>
                <w:webHidden/>
              </w:rPr>
              <w:tab/>
            </w:r>
            <w:r w:rsidR="003B7E5D">
              <w:rPr>
                <w:noProof/>
                <w:webHidden/>
              </w:rPr>
              <w:fldChar w:fldCharType="begin"/>
            </w:r>
            <w:r w:rsidR="003B7E5D">
              <w:rPr>
                <w:noProof/>
                <w:webHidden/>
              </w:rPr>
              <w:instrText xml:space="preserve"> PAGEREF _Toc104559917 \h </w:instrText>
            </w:r>
            <w:r w:rsidR="003B7E5D">
              <w:rPr>
                <w:noProof/>
                <w:webHidden/>
              </w:rPr>
            </w:r>
            <w:r w:rsidR="003B7E5D">
              <w:rPr>
                <w:noProof/>
                <w:webHidden/>
              </w:rPr>
              <w:fldChar w:fldCharType="separate"/>
            </w:r>
            <w:r w:rsidR="003B7E5D">
              <w:rPr>
                <w:noProof/>
                <w:webHidden/>
              </w:rPr>
              <w:t>4</w:t>
            </w:r>
            <w:r w:rsidR="003B7E5D">
              <w:rPr>
                <w:noProof/>
                <w:webHidden/>
              </w:rPr>
              <w:fldChar w:fldCharType="end"/>
            </w:r>
          </w:hyperlink>
        </w:p>
        <w:p w14:paraId="7637D2B7" w14:textId="37FCFD06"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18" w:history="1">
            <w:r w:rsidR="003B7E5D" w:rsidRPr="00615A6F">
              <w:rPr>
                <w:rStyle w:val="Hyperlink"/>
                <w:bCs/>
                <w:noProof/>
              </w:rPr>
              <w:t>a)</w:t>
            </w:r>
            <w:r w:rsidR="003B7E5D" w:rsidRPr="00615A6F">
              <w:rPr>
                <w:rStyle w:val="Hyperlink"/>
                <w:noProof/>
              </w:rPr>
              <w:t xml:space="preserve"> Calculate Horizontal ratios for 2019 and 2020</w:t>
            </w:r>
            <w:r w:rsidR="003B7E5D">
              <w:rPr>
                <w:noProof/>
                <w:webHidden/>
              </w:rPr>
              <w:tab/>
            </w:r>
            <w:r w:rsidR="003B7E5D">
              <w:rPr>
                <w:noProof/>
                <w:webHidden/>
              </w:rPr>
              <w:fldChar w:fldCharType="begin"/>
            </w:r>
            <w:r w:rsidR="003B7E5D">
              <w:rPr>
                <w:noProof/>
                <w:webHidden/>
              </w:rPr>
              <w:instrText xml:space="preserve"> PAGEREF _Toc104559918 \h </w:instrText>
            </w:r>
            <w:r w:rsidR="003B7E5D">
              <w:rPr>
                <w:noProof/>
                <w:webHidden/>
              </w:rPr>
            </w:r>
            <w:r w:rsidR="003B7E5D">
              <w:rPr>
                <w:noProof/>
                <w:webHidden/>
              </w:rPr>
              <w:fldChar w:fldCharType="separate"/>
            </w:r>
            <w:r w:rsidR="003B7E5D">
              <w:rPr>
                <w:noProof/>
                <w:webHidden/>
              </w:rPr>
              <w:t>5</w:t>
            </w:r>
            <w:r w:rsidR="003B7E5D">
              <w:rPr>
                <w:noProof/>
                <w:webHidden/>
              </w:rPr>
              <w:fldChar w:fldCharType="end"/>
            </w:r>
          </w:hyperlink>
        </w:p>
        <w:p w14:paraId="569BA9B8" w14:textId="396866F2" w:rsidR="003B7E5D" w:rsidRDefault="00403C17">
          <w:pPr>
            <w:pStyle w:val="TOC2"/>
            <w:tabs>
              <w:tab w:val="right" w:leader="dot" w:pos="9350"/>
            </w:tabs>
            <w:rPr>
              <w:rFonts w:asciiTheme="minorHAnsi" w:eastAsiaTheme="minorEastAsia" w:hAnsiTheme="minorHAnsi" w:cstheme="minorBidi"/>
              <w:noProof/>
              <w:sz w:val="22"/>
              <w:szCs w:val="22"/>
              <w:lang w:val="en-US"/>
            </w:rPr>
          </w:pPr>
          <w:hyperlink w:anchor="_Toc104559919" w:history="1">
            <w:r w:rsidR="003B7E5D" w:rsidRPr="00615A6F">
              <w:rPr>
                <w:rStyle w:val="Hyperlink"/>
                <w:noProof/>
              </w:rPr>
              <w:t>Ratios 2019 and 2022</w:t>
            </w:r>
            <w:r w:rsidR="003B7E5D">
              <w:rPr>
                <w:noProof/>
                <w:webHidden/>
              </w:rPr>
              <w:tab/>
            </w:r>
            <w:r w:rsidR="003B7E5D">
              <w:rPr>
                <w:noProof/>
                <w:webHidden/>
              </w:rPr>
              <w:fldChar w:fldCharType="begin"/>
            </w:r>
            <w:r w:rsidR="003B7E5D">
              <w:rPr>
                <w:noProof/>
                <w:webHidden/>
              </w:rPr>
              <w:instrText xml:space="preserve"> PAGEREF _Toc104559919 \h </w:instrText>
            </w:r>
            <w:r w:rsidR="003B7E5D">
              <w:rPr>
                <w:noProof/>
                <w:webHidden/>
              </w:rPr>
            </w:r>
            <w:r w:rsidR="003B7E5D">
              <w:rPr>
                <w:noProof/>
                <w:webHidden/>
              </w:rPr>
              <w:fldChar w:fldCharType="separate"/>
            </w:r>
            <w:r w:rsidR="003B7E5D">
              <w:rPr>
                <w:noProof/>
                <w:webHidden/>
              </w:rPr>
              <w:t>6</w:t>
            </w:r>
            <w:r w:rsidR="003B7E5D">
              <w:rPr>
                <w:noProof/>
                <w:webHidden/>
              </w:rPr>
              <w:fldChar w:fldCharType="end"/>
            </w:r>
          </w:hyperlink>
        </w:p>
        <w:p w14:paraId="2CCADFC5" w14:textId="0E89F3B8" w:rsidR="003B7E5D" w:rsidRDefault="00403C17">
          <w:pPr>
            <w:pStyle w:val="TOC2"/>
            <w:tabs>
              <w:tab w:val="right" w:leader="dot" w:pos="9350"/>
            </w:tabs>
            <w:rPr>
              <w:rFonts w:asciiTheme="minorHAnsi" w:eastAsiaTheme="minorEastAsia" w:hAnsiTheme="minorHAnsi" w:cstheme="minorBidi"/>
              <w:noProof/>
              <w:sz w:val="22"/>
              <w:szCs w:val="22"/>
              <w:lang w:val="en-US"/>
            </w:rPr>
          </w:pPr>
          <w:hyperlink w:anchor="_Toc104559920" w:history="1">
            <w:r w:rsidR="003B7E5D" w:rsidRPr="00615A6F">
              <w:rPr>
                <w:rStyle w:val="Hyperlink"/>
                <w:noProof/>
              </w:rPr>
              <w:t>Trend analysis from the ratios</w:t>
            </w:r>
            <w:r w:rsidR="003B7E5D">
              <w:rPr>
                <w:noProof/>
                <w:webHidden/>
              </w:rPr>
              <w:tab/>
            </w:r>
            <w:r w:rsidR="003B7E5D">
              <w:rPr>
                <w:noProof/>
                <w:webHidden/>
              </w:rPr>
              <w:fldChar w:fldCharType="begin"/>
            </w:r>
            <w:r w:rsidR="003B7E5D">
              <w:rPr>
                <w:noProof/>
                <w:webHidden/>
              </w:rPr>
              <w:instrText xml:space="preserve"> PAGEREF _Toc104559920 \h </w:instrText>
            </w:r>
            <w:r w:rsidR="003B7E5D">
              <w:rPr>
                <w:noProof/>
                <w:webHidden/>
              </w:rPr>
            </w:r>
            <w:r w:rsidR="003B7E5D">
              <w:rPr>
                <w:noProof/>
                <w:webHidden/>
              </w:rPr>
              <w:fldChar w:fldCharType="separate"/>
            </w:r>
            <w:r w:rsidR="003B7E5D">
              <w:rPr>
                <w:noProof/>
                <w:webHidden/>
              </w:rPr>
              <w:t>7</w:t>
            </w:r>
            <w:r w:rsidR="003B7E5D">
              <w:rPr>
                <w:noProof/>
                <w:webHidden/>
              </w:rPr>
              <w:fldChar w:fldCharType="end"/>
            </w:r>
          </w:hyperlink>
        </w:p>
        <w:p w14:paraId="7DF75FEE" w14:textId="0E8851F4"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21" w:history="1">
            <w:r w:rsidR="003B7E5D" w:rsidRPr="00615A6F">
              <w:rPr>
                <w:rStyle w:val="Hyperlink"/>
                <w:noProof/>
              </w:rPr>
              <w:t>b) Outlining the importance of using ratio analysis.</w:t>
            </w:r>
            <w:r w:rsidR="003B7E5D">
              <w:rPr>
                <w:noProof/>
                <w:webHidden/>
              </w:rPr>
              <w:tab/>
            </w:r>
            <w:r w:rsidR="003B7E5D">
              <w:rPr>
                <w:noProof/>
                <w:webHidden/>
              </w:rPr>
              <w:fldChar w:fldCharType="begin"/>
            </w:r>
            <w:r w:rsidR="003B7E5D">
              <w:rPr>
                <w:noProof/>
                <w:webHidden/>
              </w:rPr>
              <w:instrText xml:space="preserve"> PAGEREF _Toc104559921 \h </w:instrText>
            </w:r>
            <w:r w:rsidR="003B7E5D">
              <w:rPr>
                <w:noProof/>
                <w:webHidden/>
              </w:rPr>
            </w:r>
            <w:r w:rsidR="003B7E5D">
              <w:rPr>
                <w:noProof/>
                <w:webHidden/>
              </w:rPr>
              <w:fldChar w:fldCharType="separate"/>
            </w:r>
            <w:r w:rsidR="003B7E5D">
              <w:rPr>
                <w:noProof/>
                <w:webHidden/>
              </w:rPr>
              <w:t>8</w:t>
            </w:r>
            <w:r w:rsidR="003B7E5D">
              <w:rPr>
                <w:noProof/>
                <w:webHidden/>
              </w:rPr>
              <w:fldChar w:fldCharType="end"/>
            </w:r>
          </w:hyperlink>
        </w:p>
        <w:p w14:paraId="162825B9" w14:textId="3FB8EA7B"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22" w:history="1">
            <w:r w:rsidR="003B7E5D" w:rsidRPr="00615A6F">
              <w:rPr>
                <w:rStyle w:val="Hyperlink"/>
                <w:noProof/>
              </w:rPr>
              <w:t>C) The limitation of ratio analysis and the essentials of understanding the fluctuations of ratio analysis</w:t>
            </w:r>
            <w:r w:rsidR="003B7E5D">
              <w:rPr>
                <w:noProof/>
                <w:webHidden/>
              </w:rPr>
              <w:tab/>
            </w:r>
            <w:r w:rsidR="003B7E5D">
              <w:rPr>
                <w:noProof/>
                <w:webHidden/>
              </w:rPr>
              <w:fldChar w:fldCharType="begin"/>
            </w:r>
            <w:r w:rsidR="003B7E5D">
              <w:rPr>
                <w:noProof/>
                <w:webHidden/>
              </w:rPr>
              <w:instrText xml:space="preserve"> PAGEREF _Toc104559922 \h </w:instrText>
            </w:r>
            <w:r w:rsidR="003B7E5D">
              <w:rPr>
                <w:noProof/>
                <w:webHidden/>
              </w:rPr>
            </w:r>
            <w:r w:rsidR="003B7E5D">
              <w:rPr>
                <w:noProof/>
                <w:webHidden/>
              </w:rPr>
              <w:fldChar w:fldCharType="separate"/>
            </w:r>
            <w:r w:rsidR="003B7E5D">
              <w:rPr>
                <w:noProof/>
                <w:webHidden/>
              </w:rPr>
              <w:t>10</w:t>
            </w:r>
            <w:r w:rsidR="003B7E5D">
              <w:rPr>
                <w:noProof/>
                <w:webHidden/>
              </w:rPr>
              <w:fldChar w:fldCharType="end"/>
            </w:r>
          </w:hyperlink>
        </w:p>
        <w:p w14:paraId="1D3BF237" w14:textId="528CA668" w:rsidR="003B7E5D" w:rsidRDefault="00403C17">
          <w:pPr>
            <w:pStyle w:val="TOC2"/>
            <w:tabs>
              <w:tab w:val="right" w:leader="dot" w:pos="9350"/>
            </w:tabs>
            <w:rPr>
              <w:rFonts w:asciiTheme="minorHAnsi" w:eastAsiaTheme="minorEastAsia" w:hAnsiTheme="minorHAnsi" w:cstheme="minorBidi"/>
              <w:noProof/>
              <w:sz w:val="22"/>
              <w:szCs w:val="22"/>
              <w:lang w:val="en-US"/>
            </w:rPr>
          </w:pPr>
          <w:hyperlink w:anchor="_Toc104559923" w:history="1">
            <w:r w:rsidR="003B7E5D" w:rsidRPr="00615A6F">
              <w:rPr>
                <w:rStyle w:val="Hyperlink"/>
                <w:noProof/>
              </w:rPr>
              <w:t>Limitations of Ratio Analysis</w:t>
            </w:r>
            <w:r w:rsidR="003B7E5D">
              <w:rPr>
                <w:noProof/>
                <w:webHidden/>
              </w:rPr>
              <w:tab/>
            </w:r>
            <w:r w:rsidR="003B7E5D">
              <w:rPr>
                <w:noProof/>
                <w:webHidden/>
              </w:rPr>
              <w:fldChar w:fldCharType="begin"/>
            </w:r>
            <w:r w:rsidR="003B7E5D">
              <w:rPr>
                <w:noProof/>
                <w:webHidden/>
              </w:rPr>
              <w:instrText xml:space="preserve"> PAGEREF _Toc104559923 \h </w:instrText>
            </w:r>
            <w:r w:rsidR="003B7E5D">
              <w:rPr>
                <w:noProof/>
                <w:webHidden/>
              </w:rPr>
            </w:r>
            <w:r w:rsidR="003B7E5D">
              <w:rPr>
                <w:noProof/>
                <w:webHidden/>
              </w:rPr>
              <w:fldChar w:fldCharType="separate"/>
            </w:r>
            <w:r w:rsidR="003B7E5D">
              <w:rPr>
                <w:noProof/>
                <w:webHidden/>
              </w:rPr>
              <w:t>10</w:t>
            </w:r>
            <w:r w:rsidR="003B7E5D">
              <w:rPr>
                <w:noProof/>
                <w:webHidden/>
              </w:rPr>
              <w:fldChar w:fldCharType="end"/>
            </w:r>
          </w:hyperlink>
        </w:p>
        <w:p w14:paraId="1FC7F0D0" w14:textId="785CB564" w:rsidR="003B7E5D" w:rsidRDefault="00403C17">
          <w:pPr>
            <w:pStyle w:val="TOC2"/>
            <w:tabs>
              <w:tab w:val="right" w:leader="dot" w:pos="9350"/>
            </w:tabs>
            <w:rPr>
              <w:rFonts w:asciiTheme="minorHAnsi" w:eastAsiaTheme="minorEastAsia" w:hAnsiTheme="minorHAnsi" w:cstheme="minorBidi"/>
              <w:noProof/>
              <w:sz w:val="22"/>
              <w:szCs w:val="22"/>
              <w:lang w:val="en-US"/>
            </w:rPr>
          </w:pPr>
          <w:hyperlink w:anchor="_Toc104559924" w:history="1">
            <w:r w:rsidR="003B7E5D" w:rsidRPr="00615A6F">
              <w:rPr>
                <w:rStyle w:val="Hyperlink"/>
                <w:noProof/>
              </w:rPr>
              <w:t>Essentials of understanding the fluctuations of ratio analysis</w:t>
            </w:r>
            <w:r w:rsidR="003B7E5D">
              <w:rPr>
                <w:noProof/>
                <w:webHidden/>
              </w:rPr>
              <w:tab/>
            </w:r>
            <w:r w:rsidR="003B7E5D">
              <w:rPr>
                <w:noProof/>
                <w:webHidden/>
              </w:rPr>
              <w:fldChar w:fldCharType="begin"/>
            </w:r>
            <w:r w:rsidR="003B7E5D">
              <w:rPr>
                <w:noProof/>
                <w:webHidden/>
              </w:rPr>
              <w:instrText xml:space="preserve"> PAGEREF _Toc104559924 \h </w:instrText>
            </w:r>
            <w:r w:rsidR="003B7E5D">
              <w:rPr>
                <w:noProof/>
                <w:webHidden/>
              </w:rPr>
            </w:r>
            <w:r w:rsidR="003B7E5D">
              <w:rPr>
                <w:noProof/>
                <w:webHidden/>
              </w:rPr>
              <w:fldChar w:fldCharType="separate"/>
            </w:r>
            <w:r w:rsidR="003B7E5D">
              <w:rPr>
                <w:noProof/>
                <w:webHidden/>
              </w:rPr>
              <w:t>10</w:t>
            </w:r>
            <w:r w:rsidR="003B7E5D">
              <w:rPr>
                <w:noProof/>
                <w:webHidden/>
              </w:rPr>
              <w:fldChar w:fldCharType="end"/>
            </w:r>
          </w:hyperlink>
        </w:p>
        <w:p w14:paraId="546E2451" w14:textId="3A5E24D5"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25" w:history="1">
            <w:r w:rsidR="003B7E5D" w:rsidRPr="00615A6F">
              <w:rPr>
                <w:rStyle w:val="Hyperlink"/>
                <w:noProof/>
              </w:rPr>
              <w:t>Conclusion</w:t>
            </w:r>
            <w:r w:rsidR="003B7E5D">
              <w:rPr>
                <w:noProof/>
                <w:webHidden/>
              </w:rPr>
              <w:tab/>
            </w:r>
            <w:r w:rsidR="003B7E5D">
              <w:rPr>
                <w:noProof/>
                <w:webHidden/>
              </w:rPr>
              <w:fldChar w:fldCharType="begin"/>
            </w:r>
            <w:r w:rsidR="003B7E5D">
              <w:rPr>
                <w:noProof/>
                <w:webHidden/>
              </w:rPr>
              <w:instrText xml:space="preserve"> PAGEREF _Toc104559925 \h </w:instrText>
            </w:r>
            <w:r w:rsidR="003B7E5D">
              <w:rPr>
                <w:noProof/>
                <w:webHidden/>
              </w:rPr>
            </w:r>
            <w:r w:rsidR="003B7E5D">
              <w:rPr>
                <w:noProof/>
                <w:webHidden/>
              </w:rPr>
              <w:fldChar w:fldCharType="separate"/>
            </w:r>
            <w:r w:rsidR="003B7E5D">
              <w:rPr>
                <w:noProof/>
                <w:webHidden/>
              </w:rPr>
              <w:t>12</w:t>
            </w:r>
            <w:r w:rsidR="003B7E5D">
              <w:rPr>
                <w:noProof/>
                <w:webHidden/>
              </w:rPr>
              <w:fldChar w:fldCharType="end"/>
            </w:r>
          </w:hyperlink>
        </w:p>
        <w:p w14:paraId="20741F94" w14:textId="43E9DBA9" w:rsidR="003B7E5D" w:rsidRDefault="00403C17">
          <w:pPr>
            <w:pStyle w:val="TOC1"/>
            <w:tabs>
              <w:tab w:val="right" w:leader="dot" w:pos="9350"/>
            </w:tabs>
            <w:rPr>
              <w:rFonts w:asciiTheme="minorHAnsi" w:eastAsiaTheme="minorEastAsia" w:hAnsiTheme="minorHAnsi" w:cstheme="minorBidi"/>
              <w:noProof/>
              <w:sz w:val="22"/>
              <w:szCs w:val="22"/>
              <w:lang w:val="en-US"/>
            </w:rPr>
          </w:pPr>
          <w:hyperlink w:anchor="_Toc104559926" w:history="1">
            <w:r w:rsidR="003B7E5D" w:rsidRPr="00615A6F">
              <w:rPr>
                <w:rStyle w:val="Hyperlink"/>
                <w:noProof/>
              </w:rPr>
              <w:t>References</w:t>
            </w:r>
            <w:r w:rsidR="003B7E5D">
              <w:rPr>
                <w:noProof/>
                <w:webHidden/>
              </w:rPr>
              <w:tab/>
            </w:r>
            <w:r w:rsidR="003B7E5D">
              <w:rPr>
                <w:noProof/>
                <w:webHidden/>
              </w:rPr>
              <w:fldChar w:fldCharType="begin"/>
            </w:r>
            <w:r w:rsidR="003B7E5D">
              <w:rPr>
                <w:noProof/>
                <w:webHidden/>
              </w:rPr>
              <w:instrText xml:space="preserve"> PAGEREF _Toc104559926 \h </w:instrText>
            </w:r>
            <w:r w:rsidR="003B7E5D">
              <w:rPr>
                <w:noProof/>
                <w:webHidden/>
              </w:rPr>
            </w:r>
            <w:r w:rsidR="003B7E5D">
              <w:rPr>
                <w:noProof/>
                <w:webHidden/>
              </w:rPr>
              <w:fldChar w:fldCharType="separate"/>
            </w:r>
            <w:r w:rsidR="003B7E5D">
              <w:rPr>
                <w:noProof/>
                <w:webHidden/>
              </w:rPr>
              <w:t>13</w:t>
            </w:r>
            <w:r w:rsidR="003B7E5D">
              <w:rPr>
                <w:noProof/>
                <w:webHidden/>
              </w:rPr>
              <w:fldChar w:fldCharType="end"/>
            </w:r>
          </w:hyperlink>
        </w:p>
        <w:p w14:paraId="4FBEA5AF" w14:textId="21EC36AD" w:rsidR="002A3CD4" w:rsidRDefault="002A3CD4">
          <w:r>
            <w:rPr>
              <w:b/>
              <w:bCs/>
              <w:noProof/>
            </w:rPr>
            <w:fldChar w:fldCharType="end"/>
          </w:r>
        </w:p>
      </w:sdtContent>
    </w:sdt>
    <w:p w14:paraId="6D1C4DCD" w14:textId="33BC982A"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16C58AD9" w14:textId="7FE48269" w:rsidR="00103E4C" w:rsidRDefault="00103E4C" w:rsidP="00103E4C">
      <w:pPr>
        <w:pStyle w:val="Heading1"/>
      </w:pPr>
      <w:bookmarkStart w:id="3" w:name="_Toc101999040"/>
      <w:bookmarkStart w:id="4" w:name="_Toc104559917"/>
      <w:r>
        <w:lastRenderedPageBreak/>
        <w:t>Introduction</w:t>
      </w:r>
      <w:bookmarkEnd w:id="3"/>
      <w:bookmarkEnd w:id="4"/>
      <w:r>
        <w:t xml:space="preserve"> </w:t>
      </w:r>
    </w:p>
    <w:p w14:paraId="23C0C557" w14:textId="10CAA85E" w:rsidR="00CB455F" w:rsidRPr="00CB455F" w:rsidRDefault="00233A31" w:rsidP="00DD54C7">
      <w:r>
        <w:t xml:space="preserve">The profitability and the growth of the business firms highly depend on the </w:t>
      </w:r>
      <w:r w:rsidR="003A1D90">
        <w:t xml:space="preserve">decisions that the firms make. If the decisions of the firm cannot be made properly, the profitability and the growth will not be ensured for the firm. </w:t>
      </w:r>
      <w:r w:rsidR="003A1D90" w:rsidRPr="00561F29">
        <w:t xml:space="preserve">Therefore, it is necessary to make sure that the decisions of the firm </w:t>
      </w:r>
      <w:r w:rsidR="00D5293D" w:rsidRPr="00561F29">
        <w:t>are</w:t>
      </w:r>
      <w:r w:rsidR="003A1D90" w:rsidRPr="00561F29">
        <w:t xml:space="preserve"> taken properly</w:t>
      </w:r>
      <w:r w:rsidR="00561F29" w:rsidRPr="00561F29">
        <w:t xml:space="preserve"> (Habeck, 2018)</w:t>
      </w:r>
      <w:r w:rsidR="00CD5D8E" w:rsidRPr="00561F29">
        <w:t>.</w:t>
      </w:r>
      <w:r w:rsidR="00CD5D8E">
        <w:t xml:space="preserve"> </w:t>
      </w:r>
      <w:r w:rsidR="00D5293D">
        <w:t xml:space="preserve">The decisions can be investing decisions and this can be also financing decisions. All the decisions whether it is financing or investing can be taken from the ratio analysis. Therefore, </w:t>
      </w:r>
      <w:r w:rsidR="00081A05">
        <w:t>the business firms must make</w:t>
      </w:r>
      <w:r w:rsidR="00D5293D">
        <w:t xml:space="preserve"> sure that the ratio analysis has </w:t>
      </w:r>
      <w:r w:rsidR="004878E6">
        <w:t xml:space="preserve">been </w:t>
      </w:r>
      <w:r w:rsidR="00D5293D">
        <w:t xml:space="preserve">done well and </w:t>
      </w:r>
      <w:r w:rsidR="00081A05">
        <w:t xml:space="preserve">that </w:t>
      </w:r>
      <w:r w:rsidR="00D5293D">
        <w:t xml:space="preserve">the decisions are made based on the ratio analysis. </w:t>
      </w:r>
      <w:r w:rsidR="00103E4C">
        <w:br w:type="page"/>
      </w:r>
    </w:p>
    <w:p w14:paraId="080742A7" w14:textId="05977315" w:rsidR="0089345C" w:rsidRDefault="00F738F7" w:rsidP="00F738F7">
      <w:pPr>
        <w:pStyle w:val="Heading1"/>
      </w:pPr>
      <w:bookmarkStart w:id="5" w:name="_Toc104559918"/>
      <w:bookmarkStart w:id="6" w:name="_Hlk104151571"/>
      <w:r w:rsidRPr="00F738F7">
        <w:rPr>
          <w:bCs/>
        </w:rPr>
        <w:lastRenderedPageBreak/>
        <w:t>a)</w:t>
      </w:r>
      <w:r>
        <w:t xml:space="preserve"> </w:t>
      </w:r>
      <w:r w:rsidR="0089345C">
        <w:t>Calculate Horizontal ratios for 2019 and 2020</w:t>
      </w:r>
      <w:bookmarkEnd w:id="5"/>
    </w:p>
    <w:p w14:paraId="3670EB4D" w14:textId="77777777" w:rsidR="00CD31C6" w:rsidRPr="006424EB" w:rsidRDefault="00F738F7" w:rsidP="00CD31C6">
      <w:pPr>
        <w:rPr>
          <w:rFonts w:cs="Arial"/>
          <w:b/>
          <w:bCs/>
          <w:color w:val="232A31"/>
          <w:sz w:val="22"/>
        </w:rPr>
      </w:pPr>
      <w:r w:rsidRPr="00F738F7">
        <w:rPr>
          <w:b/>
          <w:bCs/>
          <w:lang w:eastAsia="en-GB"/>
        </w:rPr>
        <w:t xml:space="preserve">Here the </w:t>
      </w:r>
      <w:r w:rsidRPr="00F738F7">
        <w:rPr>
          <w:b/>
          <w:bCs/>
        </w:rPr>
        <w:t>Income statement 2019 &amp; 2020</w:t>
      </w:r>
      <w:r w:rsidR="00CD31C6">
        <w:rPr>
          <w:b/>
          <w:bCs/>
        </w:rPr>
        <w:t xml:space="preserve"> of </w:t>
      </w:r>
      <w:r w:rsidR="00CD31C6" w:rsidRPr="006424EB">
        <w:rPr>
          <w:rFonts w:cs="Arial"/>
          <w:b/>
          <w:bCs/>
          <w:color w:val="232A31"/>
          <w:sz w:val="22"/>
        </w:rPr>
        <w:t>Hilton Worldwide Holdings Inc. (HLT)</w:t>
      </w:r>
    </w:p>
    <w:tbl>
      <w:tblPr>
        <w:tblW w:w="8800" w:type="dxa"/>
        <w:tblBorders>
          <w:top w:val="single" w:sz="12" w:space="0" w:color="5B9BD5" w:themeColor="accent5"/>
          <w:left w:val="single" w:sz="12" w:space="0" w:color="5B9BD5" w:themeColor="accent5"/>
          <w:bottom w:val="single" w:sz="12" w:space="0" w:color="5B9BD5" w:themeColor="accent5"/>
          <w:right w:val="single" w:sz="12" w:space="0" w:color="5B9BD5" w:themeColor="accent5"/>
          <w:insideH w:val="single" w:sz="12" w:space="0" w:color="5B9BD5" w:themeColor="accent5"/>
          <w:insideV w:val="single" w:sz="12" w:space="0" w:color="5B9BD5" w:themeColor="accent5"/>
        </w:tblBorders>
        <w:tblLook w:val="04A0" w:firstRow="1" w:lastRow="0" w:firstColumn="1" w:lastColumn="0" w:noHBand="0" w:noVBand="1"/>
      </w:tblPr>
      <w:tblGrid>
        <w:gridCol w:w="2853"/>
        <w:gridCol w:w="1438"/>
        <w:gridCol w:w="1915"/>
        <w:gridCol w:w="1279"/>
        <w:gridCol w:w="1315"/>
      </w:tblGrid>
      <w:tr w:rsidR="00CD31C6" w:rsidRPr="00BC468A" w14:paraId="172C5439" w14:textId="77777777" w:rsidTr="00CD31C6">
        <w:trPr>
          <w:trHeight w:val="288"/>
        </w:trPr>
        <w:tc>
          <w:tcPr>
            <w:tcW w:w="2853" w:type="dxa"/>
            <w:shd w:val="clear" w:color="auto" w:fill="A8D08D" w:themeFill="accent6" w:themeFillTint="99"/>
            <w:noWrap/>
            <w:vAlign w:val="bottom"/>
            <w:hideMark/>
          </w:tcPr>
          <w:p w14:paraId="426EE01A" w14:textId="77777777" w:rsidR="00CD31C6" w:rsidRPr="00CD31C6" w:rsidRDefault="00CD31C6" w:rsidP="00CD31C6">
            <w:pPr>
              <w:jc w:val="center"/>
              <w:rPr>
                <w:b/>
                <w:bCs/>
                <w:szCs w:val="24"/>
              </w:rPr>
            </w:pPr>
          </w:p>
        </w:tc>
        <w:tc>
          <w:tcPr>
            <w:tcW w:w="1438" w:type="dxa"/>
            <w:shd w:val="clear" w:color="auto" w:fill="A8D08D" w:themeFill="accent6" w:themeFillTint="99"/>
            <w:noWrap/>
            <w:vAlign w:val="bottom"/>
            <w:hideMark/>
          </w:tcPr>
          <w:p w14:paraId="32981552" w14:textId="77777777" w:rsidR="00CD31C6" w:rsidRPr="00CD31C6" w:rsidRDefault="00CD31C6" w:rsidP="00CD31C6">
            <w:pPr>
              <w:jc w:val="center"/>
              <w:rPr>
                <w:rFonts w:ascii="Calibri" w:hAnsi="Calibri" w:cs="Calibri"/>
                <w:b/>
                <w:bCs/>
                <w:color w:val="000000"/>
                <w:sz w:val="22"/>
              </w:rPr>
            </w:pPr>
            <w:r w:rsidRPr="00CD31C6">
              <w:rPr>
                <w:rFonts w:ascii="Calibri" w:hAnsi="Calibri" w:cs="Calibri"/>
                <w:b/>
                <w:bCs/>
                <w:color w:val="000000"/>
                <w:sz w:val="22"/>
              </w:rPr>
              <w:t>2020</w:t>
            </w:r>
          </w:p>
        </w:tc>
        <w:tc>
          <w:tcPr>
            <w:tcW w:w="1915" w:type="dxa"/>
            <w:shd w:val="clear" w:color="auto" w:fill="A8D08D" w:themeFill="accent6" w:themeFillTint="99"/>
            <w:noWrap/>
            <w:vAlign w:val="bottom"/>
            <w:hideMark/>
          </w:tcPr>
          <w:p w14:paraId="0F76B665" w14:textId="77777777" w:rsidR="00CD31C6" w:rsidRPr="00CD31C6" w:rsidRDefault="00CD31C6" w:rsidP="00CD31C6">
            <w:pPr>
              <w:jc w:val="center"/>
              <w:rPr>
                <w:rFonts w:ascii="Calibri" w:hAnsi="Calibri" w:cs="Calibri"/>
                <w:b/>
                <w:bCs/>
                <w:color w:val="000000"/>
                <w:sz w:val="22"/>
              </w:rPr>
            </w:pPr>
            <w:r w:rsidRPr="00CD31C6">
              <w:rPr>
                <w:rFonts w:ascii="Calibri" w:hAnsi="Calibri" w:cs="Calibri"/>
                <w:b/>
                <w:bCs/>
                <w:color w:val="000000"/>
                <w:sz w:val="22"/>
              </w:rPr>
              <w:t>2019</w:t>
            </w:r>
          </w:p>
        </w:tc>
        <w:tc>
          <w:tcPr>
            <w:tcW w:w="1279" w:type="dxa"/>
            <w:shd w:val="clear" w:color="auto" w:fill="A8D08D" w:themeFill="accent6" w:themeFillTint="99"/>
            <w:noWrap/>
            <w:vAlign w:val="bottom"/>
            <w:hideMark/>
          </w:tcPr>
          <w:p w14:paraId="583FFEBB" w14:textId="77777777" w:rsidR="00CD31C6" w:rsidRPr="00CD31C6" w:rsidRDefault="00CD31C6" w:rsidP="00CD31C6">
            <w:pPr>
              <w:jc w:val="center"/>
              <w:rPr>
                <w:rFonts w:ascii="Calibri" w:hAnsi="Calibri" w:cs="Calibri"/>
                <w:b/>
                <w:bCs/>
                <w:color w:val="000000"/>
                <w:sz w:val="22"/>
              </w:rPr>
            </w:pPr>
            <w:r w:rsidRPr="00CD31C6">
              <w:rPr>
                <w:rFonts w:ascii="Calibri" w:hAnsi="Calibri" w:cs="Calibri"/>
                <w:b/>
                <w:bCs/>
                <w:color w:val="000000"/>
                <w:sz w:val="22"/>
              </w:rPr>
              <w:t>Change</w:t>
            </w:r>
          </w:p>
        </w:tc>
        <w:tc>
          <w:tcPr>
            <w:tcW w:w="1315" w:type="dxa"/>
            <w:shd w:val="clear" w:color="auto" w:fill="A8D08D" w:themeFill="accent6" w:themeFillTint="99"/>
            <w:noWrap/>
            <w:vAlign w:val="bottom"/>
            <w:hideMark/>
          </w:tcPr>
          <w:p w14:paraId="2A1C350F" w14:textId="77777777" w:rsidR="00CD31C6" w:rsidRPr="00CD31C6" w:rsidRDefault="00CD31C6" w:rsidP="00CD31C6">
            <w:pPr>
              <w:jc w:val="center"/>
              <w:rPr>
                <w:rFonts w:ascii="Calibri" w:hAnsi="Calibri" w:cs="Calibri"/>
                <w:b/>
                <w:bCs/>
                <w:color w:val="000000"/>
                <w:sz w:val="22"/>
              </w:rPr>
            </w:pPr>
            <w:r w:rsidRPr="00CD31C6">
              <w:rPr>
                <w:rFonts w:ascii="Calibri" w:hAnsi="Calibri" w:cs="Calibri"/>
                <w:b/>
                <w:bCs/>
                <w:color w:val="000000"/>
                <w:sz w:val="22"/>
              </w:rPr>
              <w:t>% Change</w:t>
            </w:r>
          </w:p>
        </w:tc>
      </w:tr>
      <w:tr w:rsidR="00CD31C6" w:rsidRPr="00BC468A" w14:paraId="67652CF6" w14:textId="77777777" w:rsidTr="00CD31C6">
        <w:trPr>
          <w:trHeight w:val="288"/>
        </w:trPr>
        <w:tc>
          <w:tcPr>
            <w:tcW w:w="2853" w:type="dxa"/>
            <w:shd w:val="clear" w:color="auto" w:fill="A8D08D" w:themeFill="accent6" w:themeFillTint="99"/>
            <w:noWrap/>
            <w:vAlign w:val="bottom"/>
            <w:hideMark/>
          </w:tcPr>
          <w:p w14:paraId="1AA7C508"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Fiscal Year Ends</w:t>
            </w:r>
          </w:p>
        </w:tc>
        <w:tc>
          <w:tcPr>
            <w:tcW w:w="1438" w:type="dxa"/>
            <w:shd w:val="clear" w:color="auto" w:fill="auto"/>
            <w:noWrap/>
            <w:vAlign w:val="bottom"/>
            <w:hideMark/>
          </w:tcPr>
          <w:p w14:paraId="313E91D5" w14:textId="508DC2B5"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31/12/202</w:t>
            </w:r>
            <w:r w:rsidR="009958E7">
              <w:rPr>
                <w:rFonts w:ascii="Calibri" w:hAnsi="Calibri" w:cs="Calibri"/>
                <w:color w:val="000000"/>
                <w:sz w:val="22"/>
              </w:rPr>
              <w:t>0</w:t>
            </w:r>
          </w:p>
        </w:tc>
        <w:tc>
          <w:tcPr>
            <w:tcW w:w="1915" w:type="dxa"/>
            <w:shd w:val="clear" w:color="auto" w:fill="auto"/>
            <w:noWrap/>
            <w:vAlign w:val="bottom"/>
            <w:hideMark/>
          </w:tcPr>
          <w:p w14:paraId="486D6E9F" w14:textId="3C83F8C2"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31/12/20</w:t>
            </w:r>
            <w:r w:rsidR="009958E7">
              <w:rPr>
                <w:rFonts w:ascii="Calibri" w:hAnsi="Calibri" w:cs="Calibri"/>
                <w:color w:val="000000"/>
                <w:sz w:val="22"/>
              </w:rPr>
              <w:t>19</w:t>
            </w:r>
          </w:p>
        </w:tc>
        <w:tc>
          <w:tcPr>
            <w:tcW w:w="1279" w:type="dxa"/>
            <w:shd w:val="clear" w:color="auto" w:fill="auto"/>
            <w:noWrap/>
            <w:vAlign w:val="bottom"/>
          </w:tcPr>
          <w:p w14:paraId="2939A63A" w14:textId="77777777" w:rsidR="00CD31C6" w:rsidRPr="00BC468A" w:rsidRDefault="00CD31C6" w:rsidP="00A616DF">
            <w:pPr>
              <w:jc w:val="right"/>
              <w:rPr>
                <w:rFonts w:ascii="Calibri" w:hAnsi="Calibri" w:cs="Calibri"/>
                <w:color w:val="000000"/>
                <w:sz w:val="22"/>
              </w:rPr>
            </w:pPr>
          </w:p>
        </w:tc>
        <w:tc>
          <w:tcPr>
            <w:tcW w:w="1315" w:type="dxa"/>
            <w:shd w:val="clear" w:color="auto" w:fill="auto"/>
            <w:noWrap/>
            <w:vAlign w:val="bottom"/>
          </w:tcPr>
          <w:p w14:paraId="23AAB818" w14:textId="77777777" w:rsidR="00CD31C6" w:rsidRPr="00BC468A" w:rsidRDefault="00CD31C6" w:rsidP="00A616DF"/>
        </w:tc>
      </w:tr>
      <w:tr w:rsidR="00CD31C6" w:rsidRPr="00BC468A" w14:paraId="58920333" w14:textId="77777777" w:rsidTr="00CD31C6">
        <w:trPr>
          <w:trHeight w:val="288"/>
        </w:trPr>
        <w:tc>
          <w:tcPr>
            <w:tcW w:w="2853" w:type="dxa"/>
            <w:shd w:val="clear" w:color="auto" w:fill="A8D08D" w:themeFill="accent6" w:themeFillTint="99"/>
            <w:noWrap/>
            <w:vAlign w:val="bottom"/>
            <w:hideMark/>
          </w:tcPr>
          <w:p w14:paraId="2F7AB4B5"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Sales</w:t>
            </w:r>
          </w:p>
        </w:tc>
        <w:tc>
          <w:tcPr>
            <w:tcW w:w="1438" w:type="dxa"/>
            <w:shd w:val="clear" w:color="auto" w:fill="auto"/>
            <w:noWrap/>
            <w:vAlign w:val="bottom"/>
            <w:hideMark/>
          </w:tcPr>
          <w:p w14:paraId="11734758"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4,307,000</w:t>
            </w:r>
          </w:p>
        </w:tc>
        <w:tc>
          <w:tcPr>
            <w:tcW w:w="1915" w:type="dxa"/>
            <w:shd w:val="clear" w:color="auto" w:fill="auto"/>
            <w:noWrap/>
            <w:vAlign w:val="bottom"/>
            <w:hideMark/>
          </w:tcPr>
          <w:p w14:paraId="0E84A84E"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 xml:space="preserve">9,452,000   </w:t>
            </w:r>
          </w:p>
        </w:tc>
        <w:tc>
          <w:tcPr>
            <w:tcW w:w="1279" w:type="dxa"/>
            <w:shd w:val="clear" w:color="auto" w:fill="auto"/>
            <w:noWrap/>
            <w:vAlign w:val="bottom"/>
            <w:hideMark/>
          </w:tcPr>
          <w:p w14:paraId="123967B2"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-5145000</w:t>
            </w:r>
          </w:p>
        </w:tc>
        <w:tc>
          <w:tcPr>
            <w:tcW w:w="1315" w:type="dxa"/>
            <w:shd w:val="clear" w:color="auto" w:fill="auto"/>
            <w:noWrap/>
            <w:vAlign w:val="bottom"/>
            <w:hideMark/>
          </w:tcPr>
          <w:p w14:paraId="3F4BC359" w14:textId="77777777" w:rsidR="00CD31C6" w:rsidRPr="00BC468A" w:rsidRDefault="00CD31C6" w:rsidP="00A616DF">
            <w:r>
              <w:t>-54.43%</w:t>
            </w:r>
          </w:p>
        </w:tc>
      </w:tr>
      <w:tr w:rsidR="00CD31C6" w:rsidRPr="00BC468A" w14:paraId="467F732C" w14:textId="77777777" w:rsidTr="00CD31C6">
        <w:trPr>
          <w:trHeight w:val="288"/>
        </w:trPr>
        <w:tc>
          <w:tcPr>
            <w:tcW w:w="2853" w:type="dxa"/>
            <w:shd w:val="clear" w:color="auto" w:fill="A8D08D" w:themeFill="accent6" w:themeFillTint="99"/>
            <w:noWrap/>
            <w:vAlign w:val="bottom"/>
            <w:hideMark/>
          </w:tcPr>
          <w:p w14:paraId="74919B82"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Cost of goods sold</w:t>
            </w:r>
          </w:p>
        </w:tc>
        <w:tc>
          <w:tcPr>
            <w:tcW w:w="1438" w:type="dxa"/>
            <w:shd w:val="clear" w:color="auto" w:fill="auto"/>
            <w:noWrap/>
            <w:vAlign w:val="bottom"/>
            <w:hideMark/>
          </w:tcPr>
          <w:p w14:paraId="1107BE38"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3,724,000</w:t>
            </w:r>
          </w:p>
        </w:tc>
        <w:tc>
          <w:tcPr>
            <w:tcW w:w="1915" w:type="dxa"/>
            <w:shd w:val="clear" w:color="auto" w:fill="auto"/>
            <w:noWrap/>
            <w:vAlign w:val="bottom"/>
            <w:hideMark/>
          </w:tcPr>
          <w:p w14:paraId="711924B6"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7,017,000</w:t>
            </w:r>
          </w:p>
        </w:tc>
        <w:tc>
          <w:tcPr>
            <w:tcW w:w="1279" w:type="dxa"/>
            <w:shd w:val="clear" w:color="auto" w:fill="auto"/>
            <w:noWrap/>
            <w:vAlign w:val="bottom"/>
            <w:hideMark/>
          </w:tcPr>
          <w:p w14:paraId="6CA2470F"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-3293000</w:t>
            </w:r>
          </w:p>
        </w:tc>
        <w:tc>
          <w:tcPr>
            <w:tcW w:w="1315" w:type="dxa"/>
            <w:shd w:val="clear" w:color="auto" w:fill="auto"/>
            <w:noWrap/>
            <w:vAlign w:val="bottom"/>
            <w:hideMark/>
          </w:tcPr>
          <w:p w14:paraId="288D0ED9" w14:textId="77777777" w:rsidR="00CD31C6" w:rsidRPr="00BC468A" w:rsidRDefault="00CD31C6" w:rsidP="00A616DF">
            <w:r>
              <w:t>-46.93%</w:t>
            </w:r>
          </w:p>
        </w:tc>
      </w:tr>
      <w:tr w:rsidR="00CD31C6" w:rsidRPr="00BC468A" w14:paraId="2CCE2A1B" w14:textId="77777777" w:rsidTr="00CD31C6">
        <w:trPr>
          <w:trHeight w:val="288"/>
        </w:trPr>
        <w:tc>
          <w:tcPr>
            <w:tcW w:w="2853" w:type="dxa"/>
            <w:shd w:val="clear" w:color="auto" w:fill="A8D08D" w:themeFill="accent6" w:themeFillTint="99"/>
            <w:noWrap/>
            <w:vAlign w:val="bottom"/>
            <w:hideMark/>
          </w:tcPr>
          <w:p w14:paraId="22723EBF"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Gross profit</w:t>
            </w:r>
          </w:p>
        </w:tc>
        <w:tc>
          <w:tcPr>
            <w:tcW w:w="1438" w:type="dxa"/>
            <w:shd w:val="clear" w:color="auto" w:fill="auto"/>
            <w:noWrap/>
            <w:vAlign w:val="bottom"/>
            <w:hideMark/>
          </w:tcPr>
          <w:p w14:paraId="13DDDE1C"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583,000</w:t>
            </w:r>
          </w:p>
        </w:tc>
        <w:tc>
          <w:tcPr>
            <w:tcW w:w="1915" w:type="dxa"/>
            <w:shd w:val="clear" w:color="auto" w:fill="auto"/>
            <w:noWrap/>
            <w:vAlign w:val="bottom"/>
            <w:hideMark/>
          </w:tcPr>
          <w:p w14:paraId="419E9EE8"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2,435,000</w:t>
            </w:r>
          </w:p>
        </w:tc>
        <w:tc>
          <w:tcPr>
            <w:tcW w:w="1279" w:type="dxa"/>
            <w:shd w:val="clear" w:color="auto" w:fill="auto"/>
            <w:noWrap/>
            <w:vAlign w:val="bottom"/>
            <w:hideMark/>
          </w:tcPr>
          <w:p w14:paraId="7D42EFBD"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-185,2000</w:t>
            </w:r>
          </w:p>
        </w:tc>
        <w:tc>
          <w:tcPr>
            <w:tcW w:w="1315" w:type="dxa"/>
            <w:shd w:val="clear" w:color="auto" w:fill="auto"/>
            <w:noWrap/>
            <w:vAlign w:val="bottom"/>
            <w:hideMark/>
          </w:tcPr>
          <w:p w14:paraId="0BF40E1D" w14:textId="77777777" w:rsidR="00CD31C6" w:rsidRPr="00BC468A" w:rsidRDefault="00CD31C6" w:rsidP="00A616DF">
            <w:r>
              <w:t>-76.06%</w:t>
            </w:r>
          </w:p>
        </w:tc>
      </w:tr>
      <w:tr w:rsidR="00CD31C6" w:rsidRPr="00BC468A" w14:paraId="07332B80" w14:textId="77777777" w:rsidTr="00CD31C6">
        <w:trPr>
          <w:trHeight w:val="288"/>
        </w:trPr>
        <w:tc>
          <w:tcPr>
            <w:tcW w:w="2853" w:type="dxa"/>
            <w:shd w:val="clear" w:color="auto" w:fill="A8D08D" w:themeFill="accent6" w:themeFillTint="99"/>
            <w:noWrap/>
            <w:vAlign w:val="bottom"/>
            <w:hideMark/>
          </w:tcPr>
          <w:p w14:paraId="7C3210CB"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Operating Expenses</w:t>
            </w:r>
          </w:p>
        </w:tc>
        <w:tc>
          <w:tcPr>
            <w:tcW w:w="1438" w:type="dxa"/>
            <w:shd w:val="clear" w:color="auto" w:fill="auto"/>
            <w:noWrap/>
            <w:vAlign w:val="bottom"/>
            <w:hideMark/>
          </w:tcPr>
          <w:p w14:paraId="27BB246C"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702,000</w:t>
            </w:r>
          </w:p>
        </w:tc>
        <w:tc>
          <w:tcPr>
            <w:tcW w:w="1915" w:type="dxa"/>
            <w:shd w:val="clear" w:color="auto" w:fill="auto"/>
            <w:noWrap/>
            <w:vAlign w:val="bottom"/>
            <w:hideMark/>
          </w:tcPr>
          <w:p w14:paraId="517113A2"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859,000</w:t>
            </w:r>
          </w:p>
        </w:tc>
        <w:tc>
          <w:tcPr>
            <w:tcW w:w="1279" w:type="dxa"/>
            <w:shd w:val="clear" w:color="auto" w:fill="auto"/>
            <w:noWrap/>
            <w:vAlign w:val="bottom"/>
            <w:hideMark/>
          </w:tcPr>
          <w:p w14:paraId="7A0B03DE"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-157,000</w:t>
            </w:r>
          </w:p>
        </w:tc>
        <w:tc>
          <w:tcPr>
            <w:tcW w:w="1315" w:type="dxa"/>
            <w:shd w:val="clear" w:color="auto" w:fill="auto"/>
            <w:noWrap/>
            <w:vAlign w:val="bottom"/>
            <w:hideMark/>
          </w:tcPr>
          <w:p w14:paraId="13A04992" w14:textId="77777777" w:rsidR="00CD31C6" w:rsidRPr="00BC468A" w:rsidRDefault="00CD31C6" w:rsidP="00A616DF">
            <w:r>
              <w:t>-18.28%</w:t>
            </w:r>
          </w:p>
        </w:tc>
      </w:tr>
      <w:tr w:rsidR="00CD31C6" w:rsidRPr="00BC468A" w14:paraId="3993EB35" w14:textId="77777777" w:rsidTr="00CD31C6">
        <w:trPr>
          <w:trHeight w:val="288"/>
        </w:trPr>
        <w:tc>
          <w:tcPr>
            <w:tcW w:w="2853" w:type="dxa"/>
            <w:shd w:val="clear" w:color="auto" w:fill="A8D08D" w:themeFill="accent6" w:themeFillTint="99"/>
            <w:noWrap/>
            <w:vAlign w:val="bottom"/>
            <w:hideMark/>
          </w:tcPr>
          <w:p w14:paraId="51188F96"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Operating income</w:t>
            </w:r>
          </w:p>
        </w:tc>
        <w:tc>
          <w:tcPr>
            <w:tcW w:w="1438" w:type="dxa"/>
            <w:shd w:val="clear" w:color="auto" w:fill="auto"/>
            <w:noWrap/>
            <w:vAlign w:val="bottom"/>
            <w:hideMark/>
          </w:tcPr>
          <w:p w14:paraId="36494F46"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-119,000</w:t>
            </w:r>
          </w:p>
        </w:tc>
        <w:tc>
          <w:tcPr>
            <w:tcW w:w="1915" w:type="dxa"/>
            <w:shd w:val="clear" w:color="auto" w:fill="auto"/>
            <w:noWrap/>
            <w:vAlign w:val="bottom"/>
            <w:hideMark/>
          </w:tcPr>
          <w:p w14:paraId="35730BD8"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1,576,000</w:t>
            </w:r>
          </w:p>
        </w:tc>
        <w:tc>
          <w:tcPr>
            <w:tcW w:w="1279" w:type="dxa"/>
            <w:shd w:val="clear" w:color="auto" w:fill="auto"/>
            <w:noWrap/>
            <w:vAlign w:val="bottom"/>
            <w:hideMark/>
          </w:tcPr>
          <w:p w14:paraId="199A2806"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-169,5000</w:t>
            </w:r>
          </w:p>
        </w:tc>
        <w:tc>
          <w:tcPr>
            <w:tcW w:w="1315" w:type="dxa"/>
            <w:shd w:val="clear" w:color="auto" w:fill="auto"/>
            <w:noWrap/>
            <w:vAlign w:val="bottom"/>
            <w:hideMark/>
          </w:tcPr>
          <w:p w14:paraId="49FE3DC1" w14:textId="77777777" w:rsidR="00CD31C6" w:rsidRPr="00BC468A" w:rsidRDefault="00CD31C6" w:rsidP="00A616DF">
            <w:r>
              <w:t>-107.55%</w:t>
            </w:r>
          </w:p>
        </w:tc>
      </w:tr>
      <w:tr w:rsidR="00CD31C6" w:rsidRPr="00BC468A" w14:paraId="0B6E668F" w14:textId="77777777" w:rsidTr="00CD31C6">
        <w:trPr>
          <w:trHeight w:val="288"/>
        </w:trPr>
        <w:tc>
          <w:tcPr>
            <w:tcW w:w="2853" w:type="dxa"/>
            <w:shd w:val="clear" w:color="auto" w:fill="A8D08D" w:themeFill="accent6" w:themeFillTint="99"/>
            <w:noWrap/>
            <w:vAlign w:val="bottom"/>
            <w:hideMark/>
          </w:tcPr>
          <w:p w14:paraId="7AB31EC7"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Interest Expense</w:t>
            </w:r>
          </w:p>
        </w:tc>
        <w:tc>
          <w:tcPr>
            <w:tcW w:w="1438" w:type="dxa"/>
            <w:shd w:val="clear" w:color="auto" w:fill="auto"/>
            <w:noWrap/>
            <w:vAlign w:val="bottom"/>
            <w:hideMark/>
          </w:tcPr>
          <w:p w14:paraId="44B09FEB"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429,000</w:t>
            </w:r>
          </w:p>
        </w:tc>
        <w:tc>
          <w:tcPr>
            <w:tcW w:w="1915" w:type="dxa"/>
            <w:shd w:val="clear" w:color="auto" w:fill="auto"/>
            <w:noWrap/>
            <w:vAlign w:val="bottom"/>
            <w:hideMark/>
          </w:tcPr>
          <w:p w14:paraId="46F3DC4D"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414,000</w:t>
            </w:r>
          </w:p>
        </w:tc>
        <w:tc>
          <w:tcPr>
            <w:tcW w:w="1279" w:type="dxa"/>
            <w:shd w:val="clear" w:color="auto" w:fill="auto"/>
            <w:noWrap/>
            <w:vAlign w:val="bottom"/>
            <w:hideMark/>
          </w:tcPr>
          <w:p w14:paraId="14575F53"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15,000</w:t>
            </w:r>
          </w:p>
        </w:tc>
        <w:tc>
          <w:tcPr>
            <w:tcW w:w="1315" w:type="dxa"/>
            <w:shd w:val="clear" w:color="auto" w:fill="auto"/>
            <w:noWrap/>
            <w:vAlign w:val="bottom"/>
            <w:hideMark/>
          </w:tcPr>
          <w:p w14:paraId="76F0B576" w14:textId="77777777" w:rsidR="00CD31C6" w:rsidRPr="00BC468A" w:rsidRDefault="00CD31C6" w:rsidP="00A616DF">
            <w:r>
              <w:t>3.62%</w:t>
            </w:r>
          </w:p>
        </w:tc>
      </w:tr>
      <w:tr w:rsidR="00CD31C6" w:rsidRPr="00BC468A" w14:paraId="06B94664" w14:textId="77777777" w:rsidTr="00CD31C6">
        <w:trPr>
          <w:trHeight w:val="288"/>
        </w:trPr>
        <w:tc>
          <w:tcPr>
            <w:tcW w:w="2853" w:type="dxa"/>
            <w:shd w:val="clear" w:color="auto" w:fill="A8D08D" w:themeFill="accent6" w:themeFillTint="99"/>
            <w:noWrap/>
            <w:vAlign w:val="bottom"/>
            <w:hideMark/>
          </w:tcPr>
          <w:p w14:paraId="256124A3"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 xml:space="preserve">Total Other income/ expenses net </w:t>
            </w:r>
          </w:p>
        </w:tc>
        <w:tc>
          <w:tcPr>
            <w:tcW w:w="1438" w:type="dxa"/>
            <w:shd w:val="clear" w:color="auto" w:fill="auto"/>
            <w:noWrap/>
            <w:vAlign w:val="bottom"/>
            <w:hideMark/>
          </w:tcPr>
          <w:p w14:paraId="1AC74CE5"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-376,000</w:t>
            </w:r>
          </w:p>
        </w:tc>
        <w:tc>
          <w:tcPr>
            <w:tcW w:w="1915" w:type="dxa"/>
            <w:shd w:val="clear" w:color="auto" w:fill="auto"/>
            <w:noWrap/>
            <w:vAlign w:val="bottom"/>
            <w:hideMark/>
          </w:tcPr>
          <w:p w14:paraId="6ADDB233"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82,000</w:t>
            </w:r>
          </w:p>
        </w:tc>
        <w:tc>
          <w:tcPr>
            <w:tcW w:w="1279" w:type="dxa"/>
            <w:shd w:val="clear" w:color="auto" w:fill="auto"/>
            <w:noWrap/>
            <w:vAlign w:val="bottom"/>
            <w:hideMark/>
          </w:tcPr>
          <w:p w14:paraId="560A3388"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-458,000</w:t>
            </w:r>
          </w:p>
        </w:tc>
        <w:tc>
          <w:tcPr>
            <w:tcW w:w="1315" w:type="dxa"/>
            <w:shd w:val="clear" w:color="auto" w:fill="auto"/>
            <w:noWrap/>
            <w:vAlign w:val="bottom"/>
            <w:hideMark/>
          </w:tcPr>
          <w:p w14:paraId="6067BC8D" w14:textId="77777777" w:rsidR="00CD31C6" w:rsidRPr="00BC468A" w:rsidRDefault="00CD31C6" w:rsidP="00A616DF">
            <w:r>
              <w:t>-558.54%</w:t>
            </w:r>
          </w:p>
        </w:tc>
      </w:tr>
      <w:tr w:rsidR="00CD31C6" w:rsidRPr="00BC468A" w14:paraId="3542F729" w14:textId="77777777" w:rsidTr="00CD31C6">
        <w:trPr>
          <w:trHeight w:val="288"/>
        </w:trPr>
        <w:tc>
          <w:tcPr>
            <w:tcW w:w="2853" w:type="dxa"/>
            <w:shd w:val="clear" w:color="auto" w:fill="A8D08D" w:themeFill="accent6" w:themeFillTint="99"/>
            <w:noWrap/>
            <w:vAlign w:val="bottom"/>
            <w:hideMark/>
          </w:tcPr>
          <w:p w14:paraId="0CCE23A7"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Income before taxes</w:t>
            </w:r>
          </w:p>
        </w:tc>
        <w:tc>
          <w:tcPr>
            <w:tcW w:w="1438" w:type="dxa"/>
            <w:shd w:val="clear" w:color="auto" w:fill="auto"/>
            <w:noWrap/>
            <w:vAlign w:val="bottom"/>
            <w:hideMark/>
          </w:tcPr>
          <w:p w14:paraId="5B3A6F6B"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-924,000</w:t>
            </w:r>
          </w:p>
        </w:tc>
        <w:tc>
          <w:tcPr>
            <w:tcW w:w="1915" w:type="dxa"/>
            <w:shd w:val="clear" w:color="auto" w:fill="auto"/>
            <w:noWrap/>
            <w:vAlign w:val="bottom"/>
            <w:hideMark/>
          </w:tcPr>
          <w:p w14:paraId="6BD14D16"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1,244,000</w:t>
            </w:r>
          </w:p>
        </w:tc>
        <w:tc>
          <w:tcPr>
            <w:tcW w:w="1279" w:type="dxa"/>
            <w:shd w:val="clear" w:color="auto" w:fill="auto"/>
            <w:noWrap/>
            <w:vAlign w:val="bottom"/>
            <w:hideMark/>
          </w:tcPr>
          <w:p w14:paraId="57873070"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-2168000</w:t>
            </w:r>
          </w:p>
        </w:tc>
        <w:tc>
          <w:tcPr>
            <w:tcW w:w="1315" w:type="dxa"/>
            <w:shd w:val="clear" w:color="auto" w:fill="auto"/>
            <w:noWrap/>
            <w:vAlign w:val="bottom"/>
            <w:hideMark/>
          </w:tcPr>
          <w:p w14:paraId="785A24CE" w14:textId="77777777" w:rsidR="00CD31C6" w:rsidRPr="00BC468A" w:rsidRDefault="00CD31C6" w:rsidP="00A616DF">
            <w:r>
              <w:t>-174.28%</w:t>
            </w:r>
          </w:p>
        </w:tc>
      </w:tr>
      <w:tr w:rsidR="00CD31C6" w:rsidRPr="00BC468A" w14:paraId="0348B289" w14:textId="77777777" w:rsidTr="00CD31C6">
        <w:trPr>
          <w:trHeight w:val="288"/>
        </w:trPr>
        <w:tc>
          <w:tcPr>
            <w:tcW w:w="2853" w:type="dxa"/>
            <w:shd w:val="clear" w:color="auto" w:fill="A8D08D" w:themeFill="accent6" w:themeFillTint="99"/>
            <w:noWrap/>
            <w:vAlign w:val="bottom"/>
            <w:hideMark/>
          </w:tcPr>
          <w:p w14:paraId="6510B157" w14:textId="77777777" w:rsidR="00CD31C6" w:rsidRPr="00CD31C6" w:rsidRDefault="00CD31C6" w:rsidP="00A616DF">
            <w:pPr>
              <w:rPr>
                <w:rFonts w:ascii="Calibri" w:hAnsi="Calibri" w:cs="Calibri"/>
                <w:b/>
                <w:bCs/>
                <w:color w:val="000000"/>
                <w:sz w:val="22"/>
              </w:rPr>
            </w:pPr>
            <w:r w:rsidRPr="00CD31C6">
              <w:rPr>
                <w:rFonts w:ascii="Calibri" w:hAnsi="Calibri" w:cs="Calibri"/>
                <w:b/>
                <w:bCs/>
                <w:color w:val="000000"/>
                <w:sz w:val="22"/>
              </w:rPr>
              <w:t>Net income</w:t>
            </w:r>
          </w:p>
        </w:tc>
        <w:tc>
          <w:tcPr>
            <w:tcW w:w="1438" w:type="dxa"/>
            <w:shd w:val="clear" w:color="auto" w:fill="auto"/>
            <w:noWrap/>
            <w:vAlign w:val="bottom"/>
            <w:hideMark/>
          </w:tcPr>
          <w:p w14:paraId="4C704174"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-715,000</w:t>
            </w:r>
          </w:p>
        </w:tc>
        <w:tc>
          <w:tcPr>
            <w:tcW w:w="1915" w:type="dxa"/>
            <w:shd w:val="clear" w:color="auto" w:fill="auto"/>
            <w:noWrap/>
            <w:vAlign w:val="bottom"/>
            <w:hideMark/>
          </w:tcPr>
          <w:p w14:paraId="098BD9BC" w14:textId="77777777" w:rsidR="00CD31C6" w:rsidRPr="00BC468A" w:rsidRDefault="00CD31C6" w:rsidP="00A616DF">
            <w:pPr>
              <w:jc w:val="right"/>
              <w:rPr>
                <w:rFonts w:ascii="Calibri" w:hAnsi="Calibri" w:cs="Calibri"/>
                <w:color w:val="000000"/>
                <w:sz w:val="22"/>
              </w:rPr>
            </w:pPr>
            <w:r w:rsidRPr="00BC468A">
              <w:rPr>
                <w:rFonts w:ascii="Calibri" w:hAnsi="Calibri" w:cs="Calibri"/>
                <w:color w:val="000000"/>
                <w:sz w:val="22"/>
              </w:rPr>
              <w:t>881,000</w:t>
            </w:r>
          </w:p>
        </w:tc>
        <w:tc>
          <w:tcPr>
            <w:tcW w:w="1279" w:type="dxa"/>
            <w:shd w:val="clear" w:color="auto" w:fill="auto"/>
            <w:noWrap/>
            <w:vAlign w:val="bottom"/>
            <w:hideMark/>
          </w:tcPr>
          <w:p w14:paraId="552CA590" w14:textId="77777777" w:rsidR="00CD31C6" w:rsidRPr="00BC468A" w:rsidRDefault="00CD31C6" w:rsidP="00A616DF">
            <w:pPr>
              <w:jc w:val="right"/>
              <w:rPr>
                <w:rFonts w:ascii="Calibri" w:hAnsi="Calibri" w:cs="Calibri"/>
                <w:color w:val="000000"/>
                <w:sz w:val="22"/>
              </w:rPr>
            </w:pPr>
            <w:r>
              <w:rPr>
                <w:rFonts w:ascii="Calibri" w:hAnsi="Calibri" w:cs="Calibri"/>
                <w:color w:val="000000"/>
                <w:sz w:val="22"/>
              </w:rPr>
              <w:t>-1596000</w:t>
            </w:r>
          </w:p>
        </w:tc>
        <w:tc>
          <w:tcPr>
            <w:tcW w:w="1315" w:type="dxa"/>
            <w:shd w:val="clear" w:color="auto" w:fill="auto"/>
            <w:noWrap/>
            <w:vAlign w:val="bottom"/>
            <w:hideMark/>
          </w:tcPr>
          <w:p w14:paraId="2CD85BDB" w14:textId="77777777" w:rsidR="00CD31C6" w:rsidRPr="00BC468A" w:rsidRDefault="00CD31C6" w:rsidP="00A616DF">
            <w:r>
              <w:t>-181.16%</w:t>
            </w:r>
          </w:p>
        </w:tc>
      </w:tr>
    </w:tbl>
    <w:p w14:paraId="45937369" w14:textId="3776A141" w:rsidR="006C6437" w:rsidRPr="006424EB" w:rsidRDefault="006C6437" w:rsidP="006C6437">
      <w:pPr>
        <w:rPr>
          <w:rFonts w:cs="Arial"/>
          <w:b/>
          <w:bCs/>
          <w:color w:val="232A31"/>
          <w:sz w:val="22"/>
        </w:rPr>
      </w:pPr>
      <w:r w:rsidRPr="00F738F7">
        <w:rPr>
          <w:b/>
          <w:bCs/>
          <w:lang w:eastAsia="en-GB"/>
        </w:rPr>
        <w:t xml:space="preserve">Here the </w:t>
      </w:r>
      <w:r w:rsidR="004C3EA4">
        <w:rPr>
          <w:b/>
          <w:bCs/>
        </w:rPr>
        <w:t>Balance Sheet</w:t>
      </w:r>
      <w:r w:rsidRPr="00F738F7">
        <w:rPr>
          <w:b/>
          <w:bCs/>
        </w:rPr>
        <w:t xml:space="preserve"> 2019 &amp; 2020</w:t>
      </w:r>
      <w:r>
        <w:rPr>
          <w:b/>
          <w:bCs/>
        </w:rPr>
        <w:t xml:space="preserve"> of </w:t>
      </w:r>
      <w:r w:rsidRPr="006424EB">
        <w:rPr>
          <w:rFonts w:cs="Arial"/>
          <w:b/>
          <w:bCs/>
          <w:color w:val="232A31"/>
          <w:sz w:val="22"/>
        </w:rPr>
        <w:t>Hilton Worldwide Holdings Inc. (HLT)</w:t>
      </w:r>
    </w:p>
    <w:tbl>
      <w:tblPr>
        <w:tblStyle w:val="GridTable1Light-Accent6"/>
        <w:tblW w:w="859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860"/>
        <w:gridCol w:w="1600"/>
        <w:gridCol w:w="1540"/>
        <w:gridCol w:w="1220"/>
        <w:gridCol w:w="1375"/>
      </w:tblGrid>
      <w:tr w:rsidR="006C6437" w:rsidRPr="00947012" w14:paraId="4CBB3EA3" w14:textId="77777777" w:rsidTr="006C6437">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60" w:type="dxa"/>
            <w:tcBorders>
              <w:bottom w:val="none" w:sz="0" w:space="0" w:color="auto"/>
            </w:tcBorders>
            <w:shd w:val="clear" w:color="auto" w:fill="A8D08D" w:themeFill="accent6" w:themeFillTint="99"/>
            <w:noWrap/>
            <w:hideMark/>
          </w:tcPr>
          <w:p w14:paraId="0BEA37DE" w14:textId="77777777" w:rsidR="006C6437" w:rsidRPr="00947012" w:rsidRDefault="006C6437" w:rsidP="006C6437">
            <w:pPr>
              <w:jc w:val="center"/>
              <w:rPr>
                <w:szCs w:val="24"/>
              </w:rPr>
            </w:pPr>
          </w:p>
        </w:tc>
        <w:tc>
          <w:tcPr>
            <w:tcW w:w="1600" w:type="dxa"/>
            <w:tcBorders>
              <w:bottom w:val="none" w:sz="0" w:space="0" w:color="auto"/>
            </w:tcBorders>
            <w:shd w:val="clear" w:color="auto" w:fill="A8D08D" w:themeFill="accent6" w:themeFillTint="99"/>
            <w:noWrap/>
            <w:hideMark/>
          </w:tcPr>
          <w:p w14:paraId="336DFD3E" w14:textId="77777777" w:rsidR="006C6437" w:rsidRPr="00947012" w:rsidRDefault="006C6437" w:rsidP="006C643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2020</w:t>
            </w:r>
          </w:p>
        </w:tc>
        <w:tc>
          <w:tcPr>
            <w:tcW w:w="1540" w:type="dxa"/>
            <w:tcBorders>
              <w:bottom w:val="none" w:sz="0" w:space="0" w:color="auto"/>
            </w:tcBorders>
            <w:shd w:val="clear" w:color="auto" w:fill="A8D08D" w:themeFill="accent6" w:themeFillTint="99"/>
            <w:noWrap/>
            <w:hideMark/>
          </w:tcPr>
          <w:p w14:paraId="1D98F2D7" w14:textId="77777777" w:rsidR="006C6437" w:rsidRPr="00947012" w:rsidRDefault="006C6437" w:rsidP="006C643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2019</w:t>
            </w:r>
          </w:p>
        </w:tc>
        <w:tc>
          <w:tcPr>
            <w:tcW w:w="1220" w:type="dxa"/>
            <w:tcBorders>
              <w:bottom w:val="none" w:sz="0" w:space="0" w:color="auto"/>
            </w:tcBorders>
            <w:shd w:val="clear" w:color="auto" w:fill="A8D08D" w:themeFill="accent6" w:themeFillTint="99"/>
            <w:noWrap/>
            <w:hideMark/>
          </w:tcPr>
          <w:p w14:paraId="0FA8E83E" w14:textId="6000459B" w:rsidR="006C6437" w:rsidRPr="00947012" w:rsidRDefault="006C6437" w:rsidP="006C643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Change</w:t>
            </w:r>
          </w:p>
        </w:tc>
        <w:tc>
          <w:tcPr>
            <w:tcW w:w="1375" w:type="dxa"/>
            <w:tcBorders>
              <w:bottom w:val="none" w:sz="0" w:space="0" w:color="auto"/>
            </w:tcBorders>
            <w:shd w:val="clear" w:color="auto" w:fill="A8D08D" w:themeFill="accent6" w:themeFillTint="99"/>
            <w:noWrap/>
            <w:hideMark/>
          </w:tcPr>
          <w:p w14:paraId="5DE24699" w14:textId="77777777" w:rsidR="006C6437" w:rsidRPr="00947012" w:rsidRDefault="006C6437" w:rsidP="006C643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    Change</w:t>
            </w:r>
          </w:p>
        </w:tc>
      </w:tr>
      <w:tr w:rsidR="006C6437" w:rsidRPr="00947012" w14:paraId="399752CB"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465ED200"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Current Asset</w:t>
            </w:r>
          </w:p>
        </w:tc>
        <w:tc>
          <w:tcPr>
            <w:tcW w:w="1600" w:type="dxa"/>
            <w:noWrap/>
            <w:hideMark/>
          </w:tcPr>
          <w:p w14:paraId="3EAB1B39"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4,202,000</w:t>
            </w:r>
          </w:p>
        </w:tc>
        <w:tc>
          <w:tcPr>
            <w:tcW w:w="1540" w:type="dxa"/>
            <w:noWrap/>
            <w:hideMark/>
          </w:tcPr>
          <w:p w14:paraId="45402FA6"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2,093,000</w:t>
            </w:r>
          </w:p>
        </w:tc>
        <w:tc>
          <w:tcPr>
            <w:tcW w:w="1220" w:type="dxa"/>
            <w:noWrap/>
            <w:hideMark/>
          </w:tcPr>
          <w:p w14:paraId="4A70DA41"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-167,2800</w:t>
            </w:r>
          </w:p>
        </w:tc>
        <w:tc>
          <w:tcPr>
            <w:tcW w:w="1375" w:type="dxa"/>
            <w:noWrap/>
            <w:hideMark/>
          </w:tcPr>
          <w:p w14:paraId="6671DF7B"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-79.92%</w:t>
            </w:r>
          </w:p>
        </w:tc>
      </w:tr>
      <w:tr w:rsidR="006C6437" w:rsidRPr="00947012" w14:paraId="691A9FEC"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7D4FF8CE" w14:textId="41FB6F2B" w:rsidR="006C6437" w:rsidRPr="00947012" w:rsidRDefault="006C6437" w:rsidP="00A616DF">
            <w:pPr>
              <w:rPr>
                <w:rFonts w:ascii="Calibri" w:hAnsi="Calibri" w:cs="Calibri"/>
                <w:color w:val="000000"/>
                <w:sz w:val="22"/>
              </w:rPr>
            </w:pPr>
            <w:r w:rsidRPr="00947012">
              <w:rPr>
                <w:rFonts w:ascii="Calibri" w:hAnsi="Calibri" w:cs="Calibri"/>
                <w:color w:val="000000"/>
                <w:sz w:val="22"/>
              </w:rPr>
              <w:t>Non-Current Asset</w:t>
            </w:r>
          </w:p>
        </w:tc>
        <w:tc>
          <w:tcPr>
            <w:tcW w:w="1600" w:type="dxa"/>
            <w:noWrap/>
            <w:hideMark/>
          </w:tcPr>
          <w:p w14:paraId="0008E67C"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15,810,000</w:t>
            </w:r>
          </w:p>
        </w:tc>
        <w:tc>
          <w:tcPr>
            <w:tcW w:w="1540" w:type="dxa"/>
            <w:noWrap/>
            <w:hideMark/>
          </w:tcPr>
          <w:p w14:paraId="707EC908"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12,558,000</w:t>
            </w:r>
          </w:p>
        </w:tc>
        <w:tc>
          <w:tcPr>
            <w:tcW w:w="1220" w:type="dxa"/>
            <w:noWrap/>
            <w:hideMark/>
          </w:tcPr>
          <w:p w14:paraId="4AF33BA2"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325,2000</w:t>
            </w:r>
          </w:p>
        </w:tc>
        <w:tc>
          <w:tcPr>
            <w:tcW w:w="1375" w:type="dxa"/>
            <w:noWrap/>
            <w:hideMark/>
          </w:tcPr>
          <w:p w14:paraId="7043838D"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25.89%</w:t>
            </w:r>
          </w:p>
        </w:tc>
      </w:tr>
      <w:tr w:rsidR="006C6437" w:rsidRPr="00947012" w14:paraId="08AD9247"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3D76098F"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Total Asset</w:t>
            </w:r>
          </w:p>
        </w:tc>
        <w:tc>
          <w:tcPr>
            <w:tcW w:w="1600" w:type="dxa"/>
            <w:noWrap/>
            <w:hideMark/>
          </w:tcPr>
          <w:p w14:paraId="74599135"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16,755,000</w:t>
            </w:r>
          </w:p>
        </w:tc>
        <w:tc>
          <w:tcPr>
            <w:tcW w:w="1540" w:type="dxa"/>
            <w:noWrap/>
            <w:hideMark/>
          </w:tcPr>
          <w:p w14:paraId="2B248B6D"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14,957,000</w:t>
            </w:r>
          </w:p>
        </w:tc>
        <w:tc>
          <w:tcPr>
            <w:tcW w:w="1220" w:type="dxa"/>
            <w:noWrap/>
            <w:hideMark/>
          </w:tcPr>
          <w:p w14:paraId="3405A11A"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17,98,000</w:t>
            </w:r>
          </w:p>
        </w:tc>
        <w:tc>
          <w:tcPr>
            <w:tcW w:w="1375" w:type="dxa"/>
            <w:noWrap/>
            <w:hideMark/>
          </w:tcPr>
          <w:p w14:paraId="57022761"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12.02%</w:t>
            </w:r>
          </w:p>
        </w:tc>
      </w:tr>
      <w:tr w:rsidR="006C6437" w:rsidRPr="00947012" w14:paraId="352430D9"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05D15FB3"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Current Liabilities</w:t>
            </w:r>
          </w:p>
        </w:tc>
        <w:tc>
          <w:tcPr>
            <w:tcW w:w="1600" w:type="dxa"/>
            <w:noWrap/>
            <w:hideMark/>
          </w:tcPr>
          <w:p w14:paraId="4C510874"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2,431,000</w:t>
            </w:r>
          </w:p>
        </w:tc>
        <w:tc>
          <w:tcPr>
            <w:tcW w:w="1540" w:type="dxa"/>
            <w:noWrap/>
            <w:hideMark/>
          </w:tcPr>
          <w:p w14:paraId="5BBE2D58"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2,871,000</w:t>
            </w:r>
          </w:p>
        </w:tc>
        <w:tc>
          <w:tcPr>
            <w:tcW w:w="1220" w:type="dxa"/>
            <w:noWrap/>
            <w:hideMark/>
          </w:tcPr>
          <w:p w14:paraId="29DE75B1"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-440000</w:t>
            </w:r>
          </w:p>
        </w:tc>
        <w:tc>
          <w:tcPr>
            <w:tcW w:w="1375" w:type="dxa"/>
            <w:noWrap/>
            <w:hideMark/>
          </w:tcPr>
          <w:p w14:paraId="5655D048"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-15.33%</w:t>
            </w:r>
          </w:p>
        </w:tc>
      </w:tr>
      <w:tr w:rsidR="006C6437" w:rsidRPr="00947012" w14:paraId="293E7950"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4872D4BD" w14:textId="65465B2F" w:rsidR="006C6437" w:rsidRPr="00947012" w:rsidRDefault="006C6437" w:rsidP="00A616DF">
            <w:pPr>
              <w:rPr>
                <w:rFonts w:ascii="Calibri" w:hAnsi="Calibri" w:cs="Calibri"/>
                <w:color w:val="000000"/>
                <w:sz w:val="22"/>
              </w:rPr>
            </w:pPr>
            <w:r w:rsidRPr="00947012">
              <w:rPr>
                <w:rFonts w:ascii="Calibri" w:hAnsi="Calibri" w:cs="Calibri"/>
                <w:color w:val="000000"/>
                <w:sz w:val="22"/>
              </w:rPr>
              <w:t>Non-current Liabilities</w:t>
            </w:r>
          </w:p>
        </w:tc>
        <w:tc>
          <w:tcPr>
            <w:tcW w:w="1600" w:type="dxa"/>
            <w:noWrap/>
            <w:hideMark/>
          </w:tcPr>
          <w:p w14:paraId="785843AD"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15,810,000</w:t>
            </w:r>
          </w:p>
        </w:tc>
        <w:tc>
          <w:tcPr>
            <w:tcW w:w="1540" w:type="dxa"/>
            <w:noWrap/>
            <w:hideMark/>
          </w:tcPr>
          <w:p w14:paraId="6D294F10"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12,558,000</w:t>
            </w:r>
          </w:p>
        </w:tc>
        <w:tc>
          <w:tcPr>
            <w:tcW w:w="1220" w:type="dxa"/>
            <w:noWrap/>
            <w:hideMark/>
          </w:tcPr>
          <w:p w14:paraId="64CB0588"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325,2000</w:t>
            </w:r>
          </w:p>
        </w:tc>
        <w:tc>
          <w:tcPr>
            <w:tcW w:w="1375" w:type="dxa"/>
            <w:noWrap/>
            <w:hideMark/>
          </w:tcPr>
          <w:p w14:paraId="5BA021D3"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25.89%</w:t>
            </w:r>
          </w:p>
        </w:tc>
      </w:tr>
      <w:tr w:rsidR="006C6437" w:rsidRPr="00947012" w14:paraId="58419378"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5CC0CDD9"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Total Liabilities</w:t>
            </w:r>
          </w:p>
        </w:tc>
        <w:tc>
          <w:tcPr>
            <w:tcW w:w="1600" w:type="dxa"/>
            <w:noWrap/>
            <w:hideMark/>
          </w:tcPr>
          <w:p w14:paraId="6BA5EB3A"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18,241,000</w:t>
            </w:r>
          </w:p>
        </w:tc>
        <w:tc>
          <w:tcPr>
            <w:tcW w:w="1540" w:type="dxa"/>
            <w:noWrap/>
            <w:hideMark/>
          </w:tcPr>
          <w:p w14:paraId="573DF167"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15,429,000</w:t>
            </w:r>
          </w:p>
        </w:tc>
        <w:tc>
          <w:tcPr>
            <w:tcW w:w="1220" w:type="dxa"/>
            <w:noWrap/>
            <w:hideMark/>
          </w:tcPr>
          <w:p w14:paraId="7E62D475"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2812000</w:t>
            </w:r>
          </w:p>
        </w:tc>
        <w:tc>
          <w:tcPr>
            <w:tcW w:w="1375" w:type="dxa"/>
            <w:noWrap/>
            <w:hideMark/>
          </w:tcPr>
          <w:p w14:paraId="307D76C1"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18.23%</w:t>
            </w:r>
          </w:p>
        </w:tc>
      </w:tr>
      <w:tr w:rsidR="006C6437" w:rsidRPr="00947012" w14:paraId="77612917"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66C335C3"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Common Stock</w:t>
            </w:r>
          </w:p>
        </w:tc>
        <w:tc>
          <w:tcPr>
            <w:tcW w:w="1600" w:type="dxa"/>
            <w:noWrap/>
            <w:hideMark/>
          </w:tcPr>
          <w:p w14:paraId="69F26B81"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3,000</w:t>
            </w:r>
          </w:p>
        </w:tc>
        <w:tc>
          <w:tcPr>
            <w:tcW w:w="1540" w:type="dxa"/>
            <w:noWrap/>
            <w:hideMark/>
          </w:tcPr>
          <w:p w14:paraId="141322C3"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3,000</w:t>
            </w:r>
          </w:p>
        </w:tc>
        <w:tc>
          <w:tcPr>
            <w:tcW w:w="1220" w:type="dxa"/>
            <w:noWrap/>
            <w:hideMark/>
          </w:tcPr>
          <w:p w14:paraId="3D293FB9"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0</w:t>
            </w:r>
          </w:p>
        </w:tc>
        <w:tc>
          <w:tcPr>
            <w:tcW w:w="1375" w:type="dxa"/>
            <w:noWrap/>
            <w:hideMark/>
          </w:tcPr>
          <w:p w14:paraId="727E6E7A"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0%</w:t>
            </w:r>
          </w:p>
        </w:tc>
      </w:tr>
      <w:tr w:rsidR="006C6437" w:rsidRPr="00947012" w14:paraId="6895716E"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65725169"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Retained Earnings</w:t>
            </w:r>
          </w:p>
        </w:tc>
        <w:tc>
          <w:tcPr>
            <w:tcW w:w="1600" w:type="dxa"/>
            <w:noWrap/>
            <w:hideMark/>
          </w:tcPr>
          <w:p w14:paraId="6DAA254C"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-6,732,000</w:t>
            </w:r>
          </w:p>
        </w:tc>
        <w:tc>
          <w:tcPr>
            <w:tcW w:w="1540" w:type="dxa"/>
            <w:noWrap/>
            <w:hideMark/>
          </w:tcPr>
          <w:p w14:paraId="3365D3FD"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-5,965,000</w:t>
            </w:r>
          </w:p>
        </w:tc>
        <w:tc>
          <w:tcPr>
            <w:tcW w:w="1220" w:type="dxa"/>
            <w:noWrap/>
            <w:hideMark/>
          </w:tcPr>
          <w:p w14:paraId="648262A8"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-76,70,00</w:t>
            </w:r>
          </w:p>
        </w:tc>
        <w:tc>
          <w:tcPr>
            <w:tcW w:w="1375" w:type="dxa"/>
            <w:noWrap/>
            <w:hideMark/>
          </w:tcPr>
          <w:p w14:paraId="790FA763"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12.86%</w:t>
            </w:r>
          </w:p>
        </w:tc>
      </w:tr>
      <w:tr w:rsidR="006C6437" w:rsidRPr="00947012" w14:paraId="0C1737FE"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482D7B87"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Total Stockholders' Equity</w:t>
            </w:r>
          </w:p>
        </w:tc>
        <w:tc>
          <w:tcPr>
            <w:tcW w:w="1600" w:type="dxa"/>
            <w:noWrap/>
            <w:hideMark/>
          </w:tcPr>
          <w:p w14:paraId="13E8B978"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-1,490,000</w:t>
            </w:r>
          </w:p>
        </w:tc>
        <w:tc>
          <w:tcPr>
            <w:tcW w:w="1540" w:type="dxa"/>
            <w:noWrap/>
            <w:hideMark/>
          </w:tcPr>
          <w:p w14:paraId="621FF8BF"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-482,000</w:t>
            </w:r>
          </w:p>
        </w:tc>
        <w:tc>
          <w:tcPr>
            <w:tcW w:w="1220" w:type="dxa"/>
            <w:noWrap/>
            <w:hideMark/>
          </w:tcPr>
          <w:p w14:paraId="7F96B483"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-1008000</w:t>
            </w:r>
          </w:p>
        </w:tc>
        <w:tc>
          <w:tcPr>
            <w:tcW w:w="1375" w:type="dxa"/>
            <w:noWrap/>
            <w:hideMark/>
          </w:tcPr>
          <w:p w14:paraId="539812D4"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209.13%</w:t>
            </w:r>
          </w:p>
        </w:tc>
      </w:tr>
      <w:tr w:rsidR="006C6437" w:rsidRPr="00947012" w14:paraId="0ABAE50A" w14:textId="77777777" w:rsidTr="006C643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A8D08D" w:themeFill="accent6" w:themeFillTint="99"/>
            <w:noWrap/>
            <w:hideMark/>
          </w:tcPr>
          <w:p w14:paraId="71CBD11B" w14:textId="77777777" w:rsidR="006C6437" w:rsidRPr="00947012" w:rsidRDefault="006C6437" w:rsidP="00A616DF">
            <w:pPr>
              <w:rPr>
                <w:rFonts w:ascii="Calibri" w:hAnsi="Calibri" w:cs="Calibri"/>
                <w:color w:val="000000"/>
                <w:sz w:val="22"/>
              </w:rPr>
            </w:pPr>
            <w:r w:rsidRPr="00947012">
              <w:rPr>
                <w:rFonts w:ascii="Calibri" w:hAnsi="Calibri" w:cs="Calibri"/>
                <w:color w:val="000000"/>
                <w:sz w:val="22"/>
              </w:rPr>
              <w:t>Total Liabilities and Stockholder</w:t>
            </w:r>
          </w:p>
        </w:tc>
        <w:tc>
          <w:tcPr>
            <w:tcW w:w="1600" w:type="dxa"/>
            <w:noWrap/>
            <w:hideMark/>
          </w:tcPr>
          <w:p w14:paraId="3321DDBD"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16,755,000</w:t>
            </w:r>
          </w:p>
        </w:tc>
        <w:tc>
          <w:tcPr>
            <w:tcW w:w="1540" w:type="dxa"/>
            <w:noWrap/>
            <w:hideMark/>
          </w:tcPr>
          <w:p w14:paraId="354468EA"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14,957,000</w:t>
            </w:r>
          </w:p>
        </w:tc>
        <w:tc>
          <w:tcPr>
            <w:tcW w:w="1220" w:type="dxa"/>
            <w:noWrap/>
            <w:hideMark/>
          </w:tcPr>
          <w:p w14:paraId="1C7996E7" w14:textId="77777777" w:rsidR="006C6437" w:rsidRPr="00947012" w:rsidRDefault="006C6437" w:rsidP="00A616DF">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179,8000</w:t>
            </w:r>
          </w:p>
        </w:tc>
        <w:tc>
          <w:tcPr>
            <w:tcW w:w="1375" w:type="dxa"/>
            <w:noWrap/>
            <w:hideMark/>
          </w:tcPr>
          <w:p w14:paraId="7F9ED0BD" w14:textId="77777777" w:rsidR="006C6437" w:rsidRPr="00947012" w:rsidRDefault="006C6437" w:rsidP="00A616DF">
            <w:pPr>
              <w:cnfStyle w:val="000000000000" w:firstRow="0" w:lastRow="0" w:firstColumn="0" w:lastColumn="0" w:oddVBand="0" w:evenVBand="0" w:oddHBand="0" w:evenHBand="0" w:firstRowFirstColumn="0" w:firstRowLastColumn="0" w:lastRowFirstColumn="0" w:lastRowLastColumn="0"/>
            </w:pPr>
            <w:r>
              <w:t>12.02%</w:t>
            </w:r>
          </w:p>
        </w:tc>
      </w:tr>
    </w:tbl>
    <w:p w14:paraId="7CAB2706" w14:textId="5D66C347" w:rsidR="00F738F7" w:rsidRPr="00F738F7" w:rsidRDefault="00F738F7" w:rsidP="00F738F7">
      <w:pPr>
        <w:rPr>
          <w:lang w:eastAsia="en-GB"/>
        </w:rPr>
      </w:pPr>
    </w:p>
    <w:p w14:paraId="35164FCA" w14:textId="751F2B84" w:rsidR="00075150" w:rsidRDefault="00011F86" w:rsidP="00075150">
      <w:pPr>
        <w:pStyle w:val="Heading2"/>
      </w:pPr>
      <w:bookmarkStart w:id="7" w:name="_Toc104559919"/>
      <w:bookmarkStart w:id="8" w:name="_Hlk104151598"/>
      <w:bookmarkEnd w:id="6"/>
      <w:r>
        <w:lastRenderedPageBreak/>
        <w:t>Ratios 2019 and 2022</w:t>
      </w:r>
      <w:bookmarkEnd w:id="7"/>
    </w:p>
    <w:bookmarkEnd w:id="8"/>
    <w:p w14:paraId="47D5521A" w14:textId="2D14CE4B" w:rsidR="00D03234" w:rsidRPr="00D03234" w:rsidRDefault="00BF4B2A" w:rsidP="00D03234">
      <w:pPr>
        <w:rPr>
          <w:b/>
          <w:bCs/>
        </w:rPr>
      </w:pPr>
      <w:r>
        <w:rPr>
          <w:b/>
          <w:bCs/>
        </w:rPr>
        <w:t>Calculating</w:t>
      </w:r>
      <w:r w:rsidR="00D03234" w:rsidRPr="00A15727">
        <w:rPr>
          <w:b/>
          <w:bCs/>
        </w:rPr>
        <w:t xml:space="preserve"> </w:t>
      </w:r>
      <w:bookmarkStart w:id="9" w:name="_Hlk104151621"/>
      <w:r w:rsidR="00D03234" w:rsidRPr="00A15727">
        <w:rPr>
          <w:b/>
          <w:bCs/>
        </w:rPr>
        <w:t xml:space="preserve">the </w:t>
      </w:r>
      <w:r w:rsidR="00D03234">
        <w:rPr>
          <w:b/>
          <w:bCs/>
        </w:rPr>
        <w:t>profitability</w:t>
      </w:r>
      <w:r w:rsidR="00D03234" w:rsidRPr="00A15727">
        <w:rPr>
          <w:b/>
          <w:bCs/>
        </w:rPr>
        <w:t xml:space="preserve"> ratio of </w:t>
      </w:r>
      <w:r w:rsidR="00D03234" w:rsidRPr="00D03234">
        <w:rPr>
          <w:b/>
          <w:bCs/>
        </w:rPr>
        <w:t>Hilton Worldwide Holdings Inc</w:t>
      </w:r>
      <w:r w:rsidR="00D03234" w:rsidRPr="00A15727">
        <w:rPr>
          <w:b/>
          <w:bCs/>
        </w:rPr>
        <w:t>:</w:t>
      </w:r>
      <w:bookmarkEnd w:id="9"/>
    </w:p>
    <w:tbl>
      <w:tblPr>
        <w:tblStyle w:val="TableGrid"/>
        <w:tblW w:w="0" w:type="auto"/>
        <w:tblLook w:val="04A0" w:firstRow="1" w:lastRow="0" w:firstColumn="1" w:lastColumn="0" w:noHBand="0" w:noVBand="1"/>
      </w:tblPr>
      <w:tblGrid>
        <w:gridCol w:w="4508"/>
        <w:gridCol w:w="4508"/>
      </w:tblGrid>
      <w:tr w:rsidR="00075150" w14:paraId="77AC6C53" w14:textId="77777777" w:rsidTr="00075150">
        <w:tc>
          <w:tcPr>
            <w:tcW w:w="9016" w:type="dxa"/>
            <w:gridSpan w:val="2"/>
            <w:shd w:val="clear" w:color="auto" w:fill="A8D08D" w:themeFill="accent6" w:themeFillTint="99"/>
          </w:tcPr>
          <w:p w14:paraId="33FFCEC7" w14:textId="77777777" w:rsidR="00075150" w:rsidRPr="00A00ECA" w:rsidRDefault="00075150" w:rsidP="00A16907">
            <w:pPr>
              <w:jc w:val="center"/>
              <w:rPr>
                <w:b/>
                <w:bCs/>
              </w:rPr>
            </w:pPr>
            <w:bookmarkStart w:id="10" w:name="_Hlk104151637"/>
            <w:r w:rsidRPr="00A00ECA">
              <w:rPr>
                <w:b/>
                <w:bCs/>
              </w:rPr>
              <w:t xml:space="preserve">Gross profit ratio = </w:t>
            </w:r>
            <m:oMath>
              <m:f>
                <m:fPr>
                  <m:ctrlPr>
                    <w:rPr>
                      <w:rFonts w:ascii="Cambria Math" w:hAnsi="Cambria Math"/>
                      <w:b/>
                      <w:bCs/>
                      <w:i/>
                    </w:rPr>
                  </m:ctrlPr>
                </m:fPr>
                <m:num>
                  <m:r>
                    <m:rPr>
                      <m:sty m:val="bi"/>
                    </m:rPr>
                    <w:rPr>
                      <w:rFonts w:ascii="Cambria Math" w:hAnsi="Cambria Math"/>
                    </w:rPr>
                    <m:t xml:space="preserve">Gross Profit </m:t>
                  </m:r>
                </m:num>
                <m:den>
                  <m:r>
                    <m:rPr>
                      <m:sty m:val="bi"/>
                    </m:rPr>
                    <w:rPr>
                      <w:rFonts w:ascii="Cambria Math" w:hAnsi="Cambria Math"/>
                    </w:rPr>
                    <m:t>Net Sales</m:t>
                  </m:r>
                </m:den>
              </m:f>
            </m:oMath>
            <w:r w:rsidRPr="00A00ECA">
              <w:rPr>
                <w:rFonts w:eastAsiaTheme="minorEastAsia"/>
                <w:b/>
                <w:bCs/>
              </w:rPr>
              <w:t xml:space="preserve"> * 100</w:t>
            </w:r>
            <w:bookmarkEnd w:id="10"/>
          </w:p>
        </w:tc>
      </w:tr>
      <w:tr w:rsidR="00075150" w14:paraId="23CBA8E9" w14:textId="77777777" w:rsidTr="00A16907">
        <w:tc>
          <w:tcPr>
            <w:tcW w:w="4508" w:type="dxa"/>
          </w:tcPr>
          <w:p w14:paraId="2CC4A9A9" w14:textId="1CCE7444" w:rsidR="00075150" w:rsidRDefault="00075150" w:rsidP="00A16907">
            <w:pPr>
              <w:rPr>
                <w:rFonts w:eastAsiaTheme="minorEastAsia"/>
              </w:rPr>
            </w:pPr>
            <w:bookmarkStart w:id="11" w:name="_Hlk104151671"/>
            <w:r w:rsidRPr="00587E43">
              <w:rPr>
                <w:b/>
                <w:bCs/>
              </w:rPr>
              <w:t>For 2019</w:t>
            </w:r>
            <w:r>
              <w:t xml:space="preserve"> = </w:t>
            </w:r>
            <m:oMath>
              <m:f>
                <m:fPr>
                  <m:ctrlPr>
                    <w:rPr>
                      <w:rFonts w:ascii="Cambria Math" w:hAnsi="Cambria Math"/>
                      <w:i/>
                    </w:rPr>
                  </m:ctrlPr>
                </m:fPr>
                <m:num>
                  <m:r>
                    <m:rPr>
                      <m:sty m:val="p"/>
                    </m:rPr>
                    <w:rPr>
                      <w:rFonts w:ascii="Cambria Math" w:hAnsi="Cambria Math"/>
                    </w:rPr>
                    <m:t>583,000</m:t>
                  </m:r>
                  <m:r>
                    <w:rPr>
                      <w:rFonts w:ascii="Cambria Math" w:hAnsi="Cambria Math"/>
                    </w:rPr>
                    <m:t xml:space="preserve"> </m:t>
                  </m:r>
                </m:num>
                <m:den>
                  <m:r>
                    <m:rPr>
                      <m:sty m:val="p"/>
                    </m:rPr>
                    <w:rPr>
                      <w:rFonts w:ascii="Cambria Math" w:hAnsi="Cambria Math"/>
                    </w:rPr>
                    <m:t>4,307,000</m:t>
                  </m:r>
                </m:den>
              </m:f>
            </m:oMath>
            <w:r>
              <w:rPr>
                <w:rFonts w:eastAsiaTheme="minorEastAsia"/>
              </w:rPr>
              <w:t xml:space="preserve"> * 100</w:t>
            </w:r>
          </w:p>
          <w:p w14:paraId="0FAD7577" w14:textId="2E25E967" w:rsidR="00075150" w:rsidRPr="004939F1" w:rsidRDefault="00075150" w:rsidP="00A16907">
            <w:pPr>
              <w:rPr>
                <w:rFonts w:eastAsiaTheme="minorEastAsia"/>
              </w:rPr>
            </w:pPr>
            <w:r>
              <w:rPr>
                <w:rFonts w:eastAsiaTheme="minorEastAsia"/>
              </w:rPr>
              <w:t>= 13.54%</w:t>
            </w:r>
            <w:bookmarkEnd w:id="11"/>
          </w:p>
        </w:tc>
        <w:tc>
          <w:tcPr>
            <w:tcW w:w="4508" w:type="dxa"/>
          </w:tcPr>
          <w:p w14:paraId="0C800B22" w14:textId="5B320592" w:rsidR="00075150" w:rsidRDefault="00075150" w:rsidP="00A16907">
            <w:bookmarkStart w:id="12" w:name="_Hlk104151689"/>
            <w:r w:rsidRPr="00587E43">
              <w:rPr>
                <w:b/>
                <w:bCs/>
              </w:rPr>
              <w:t>For 2020</w:t>
            </w:r>
            <w:r>
              <w:t xml:space="preserve"> = </w:t>
            </w:r>
            <m:oMath>
              <m:f>
                <m:fPr>
                  <m:ctrlPr>
                    <w:rPr>
                      <w:rFonts w:ascii="Cambria Math" w:hAnsi="Cambria Math"/>
                      <w:i/>
                    </w:rPr>
                  </m:ctrlPr>
                </m:fPr>
                <m:num>
                  <m:r>
                    <m:rPr>
                      <m:sty m:val="p"/>
                    </m:rPr>
                    <w:rPr>
                      <w:rFonts w:ascii="Cambria Math" w:hAnsi="Cambria Math"/>
                    </w:rPr>
                    <m:t>2,435,000</m:t>
                  </m:r>
                  <m:r>
                    <w:rPr>
                      <w:rFonts w:ascii="Cambria Math" w:hAnsi="Cambria Math"/>
                    </w:rPr>
                    <m:t xml:space="preserve"> </m:t>
                  </m:r>
                </m:num>
                <m:den>
                  <m:r>
                    <m:rPr>
                      <m:sty m:val="p"/>
                    </m:rPr>
                    <w:rPr>
                      <w:rFonts w:ascii="Cambria Math" w:hAnsi="Cambria Math"/>
                    </w:rPr>
                    <m:t>9,452,000</m:t>
                  </m:r>
                </m:den>
              </m:f>
            </m:oMath>
            <w:r w:rsidR="002656EC">
              <w:rPr>
                <w:rFonts w:eastAsiaTheme="minorEastAsia"/>
              </w:rPr>
              <w:t xml:space="preserve"> </w:t>
            </w:r>
            <w:r>
              <w:rPr>
                <w:rFonts w:eastAsiaTheme="minorEastAsia"/>
              </w:rPr>
              <w:t>* 100</w:t>
            </w:r>
          </w:p>
          <w:p w14:paraId="2737D3F8" w14:textId="77791924" w:rsidR="00075150" w:rsidRDefault="00075150" w:rsidP="00A16907">
            <w:r>
              <w:t xml:space="preserve">= </w:t>
            </w:r>
            <w:r w:rsidR="002656EC">
              <w:rPr>
                <w:rFonts w:eastAsiaTheme="minorEastAsia"/>
              </w:rPr>
              <w:t>25.76%</w:t>
            </w:r>
            <w:bookmarkEnd w:id="12"/>
          </w:p>
        </w:tc>
      </w:tr>
      <w:tr w:rsidR="00075150" w14:paraId="5FD40A7A" w14:textId="77777777" w:rsidTr="00075150">
        <w:tc>
          <w:tcPr>
            <w:tcW w:w="9016" w:type="dxa"/>
            <w:gridSpan w:val="2"/>
            <w:shd w:val="clear" w:color="auto" w:fill="A8D08D" w:themeFill="accent6" w:themeFillTint="99"/>
          </w:tcPr>
          <w:p w14:paraId="571BC7FD" w14:textId="77777777" w:rsidR="00075150" w:rsidRPr="00A00ECA" w:rsidRDefault="00075150" w:rsidP="00A16907">
            <w:pPr>
              <w:jc w:val="center"/>
              <w:rPr>
                <w:b/>
                <w:bCs/>
              </w:rPr>
            </w:pPr>
            <w:bookmarkStart w:id="13" w:name="_Hlk104151829"/>
            <w:r w:rsidRPr="00A00ECA">
              <w:rPr>
                <w:b/>
                <w:bCs/>
              </w:rPr>
              <w:t xml:space="preserve">Net profit ratio = </w:t>
            </w:r>
            <m:oMath>
              <m:f>
                <m:fPr>
                  <m:ctrlPr>
                    <w:rPr>
                      <w:rFonts w:ascii="Cambria Math" w:hAnsi="Cambria Math"/>
                      <w:b/>
                      <w:bCs/>
                      <w:i/>
                    </w:rPr>
                  </m:ctrlPr>
                </m:fPr>
                <m:num>
                  <m:r>
                    <m:rPr>
                      <m:sty m:val="bi"/>
                    </m:rPr>
                    <w:rPr>
                      <w:rFonts w:ascii="Cambria Math" w:hAnsi="Cambria Math"/>
                    </w:rPr>
                    <m:t xml:space="preserve">Net Profit </m:t>
                  </m:r>
                </m:num>
                <m:den>
                  <m:r>
                    <m:rPr>
                      <m:sty m:val="bi"/>
                    </m:rPr>
                    <w:rPr>
                      <w:rFonts w:ascii="Cambria Math" w:hAnsi="Cambria Math"/>
                    </w:rPr>
                    <m:t>Net Sales</m:t>
                  </m:r>
                </m:den>
              </m:f>
            </m:oMath>
            <w:r w:rsidRPr="00A00ECA">
              <w:rPr>
                <w:rFonts w:eastAsiaTheme="minorEastAsia"/>
                <w:b/>
                <w:bCs/>
              </w:rPr>
              <w:t xml:space="preserve"> * 100</w:t>
            </w:r>
            <w:bookmarkEnd w:id="13"/>
          </w:p>
        </w:tc>
      </w:tr>
      <w:tr w:rsidR="00075150" w14:paraId="773DB716" w14:textId="77777777" w:rsidTr="00A16907">
        <w:tc>
          <w:tcPr>
            <w:tcW w:w="4508" w:type="dxa"/>
          </w:tcPr>
          <w:p w14:paraId="64A2D4CB" w14:textId="24298D84" w:rsidR="00075150" w:rsidRDefault="00075150" w:rsidP="00A16907">
            <w:pPr>
              <w:rPr>
                <w:rFonts w:eastAsiaTheme="minorEastAsia"/>
              </w:rPr>
            </w:pPr>
            <w:bookmarkStart w:id="14" w:name="_Hlk104151838"/>
            <w:r w:rsidRPr="00587E43">
              <w:rPr>
                <w:b/>
                <w:bCs/>
              </w:rPr>
              <w:t>For 2019</w:t>
            </w:r>
            <w:r>
              <w:t xml:space="preserve"> = </w:t>
            </w:r>
            <m:oMath>
              <m:f>
                <m:fPr>
                  <m:ctrlPr>
                    <w:rPr>
                      <w:rFonts w:ascii="Cambria Math" w:hAnsi="Cambria Math"/>
                      <w:i/>
                    </w:rPr>
                  </m:ctrlPr>
                </m:fPr>
                <m:num>
                  <m:r>
                    <m:rPr>
                      <m:sty m:val="p"/>
                    </m:rPr>
                    <w:rPr>
                      <w:rFonts w:ascii="Cambria Math" w:hAnsi="Cambria Math"/>
                    </w:rPr>
                    <m:t>9,452,000</m:t>
                  </m:r>
                  <m:r>
                    <w:rPr>
                      <w:rFonts w:ascii="Cambria Math" w:hAnsi="Cambria Math"/>
                    </w:rPr>
                    <m:t xml:space="preserve"> </m:t>
                  </m:r>
                </m:num>
                <m:den>
                  <m:r>
                    <m:rPr>
                      <m:sty m:val="p"/>
                    </m:rPr>
                    <w:rPr>
                      <w:rFonts w:ascii="Cambria Math" w:hAnsi="Cambria Math"/>
                    </w:rPr>
                    <m:t>881,000</m:t>
                  </m:r>
                </m:den>
              </m:f>
            </m:oMath>
            <w:r>
              <w:rPr>
                <w:rFonts w:eastAsiaTheme="minorEastAsia"/>
              </w:rPr>
              <w:t xml:space="preserve"> * 100</w:t>
            </w:r>
          </w:p>
          <w:p w14:paraId="55CA4DDB" w14:textId="47B24E50" w:rsidR="00075150" w:rsidRDefault="00075150" w:rsidP="00A16907">
            <w:r>
              <w:t xml:space="preserve">= </w:t>
            </w:r>
            <w:r w:rsidR="00C8799B">
              <w:t>10.73</w:t>
            </w:r>
            <w:r>
              <w:t>%</w:t>
            </w:r>
            <w:bookmarkEnd w:id="14"/>
          </w:p>
        </w:tc>
        <w:tc>
          <w:tcPr>
            <w:tcW w:w="4508" w:type="dxa"/>
          </w:tcPr>
          <w:p w14:paraId="4D19A9CB" w14:textId="5BBC0EAC" w:rsidR="00075150" w:rsidRDefault="00075150" w:rsidP="00A16907">
            <w:bookmarkStart w:id="15" w:name="_Hlk104151854"/>
            <w:r w:rsidRPr="00587E43">
              <w:rPr>
                <w:b/>
                <w:bCs/>
              </w:rPr>
              <w:t>For 2020</w:t>
            </w:r>
            <w:r>
              <w:t xml:space="preserve"> = </w:t>
            </w:r>
            <m:oMath>
              <m:f>
                <m:fPr>
                  <m:ctrlPr>
                    <w:rPr>
                      <w:rFonts w:ascii="Cambria Math" w:hAnsi="Cambria Math"/>
                      <w:i/>
                    </w:rPr>
                  </m:ctrlPr>
                </m:fPr>
                <m:num>
                  <m:r>
                    <m:rPr>
                      <m:sty m:val="p"/>
                    </m:rPr>
                    <w:rPr>
                      <w:rFonts w:ascii="Cambria Math" w:hAnsi="Cambria Math"/>
                    </w:rPr>
                    <m:t>-715,000</m:t>
                  </m:r>
                  <m:r>
                    <w:rPr>
                      <w:rFonts w:ascii="Cambria Math" w:hAnsi="Cambria Math"/>
                    </w:rPr>
                    <m:t xml:space="preserve"> </m:t>
                  </m:r>
                </m:num>
                <m:den>
                  <m:r>
                    <m:rPr>
                      <m:sty m:val="p"/>
                    </m:rPr>
                    <w:rPr>
                      <w:rFonts w:ascii="Cambria Math" w:hAnsi="Cambria Math"/>
                    </w:rPr>
                    <m:t>4,307,000</m:t>
                  </m:r>
                </m:den>
              </m:f>
            </m:oMath>
            <w:r>
              <w:rPr>
                <w:rFonts w:eastAsiaTheme="minorEastAsia"/>
              </w:rPr>
              <w:t xml:space="preserve"> * 100</w:t>
            </w:r>
          </w:p>
          <w:p w14:paraId="6C93A56A" w14:textId="58BF7DE2" w:rsidR="00075150" w:rsidRDefault="00075150" w:rsidP="00A16907">
            <w:r>
              <w:t xml:space="preserve">= </w:t>
            </w:r>
            <w:r w:rsidR="00C8799B">
              <w:t>-16.60</w:t>
            </w:r>
            <w:r>
              <w:t>%</w:t>
            </w:r>
            <w:bookmarkEnd w:id="15"/>
          </w:p>
        </w:tc>
      </w:tr>
    </w:tbl>
    <w:p w14:paraId="15A5B045" w14:textId="77777777" w:rsidR="00075150" w:rsidRDefault="00075150" w:rsidP="00075150"/>
    <w:p w14:paraId="1068027D" w14:textId="481D6F0A" w:rsidR="00075150" w:rsidRDefault="00BF4B2A" w:rsidP="00075150">
      <w:pPr>
        <w:rPr>
          <w:b/>
          <w:bCs/>
        </w:rPr>
      </w:pPr>
      <w:r>
        <w:rPr>
          <w:b/>
          <w:bCs/>
        </w:rPr>
        <w:t>Calculating</w:t>
      </w:r>
      <w:r w:rsidRPr="00A15727">
        <w:rPr>
          <w:b/>
          <w:bCs/>
        </w:rPr>
        <w:t xml:space="preserve"> </w:t>
      </w:r>
      <w:bookmarkStart w:id="16" w:name="_Hlk104151712"/>
      <w:bookmarkStart w:id="17" w:name="_Hlk104151906"/>
      <w:r w:rsidR="00075150" w:rsidRPr="00A15727">
        <w:rPr>
          <w:b/>
          <w:bCs/>
        </w:rPr>
        <w:t xml:space="preserve">the </w:t>
      </w:r>
      <w:r w:rsidR="00075150">
        <w:rPr>
          <w:b/>
          <w:bCs/>
        </w:rPr>
        <w:t>liquidity</w:t>
      </w:r>
      <w:r w:rsidR="00075150" w:rsidRPr="00A15727">
        <w:rPr>
          <w:b/>
          <w:bCs/>
        </w:rPr>
        <w:t xml:space="preserve"> ratio of </w:t>
      </w:r>
      <w:r w:rsidR="00D03234" w:rsidRPr="00D03234">
        <w:rPr>
          <w:b/>
          <w:bCs/>
        </w:rPr>
        <w:t>Hilton Worldwide Holdings Inc</w:t>
      </w:r>
      <w:r w:rsidR="00075150" w:rsidRPr="00A15727">
        <w:rPr>
          <w:b/>
          <w:bCs/>
        </w:rPr>
        <w:t>:</w:t>
      </w:r>
      <w:bookmarkEnd w:id="16"/>
    </w:p>
    <w:tbl>
      <w:tblPr>
        <w:tblStyle w:val="TableGrid"/>
        <w:tblW w:w="0" w:type="auto"/>
        <w:tblLook w:val="04A0" w:firstRow="1" w:lastRow="0" w:firstColumn="1" w:lastColumn="0" w:noHBand="0" w:noVBand="1"/>
      </w:tblPr>
      <w:tblGrid>
        <w:gridCol w:w="4508"/>
        <w:gridCol w:w="4508"/>
      </w:tblGrid>
      <w:tr w:rsidR="00075150" w14:paraId="494DBB6C" w14:textId="77777777" w:rsidTr="00075150">
        <w:tc>
          <w:tcPr>
            <w:tcW w:w="9016" w:type="dxa"/>
            <w:gridSpan w:val="2"/>
            <w:shd w:val="clear" w:color="auto" w:fill="A8D08D" w:themeFill="accent6" w:themeFillTint="99"/>
          </w:tcPr>
          <w:p w14:paraId="01342A77" w14:textId="11D44FDE" w:rsidR="00075150" w:rsidRPr="00A00ECA" w:rsidRDefault="00075150" w:rsidP="00A16907">
            <w:pPr>
              <w:jc w:val="center"/>
              <w:rPr>
                <w:b/>
                <w:bCs/>
              </w:rPr>
            </w:pPr>
            <w:bookmarkStart w:id="18" w:name="_Hlk104151761"/>
            <w:bookmarkEnd w:id="17"/>
            <w:r>
              <w:rPr>
                <w:b/>
                <w:bCs/>
              </w:rPr>
              <w:t>Current</w:t>
            </w:r>
            <w:r w:rsidRPr="00A00ECA">
              <w:rPr>
                <w:b/>
                <w:bCs/>
              </w:rPr>
              <w:t xml:space="preserve"> ratio = </w:t>
            </w:r>
            <m:oMath>
              <m:f>
                <m:fPr>
                  <m:ctrlPr>
                    <w:rPr>
                      <w:rFonts w:ascii="Cambria Math" w:hAnsi="Cambria Math"/>
                      <w:b/>
                      <w:bCs/>
                      <w:i/>
                    </w:rPr>
                  </m:ctrlPr>
                </m:fPr>
                <m:num>
                  <m:r>
                    <m:rPr>
                      <m:sty m:val="bi"/>
                    </m:rPr>
                    <w:rPr>
                      <w:rFonts w:ascii="Cambria Math" w:hAnsi="Cambria Math"/>
                    </w:rPr>
                    <m:t>Current Asets</m:t>
                  </m:r>
                </m:num>
                <m:den>
                  <m:r>
                    <m:rPr>
                      <m:sty m:val="bi"/>
                    </m:rPr>
                    <w:rPr>
                      <w:rFonts w:ascii="Cambria Math" w:hAnsi="Cambria Math"/>
                    </w:rPr>
                    <m:t>current Liability</m:t>
                  </m:r>
                </m:den>
              </m:f>
            </m:oMath>
            <w:r w:rsidRPr="00A00ECA">
              <w:rPr>
                <w:rFonts w:eastAsiaTheme="minorEastAsia"/>
                <w:b/>
                <w:bCs/>
              </w:rPr>
              <w:t xml:space="preserve"> </w:t>
            </w:r>
            <w:bookmarkEnd w:id="18"/>
          </w:p>
        </w:tc>
      </w:tr>
      <w:tr w:rsidR="00075150" w14:paraId="0E6F4978" w14:textId="77777777" w:rsidTr="00A16907">
        <w:tc>
          <w:tcPr>
            <w:tcW w:w="4508" w:type="dxa"/>
          </w:tcPr>
          <w:p w14:paraId="461BEDCF" w14:textId="07B2B2AB" w:rsidR="00075150" w:rsidRDefault="00075150" w:rsidP="00A16907">
            <w:pPr>
              <w:rPr>
                <w:rFonts w:eastAsiaTheme="minorEastAsia"/>
              </w:rPr>
            </w:pPr>
            <w:bookmarkStart w:id="19" w:name="_Hlk104151793"/>
            <w:r w:rsidRPr="00587E43">
              <w:rPr>
                <w:b/>
                <w:bCs/>
              </w:rPr>
              <w:t>For 2019</w:t>
            </w:r>
            <w:r>
              <w:t xml:space="preserve"> = </w:t>
            </w:r>
            <m:oMath>
              <m:f>
                <m:fPr>
                  <m:ctrlPr>
                    <w:rPr>
                      <w:rFonts w:ascii="Cambria Math" w:hAnsi="Cambria Math"/>
                      <w:i/>
                    </w:rPr>
                  </m:ctrlPr>
                </m:fPr>
                <m:num>
                  <m:r>
                    <m:rPr>
                      <m:sty m:val="p"/>
                    </m:rPr>
                    <w:rPr>
                      <w:rFonts w:ascii="Cambria Math" w:hAnsi="Cambria Math"/>
                    </w:rPr>
                    <m:t>2,093,000</m:t>
                  </m:r>
                  <m:r>
                    <w:rPr>
                      <w:rFonts w:ascii="Cambria Math" w:hAnsi="Cambria Math"/>
                    </w:rPr>
                    <m:t xml:space="preserve"> </m:t>
                  </m:r>
                </m:num>
                <m:den>
                  <m:r>
                    <m:rPr>
                      <m:sty m:val="p"/>
                    </m:rPr>
                    <w:rPr>
                      <w:rFonts w:ascii="Cambria Math" w:hAnsi="Cambria Math"/>
                    </w:rPr>
                    <m:t>2,871,000</m:t>
                  </m:r>
                </m:den>
              </m:f>
            </m:oMath>
            <w:r>
              <w:rPr>
                <w:rFonts w:eastAsiaTheme="minorEastAsia"/>
              </w:rPr>
              <w:t xml:space="preserve"> </w:t>
            </w:r>
          </w:p>
          <w:p w14:paraId="387EFFC2" w14:textId="27519E94" w:rsidR="00075150" w:rsidRPr="004939F1" w:rsidRDefault="00075150" w:rsidP="00A16907">
            <w:pPr>
              <w:rPr>
                <w:rFonts w:eastAsiaTheme="minorEastAsia"/>
              </w:rPr>
            </w:pPr>
            <w:r>
              <w:rPr>
                <w:rFonts w:eastAsiaTheme="minorEastAsia"/>
              </w:rPr>
              <w:t xml:space="preserve">= </w:t>
            </w:r>
            <w:r w:rsidR="0078035C">
              <w:rPr>
                <w:rFonts w:eastAsiaTheme="minorEastAsia"/>
              </w:rPr>
              <w:t>0.73</w:t>
            </w:r>
            <w:r>
              <w:rPr>
                <w:rFonts w:eastAsiaTheme="minorEastAsia"/>
              </w:rPr>
              <w:t>:1</w:t>
            </w:r>
            <w:bookmarkEnd w:id="19"/>
          </w:p>
        </w:tc>
        <w:tc>
          <w:tcPr>
            <w:tcW w:w="4508" w:type="dxa"/>
          </w:tcPr>
          <w:p w14:paraId="1A0D7EAD" w14:textId="103B30C3" w:rsidR="00297889" w:rsidRDefault="00075150" w:rsidP="00A16907">
            <w:pPr>
              <w:rPr>
                <w:rFonts w:eastAsiaTheme="minorEastAsia"/>
              </w:rPr>
            </w:pPr>
            <w:bookmarkStart w:id="20" w:name="_Hlk104151809"/>
            <w:r w:rsidRPr="00587E43">
              <w:rPr>
                <w:b/>
                <w:bCs/>
              </w:rPr>
              <w:t>For 2020</w:t>
            </w:r>
            <w:r>
              <w:t xml:space="preserve"> = </w:t>
            </w:r>
            <m:oMath>
              <m:f>
                <m:fPr>
                  <m:ctrlPr>
                    <w:rPr>
                      <w:rFonts w:ascii="Cambria Math" w:hAnsi="Cambria Math"/>
                      <w:i/>
                    </w:rPr>
                  </m:ctrlPr>
                </m:fPr>
                <m:num>
                  <m:r>
                    <m:rPr>
                      <m:sty m:val="p"/>
                    </m:rPr>
                    <w:rPr>
                      <w:rFonts w:ascii="Cambria Math" w:hAnsi="Cambria Math"/>
                    </w:rPr>
                    <m:t>4,202,000</m:t>
                  </m:r>
                </m:num>
                <m:den>
                  <m:r>
                    <m:rPr>
                      <m:sty m:val="p"/>
                    </m:rPr>
                    <w:rPr>
                      <w:rFonts w:ascii="Cambria Math" w:hAnsi="Cambria Math"/>
                    </w:rPr>
                    <m:t>2,431,000</m:t>
                  </m:r>
                </m:den>
              </m:f>
            </m:oMath>
            <w:r>
              <w:rPr>
                <w:rFonts w:eastAsiaTheme="minorEastAsia"/>
              </w:rPr>
              <w:t xml:space="preserve"> </w:t>
            </w:r>
          </w:p>
          <w:p w14:paraId="7B267BFB" w14:textId="43222AA6" w:rsidR="00075150" w:rsidRDefault="00075150" w:rsidP="00A16907">
            <w:r>
              <w:t xml:space="preserve">= </w:t>
            </w:r>
            <w:r w:rsidR="00297889">
              <w:t>1.73</w:t>
            </w:r>
            <w:r>
              <w:t>:1</w:t>
            </w:r>
            <w:bookmarkEnd w:id="20"/>
          </w:p>
        </w:tc>
      </w:tr>
    </w:tbl>
    <w:p w14:paraId="46650BCF" w14:textId="77777777" w:rsidR="00075150" w:rsidRDefault="00075150" w:rsidP="00075150">
      <w:pPr>
        <w:rPr>
          <w:b/>
          <w:bCs/>
        </w:rPr>
      </w:pPr>
    </w:p>
    <w:p w14:paraId="2D82EF47" w14:textId="3B6991D4" w:rsidR="00075150" w:rsidRDefault="00BF4B2A" w:rsidP="00075150">
      <w:pPr>
        <w:rPr>
          <w:b/>
          <w:bCs/>
        </w:rPr>
      </w:pPr>
      <w:r>
        <w:rPr>
          <w:b/>
          <w:bCs/>
        </w:rPr>
        <w:t>Calculating</w:t>
      </w:r>
      <w:r w:rsidRPr="00A15727">
        <w:rPr>
          <w:b/>
          <w:bCs/>
        </w:rPr>
        <w:t xml:space="preserve"> </w:t>
      </w:r>
      <w:r w:rsidR="00075150" w:rsidRPr="00A15727">
        <w:rPr>
          <w:b/>
          <w:bCs/>
        </w:rPr>
        <w:t xml:space="preserve">the </w:t>
      </w:r>
      <w:bookmarkStart w:id="21" w:name="_Hlk104151966"/>
      <w:r w:rsidR="00075150">
        <w:rPr>
          <w:b/>
          <w:bCs/>
        </w:rPr>
        <w:t>gearing</w:t>
      </w:r>
      <w:r w:rsidR="00075150" w:rsidRPr="00A15727">
        <w:rPr>
          <w:b/>
          <w:bCs/>
        </w:rPr>
        <w:t xml:space="preserve"> ratio of </w:t>
      </w:r>
      <w:r w:rsidR="00297889" w:rsidRPr="00D03234">
        <w:rPr>
          <w:b/>
          <w:bCs/>
        </w:rPr>
        <w:t>Hilton Worldwide Holdings Inc</w:t>
      </w:r>
      <w:r w:rsidR="00075150" w:rsidRPr="00A15727">
        <w:rPr>
          <w:b/>
          <w:bCs/>
        </w:rPr>
        <w:t>:</w:t>
      </w:r>
      <w:bookmarkEnd w:id="21"/>
    </w:p>
    <w:tbl>
      <w:tblPr>
        <w:tblStyle w:val="TableGrid"/>
        <w:tblW w:w="0" w:type="auto"/>
        <w:tblLook w:val="04A0" w:firstRow="1" w:lastRow="0" w:firstColumn="1" w:lastColumn="0" w:noHBand="0" w:noVBand="1"/>
      </w:tblPr>
      <w:tblGrid>
        <w:gridCol w:w="4508"/>
        <w:gridCol w:w="4508"/>
      </w:tblGrid>
      <w:tr w:rsidR="00075150" w14:paraId="21ADDFE1" w14:textId="77777777" w:rsidTr="00075150">
        <w:tc>
          <w:tcPr>
            <w:tcW w:w="9016" w:type="dxa"/>
            <w:gridSpan w:val="2"/>
            <w:shd w:val="clear" w:color="auto" w:fill="A8D08D" w:themeFill="accent6" w:themeFillTint="99"/>
          </w:tcPr>
          <w:p w14:paraId="13223091" w14:textId="77777777" w:rsidR="00075150" w:rsidRPr="00A00ECA" w:rsidRDefault="00075150" w:rsidP="00A16907">
            <w:pPr>
              <w:jc w:val="center"/>
              <w:rPr>
                <w:b/>
                <w:bCs/>
              </w:rPr>
            </w:pPr>
            <w:bookmarkStart w:id="22" w:name="_Hlk104151978"/>
            <w:r>
              <w:rPr>
                <w:b/>
                <w:bCs/>
              </w:rPr>
              <w:t>Gearing</w:t>
            </w:r>
            <w:r w:rsidRPr="00A00ECA">
              <w:rPr>
                <w:b/>
                <w:bCs/>
              </w:rPr>
              <w:t xml:space="preserve"> ratio = </w:t>
            </w:r>
            <m:oMath>
              <m:f>
                <m:fPr>
                  <m:ctrlPr>
                    <w:rPr>
                      <w:rFonts w:ascii="Cambria Math" w:hAnsi="Cambria Math"/>
                      <w:b/>
                      <w:bCs/>
                      <w:i/>
                    </w:rPr>
                  </m:ctrlPr>
                </m:fPr>
                <m:num>
                  <m:r>
                    <m:rPr>
                      <m:sty m:val="bi"/>
                    </m:rPr>
                    <w:rPr>
                      <w:rFonts w:ascii="Cambria Math" w:hAnsi="Cambria Math"/>
                    </w:rPr>
                    <m:t>Total Debt</m:t>
                  </m:r>
                </m:num>
                <m:den>
                  <m:r>
                    <m:rPr>
                      <m:sty m:val="bi"/>
                    </m:rPr>
                    <w:rPr>
                      <w:rFonts w:ascii="Cambria Math" w:hAnsi="Cambria Math"/>
                    </w:rPr>
                    <m:t>Total Assets</m:t>
                  </m:r>
                </m:den>
              </m:f>
            </m:oMath>
            <w:bookmarkEnd w:id="22"/>
            <w:r w:rsidRPr="00A00ECA">
              <w:rPr>
                <w:rFonts w:eastAsiaTheme="minorEastAsia"/>
                <w:b/>
                <w:bCs/>
              </w:rPr>
              <w:t xml:space="preserve"> </w:t>
            </w:r>
          </w:p>
        </w:tc>
      </w:tr>
      <w:tr w:rsidR="00075150" w14:paraId="212945F6" w14:textId="77777777" w:rsidTr="00A16907">
        <w:tc>
          <w:tcPr>
            <w:tcW w:w="4508" w:type="dxa"/>
          </w:tcPr>
          <w:p w14:paraId="26726CDE" w14:textId="7A2CAF03" w:rsidR="00075150" w:rsidRDefault="00075150" w:rsidP="00A16907">
            <w:pPr>
              <w:rPr>
                <w:rFonts w:eastAsiaTheme="minorEastAsia"/>
              </w:rPr>
            </w:pPr>
            <w:bookmarkStart w:id="23" w:name="_Hlk104151989"/>
            <w:r w:rsidRPr="00587E43">
              <w:rPr>
                <w:b/>
                <w:bCs/>
              </w:rPr>
              <w:t>For 2019</w:t>
            </w:r>
            <w:r>
              <w:t xml:space="preserve"> = </w:t>
            </w:r>
            <m:oMath>
              <m:f>
                <m:fPr>
                  <m:ctrlPr>
                    <w:rPr>
                      <w:rFonts w:ascii="Cambria Math" w:hAnsi="Cambria Math"/>
                      <w:i/>
                    </w:rPr>
                  </m:ctrlPr>
                </m:fPr>
                <m:num>
                  <m:r>
                    <m:rPr>
                      <m:sty m:val="p"/>
                    </m:rPr>
                    <w:rPr>
                      <w:rFonts w:ascii="Cambria Math" w:hAnsi="Cambria Math"/>
                    </w:rPr>
                    <m:t>15,429,000</m:t>
                  </m:r>
                </m:num>
                <m:den>
                  <m:r>
                    <m:rPr>
                      <m:sty m:val="p"/>
                    </m:rPr>
                    <w:rPr>
                      <w:rFonts w:ascii="Cambria Math" w:hAnsi="Cambria Math"/>
                    </w:rPr>
                    <m:t>14,957,000</m:t>
                  </m:r>
                </m:den>
              </m:f>
            </m:oMath>
            <w:r>
              <w:rPr>
                <w:rFonts w:eastAsiaTheme="minorEastAsia"/>
              </w:rPr>
              <w:t xml:space="preserve"> </w:t>
            </w:r>
          </w:p>
          <w:p w14:paraId="0EC747FC" w14:textId="6FCB704F" w:rsidR="00075150" w:rsidRPr="004939F1" w:rsidRDefault="00075150" w:rsidP="00A16907">
            <w:pPr>
              <w:rPr>
                <w:rFonts w:eastAsiaTheme="minorEastAsia"/>
              </w:rPr>
            </w:pPr>
            <w:r>
              <w:rPr>
                <w:rFonts w:eastAsiaTheme="minorEastAsia"/>
              </w:rPr>
              <w:t xml:space="preserve">= </w:t>
            </w:r>
            <w:r w:rsidR="002F40FA">
              <w:rPr>
                <w:rFonts w:eastAsiaTheme="minorEastAsia"/>
              </w:rPr>
              <w:t>103.16</w:t>
            </w:r>
            <w:r>
              <w:rPr>
                <w:rFonts w:eastAsiaTheme="minorEastAsia"/>
              </w:rPr>
              <w:t>%</w:t>
            </w:r>
            <w:bookmarkEnd w:id="23"/>
          </w:p>
        </w:tc>
        <w:tc>
          <w:tcPr>
            <w:tcW w:w="4508" w:type="dxa"/>
          </w:tcPr>
          <w:p w14:paraId="0E213F07" w14:textId="2928FDBD" w:rsidR="00075150" w:rsidRDefault="00075150" w:rsidP="00A16907">
            <w:bookmarkStart w:id="24" w:name="_Hlk104152003"/>
            <w:r w:rsidRPr="00587E43">
              <w:rPr>
                <w:b/>
                <w:bCs/>
              </w:rPr>
              <w:t>For 2020</w:t>
            </w:r>
            <w:r>
              <w:t xml:space="preserve"> = </w:t>
            </w:r>
            <m:oMath>
              <m:f>
                <m:fPr>
                  <m:ctrlPr>
                    <w:rPr>
                      <w:rFonts w:ascii="Cambria Math" w:hAnsi="Cambria Math"/>
                      <w:i/>
                    </w:rPr>
                  </m:ctrlPr>
                </m:fPr>
                <m:num>
                  <m:r>
                    <m:rPr>
                      <m:sty m:val="p"/>
                    </m:rPr>
                    <w:rPr>
                      <w:rFonts w:ascii="Cambria Math" w:hAnsi="Cambria Math"/>
                    </w:rPr>
                    <m:t>18,241,000</m:t>
                  </m:r>
                  <m:r>
                    <w:rPr>
                      <w:rFonts w:ascii="Cambria Math" w:hAnsi="Cambria Math"/>
                    </w:rPr>
                    <m:t xml:space="preserve"> </m:t>
                  </m:r>
                </m:num>
                <m:den>
                  <m:r>
                    <m:rPr>
                      <m:sty m:val="p"/>
                    </m:rPr>
                    <w:rPr>
                      <w:rFonts w:ascii="Cambria Math" w:hAnsi="Cambria Math"/>
                    </w:rPr>
                    <m:t>16,755,000</m:t>
                  </m:r>
                </m:den>
              </m:f>
            </m:oMath>
          </w:p>
          <w:p w14:paraId="2C7BB707" w14:textId="44E7F941" w:rsidR="00075150" w:rsidRDefault="00075150" w:rsidP="00A16907">
            <w:r>
              <w:t xml:space="preserve">= </w:t>
            </w:r>
            <w:r w:rsidR="006A1280">
              <w:t>108</w:t>
            </w:r>
            <w:r w:rsidR="000D635D">
              <w:t>.87</w:t>
            </w:r>
            <w:r>
              <w:t>%</w:t>
            </w:r>
            <w:bookmarkEnd w:id="24"/>
          </w:p>
        </w:tc>
      </w:tr>
      <w:tr w:rsidR="00075150" w14:paraId="55A9F8D6" w14:textId="77777777" w:rsidTr="00075150">
        <w:tc>
          <w:tcPr>
            <w:tcW w:w="9016" w:type="dxa"/>
            <w:gridSpan w:val="2"/>
            <w:shd w:val="clear" w:color="auto" w:fill="A8D08D" w:themeFill="accent6" w:themeFillTint="99"/>
          </w:tcPr>
          <w:p w14:paraId="476DAD9B" w14:textId="47E5D7A3" w:rsidR="00075150" w:rsidRPr="00587E43" w:rsidRDefault="001A77D6" w:rsidP="00A16907">
            <w:pPr>
              <w:jc w:val="center"/>
              <w:rPr>
                <w:b/>
                <w:bCs/>
              </w:rPr>
            </w:pPr>
            <w:bookmarkStart w:id="25" w:name="_Hlk104152022"/>
            <w:r>
              <w:rPr>
                <w:b/>
                <w:bCs/>
              </w:rPr>
              <w:t>D</w:t>
            </w:r>
            <w:r w:rsidR="00075150">
              <w:rPr>
                <w:b/>
                <w:bCs/>
              </w:rPr>
              <w:t>ebt to Equity</w:t>
            </w:r>
            <w:r w:rsidR="00075150" w:rsidRPr="00A00ECA">
              <w:rPr>
                <w:b/>
                <w:bCs/>
              </w:rPr>
              <w:t xml:space="preserve"> ratio = </w:t>
            </w:r>
            <m:oMath>
              <m:f>
                <m:fPr>
                  <m:ctrlPr>
                    <w:rPr>
                      <w:rFonts w:ascii="Cambria Math" w:hAnsi="Cambria Math"/>
                      <w:b/>
                      <w:bCs/>
                      <w:i/>
                    </w:rPr>
                  </m:ctrlPr>
                </m:fPr>
                <m:num>
                  <m:r>
                    <m:rPr>
                      <m:sty m:val="bi"/>
                    </m:rPr>
                    <w:rPr>
                      <w:rFonts w:ascii="Cambria Math" w:hAnsi="Cambria Math"/>
                    </w:rPr>
                    <m:t>Total Debt</m:t>
                  </m:r>
                </m:num>
                <m:den>
                  <m:r>
                    <m:rPr>
                      <m:sty m:val="bi"/>
                    </m:rPr>
                    <w:rPr>
                      <w:rFonts w:ascii="Cambria Math" w:hAnsi="Cambria Math"/>
                    </w:rPr>
                    <m:t>Shareholder</m:t>
                  </m:r>
                  <m:sSup>
                    <m:sSupPr>
                      <m:ctrlPr>
                        <w:rPr>
                          <w:rFonts w:ascii="Cambria Math" w:hAnsi="Cambria Math"/>
                          <w:b/>
                          <w:bCs/>
                          <w:i/>
                        </w:rPr>
                      </m:ctrlPr>
                    </m:sSupPr>
                    <m:e>
                      <m:r>
                        <m:rPr>
                          <m:sty m:val="bi"/>
                        </m:rPr>
                        <w:rPr>
                          <w:rFonts w:ascii="Cambria Math" w:hAnsi="Cambria Math"/>
                        </w:rPr>
                        <m:t>s</m:t>
                      </m:r>
                    </m:e>
                    <m:sup>
                      <m:r>
                        <m:rPr>
                          <m:sty m:val="bi"/>
                        </m:rPr>
                        <w:rPr>
                          <w:rFonts w:ascii="Cambria Math" w:hAnsi="Cambria Math"/>
                        </w:rPr>
                        <m:t>'</m:t>
                      </m:r>
                    </m:sup>
                  </m:sSup>
                  <m:r>
                    <m:rPr>
                      <m:sty m:val="bi"/>
                    </m:rPr>
                    <w:rPr>
                      <w:rFonts w:ascii="Cambria Math" w:hAnsi="Cambria Math"/>
                    </w:rPr>
                    <m:t>Equity</m:t>
                  </m:r>
                </m:den>
              </m:f>
            </m:oMath>
            <w:bookmarkEnd w:id="25"/>
          </w:p>
        </w:tc>
      </w:tr>
      <w:tr w:rsidR="00075150" w14:paraId="58427859" w14:textId="77777777" w:rsidTr="00A16907">
        <w:tc>
          <w:tcPr>
            <w:tcW w:w="4508" w:type="dxa"/>
          </w:tcPr>
          <w:p w14:paraId="74BC084C" w14:textId="0A1F0418" w:rsidR="00075150" w:rsidRDefault="00075150" w:rsidP="00A16907">
            <w:pPr>
              <w:rPr>
                <w:rFonts w:eastAsiaTheme="minorEastAsia"/>
              </w:rPr>
            </w:pPr>
            <w:bookmarkStart w:id="26" w:name="_Hlk104152031"/>
            <w:r w:rsidRPr="008D013C">
              <w:rPr>
                <w:b/>
                <w:bCs/>
              </w:rPr>
              <w:t>For 2019</w:t>
            </w:r>
            <w:r>
              <w:t xml:space="preserve"> = </w:t>
            </w:r>
            <m:oMath>
              <m:f>
                <m:fPr>
                  <m:ctrlPr>
                    <w:rPr>
                      <w:rFonts w:ascii="Cambria Math" w:hAnsi="Cambria Math"/>
                      <w:i/>
                    </w:rPr>
                  </m:ctrlPr>
                </m:fPr>
                <m:num>
                  <m:r>
                    <m:rPr>
                      <m:sty m:val="p"/>
                    </m:rPr>
                    <w:rPr>
                      <w:rFonts w:ascii="Cambria Math" w:hAnsi="Cambria Math"/>
                    </w:rPr>
                    <m:t>15,429,000</m:t>
                  </m:r>
                </m:num>
                <m:den>
                  <m:r>
                    <m:rPr>
                      <m:sty m:val="p"/>
                    </m:rPr>
                    <w:rPr>
                      <w:rFonts w:ascii="Cambria Math" w:hAnsi="Cambria Math"/>
                    </w:rPr>
                    <m:t xml:space="preserve">14,957,000 </m:t>
                  </m:r>
                </m:den>
              </m:f>
            </m:oMath>
            <w:r w:rsidR="008648CC">
              <w:rPr>
                <w:rFonts w:eastAsiaTheme="minorEastAsia"/>
              </w:rPr>
              <w:t xml:space="preserve"> </w:t>
            </w:r>
          </w:p>
          <w:p w14:paraId="6C9754A7" w14:textId="374B500B" w:rsidR="00075150" w:rsidRPr="00587E43" w:rsidRDefault="00075150" w:rsidP="00A16907">
            <w:r>
              <w:rPr>
                <w:rFonts w:eastAsiaTheme="minorEastAsia"/>
              </w:rPr>
              <w:t xml:space="preserve">= </w:t>
            </w:r>
            <w:r w:rsidR="008648CC">
              <w:rPr>
                <w:rFonts w:eastAsiaTheme="minorEastAsia"/>
              </w:rPr>
              <w:t>1.03</w:t>
            </w:r>
            <w:bookmarkEnd w:id="26"/>
          </w:p>
        </w:tc>
        <w:tc>
          <w:tcPr>
            <w:tcW w:w="4508" w:type="dxa"/>
          </w:tcPr>
          <w:p w14:paraId="04976D0E" w14:textId="09A7FB8F" w:rsidR="00075150" w:rsidRDefault="00075150" w:rsidP="00A16907">
            <w:pPr>
              <w:rPr>
                <w:rFonts w:eastAsiaTheme="minorEastAsia"/>
              </w:rPr>
            </w:pPr>
            <w:bookmarkStart w:id="27" w:name="_Hlk104152042"/>
            <w:r>
              <w:rPr>
                <w:b/>
                <w:bCs/>
              </w:rPr>
              <w:t xml:space="preserve">For 2020 </w:t>
            </w:r>
            <w:r>
              <w:t xml:space="preserve">= </w:t>
            </w:r>
            <m:oMath>
              <m:f>
                <m:fPr>
                  <m:ctrlPr>
                    <w:rPr>
                      <w:rFonts w:ascii="Cambria Math" w:hAnsi="Cambria Math"/>
                      <w:i/>
                    </w:rPr>
                  </m:ctrlPr>
                </m:fPr>
                <m:num>
                  <m:r>
                    <m:rPr>
                      <m:sty m:val="p"/>
                    </m:rPr>
                    <w:rPr>
                      <w:rFonts w:ascii="Cambria Math" w:hAnsi="Cambria Math"/>
                    </w:rPr>
                    <m:t>18,241,000</m:t>
                  </m:r>
                  <m:r>
                    <w:rPr>
                      <w:rFonts w:ascii="Cambria Math" w:hAnsi="Cambria Math"/>
                    </w:rPr>
                    <m:t xml:space="preserve"> </m:t>
                  </m:r>
                </m:num>
                <m:den>
                  <m:r>
                    <m:rPr>
                      <m:sty m:val="p"/>
                    </m:rPr>
                    <w:rPr>
                      <w:rFonts w:ascii="Cambria Math" w:hAnsi="Cambria Math"/>
                    </w:rPr>
                    <m:t>16,755,000</m:t>
                  </m:r>
                </m:den>
              </m:f>
            </m:oMath>
          </w:p>
          <w:p w14:paraId="403F523B" w14:textId="753946F1" w:rsidR="00075150" w:rsidRPr="00FF1E75" w:rsidRDefault="00075150" w:rsidP="00A16907">
            <w:r>
              <w:rPr>
                <w:rFonts w:eastAsiaTheme="minorEastAsia"/>
              </w:rPr>
              <w:t xml:space="preserve">= </w:t>
            </w:r>
            <w:r w:rsidR="00527266">
              <w:rPr>
                <w:rFonts w:eastAsiaTheme="minorEastAsia"/>
              </w:rPr>
              <w:t>1.09</w:t>
            </w:r>
            <w:bookmarkEnd w:id="27"/>
          </w:p>
        </w:tc>
      </w:tr>
    </w:tbl>
    <w:p w14:paraId="66DB0717" w14:textId="77777777" w:rsidR="00156879" w:rsidRDefault="00156879" w:rsidP="007F3A47">
      <w:pPr>
        <w:pStyle w:val="Heading2"/>
      </w:pPr>
      <w:bookmarkStart w:id="28" w:name="_Hlk104152056"/>
    </w:p>
    <w:p w14:paraId="0BF25940" w14:textId="77777777" w:rsidR="00156879" w:rsidRDefault="00156879">
      <w:pPr>
        <w:spacing w:after="160" w:line="259" w:lineRule="auto"/>
        <w:jc w:val="left"/>
        <w:rPr>
          <w:rFonts w:eastAsiaTheme="majorEastAsia" w:cstheme="majorBidi"/>
          <w:b/>
          <w:sz w:val="26"/>
          <w:szCs w:val="26"/>
        </w:rPr>
      </w:pPr>
      <w:r>
        <w:br w:type="page"/>
      </w:r>
    </w:p>
    <w:p w14:paraId="2448CCCD" w14:textId="7BABE162" w:rsidR="00E67E56" w:rsidRDefault="004821E1" w:rsidP="007F3A47">
      <w:pPr>
        <w:pStyle w:val="Heading2"/>
      </w:pPr>
      <w:bookmarkStart w:id="29" w:name="_Toc104559920"/>
      <w:r>
        <w:lastRenderedPageBreak/>
        <w:t xml:space="preserve">Trend analysis </w:t>
      </w:r>
      <w:r w:rsidR="00F12F5F">
        <w:t>from the ratios</w:t>
      </w:r>
      <w:bookmarkEnd w:id="29"/>
      <w:r w:rsidR="00F12F5F">
        <w:t xml:space="preserve"> </w:t>
      </w:r>
    </w:p>
    <w:p w14:paraId="608EAA33" w14:textId="1777909C" w:rsidR="007F3A47" w:rsidRDefault="007F3A47" w:rsidP="007F3A47">
      <w:pPr>
        <w:rPr>
          <w:b/>
          <w:bCs/>
        </w:rPr>
      </w:pPr>
      <w:bookmarkStart w:id="30" w:name="_Hlk104152074"/>
      <w:bookmarkEnd w:id="28"/>
      <w:r w:rsidRPr="007F3A47">
        <w:rPr>
          <w:b/>
          <w:bCs/>
        </w:rPr>
        <w:t>Profitability</w:t>
      </w:r>
      <w:r w:rsidR="00BF4B2A">
        <w:rPr>
          <w:b/>
          <w:bCs/>
        </w:rPr>
        <w:t xml:space="preserve"> Ratio </w:t>
      </w:r>
    </w:p>
    <w:tbl>
      <w:tblPr>
        <w:tblStyle w:val="TableGrid"/>
        <w:tblW w:w="0" w:type="auto"/>
        <w:jc w:val="center"/>
        <w:tblLook w:val="04A0" w:firstRow="1" w:lastRow="0" w:firstColumn="1" w:lastColumn="0" w:noHBand="0" w:noVBand="1"/>
      </w:tblPr>
      <w:tblGrid>
        <w:gridCol w:w="2175"/>
        <w:gridCol w:w="2175"/>
      </w:tblGrid>
      <w:tr w:rsidR="00457655" w14:paraId="774DD337" w14:textId="77777777" w:rsidTr="00457655">
        <w:trPr>
          <w:trHeight w:val="436"/>
          <w:jc w:val="center"/>
        </w:trPr>
        <w:tc>
          <w:tcPr>
            <w:tcW w:w="2175" w:type="dxa"/>
          </w:tcPr>
          <w:p w14:paraId="7DAB3B16" w14:textId="2B16D874" w:rsidR="00457655" w:rsidRPr="00587E43" w:rsidRDefault="00457655" w:rsidP="00407D89">
            <w:pPr>
              <w:jc w:val="center"/>
              <w:rPr>
                <w:b/>
                <w:bCs/>
              </w:rPr>
            </w:pPr>
            <w:r>
              <w:rPr>
                <w:b/>
                <w:bCs/>
              </w:rPr>
              <w:t>Year</w:t>
            </w:r>
          </w:p>
        </w:tc>
        <w:tc>
          <w:tcPr>
            <w:tcW w:w="2175" w:type="dxa"/>
          </w:tcPr>
          <w:p w14:paraId="2D06C204" w14:textId="292F2F52" w:rsidR="00457655" w:rsidRPr="00587E43" w:rsidRDefault="00457655" w:rsidP="00407D89">
            <w:pPr>
              <w:jc w:val="center"/>
              <w:rPr>
                <w:b/>
                <w:bCs/>
              </w:rPr>
            </w:pPr>
            <w:r w:rsidRPr="00A00ECA">
              <w:rPr>
                <w:b/>
                <w:bCs/>
              </w:rPr>
              <w:t>Gross profit</w:t>
            </w:r>
          </w:p>
        </w:tc>
      </w:tr>
      <w:tr w:rsidR="00457655" w14:paraId="08609461" w14:textId="77777777" w:rsidTr="00457655">
        <w:trPr>
          <w:trHeight w:val="436"/>
          <w:jc w:val="center"/>
        </w:trPr>
        <w:tc>
          <w:tcPr>
            <w:tcW w:w="2175" w:type="dxa"/>
          </w:tcPr>
          <w:p w14:paraId="2E18B084" w14:textId="3C523BDA" w:rsidR="00457655" w:rsidRPr="00587E43" w:rsidRDefault="00457655" w:rsidP="00407D89">
            <w:pPr>
              <w:jc w:val="center"/>
              <w:rPr>
                <w:b/>
                <w:bCs/>
              </w:rPr>
            </w:pPr>
            <w:r>
              <w:rPr>
                <w:b/>
                <w:bCs/>
              </w:rPr>
              <w:t>2019</w:t>
            </w:r>
          </w:p>
        </w:tc>
        <w:tc>
          <w:tcPr>
            <w:tcW w:w="2175" w:type="dxa"/>
          </w:tcPr>
          <w:p w14:paraId="04388C07" w14:textId="085E14C2" w:rsidR="00457655" w:rsidRPr="00587E43" w:rsidRDefault="00457655" w:rsidP="00407D89">
            <w:pPr>
              <w:jc w:val="center"/>
              <w:rPr>
                <w:b/>
                <w:bCs/>
              </w:rPr>
            </w:pPr>
            <w:r>
              <w:rPr>
                <w:rFonts w:eastAsiaTheme="minorEastAsia"/>
              </w:rPr>
              <w:t>13.54%</w:t>
            </w:r>
          </w:p>
        </w:tc>
      </w:tr>
      <w:tr w:rsidR="00156879" w14:paraId="36A2419D" w14:textId="77777777" w:rsidTr="00457655">
        <w:trPr>
          <w:trHeight w:val="436"/>
          <w:jc w:val="center"/>
        </w:trPr>
        <w:tc>
          <w:tcPr>
            <w:tcW w:w="2175" w:type="dxa"/>
          </w:tcPr>
          <w:p w14:paraId="566528F6" w14:textId="6C744925" w:rsidR="00156879" w:rsidRPr="004939F1" w:rsidRDefault="00457655" w:rsidP="00407D89">
            <w:pPr>
              <w:jc w:val="center"/>
              <w:rPr>
                <w:rFonts w:eastAsiaTheme="minorEastAsia"/>
              </w:rPr>
            </w:pPr>
            <w:r>
              <w:rPr>
                <w:b/>
                <w:bCs/>
              </w:rPr>
              <w:t>2020</w:t>
            </w:r>
            <w:r w:rsidR="00156879">
              <w:rPr>
                <w:rFonts w:eastAsiaTheme="minorEastAsia"/>
              </w:rPr>
              <w:t xml:space="preserve"> </w:t>
            </w:r>
          </w:p>
        </w:tc>
        <w:tc>
          <w:tcPr>
            <w:tcW w:w="2175" w:type="dxa"/>
          </w:tcPr>
          <w:p w14:paraId="3CD79CAC" w14:textId="4426F37F" w:rsidR="00156879" w:rsidRDefault="00156879" w:rsidP="00407D89">
            <w:pPr>
              <w:jc w:val="center"/>
            </w:pPr>
            <w:r>
              <w:rPr>
                <w:rFonts w:eastAsiaTheme="minorEastAsia"/>
              </w:rPr>
              <w:t>25.76%</w:t>
            </w:r>
          </w:p>
        </w:tc>
      </w:tr>
    </w:tbl>
    <w:bookmarkEnd w:id="30"/>
    <w:p w14:paraId="79B05A8B" w14:textId="3A5E4EFC" w:rsidR="007F3A47" w:rsidRDefault="007F3A47" w:rsidP="007F3A47">
      <w:r>
        <w:t xml:space="preserve">If the business firms can produce </w:t>
      </w:r>
      <w:r w:rsidR="005B65F8">
        <w:t xml:space="preserve">a higher profitability ratio, then it will ensure higher growth for the business firms. This means the business firms should concern </w:t>
      </w:r>
      <w:r w:rsidR="00E02706">
        <w:t>about</w:t>
      </w:r>
      <w:r w:rsidR="005B65F8">
        <w:t xml:space="preserve"> bringing higher profitability ratios as this </w:t>
      </w:r>
      <w:r w:rsidR="00E02706">
        <w:t>ensures</w:t>
      </w:r>
      <w:r w:rsidR="005B65F8">
        <w:t xml:space="preserve"> higher growth for the firm. Here in 2019, for (HLT) the gross profit was 13.54% and on the other hand, it was 25.76% in 2020. Though both the ratio is positive, here higher gross profit margin will ensure </w:t>
      </w:r>
      <w:r w:rsidR="00E02706">
        <w:t xml:space="preserve">the </w:t>
      </w:r>
      <w:r w:rsidR="005B65F8">
        <w:t xml:space="preserve">operational efficiency </w:t>
      </w:r>
      <w:r w:rsidR="00E02706">
        <w:t>of</w:t>
      </w:r>
      <w:r w:rsidR="005B65F8">
        <w:t xml:space="preserve"> the firm. Therefore, since in 2020 the gross profit is higher in (HLT)</w:t>
      </w:r>
      <w:r w:rsidR="00D26F4E">
        <w:t xml:space="preserve">, the firm has managed the cost of </w:t>
      </w:r>
      <w:r w:rsidR="00E02706">
        <w:t>goods</w:t>
      </w:r>
      <w:r w:rsidR="00D26F4E">
        <w:t xml:space="preserve"> sold effectively in that year. </w:t>
      </w:r>
    </w:p>
    <w:tbl>
      <w:tblPr>
        <w:tblStyle w:val="TableGrid"/>
        <w:tblW w:w="0" w:type="auto"/>
        <w:jc w:val="center"/>
        <w:tblLook w:val="04A0" w:firstRow="1" w:lastRow="0" w:firstColumn="1" w:lastColumn="0" w:noHBand="0" w:noVBand="1"/>
      </w:tblPr>
      <w:tblGrid>
        <w:gridCol w:w="2175"/>
        <w:gridCol w:w="2175"/>
      </w:tblGrid>
      <w:tr w:rsidR="00457655" w14:paraId="03A4C2C0" w14:textId="77777777" w:rsidTr="00A616DF">
        <w:trPr>
          <w:trHeight w:val="436"/>
          <w:jc w:val="center"/>
        </w:trPr>
        <w:tc>
          <w:tcPr>
            <w:tcW w:w="2175" w:type="dxa"/>
          </w:tcPr>
          <w:p w14:paraId="01C7C246" w14:textId="77777777" w:rsidR="00457655" w:rsidRPr="00587E43" w:rsidRDefault="00457655" w:rsidP="00A616DF">
            <w:pPr>
              <w:jc w:val="center"/>
              <w:rPr>
                <w:b/>
                <w:bCs/>
              </w:rPr>
            </w:pPr>
            <w:r>
              <w:rPr>
                <w:b/>
                <w:bCs/>
              </w:rPr>
              <w:t>Year</w:t>
            </w:r>
          </w:p>
        </w:tc>
        <w:tc>
          <w:tcPr>
            <w:tcW w:w="2175" w:type="dxa"/>
          </w:tcPr>
          <w:p w14:paraId="6774B731" w14:textId="152F8CDE" w:rsidR="00457655" w:rsidRPr="00587E43" w:rsidRDefault="00457655" w:rsidP="00A616DF">
            <w:pPr>
              <w:jc w:val="center"/>
              <w:rPr>
                <w:b/>
                <w:bCs/>
              </w:rPr>
            </w:pPr>
            <w:r>
              <w:rPr>
                <w:b/>
                <w:bCs/>
              </w:rPr>
              <w:t>Net</w:t>
            </w:r>
            <w:r w:rsidRPr="00A00ECA">
              <w:rPr>
                <w:b/>
                <w:bCs/>
              </w:rPr>
              <w:t xml:space="preserve"> profit</w:t>
            </w:r>
          </w:p>
        </w:tc>
      </w:tr>
      <w:tr w:rsidR="00457655" w14:paraId="15D2230E" w14:textId="77777777" w:rsidTr="00A616DF">
        <w:trPr>
          <w:trHeight w:val="436"/>
          <w:jc w:val="center"/>
        </w:trPr>
        <w:tc>
          <w:tcPr>
            <w:tcW w:w="2175" w:type="dxa"/>
          </w:tcPr>
          <w:p w14:paraId="62CFF21A" w14:textId="77777777" w:rsidR="00457655" w:rsidRPr="00587E43" w:rsidRDefault="00457655" w:rsidP="00A616DF">
            <w:pPr>
              <w:jc w:val="center"/>
              <w:rPr>
                <w:b/>
                <w:bCs/>
              </w:rPr>
            </w:pPr>
            <w:r>
              <w:rPr>
                <w:b/>
                <w:bCs/>
              </w:rPr>
              <w:t>2019</w:t>
            </w:r>
          </w:p>
        </w:tc>
        <w:tc>
          <w:tcPr>
            <w:tcW w:w="2175" w:type="dxa"/>
          </w:tcPr>
          <w:p w14:paraId="5E87ABAE" w14:textId="09B9FCA3" w:rsidR="00457655" w:rsidRPr="00587E43" w:rsidRDefault="00457655" w:rsidP="00A616DF">
            <w:pPr>
              <w:jc w:val="center"/>
              <w:rPr>
                <w:b/>
                <w:bCs/>
              </w:rPr>
            </w:pPr>
            <w:r>
              <w:t>10.73%</w:t>
            </w:r>
          </w:p>
        </w:tc>
      </w:tr>
      <w:tr w:rsidR="00457655" w14:paraId="5BECCE1A" w14:textId="77777777" w:rsidTr="00A616DF">
        <w:trPr>
          <w:trHeight w:val="436"/>
          <w:jc w:val="center"/>
        </w:trPr>
        <w:tc>
          <w:tcPr>
            <w:tcW w:w="2175" w:type="dxa"/>
          </w:tcPr>
          <w:p w14:paraId="399798B1" w14:textId="77777777" w:rsidR="00457655" w:rsidRPr="004939F1" w:rsidRDefault="00457655" w:rsidP="00A616DF">
            <w:pPr>
              <w:jc w:val="center"/>
              <w:rPr>
                <w:rFonts w:eastAsiaTheme="minorEastAsia"/>
              </w:rPr>
            </w:pPr>
            <w:r>
              <w:rPr>
                <w:b/>
                <w:bCs/>
              </w:rPr>
              <w:t>2020</w:t>
            </w:r>
            <w:r>
              <w:rPr>
                <w:rFonts w:eastAsiaTheme="minorEastAsia"/>
              </w:rPr>
              <w:t xml:space="preserve"> </w:t>
            </w:r>
          </w:p>
        </w:tc>
        <w:tc>
          <w:tcPr>
            <w:tcW w:w="2175" w:type="dxa"/>
          </w:tcPr>
          <w:p w14:paraId="07C99885" w14:textId="11D8DA1B" w:rsidR="00457655" w:rsidRDefault="00457655" w:rsidP="00A616DF">
            <w:pPr>
              <w:jc w:val="center"/>
            </w:pPr>
            <w:r>
              <w:t>-16.60%</w:t>
            </w:r>
          </w:p>
        </w:tc>
      </w:tr>
    </w:tbl>
    <w:p w14:paraId="123648B0" w14:textId="32066E21" w:rsidR="00845D12" w:rsidRDefault="00845D12" w:rsidP="007F3A47">
      <w:r>
        <w:t xml:space="preserve">Again, in 2019, for (HLT) the net profit was 10.73% and it was -16.60%. This means the firm has managed </w:t>
      </w:r>
      <w:r w:rsidR="00E02706">
        <w:t>its</w:t>
      </w:r>
      <w:r>
        <w:t xml:space="preserve"> </w:t>
      </w:r>
      <w:r w:rsidR="00E02706">
        <w:t>operating</w:t>
      </w:r>
      <w:r>
        <w:t xml:space="preserve"> expenses in 2019 but the firm could not manage its </w:t>
      </w:r>
      <w:r w:rsidR="00E02706">
        <w:t>operating</w:t>
      </w:r>
      <w:r>
        <w:t xml:space="preserve"> expenses in 2020 therefore, the firm could manage to produce </w:t>
      </w:r>
      <w:r w:rsidR="00E02706">
        <w:t xml:space="preserve">a </w:t>
      </w:r>
      <w:r>
        <w:t xml:space="preserve">net profit in 2020. Since the firm has managed to produce a higher gross profit in 2020 but could not manage to produce a higher net profit in 2020, the firm must have made wrong decisions in terms of operational expenses. So, here the firm must have to ensure that the operational expenses are managed properly so that the firm can produce a good profit in all the years. </w:t>
      </w:r>
    </w:p>
    <w:p w14:paraId="31617BE9" w14:textId="75D61575" w:rsidR="00BF4B2A" w:rsidRDefault="00BF4B2A" w:rsidP="007F3A47">
      <w:pPr>
        <w:rPr>
          <w:b/>
          <w:bCs/>
        </w:rPr>
      </w:pPr>
      <w:bookmarkStart w:id="31" w:name="_Hlk104152082"/>
      <w:r w:rsidRPr="00BF4B2A">
        <w:rPr>
          <w:b/>
          <w:bCs/>
        </w:rPr>
        <w:t xml:space="preserve">Liquidity Ratio </w:t>
      </w:r>
    </w:p>
    <w:tbl>
      <w:tblPr>
        <w:tblStyle w:val="TableGrid"/>
        <w:tblW w:w="0" w:type="auto"/>
        <w:jc w:val="center"/>
        <w:tblLook w:val="04A0" w:firstRow="1" w:lastRow="0" w:firstColumn="1" w:lastColumn="0" w:noHBand="0" w:noVBand="1"/>
      </w:tblPr>
      <w:tblGrid>
        <w:gridCol w:w="2175"/>
        <w:gridCol w:w="2175"/>
      </w:tblGrid>
      <w:tr w:rsidR="00D54E13" w14:paraId="0BADD9B9" w14:textId="77777777" w:rsidTr="00A616DF">
        <w:trPr>
          <w:trHeight w:val="436"/>
          <w:jc w:val="center"/>
        </w:trPr>
        <w:tc>
          <w:tcPr>
            <w:tcW w:w="2175" w:type="dxa"/>
          </w:tcPr>
          <w:p w14:paraId="35FB74E5" w14:textId="77777777" w:rsidR="00D54E13" w:rsidRPr="00587E43" w:rsidRDefault="00D54E13" w:rsidP="00A616DF">
            <w:pPr>
              <w:jc w:val="center"/>
              <w:rPr>
                <w:b/>
                <w:bCs/>
              </w:rPr>
            </w:pPr>
            <w:r>
              <w:rPr>
                <w:b/>
                <w:bCs/>
              </w:rPr>
              <w:t>Year</w:t>
            </w:r>
          </w:p>
        </w:tc>
        <w:tc>
          <w:tcPr>
            <w:tcW w:w="2175" w:type="dxa"/>
          </w:tcPr>
          <w:p w14:paraId="0AC03B41" w14:textId="1FB67331" w:rsidR="00D54E13" w:rsidRPr="00587E43" w:rsidRDefault="00D54E13" w:rsidP="00A616DF">
            <w:pPr>
              <w:jc w:val="center"/>
              <w:rPr>
                <w:b/>
                <w:bCs/>
              </w:rPr>
            </w:pPr>
            <w:r>
              <w:rPr>
                <w:b/>
                <w:bCs/>
              </w:rPr>
              <w:t>Liquidity Ratio</w:t>
            </w:r>
          </w:p>
        </w:tc>
      </w:tr>
      <w:tr w:rsidR="00D54E13" w14:paraId="1642F2D1" w14:textId="77777777" w:rsidTr="00A616DF">
        <w:trPr>
          <w:trHeight w:val="436"/>
          <w:jc w:val="center"/>
        </w:trPr>
        <w:tc>
          <w:tcPr>
            <w:tcW w:w="2175" w:type="dxa"/>
          </w:tcPr>
          <w:p w14:paraId="27864F06" w14:textId="77777777" w:rsidR="00D54E13" w:rsidRPr="00587E43" w:rsidRDefault="00D54E13" w:rsidP="00A616DF">
            <w:pPr>
              <w:jc w:val="center"/>
              <w:rPr>
                <w:b/>
                <w:bCs/>
              </w:rPr>
            </w:pPr>
            <w:r>
              <w:rPr>
                <w:b/>
                <w:bCs/>
              </w:rPr>
              <w:t>2019</w:t>
            </w:r>
          </w:p>
        </w:tc>
        <w:tc>
          <w:tcPr>
            <w:tcW w:w="2175" w:type="dxa"/>
          </w:tcPr>
          <w:p w14:paraId="66925139" w14:textId="0F675D3C" w:rsidR="00D54E13" w:rsidRPr="00587E43" w:rsidRDefault="00D54E13" w:rsidP="00A616DF">
            <w:pPr>
              <w:jc w:val="center"/>
              <w:rPr>
                <w:b/>
                <w:bCs/>
              </w:rPr>
            </w:pPr>
            <w:r>
              <w:rPr>
                <w:rFonts w:eastAsiaTheme="minorEastAsia"/>
              </w:rPr>
              <w:t>0.73:1</w:t>
            </w:r>
          </w:p>
        </w:tc>
      </w:tr>
      <w:tr w:rsidR="00D54E13" w14:paraId="77EFCD5C" w14:textId="77777777" w:rsidTr="00A616DF">
        <w:trPr>
          <w:trHeight w:val="436"/>
          <w:jc w:val="center"/>
        </w:trPr>
        <w:tc>
          <w:tcPr>
            <w:tcW w:w="2175" w:type="dxa"/>
          </w:tcPr>
          <w:p w14:paraId="216A001D" w14:textId="77777777" w:rsidR="00D54E13" w:rsidRPr="004939F1" w:rsidRDefault="00D54E13" w:rsidP="00A616DF">
            <w:pPr>
              <w:jc w:val="center"/>
              <w:rPr>
                <w:rFonts w:eastAsiaTheme="minorEastAsia"/>
              </w:rPr>
            </w:pPr>
            <w:r>
              <w:rPr>
                <w:b/>
                <w:bCs/>
              </w:rPr>
              <w:t>2020</w:t>
            </w:r>
            <w:r>
              <w:rPr>
                <w:rFonts w:eastAsiaTheme="minorEastAsia"/>
              </w:rPr>
              <w:t xml:space="preserve"> </w:t>
            </w:r>
          </w:p>
        </w:tc>
        <w:tc>
          <w:tcPr>
            <w:tcW w:w="2175" w:type="dxa"/>
          </w:tcPr>
          <w:p w14:paraId="7A93173F" w14:textId="58C25AC9" w:rsidR="00D54E13" w:rsidRDefault="00D54E13" w:rsidP="00A616DF">
            <w:pPr>
              <w:jc w:val="center"/>
            </w:pPr>
            <w:r>
              <w:t>1.73:1</w:t>
            </w:r>
          </w:p>
        </w:tc>
      </w:tr>
    </w:tbl>
    <w:bookmarkEnd w:id="31"/>
    <w:p w14:paraId="4E23924D" w14:textId="5AE51AD7" w:rsidR="00BF4B2A" w:rsidRDefault="00CC5759" w:rsidP="00BF4B2A">
      <w:pPr>
        <w:rPr>
          <w:rFonts w:eastAsiaTheme="minorEastAsia"/>
        </w:rPr>
      </w:pPr>
      <w:r>
        <w:t xml:space="preserve">There is a benchmark for the liquidity ratio and if the business firms cannot maintain the liquidity </w:t>
      </w:r>
      <w:r w:rsidR="0060736C">
        <w:t>ratio,</w:t>
      </w:r>
      <w:r>
        <w:t xml:space="preserve"> then it will be tough for the business firms to settle the current liabilities and </w:t>
      </w:r>
      <w:r w:rsidR="000E0315">
        <w:t xml:space="preserve">invest </w:t>
      </w:r>
      <w:r w:rsidR="00E02706">
        <w:t>in</w:t>
      </w:r>
      <w:r w:rsidR="000E0315">
        <w:t xml:space="preserve"> the operational expenses. </w:t>
      </w:r>
      <w:r w:rsidR="0060736C">
        <w:t xml:space="preserve">It is necessary to ensure that the current asset ratio for any hotel business must be close to 1.5:1. If the current asset ratio fluctuates more than the standard ratio then the </w:t>
      </w:r>
      <w:r w:rsidR="0060736C">
        <w:lastRenderedPageBreak/>
        <w:t xml:space="preserve">firm faces difficulties in terms of settling the liabilities or investing </w:t>
      </w:r>
      <w:r w:rsidR="00E02706">
        <w:t>in</w:t>
      </w:r>
      <w:r w:rsidR="0060736C">
        <w:t xml:space="preserve"> the operational expenses. In 2019, for (HLT) the current asset ratio is </w:t>
      </w:r>
      <w:r w:rsidR="0060736C">
        <w:rPr>
          <w:rFonts w:eastAsiaTheme="minorEastAsia"/>
        </w:rPr>
        <w:t xml:space="preserve">0.73:1 and in 2020, it is 1.73:1. </w:t>
      </w:r>
      <w:r w:rsidR="00E6294B">
        <w:rPr>
          <w:rFonts w:eastAsiaTheme="minorEastAsia"/>
        </w:rPr>
        <w:t xml:space="preserve">It can be seen that the ratio of current </w:t>
      </w:r>
      <w:r w:rsidR="00E02706">
        <w:rPr>
          <w:rFonts w:eastAsiaTheme="minorEastAsia"/>
        </w:rPr>
        <w:t>assets</w:t>
      </w:r>
      <w:r w:rsidR="00E6294B">
        <w:rPr>
          <w:rFonts w:eastAsiaTheme="minorEastAsia"/>
        </w:rPr>
        <w:t xml:space="preserve"> </w:t>
      </w:r>
      <w:r w:rsidR="00E02706">
        <w:rPr>
          <w:rFonts w:eastAsiaTheme="minorEastAsia"/>
        </w:rPr>
        <w:t>in</w:t>
      </w:r>
      <w:r w:rsidR="00E6294B">
        <w:rPr>
          <w:rFonts w:eastAsiaTheme="minorEastAsia"/>
        </w:rPr>
        <w:t xml:space="preserve"> 2019 is close to the standard one. On the other hand, in 2020 the ratio of current </w:t>
      </w:r>
      <w:r w:rsidR="00E02706">
        <w:rPr>
          <w:rFonts w:eastAsiaTheme="minorEastAsia"/>
        </w:rPr>
        <w:t>assets</w:t>
      </w:r>
      <w:r w:rsidR="00E6294B">
        <w:rPr>
          <w:rFonts w:eastAsiaTheme="minorEastAsia"/>
        </w:rPr>
        <w:t xml:space="preserve"> is not close to the standard one. Therefore, the current asset ratio will not support the business activities for (HLT) in 2020. The firm</w:t>
      </w:r>
      <w:r w:rsidR="00E02706">
        <w:rPr>
          <w:rFonts w:eastAsiaTheme="minorEastAsia"/>
        </w:rPr>
        <w:t>,</w:t>
      </w:r>
      <w:r w:rsidR="00E6294B">
        <w:rPr>
          <w:rFonts w:eastAsiaTheme="minorEastAsia"/>
        </w:rPr>
        <w:t xml:space="preserve"> in this case, needs to handle the current asset and also needs to focus on improving the current asset for the firm. </w:t>
      </w:r>
    </w:p>
    <w:p w14:paraId="7911EC39" w14:textId="11A84975" w:rsidR="003F206F" w:rsidRPr="003F206F" w:rsidRDefault="003F206F" w:rsidP="00BF4B2A">
      <w:pPr>
        <w:rPr>
          <w:rFonts w:eastAsiaTheme="minorEastAsia"/>
          <w:b/>
          <w:bCs/>
        </w:rPr>
      </w:pPr>
      <w:bookmarkStart w:id="32" w:name="_Hlk104152090"/>
      <w:r w:rsidRPr="003F206F">
        <w:rPr>
          <w:rFonts w:eastAsiaTheme="minorEastAsia"/>
          <w:b/>
          <w:bCs/>
        </w:rPr>
        <w:t>Gearing Ratio</w:t>
      </w:r>
    </w:p>
    <w:tbl>
      <w:tblPr>
        <w:tblStyle w:val="TableGrid"/>
        <w:tblW w:w="0" w:type="auto"/>
        <w:jc w:val="center"/>
        <w:tblLook w:val="04A0" w:firstRow="1" w:lastRow="0" w:firstColumn="1" w:lastColumn="0" w:noHBand="0" w:noVBand="1"/>
      </w:tblPr>
      <w:tblGrid>
        <w:gridCol w:w="2175"/>
        <w:gridCol w:w="2175"/>
      </w:tblGrid>
      <w:tr w:rsidR="00D5110F" w14:paraId="10F285D1" w14:textId="77777777" w:rsidTr="00A616DF">
        <w:trPr>
          <w:trHeight w:val="436"/>
          <w:jc w:val="center"/>
        </w:trPr>
        <w:tc>
          <w:tcPr>
            <w:tcW w:w="2175" w:type="dxa"/>
          </w:tcPr>
          <w:bookmarkEnd w:id="32"/>
          <w:p w14:paraId="3D151466" w14:textId="77777777" w:rsidR="00D5110F" w:rsidRPr="00587E43" w:rsidRDefault="00D5110F" w:rsidP="00A616DF">
            <w:pPr>
              <w:jc w:val="center"/>
              <w:rPr>
                <w:b/>
                <w:bCs/>
              </w:rPr>
            </w:pPr>
            <w:r>
              <w:rPr>
                <w:b/>
                <w:bCs/>
              </w:rPr>
              <w:t>Year</w:t>
            </w:r>
          </w:p>
        </w:tc>
        <w:tc>
          <w:tcPr>
            <w:tcW w:w="2175" w:type="dxa"/>
          </w:tcPr>
          <w:p w14:paraId="6CBC5AC1" w14:textId="0D50368E" w:rsidR="00D5110F" w:rsidRPr="00587E43" w:rsidRDefault="00D5110F" w:rsidP="00A616DF">
            <w:pPr>
              <w:jc w:val="center"/>
              <w:rPr>
                <w:b/>
                <w:bCs/>
              </w:rPr>
            </w:pPr>
            <w:r>
              <w:rPr>
                <w:b/>
                <w:bCs/>
              </w:rPr>
              <w:t>Gearing Ratio</w:t>
            </w:r>
          </w:p>
        </w:tc>
      </w:tr>
      <w:tr w:rsidR="00D5110F" w14:paraId="48E228E1" w14:textId="77777777" w:rsidTr="00A616DF">
        <w:trPr>
          <w:trHeight w:val="436"/>
          <w:jc w:val="center"/>
        </w:trPr>
        <w:tc>
          <w:tcPr>
            <w:tcW w:w="2175" w:type="dxa"/>
          </w:tcPr>
          <w:p w14:paraId="43046563" w14:textId="77777777" w:rsidR="00D5110F" w:rsidRPr="00587E43" w:rsidRDefault="00D5110F" w:rsidP="00A616DF">
            <w:pPr>
              <w:jc w:val="center"/>
              <w:rPr>
                <w:b/>
                <w:bCs/>
              </w:rPr>
            </w:pPr>
            <w:r>
              <w:rPr>
                <w:b/>
                <w:bCs/>
              </w:rPr>
              <w:t>2019</w:t>
            </w:r>
          </w:p>
        </w:tc>
        <w:tc>
          <w:tcPr>
            <w:tcW w:w="2175" w:type="dxa"/>
          </w:tcPr>
          <w:p w14:paraId="1AB2653A" w14:textId="41384B8A" w:rsidR="00D5110F" w:rsidRPr="00587E43" w:rsidRDefault="00D5110F" w:rsidP="00A616DF">
            <w:pPr>
              <w:jc w:val="center"/>
              <w:rPr>
                <w:b/>
                <w:bCs/>
              </w:rPr>
            </w:pPr>
            <w:r>
              <w:rPr>
                <w:rFonts w:eastAsiaTheme="minorEastAsia"/>
              </w:rPr>
              <w:t>103.16%</w:t>
            </w:r>
          </w:p>
        </w:tc>
      </w:tr>
      <w:tr w:rsidR="00D5110F" w14:paraId="08B9DBA7" w14:textId="77777777" w:rsidTr="00A616DF">
        <w:trPr>
          <w:trHeight w:val="436"/>
          <w:jc w:val="center"/>
        </w:trPr>
        <w:tc>
          <w:tcPr>
            <w:tcW w:w="2175" w:type="dxa"/>
          </w:tcPr>
          <w:p w14:paraId="27470C2B" w14:textId="77777777" w:rsidR="00D5110F" w:rsidRPr="004939F1" w:rsidRDefault="00D5110F" w:rsidP="00A616DF">
            <w:pPr>
              <w:jc w:val="center"/>
              <w:rPr>
                <w:rFonts w:eastAsiaTheme="minorEastAsia"/>
              </w:rPr>
            </w:pPr>
            <w:r>
              <w:rPr>
                <w:b/>
                <w:bCs/>
              </w:rPr>
              <w:t>2020</w:t>
            </w:r>
            <w:r>
              <w:rPr>
                <w:rFonts w:eastAsiaTheme="minorEastAsia"/>
              </w:rPr>
              <w:t xml:space="preserve"> </w:t>
            </w:r>
          </w:p>
        </w:tc>
        <w:tc>
          <w:tcPr>
            <w:tcW w:w="2175" w:type="dxa"/>
          </w:tcPr>
          <w:p w14:paraId="6BAA8B96" w14:textId="22E6AE2C" w:rsidR="00D5110F" w:rsidRDefault="00D5110F" w:rsidP="00A616DF">
            <w:pPr>
              <w:jc w:val="center"/>
            </w:pPr>
            <w:r>
              <w:rPr>
                <w:rFonts w:eastAsiaTheme="minorEastAsia"/>
              </w:rPr>
              <w:t>108.87%</w:t>
            </w:r>
          </w:p>
        </w:tc>
      </w:tr>
    </w:tbl>
    <w:p w14:paraId="0016C0D6" w14:textId="5D2C4758" w:rsidR="003F206F" w:rsidRDefault="003907EE" w:rsidP="00BF4B2A">
      <w:pPr>
        <w:rPr>
          <w:rFonts w:eastAsiaTheme="minorEastAsia"/>
        </w:rPr>
      </w:pPr>
      <w:r>
        <w:t xml:space="preserve">The benchmark for the gearing ratio has been set </w:t>
      </w:r>
      <w:r w:rsidR="00E02706">
        <w:t xml:space="preserve">at </w:t>
      </w:r>
      <w:r>
        <w:t xml:space="preserve">25%-50%. Here if the business </w:t>
      </w:r>
      <w:r w:rsidR="00E02706">
        <w:t>firm</w:t>
      </w:r>
      <w:r>
        <w:t xml:space="preserve"> can keep </w:t>
      </w:r>
      <w:r w:rsidR="00E02706">
        <w:t>its</w:t>
      </w:r>
      <w:r>
        <w:t xml:space="preserve"> gearing ratio between this </w:t>
      </w:r>
      <w:r w:rsidR="006B5EA2">
        <w:t>benchmark,</w:t>
      </w:r>
      <w:r>
        <w:t xml:space="preserve"> then the firm will be successful in terms of managing the assets and liabilities. </w:t>
      </w:r>
      <w:r w:rsidR="006B5EA2">
        <w:t xml:space="preserve">Here in 2019, for (HLT) the gearing ratio is </w:t>
      </w:r>
      <w:r w:rsidR="006B5EA2">
        <w:rPr>
          <w:rFonts w:eastAsiaTheme="minorEastAsia"/>
        </w:rPr>
        <w:t>103.16% and in 2020, the gearing ratio is 108.87%. From this scenario</w:t>
      </w:r>
      <w:r w:rsidR="00E02706">
        <w:rPr>
          <w:rFonts w:eastAsiaTheme="minorEastAsia"/>
        </w:rPr>
        <w:t>,</w:t>
      </w:r>
      <w:r w:rsidR="006B5EA2">
        <w:rPr>
          <w:rFonts w:eastAsiaTheme="minorEastAsia"/>
        </w:rPr>
        <w:t xml:space="preserve"> it can be said that in both </w:t>
      </w:r>
      <w:r w:rsidR="00081A05">
        <w:rPr>
          <w:rFonts w:eastAsiaTheme="minorEastAsia"/>
        </w:rPr>
        <w:t>years</w:t>
      </w:r>
      <w:r w:rsidR="006B5EA2">
        <w:rPr>
          <w:rFonts w:eastAsiaTheme="minorEastAsia"/>
        </w:rPr>
        <w:t xml:space="preserve"> the gearing ratio could not manage to remain </w:t>
      </w:r>
      <w:r w:rsidR="00E02706">
        <w:rPr>
          <w:rFonts w:eastAsiaTheme="minorEastAsia"/>
        </w:rPr>
        <w:t>too</w:t>
      </w:r>
      <w:r w:rsidR="006B5EA2">
        <w:rPr>
          <w:rFonts w:eastAsiaTheme="minorEastAsia"/>
        </w:rPr>
        <w:t xml:space="preserve"> close to the benchmark. Therefore, it is necessary to maintain the assets and debts of the firm. Though in 2019 the gearing ratio is better than in 2020, it still could not manage to remain close to the benchmark. </w:t>
      </w:r>
    </w:p>
    <w:tbl>
      <w:tblPr>
        <w:tblStyle w:val="TableGrid"/>
        <w:tblW w:w="0" w:type="auto"/>
        <w:jc w:val="center"/>
        <w:tblLook w:val="04A0" w:firstRow="1" w:lastRow="0" w:firstColumn="1" w:lastColumn="0" w:noHBand="0" w:noVBand="1"/>
      </w:tblPr>
      <w:tblGrid>
        <w:gridCol w:w="2272"/>
        <w:gridCol w:w="2272"/>
      </w:tblGrid>
      <w:tr w:rsidR="00D5110F" w14:paraId="12F5B80D" w14:textId="77777777" w:rsidTr="00D5110F">
        <w:trPr>
          <w:trHeight w:val="449"/>
          <w:jc w:val="center"/>
        </w:trPr>
        <w:tc>
          <w:tcPr>
            <w:tcW w:w="2272" w:type="dxa"/>
          </w:tcPr>
          <w:p w14:paraId="249B5E8D" w14:textId="77777777" w:rsidR="00D5110F" w:rsidRPr="00587E43" w:rsidRDefault="00D5110F" w:rsidP="00A616DF">
            <w:pPr>
              <w:jc w:val="center"/>
              <w:rPr>
                <w:b/>
                <w:bCs/>
              </w:rPr>
            </w:pPr>
            <w:r>
              <w:rPr>
                <w:b/>
                <w:bCs/>
              </w:rPr>
              <w:t>Year</w:t>
            </w:r>
          </w:p>
        </w:tc>
        <w:tc>
          <w:tcPr>
            <w:tcW w:w="2272" w:type="dxa"/>
          </w:tcPr>
          <w:p w14:paraId="77870C74" w14:textId="3EBF5649" w:rsidR="00D5110F" w:rsidRPr="00D5110F" w:rsidRDefault="00D5110F" w:rsidP="00A616DF">
            <w:pPr>
              <w:jc w:val="center"/>
              <w:rPr>
                <w:b/>
                <w:bCs/>
              </w:rPr>
            </w:pPr>
            <w:r w:rsidRPr="00D5110F">
              <w:rPr>
                <w:rFonts w:eastAsiaTheme="minorEastAsia"/>
                <w:b/>
                <w:bCs/>
              </w:rPr>
              <w:t>Debt-to-equity ratio</w:t>
            </w:r>
          </w:p>
        </w:tc>
      </w:tr>
      <w:tr w:rsidR="00D5110F" w14:paraId="0D72CC55" w14:textId="77777777" w:rsidTr="00D5110F">
        <w:trPr>
          <w:trHeight w:val="449"/>
          <w:jc w:val="center"/>
        </w:trPr>
        <w:tc>
          <w:tcPr>
            <w:tcW w:w="2272" w:type="dxa"/>
          </w:tcPr>
          <w:p w14:paraId="77A29293" w14:textId="77777777" w:rsidR="00D5110F" w:rsidRPr="00587E43" w:rsidRDefault="00D5110F" w:rsidP="00A616DF">
            <w:pPr>
              <w:jc w:val="center"/>
              <w:rPr>
                <w:b/>
                <w:bCs/>
              </w:rPr>
            </w:pPr>
            <w:r>
              <w:rPr>
                <w:b/>
                <w:bCs/>
              </w:rPr>
              <w:t>2019</w:t>
            </w:r>
          </w:p>
        </w:tc>
        <w:tc>
          <w:tcPr>
            <w:tcW w:w="2272" w:type="dxa"/>
          </w:tcPr>
          <w:p w14:paraId="32DE1906" w14:textId="2F1B9F8D" w:rsidR="00D5110F" w:rsidRPr="00587E43" w:rsidRDefault="002D1580" w:rsidP="00A616DF">
            <w:pPr>
              <w:jc w:val="center"/>
              <w:rPr>
                <w:b/>
                <w:bCs/>
              </w:rPr>
            </w:pPr>
            <w:r>
              <w:rPr>
                <w:rFonts w:eastAsiaTheme="minorEastAsia"/>
              </w:rPr>
              <w:t>1.03</w:t>
            </w:r>
          </w:p>
        </w:tc>
      </w:tr>
      <w:tr w:rsidR="00D5110F" w14:paraId="2061F52E" w14:textId="77777777" w:rsidTr="00D5110F">
        <w:trPr>
          <w:trHeight w:val="449"/>
          <w:jc w:val="center"/>
        </w:trPr>
        <w:tc>
          <w:tcPr>
            <w:tcW w:w="2272" w:type="dxa"/>
          </w:tcPr>
          <w:p w14:paraId="0815817E" w14:textId="77777777" w:rsidR="00D5110F" w:rsidRPr="004939F1" w:rsidRDefault="00D5110F" w:rsidP="00A616DF">
            <w:pPr>
              <w:jc w:val="center"/>
              <w:rPr>
                <w:rFonts w:eastAsiaTheme="minorEastAsia"/>
              </w:rPr>
            </w:pPr>
            <w:r>
              <w:rPr>
                <w:b/>
                <w:bCs/>
              </w:rPr>
              <w:t>2020</w:t>
            </w:r>
            <w:r>
              <w:rPr>
                <w:rFonts w:eastAsiaTheme="minorEastAsia"/>
              </w:rPr>
              <w:t xml:space="preserve"> </w:t>
            </w:r>
          </w:p>
        </w:tc>
        <w:tc>
          <w:tcPr>
            <w:tcW w:w="2272" w:type="dxa"/>
          </w:tcPr>
          <w:p w14:paraId="3C15837C" w14:textId="50EAAF68" w:rsidR="00D5110F" w:rsidRDefault="002D1580" w:rsidP="00A616DF">
            <w:pPr>
              <w:jc w:val="center"/>
            </w:pPr>
            <w:r>
              <w:rPr>
                <w:rFonts w:eastAsiaTheme="minorEastAsia"/>
              </w:rPr>
              <w:t>1.09</w:t>
            </w:r>
          </w:p>
        </w:tc>
      </w:tr>
    </w:tbl>
    <w:p w14:paraId="1625A43A" w14:textId="014BD3C1" w:rsidR="006B5EA2" w:rsidRPr="00BF4B2A" w:rsidRDefault="006B5EA2" w:rsidP="00BF4B2A">
      <w:r>
        <w:rPr>
          <w:rFonts w:eastAsiaTheme="minorEastAsia"/>
        </w:rPr>
        <w:t xml:space="preserve">Again, </w:t>
      </w:r>
      <w:r w:rsidR="00F96D61">
        <w:rPr>
          <w:rFonts w:eastAsiaTheme="minorEastAsia"/>
        </w:rPr>
        <w:t xml:space="preserve">the benchmark for the debt-to-equity ratio is 1-1.5. This means if any business </w:t>
      </w:r>
      <w:r w:rsidR="00E02706">
        <w:rPr>
          <w:rFonts w:eastAsiaTheme="minorEastAsia"/>
        </w:rPr>
        <w:t>firm</w:t>
      </w:r>
      <w:r w:rsidR="00F96D61">
        <w:rPr>
          <w:rFonts w:eastAsiaTheme="minorEastAsia"/>
        </w:rPr>
        <w:t xml:space="preserve"> can manage to keep dept to equity ratio between 1 to 1.5, it will be the best equity ratio for the firm and it will serve the firm in the best way. In 2019, for (HLT) the ratio was 1.03 and it was 1.09 for 2020. This means in both </w:t>
      </w:r>
      <w:r w:rsidR="00E02706">
        <w:rPr>
          <w:rFonts w:eastAsiaTheme="minorEastAsia"/>
        </w:rPr>
        <w:t>years</w:t>
      </w:r>
      <w:r w:rsidR="00F96D61">
        <w:rPr>
          <w:rFonts w:eastAsiaTheme="minorEastAsia"/>
        </w:rPr>
        <w:t xml:space="preserve"> the </w:t>
      </w:r>
      <w:r w:rsidR="00E02706">
        <w:rPr>
          <w:rFonts w:eastAsiaTheme="minorEastAsia"/>
        </w:rPr>
        <w:t>debt-equity</w:t>
      </w:r>
      <w:r w:rsidR="00F96D61">
        <w:rPr>
          <w:rFonts w:eastAsiaTheme="minorEastAsia"/>
        </w:rPr>
        <w:t xml:space="preserve"> ratio is suitable for the firm. Here if the business can keep these ratios in further years, the firm will be able to settle the debt easily. </w:t>
      </w:r>
    </w:p>
    <w:p w14:paraId="28511289" w14:textId="77777777" w:rsidR="00E67E56" w:rsidRDefault="00E67E56" w:rsidP="00E67E56">
      <w:pPr>
        <w:pStyle w:val="Heading1"/>
      </w:pPr>
      <w:bookmarkStart w:id="33" w:name="_Hlk104152954"/>
      <w:bookmarkStart w:id="34" w:name="_Toc104559921"/>
      <w:r>
        <w:t>b) Outlining the importance of using ratio analysis</w:t>
      </w:r>
      <w:bookmarkEnd w:id="33"/>
      <w:r>
        <w:t>.</w:t>
      </w:r>
      <w:bookmarkEnd w:id="34"/>
    </w:p>
    <w:p w14:paraId="5D1C939E" w14:textId="0BB5F1BC" w:rsidR="00E67E56" w:rsidRDefault="00C95B60" w:rsidP="00E67E56">
      <w:r>
        <w:t>In business organisations</w:t>
      </w:r>
      <w:r w:rsidR="00081A05">
        <w:t>,</w:t>
      </w:r>
      <w:r>
        <w:t xml:space="preserve"> ratio analysis is necessary for decision making. If the ratio analysis can be done properly, the decision making will be easy for the firm. Therefore, it is necessary to analyse the ratio properly. </w:t>
      </w:r>
      <w:r w:rsidR="0071465D">
        <w:t>In the following ways</w:t>
      </w:r>
      <w:r w:rsidR="00704901">
        <w:t>,</w:t>
      </w:r>
      <w:r w:rsidR="0071465D">
        <w:t xml:space="preserve"> the ratio analysis is important-</w:t>
      </w:r>
    </w:p>
    <w:p w14:paraId="08571707" w14:textId="3DB32DD7" w:rsidR="0071465D" w:rsidRDefault="00900214" w:rsidP="00E67E56">
      <w:r w:rsidRPr="00900214">
        <w:rPr>
          <w:b/>
          <w:bCs/>
        </w:rPr>
        <w:lastRenderedPageBreak/>
        <w:t>Forecasting:</w:t>
      </w:r>
      <w:r>
        <w:t xml:space="preserve"> The business firms need to </w:t>
      </w:r>
      <w:r w:rsidR="00704901">
        <w:t>decide</w:t>
      </w:r>
      <w:r>
        <w:t xml:space="preserve"> the future events based on the current information. Here if the current information is analysed properly </w:t>
      </w:r>
      <w:r w:rsidRPr="00561F29">
        <w:t xml:space="preserve">by the business firm, it becomes easy for the firms to take future </w:t>
      </w:r>
      <w:r w:rsidR="00704901" w:rsidRPr="00561F29">
        <w:t>decisions</w:t>
      </w:r>
      <w:r w:rsidR="00561F29" w:rsidRPr="00561F29">
        <w:t xml:space="preserve"> (Peterson and Fabozzi, 2017)</w:t>
      </w:r>
      <w:r w:rsidRPr="00561F29">
        <w:t>.</w:t>
      </w:r>
      <w:r>
        <w:t xml:space="preserve"> Therefore, the forecasting of future events is highly </w:t>
      </w:r>
      <w:r w:rsidR="00704901">
        <w:t>dependent</w:t>
      </w:r>
      <w:r>
        <w:t xml:space="preserve"> on the current situation </w:t>
      </w:r>
      <w:r w:rsidR="00704901">
        <w:t>of</w:t>
      </w:r>
      <w:r>
        <w:t xml:space="preserve"> a firm. From analysing the data of previous years, the business firms forecast the future events for the firm. This means if the business firms can collect and analyse the financial information of the previous years, it becomes easy for the business firms to take future </w:t>
      </w:r>
      <w:r w:rsidR="00704901">
        <w:t>decisions</w:t>
      </w:r>
      <w:r>
        <w:t xml:space="preserve"> based on the analysis. Further, the business firms can assume </w:t>
      </w:r>
      <w:r w:rsidR="00722E8B">
        <w:t xml:space="preserve">the tendency of different events of the firm. </w:t>
      </w:r>
    </w:p>
    <w:p w14:paraId="44A55DF4" w14:textId="59CB8C24" w:rsidR="006A07E8" w:rsidRDefault="00083467" w:rsidP="00E67E56">
      <w:r w:rsidRPr="00852638">
        <w:rPr>
          <w:b/>
          <w:bCs/>
        </w:rPr>
        <w:t>Measuring Operational Effectiveness:</w:t>
      </w:r>
      <w:r>
        <w:t xml:space="preserve"> Whether the business firms are operating their business activities well or the business firms are not operating the activities well, it can be easily analysed from the ratio of the firm. Here if the ratios of the firm </w:t>
      </w:r>
      <w:r w:rsidR="00704901">
        <w:t>show</w:t>
      </w:r>
      <w:r>
        <w:t xml:space="preserve"> that it is producing a positive ratio, </w:t>
      </w:r>
      <w:r w:rsidRPr="00561F29">
        <w:t>then the firm will certainly produce good operational profitability for the firm</w:t>
      </w:r>
      <w:r w:rsidR="00561F29" w:rsidRPr="00561F29">
        <w:t xml:space="preserve"> (Gatti and Macchi, 2019)</w:t>
      </w:r>
      <w:r w:rsidRPr="00561F29">
        <w:t>.</w:t>
      </w:r>
      <w:r>
        <w:t xml:space="preserve"> </w:t>
      </w:r>
      <w:r w:rsidR="00C631E4">
        <w:t>On the other hand, if the ratio analysis shows that the firm is producing a negative result for the operation, then it can be assumed that the firm is not doing well in terms of operating the business activities. And from the analysis</w:t>
      </w:r>
      <w:r w:rsidR="00704901">
        <w:t>,</w:t>
      </w:r>
      <w:r w:rsidR="00C631E4">
        <w:t xml:space="preserve"> the firm can </w:t>
      </w:r>
      <w:r w:rsidR="00704901">
        <w:t>make</w:t>
      </w:r>
      <w:r w:rsidR="00C631E4">
        <w:t xml:space="preserve"> decisions </w:t>
      </w:r>
      <w:r w:rsidR="00704901">
        <w:t xml:space="preserve">on </w:t>
      </w:r>
      <w:r w:rsidR="00C631E4">
        <w:t xml:space="preserve">whether to keep the same </w:t>
      </w:r>
      <w:r w:rsidR="0066799B">
        <w:t xml:space="preserve">operational strategies or change the operational decisions. </w:t>
      </w:r>
    </w:p>
    <w:p w14:paraId="589B52DD" w14:textId="5C168080" w:rsidR="00852638" w:rsidRDefault="002818AF" w:rsidP="00E67E56">
      <w:r w:rsidRPr="003B0E02">
        <w:rPr>
          <w:b/>
          <w:bCs/>
        </w:rPr>
        <w:t>Easy to Make Decisions:</w:t>
      </w:r>
      <w:r>
        <w:t xml:space="preserve"> </w:t>
      </w:r>
      <w:r w:rsidR="006A07E8">
        <w:t xml:space="preserve">The decision making of a firm is </w:t>
      </w:r>
      <w:r w:rsidR="00D02B4E">
        <w:t xml:space="preserve">a </w:t>
      </w:r>
      <w:r w:rsidR="006A07E8">
        <w:t xml:space="preserve">difficult thing. Here the business firms cannot make </w:t>
      </w:r>
      <w:r w:rsidR="00D02B4E">
        <w:t xml:space="preserve">the </w:t>
      </w:r>
      <w:r w:rsidR="00305C31">
        <w:t xml:space="preserve">decision </w:t>
      </w:r>
      <w:r w:rsidR="00D02B4E">
        <w:t>easier</w:t>
      </w:r>
      <w:r w:rsidR="00305C31">
        <w:t xml:space="preserve"> but if the business firms analyse the ratio by using the information from the previous information</w:t>
      </w:r>
      <w:r w:rsidR="00440742">
        <w:t xml:space="preserve"> it becomes easy for the firm to take the decision. </w:t>
      </w:r>
      <w:r w:rsidR="003B0E02">
        <w:t xml:space="preserve">But if the business firms take other tactics to take the decisions, making the </w:t>
      </w:r>
      <w:r w:rsidR="003B0E02" w:rsidRPr="00561F29">
        <w:t xml:space="preserve">decision becomes tough. From analysing the ratio of the firm taking </w:t>
      </w:r>
      <w:r w:rsidR="00704901" w:rsidRPr="00561F29">
        <w:t>decisions</w:t>
      </w:r>
      <w:r w:rsidR="003B0E02" w:rsidRPr="00561F29">
        <w:t xml:space="preserve"> is easy</w:t>
      </w:r>
      <w:r w:rsidR="00561F29" w:rsidRPr="00561F29">
        <w:t xml:space="preserve"> (Plane and Rogerson, 2018)</w:t>
      </w:r>
      <w:r w:rsidR="003B0E02" w:rsidRPr="00561F29">
        <w:t>.</w:t>
      </w:r>
      <w:r w:rsidR="003B0E02">
        <w:t xml:space="preserve"> Therefore, the business firms should go for the ratio analysis to take the business decisions. </w:t>
      </w:r>
    </w:p>
    <w:p w14:paraId="3381F903" w14:textId="4AF66837" w:rsidR="00190C61" w:rsidRDefault="00190C61" w:rsidP="00E67E56">
      <w:bookmarkStart w:id="35" w:name="_Hlk104153577"/>
      <w:r w:rsidRPr="008D197D">
        <w:rPr>
          <w:b/>
          <w:bCs/>
        </w:rPr>
        <w:t>Helps in Investing Decision:</w:t>
      </w:r>
      <w:r>
        <w:t xml:space="preserve"> </w:t>
      </w:r>
      <w:bookmarkEnd w:id="35"/>
      <w:r w:rsidR="003E54D7">
        <w:t xml:space="preserve">The investment decision is one of the vital decisions that business firms take. Here if the business firms cannot </w:t>
      </w:r>
      <w:r w:rsidR="00704901">
        <w:t>make</w:t>
      </w:r>
      <w:r w:rsidR="003E54D7">
        <w:t xml:space="preserve"> a good investment decision, the business firms cannot ensure that the profitability will be ensured. Here the profitability of the business firms highly depends on the investment decision. Since selecting a good project to invest </w:t>
      </w:r>
      <w:r w:rsidR="00704901">
        <w:t xml:space="preserve">in </w:t>
      </w:r>
      <w:r w:rsidR="003E54D7">
        <w:t xml:space="preserve">ensures higher profitability, the investment decision is necessary to take </w:t>
      </w:r>
      <w:r w:rsidR="00704901">
        <w:t>care of</w:t>
      </w:r>
      <w:r w:rsidR="003E54D7">
        <w:t xml:space="preserve">. Here the business firms can take the investment decision by analysing the ratio of different </w:t>
      </w:r>
      <w:r w:rsidR="009329F7">
        <w:t>years</w:t>
      </w:r>
      <w:r w:rsidR="009B1E95">
        <w:t xml:space="preserve">. </w:t>
      </w:r>
      <w:r w:rsidR="003E54D7">
        <w:t xml:space="preserve"> </w:t>
      </w:r>
    </w:p>
    <w:p w14:paraId="169D3C55" w14:textId="67017032" w:rsidR="008D197D" w:rsidRDefault="008D197D" w:rsidP="00E67E56">
      <w:bookmarkStart w:id="36" w:name="_Hlk104153586"/>
      <w:r w:rsidRPr="008D197D">
        <w:rPr>
          <w:b/>
          <w:bCs/>
        </w:rPr>
        <w:t>Helps in Financing Decision:</w:t>
      </w:r>
      <w:r>
        <w:t xml:space="preserve"> </w:t>
      </w:r>
      <w:bookmarkEnd w:id="36"/>
      <w:r>
        <w:t xml:space="preserve">To invest in different projects the business firms need to select the sources of finance. If the business firms cannot </w:t>
      </w:r>
      <w:r w:rsidRPr="00561F29">
        <w:t>select the sources of finance, it becomes tough for the firm to invest in different projects</w:t>
      </w:r>
      <w:r w:rsidR="00561F29" w:rsidRPr="00561F29">
        <w:t xml:space="preserve"> (Finnigan, 2021)</w:t>
      </w:r>
      <w:r w:rsidRPr="00561F29">
        <w:t>.</w:t>
      </w:r>
      <w:r>
        <w:t xml:space="preserve"> Here selecting different sources to finance </w:t>
      </w:r>
      <w:r>
        <w:lastRenderedPageBreak/>
        <w:t xml:space="preserve">the budget for the firm, the business needs to analyse these sources. Here to analyse the sources of financing, the business firms need to analyse the ratio of different financing sources. This means the ratio analysis can also support financing decision making. </w:t>
      </w:r>
    </w:p>
    <w:p w14:paraId="0291915E" w14:textId="77777777" w:rsidR="00BB0B3C" w:rsidRDefault="00E67E56" w:rsidP="00BB0B3C">
      <w:pPr>
        <w:pStyle w:val="Heading1"/>
      </w:pPr>
      <w:bookmarkStart w:id="37" w:name="_Toc104559922"/>
      <w:bookmarkStart w:id="38" w:name="_Hlk104153653"/>
      <w:r>
        <w:t xml:space="preserve">C) The limitation of ratio analysis and </w:t>
      </w:r>
      <w:r w:rsidR="00BB0B3C">
        <w:t>the</w:t>
      </w:r>
      <w:r>
        <w:t xml:space="preserve"> essential</w:t>
      </w:r>
      <w:r w:rsidR="00BB0B3C">
        <w:t>s</w:t>
      </w:r>
      <w:r>
        <w:t xml:space="preserve"> </w:t>
      </w:r>
      <w:r w:rsidR="00BB0B3C">
        <w:t>of understanding the fluctuations of ratio analysis</w:t>
      </w:r>
      <w:bookmarkEnd w:id="37"/>
      <w:r w:rsidR="00BB0B3C">
        <w:t xml:space="preserve"> </w:t>
      </w:r>
    </w:p>
    <w:p w14:paraId="1D2B1132" w14:textId="77777777" w:rsidR="00BB0B3C" w:rsidRDefault="00BB0B3C" w:rsidP="00BB0B3C">
      <w:pPr>
        <w:pStyle w:val="Heading2"/>
      </w:pPr>
      <w:bookmarkStart w:id="39" w:name="_Toc104559923"/>
      <w:bookmarkStart w:id="40" w:name="_Hlk104153696"/>
      <w:bookmarkEnd w:id="38"/>
      <w:r>
        <w:t>Limitations of Ratio Analysis</w:t>
      </w:r>
      <w:bookmarkEnd w:id="39"/>
    </w:p>
    <w:bookmarkEnd w:id="40"/>
    <w:p w14:paraId="544F1208" w14:textId="7FEA5AF3" w:rsidR="00BB0B3C" w:rsidRDefault="006E16A1" w:rsidP="00BB0B3C">
      <w:r w:rsidRPr="001D3073">
        <w:rPr>
          <w:b/>
          <w:bCs/>
        </w:rPr>
        <w:t>Cannot Compare Different Business</w:t>
      </w:r>
      <w:r w:rsidR="000A4601" w:rsidRPr="001D3073">
        <w:rPr>
          <w:b/>
          <w:bCs/>
        </w:rPr>
        <w:t xml:space="preserve"> Industries</w:t>
      </w:r>
      <w:r w:rsidRPr="001D3073">
        <w:rPr>
          <w:b/>
          <w:bCs/>
        </w:rPr>
        <w:t>:</w:t>
      </w:r>
      <w:r>
        <w:t xml:space="preserve"> </w:t>
      </w:r>
      <w:r w:rsidR="000A4601">
        <w:t xml:space="preserve">The ratio analysis can be used only for business organisations from similar </w:t>
      </w:r>
      <w:r w:rsidR="00704901">
        <w:t>industries</w:t>
      </w:r>
      <w:r w:rsidR="000A4601">
        <w:t xml:space="preserve">. If the business organisations are from different industries, the ratio analysis cannot be an effective choice for the firms. </w:t>
      </w:r>
    </w:p>
    <w:p w14:paraId="426E0951" w14:textId="6E06F04D" w:rsidR="006E16A1" w:rsidRDefault="006E16A1" w:rsidP="00BB0B3C">
      <w:r w:rsidRPr="001D3073">
        <w:rPr>
          <w:b/>
          <w:bCs/>
        </w:rPr>
        <w:t>Does Not Consider Market Situation:</w:t>
      </w:r>
      <w:r>
        <w:t xml:space="preserve"> </w:t>
      </w:r>
      <w:r w:rsidR="000A4601">
        <w:t xml:space="preserve">It is not possible that in all market </w:t>
      </w:r>
      <w:r w:rsidR="00704901">
        <w:t>situations</w:t>
      </w:r>
      <w:r w:rsidR="000A4601">
        <w:t xml:space="preserve"> the business firms will ensure </w:t>
      </w:r>
      <w:r w:rsidR="00704901">
        <w:t xml:space="preserve">the </w:t>
      </w:r>
      <w:r w:rsidR="000A4601">
        <w:t xml:space="preserve">same profitability. Here the business firms </w:t>
      </w:r>
      <w:r w:rsidR="000A4601" w:rsidRPr="00561F29">
        <w:t xml:space="preserve">may not produce </w:t>
      </w:r>
      <w:r w:rsidR="00704901" w:rsidRPr="00561F29">
        <w:t xml:space="preserve">the </w:t>
      </w:r>
      <w:r w:rsidR="000A4601" w:rsidRPr="00561F29">
        <w:t xml:space="preserve">same </w:t>
      </w:r>
      <w:r w:rsidR="00704901" w:rsidRPr="00561F29">
        <w:t>sort</w:t>
      </w:r>
      <w:r w:rsidR="000A4601" w:rsidRPr="00561F29">
        <w:t xml:space="preserve"> of profit every year due to the changes </w:t>
      </w:r>
      <w:r w:rsidR="00704901" w:rsidRPr="00561F29">
        <w:t>in</w:t>
      </w:r>
      <w:r w:rsidR="000A4601" w:rsidRPr="00561F29">
        <w:t xml:space="preserve"> </w:t>
      </w:r>
      <w:r w:rsidR="00704901" w:rsidRPr="00561F29">
        <w:t xml:space="preserve">the </w:t>
      </w:r>
      <w:r w:rsidR="000A4601" w:rsidRPr="00561F29">
        <w:t>market situation</w:t>
      </w:r>
      <w:r w:rsidR="00561F29" w:rsidRPr="00561F29">
        <w:t xml:space="preserve"> (Smith, 2020)</w:t>
      </w:r>
      <w:r w:rsidR="000A4601" w:rsidRPr="00561F29">
        <w:t>.</w:t>
      </w:r>
      <w:r w:rsidR="000A4601">
        <w:t xml:space="preserve"> But the ratio analysis does not consider the current situation of the marketplace. </w:t>
      </w:r>
    </w:p>
    <w:p w14:paraId="49161BED" w14:textId="238B39EB" w:rsidR="006E16A1" w:rsidRDefault="006E16A1" w:rsidP="00BB0B3C">
      <w:r w:rsidRPr="001D3073">
        <w:rPr>
          <w:b/>
          <w:bCs/>
        </w:rPr>
        <w:t>Does Not Consider Inflation:</w:t>
      </w:r>
      <w:r>
        <w:t xml:space="preserve"> </w:t>
      </w:r>
      <w:r w:rsidR="000A4601">
        <w:t xml:space="preserve">If the business firms produce the same profit in different years, it does not mean that the business firms are doing well. For such </w:t>
      </w:r>
      <w:r w:rsidR="00704901">
        <w:t>kinds</w:t>
      </w:r>
      <w:r w:rsidR="000A4601">
        <w:t xml:space="preserve"> of </w:t>
      </w:r>
      <w:r w:rsidR="001D3073">
        <w:t>situations,</w:t>
      </w:r>
      <w:r w:rsidR="000A4601">
        <w:t xml:space="preserve"> the business firms need to calculate the inflation of </w:t>
      </w:r>
      <w:r w:rsidR="00704901">
        <w:t xml:space="preserve">the </w:t>
      </w:r>
      <w:r w:rsidR="000A4601">
        <w:t xml:space="preserve">current marketplace of the business firms. </w:t>
      </w:r>
    </w:p>
    <w:p w14:paraId="539F9654" w14:textId="2F39B427" w:rsidR="006E16A1" w:rsidRDefault="006E16A1" w:rsidP="00BB0B3C">
      <w:r w:rsidRPr="0096110F">
        <w:rPr>
          <w:b/>
          <w:bCs/>
        </w:rPr>
        <w:t>Uses Historical Information:</w:t>
      </w:r>
      <w:r>
        <w:t xml:space="preserve"> </w:t>
      </w:r>
      <w:r w:rsidR="00095A72">
        <w:t xml:space="preserve">Since the ratio analysis is done based on historical information, calculating the market situation of the future events from the ratio analysis may not seem accurate all the time. </w:t>
      </w:r>
    </w:p>
    <w:p w14:paraId="68A0E44A" w14:textId="7428A285" w:rsidR="006E16A1" w:rsidRDefault="006E16A1" w:rsidP="00BB0B3C">
      <w:r w:rsidRPr="00025C7C">
        <w:rPr>
          <w:b/>
          <w:bCs/>
        </w:rPr>
        <w:t>Uses Financial Reports:</w:t>
      </w:r>
      <w:r>
        <w:t xml:space="preserve"> </w:t>
      </w:r>
      <w:r w:rsidR="0096110F">
        <w:t xml:space="preserve">The financial reports can contain information with several mistakes. Here the ratio analysis is done </w:t>
      </w:r>
      <w:r w:rsidR="0096110F" w:rsidRPr="00561F29">
        <w:t>based on the financial reports which may contain errors and mistakes made by the management</w:t>
      </w:r>
      <w:r w:rsidR="00561F29" w:rsidRPr="00561F29">
        <w:t xml:space="preserve"> (Feist, 2019)</w:t>
      </w:r>
      <w:r w:rsidR="0096110F" w:rsidRPr="00561F29">
        <w:t>.</w:t>
      </w:r>
      <w:r w:rsidR="0096110F">
        <w:t xml:space="preserve"> Therefore, the ratio analysis can be also mistaken due to the error in the financial reports. </w:t>
      </w:r>
    </w:p>
    <w:p w14:paraId="4AB99286" w14:textId="691D4DB1" w:rsidR="006E16A1" w:rsidRDefault="006E16A1" w:rsidP="00BB0B3C">
      <w:r w:rsidRPr="00BB5D7F">
        <w:rPr>
          <w:b/>
          <w:bCs/>
        </w:rPr>
        <w:t>Use of Different Accounting Policies:</w:t>
      </w:r>
      <w:r>
        <w:t xml:space="preserve"> </w:t>
      </w:r>
      <w:r w:rsidR="00025C7C">
        <w:t xml:space="preserve">In accounting, the managers can use different policies to make the financial reports and therefore, the outcome of using these policies can be different for various firms. </w:t>
      </w:r>
      <w:r w:rsidR="00232947">
        <w:t xml:space="preserve">So, the different accounting policies can be a source </w:t>
      </w:r>
      <w:r w:rsidR="00704901">
        <w:t>of</w:t>
      </w:r>
      <w:r w:rsidR="00232947">
        <w:t xml:space="preserve"> mistakes and </w:t>
      </w:r>
      <w:r w:rsidR="00704901">
        <w:t>errors</w:t>
      </w:r>
      <w:r w:rsidR="00232947">
        <w:t xml:space="preserve"> for business organisations. </w:t>
      </w:r>
    </w:p>
    <w:p w14:paraId="70F5B97C" w14:textId="77777777" w:rsidR="009A31A1" w:rsidRDefault="00BB0B3C" w:rsidP="00BB0B3C">
      <w:pPr>
        <w:pStyle w:val="Heading2"/>
      </w:pPr>
      <w:bookmarkStart w:id="41" w:name="_Toc104559924"/>
      <w:r>
        <w:t>Essentials of understanding the fluctuations of ratio analysis</w:t>
      </w:r>
      <w:bookmarkEnd w:id="41"/>
      <w:r>
        <w:t xml:space="preserve"> </w:t>
      </w:r>
    </w:p>
    <w:p w14:paraId="7E07021D" w14:textId="072D2879" w:rsidR="00DD453D" w:rsidRDefault="009A31A1" w:rsidP="009A31A1">
      <w:r>
        <w:t xml:space="preserve">It is necessary to understand the fluctuations of ratio analysis for different purposes. If Hilton Worldwide Holdings can properly analyse the ratio of the firm, the firm can easily measure </w:t>
      </w:r>
      <w:r w:rsidR="00704901">
        <w:t>its</w:t>
      </w:r>
      <w:r>
        <w:t xml:space="preserve"> </w:t>
      </w:r>
      <w:r>
        <w:lastRenderedPageBreak/>
        <w:t xml:space="preserve">profitability by measuring the gross profit ratio and by measuring the net profit ratio. Similarly, if the firm can properly </w:t>
      </w:r>
      <w:r w:rsidRPr="00561F29">
        <w:t xml:space="preserve">understand the ratio </w:t>
      </w:r>
      <w:r w:rsidR="00E96DE8" w:rsidRPr="00561F29">
        <w:t>analysis,</w:t>
      </w:r>
      <w:r w:rsidRPr="00561F29">
        <w:t xml:space="preserve"> then the firm can certainly </w:t>
      </w:r>
      <w:r w:rsidR="00E96DE8" w:rsidRPr="00561F29">
        <w:t>know the liquidity situation of the firm</w:t>
      </w:r>
      <w:r w:rsidR="00561F29" w:rsidRPr="00561F29">
        <w:t xml:space="preserve"> (Solomon, 2017)</w:t>
      </w:r>
      <w:r w:rsidR="00E96DE8" w:rsidRPr="00561F29">
        <w:t>.</w:t>
      </w:r>
      <w:r w:rsidR="00E96DE8">
        <w:t xml:space="preserve"> This means whether the firm has a proper </w:t>
      </w:r>
      <w:r w:rsidR="00704901">
        <w:t>liquidation</w:t>
      </w:r>
      <w:r w:rsidR="00E96DE8">
        <w:t xml:space="preserve"> situation or the firm needs any </w:t>
      </w:r>
      <w:r w:rsidR="00704901">
        <w:t>sort</w:t>
      </w:r>
      <w:r w:rsidR="00E96DE8">
        <w:t xml:space="preserve"> of improvement can be easily known from the ratio analysis. Moreover, in terms of knowing the situation of debt management understanding the ratio analysis is necessary for the firm. </w:t>
      </w:r>
      <w:r w:rsidR="007F4D47">
        <w:t xml:space="preserve">Moreover, the trends of </w:t>
      </w:r>
      <w:r w:rsidR="00704901">
        <w:t xml:space="preserve">the </w:t>
      </w:r>
      <w:r w:rsidR="007F4D47">
        <w:t xml:space="preserve">financial situation </w:t>
      </w:r>
      <w:r w:rsidR="00704901">
        <w:t>over</w:t>
      </w:r>
      <w:r w:rsidR="007F4D47">
        <w:t xml:space="preserve"> different years can be easily known from the ratio analysis. Here if the business firms can properly analyse the </w:t>
      </w:r>
      <w:r w:rsidR="006836EB">
        <w:t>ratio,</w:t>
      </w:r>
      <w:r w:rsidR="007F4D47">
        <w:t xml:space="preserve"> then the business firms can certainly measure the trends in the financial situation of the firm. </w:t>
      </w:r>
      <w:r w:rsidR="00DD453D">
        <w:br w:type="page"/>
      </w:r>
    </w:p>
    <w:p w14:paraId="23E13A7C" w14:textId="7827B429" w:rsidR="00CB455F" w:rsidRDefault="00DD453D" w:rsidP="00DD453D">
      <w:pPr>
        <w:pStyle w:val="Heading1"/>
      </w:pPr>
      <w:bookmarkStart w:id="42" w:name="_Toc101999047"/>
      <w:bookmarkStart w:id="43" w:name="_Toc104559925"/>
      <w:r>
        <w:lastRenderedPageBreak/>
        <w:t>Conclusion</w:t>
      </w:r>
      <w:bookmarkEnd w:id="42"/>
      <w:bookmarkEnd w:id="43"/>
      <w:r>
        <w:t xml:space="preserve"> </w:t>
      </w:r>
    </w:p>
    <w:p w14:paraId="2637752B" w14:textId="23582F17" w:rsidR="00DD453D" w:rsidRDefault="000321ED" w:rsidP="00F15F08">
      <w:pPr>
        <w:rPr>
          <w:lang w:eastAsia="en-GB"/>
        </w:rPr>
      </w:pPr>
      <w:r>
        <w:rPr>
          <w:lang w:eastAsia="en-GB"/>
        </w:rPr>
        <w:t xml:space="preserve">The ratio analysis considers several factors within a business firm. If all the factors of the ratio analysis can be done well and the business firms can manage the benchmark for keeping the ratios, the profitability and the growth will be ensured by the firm. The business </w:t>
      </w:r>
      <w:r w:rsidR="00704901" w:rsidRPr="00561F29">
        <w:t>organisation</w:t>
      </w:r>
      <w:r w:rsidRPr="00561F29">
        <w:t xml:space="preserve"> in this case </w:t>
      </w:r>
      <w:r w:rsidR="00561F29" w:rsidRPr="00561F29">
        <w:t>uses</w:t>
      </w:r>
      <w:r w:rsidRPr="00561F29">
        <w:t xml:space="preserve"> previous information for forecasting future events</w:t>
      </w:r>
      <w:r w:rsidR="00561F29" w:rsidRPr="00561F29">
        <w:t xml:space="preserve"> (Cleophas and Zwinderman, 2018)</w:t>
      </w:r>
      <w:r w:rsidRPr="00561F29">
        <w:t>.</w:t>
      </w:r>
      <w:r>
        <w:rPr>
          <w:lang w:eastAsia="en-GB"/>
        </w:rPr>
        <w:t xml:space="preserve"> All the decisions </w:t>
      </w:r>
      <w:r w:rsidR="00704901">
        <w:rPr>
          <w:lang w:eastAsia="en-GB"/>
        </w:rPr>
        <w:t>for</w:t>
      </w:r>
      <w:r>
        <w:rPr>
          <w:lang w:eastAsia="en-GB"/>
        </w:rPr>
        <w:t xml:space="preserve"> future events can be taken from the ratio analysis. This report has been made based on the financial information of </w:t>
      </w:r>
      <w:r w:rsidR="00D81F7A">
        <w:t xml:space="preserve">Hilton Worldwide Holdings Inc. And it has been analysed whether the firm has ensured profitability or not. </w:t>
      </w:r>
      <w:r w:rsidR="00DD453D">
        <w:rPr>
          <w:lang w:eastAsia="en-GB"/>
        </w:rPr>
        <w:br w:type="page"/>
      </w:r>
    </w:p>
    <w:p w14:paraId="09267F76" w14:textId="021F8799" w:rsidR="00DD453D" w:rsidRPr="00DD453D" w:rsidRDefault="00DD453D" w:rsidP="00DD453D">
      <w:pPr>
        <w:pStyle w:val="Heading1"/>
      </w:pPr>
      <w:bookmarkStart w:id="44" w:name="_Toc101999048"/>
      <w:bookmarkStart w:id="45" w:name="_Toc104559926"/>
      <w:r>
        <w:lastRenderedPageBreak/>
        <w:t>References</w:t>
      </w:r>
      <w:bookmarkEnd w:id="44"/>
      <w:bookmarkEnd w:id="45"/>
      <w:r>
        <w:t xml:space="preserve"> </w:t>
      </w:r>
    </w:p>
    <w:p w14:paraId="4FDA46CD" w14:textId="77777777" w:rsidR="005F299A" w:rsidRDefault="005F299A" w:rsidP="005F299A">
      <w:r>
        <w:t>Ariste, R. and Carr, J., 2020. New considerations on the empirical analysis of health expenditures in Canada, 1966-98. Ottawa: Health Canada.</w:t>
      </w:r>
    </w:p>
    <w:p w14:paraId="03DAF587" w14:textId="77777777" w:rsidR="005F299A" w:rsidRDefault="005F299A" w:rsidP="005F299A">
      <w:r>
        <w:t>Bykvist, K., 2019. WHAT ARE DESIRES GOOD FOR? TOWARDS A COHERENT ENDORSEMENT THEORY. Ratio, 19(3), pp.286-304.</w:t>
      </w:r>
    </w:p>
    <w:p w14:paraId="0209E15D" w14:textId="77777777" w:rsidR="005F299A" w:rsidRDefault="005F299A" w:rsidP="005F299A">
      <w:r>
        <w:t>Cavalcanti, C. and Marrero, G., 2021. Measuring the Impact of Debt-Financed Public Investment. London: City Publishers.</w:t>
      </w:r>
    </w:p>
    <w:p w14:paraId="50174B6E" w14:textId="77777777" w:rsidR="005F299A" w:rsidRDefault="005F299A" w:rsidP="00561F29">
      <w:r>
        <w:t>Cleophas, T. and Zwinderman, A., 2018. </w:t>
      </w:r>
      <w:r>
        <w:rPr>
          <w:i/>
          <w:iCs/>
        </w:rPr>
        <w:t>Statistical analysis of clinical data on a pocket calculator</w:t>
      </w:r>
      <w:r>
        <w:t>. Dordrecht: Springer.</w:t>
      </w:r>
    </w:p>
    <w:p w14:paraId="28B59FF8" w14:textId="77777777" w:rsidR="005F299A" w:rsidRDefault="005F299A" w:rsidP="005F299A">
      <w:r>
        <w:t>Collins, N. and Mitchell, R., 2017. Functional analysis of a thermal spring ecosystem, with an evaluation of the role of consumers. Brooklyn, NY: Brooklyn Botanical Garden.</w:t>
      </w:r>
    </w:p>
    <w:p w14:paraId="5AC6B1E0" w14:textId="77777777" w:rsidR="005F299A" w:rsidRDefault="005F299A" w:rsidP="00561F29">
      <w:r>
        <w:t>Feist, M., 2019. Thermal analysis: basics, applications, and benefit. </w:t>
      </w:r>
      <w:r>
        <w:rPr>
          <w:i/>
          <w:iCs/>
        </w:rPr>
        <w:t>ChemTexts</w:t>
      </w:r>
      <w:r>
        <w:t>, 1(1), pp.2-5.</w:t>
      </w:r>
    </w:p>
    <w:p w14:paraId="13A2D4D7" w14:textId="77777777" w:rsidR="005F299A" w:rsidRDefault="005F299A" w:rsidP="00561F29">
      <w:r>
        <w:t>Finnigan, B., 2021. Is consciousness reflexively self-aware? A Buddhist analysis. </w:t>
      </w:r>
      <w:r>
        <w:rPr>
          <w:i/>
          <w:iCs/>
        </w:rPr>
        <w:t>Ratio</w:t>
      </w:r>
      <w:r>
        <w:t>, 31(4), pp.389-401.</w:t>
      </w:r>
    </w:p>
    <w:p w14:paraId="68CBF63F" w14:textId="77777777" w:rsidR="005F299A" w:rsidRDefault="005F299A" w:rsidP="00561F29">
      <w:r>
        <w:t>Gatti, C. and Macchi, P., 2019. </w:t>
      </w:r>
      <w:r>
        <w:rPr>
          <w:i/>
          <w:iCs/>
        </w:rPr>
        <w:t>Modern charge-density analysis</w:t>
      </w:r>
      <w:r>
        <w:t>. Dordrecht: Springer.</w:t>
      </w:r>
    </w:p>
    <w:p w14:paraId="73B2CD4A" w14:textId="77777777" w:rsidR="005F299A" w:rsidRDefault="005F299A" w:rsidP="005F299A">
      <w:r>
        <w:t>Gillett, G., 2018. PILATONIC CONCEPTUALISM: MORRIS ON THE GOOD AND THE TRUE. Ratio, 7(1), pp.80-87.</w:t>
      </w:r>
    </w:p>
    <w:p w14:paraId="2D7A7A22" w14:textId="77777777" w:rsidR="005F299A" w:rsidRDefault="005F299A" w:rsidP="00561F29">
      <w:r>
        <w:t>Habeck, C., 2018. Basics of Multivariate Analysis in Neuroimaging Data. </w:t>
      </w:r>
      <w:r>
        <w:rPr>
          <w:i/>
          <w:iCs/>
        </w:rPr>
        <w:t>Journal of Visualized Experiments</w:t>
      </w:r>
      <w:r>
        <w:t>, 45(41), pp.61-63.</w:t>
      </w:r>
    </w:p>
    <w:p w14:paraId="4EAC33B5" w14:textId="77777777" w:rsidR="005F299A" w:rsidRDefault="005F299A" w:rsidP="00561F29">
      <w:r>
        <w:t>Hansson, S., 2021. THE FALSE PROMISES OF RISK ANALYSIS. </w:t>
      </w:r>
      <w:r>
        <w:rPr>
          <w:i/>
          <w:iCs/>
        </w:rPr>
        <w:t>Ratio</w:t>
      </w:r>
      <w:r>
        <w:t>, 6(1), pp.16-26.</w:t>
      </w:r>
    </w:p>
    <w:p w14:paraId="3F4879ED" w14:textId="77777777" w:rsidR="005F299A" w:rsidRDefault="005F299A" w:rsidP="005F299A">
      <w:r>
        <w:t>Heng, D., 2018. Impact of the new financial services law in Bolivia on financial stability and inclusion. [Washington, D.C.]: International Monetary Fund.</w:t>
      </w:r>
    </w:p>
    <w:p w14:paraId="5A7A4466" w14:textId="77777777" w:rsidR="005F299A" w:rsidRDefault="005F299A" w:rsidP="005F299A">
      <w:r>
        <w:t>Johnson, J., 2016. Impact of inverter loading ratio on solar photovoltaic system performance. Applied Energy, 177(21), pp.475-486.</w:t>
      </w:r>
    </w:p>
    <w:p w14:paraId="1F9EEBF3" w14:textId="77777777" w:rsidR="005F299A" w:rsidRDefault="005F299A" w:rsidP="005F299A">
      <w:r>
        <w:t>Lillehammer, H., 2020. A Distinction Without a Difference? Good Advice for Moral Error Theorists. Ratio, 26(4), pp.373-390.</w:t>
      </w:r>
    </w:p>
    <w:p w14:paraId="2ECE9C86" w14:textId="77777777" w:rsidR="005F299A" w:rsidRDefault="005F299A" w:rsidP="00561F29">
      <w:r>
        <w:t>McMillan, L., 2019. </w:t>
      </w:r>
      <w:r>
        <w:rPr>
          <w:i/>
          <w:iCs/>
        </w:rPr>
        <w:t>Options as a strategic investment</w:t>
      </w:r>
      <w:r>
        <w:t>. New York: New York Institute of Finance.</w:t>
      </w:r>
    </w:p>
    <w:p w14:paraId="475792F3" w14:textId="77777777" w:rsidR="005F299A" w:rsidRDefault="005F299A" w:rsidP="00561F29">
      <w:r>
        <w:t>Otleş, S., 2020. </w:t>
      </w:r>
      <w:r>
        <w:rPr>
          <w:i/>
          <w:iCs/>
        </w:rPr>
        <w:t>Methods of analysis of food components and additives</w:t>
      </w:r>
      <w:r>
        <w:t>. Boca Raton: Taylor &amp; Francis.</w:t>
      </w:r>
    </w:p>
    <w:p w14:paraId="05AD5F0E" w14:textId="77777777" w:rsidR="005F299A" w:rsidRDefault="005F299A" w:rsidP="00561F29">
      <w:r>
        <w:t>Peterson, P. and Fabozzi, F., 2017. </w:t>
      </w:r>
      <w:r>
        <w:rPr>
          <w:i/>
          <w:iCs/>
        </w:rPr>
        <w:t>Analysis of Financial Statements</w:t>
      </w:r>
      <w:r>
        <w:t>. Hoboken: John Wiley &amp; Sons.</w:t>
      </w:r>
    </w:p>
    <w:p w14:paraId="67244957" w14:textId="77777777" w:rsidR="005F299A" w:rsidRDefault="005F299A" w:rsidP="00561F29">
      <w:r>
        <w:lastRenderedPageBreak/>
        <w:t>Plane, D. and Rogerson, P., 2018. </w:t>
      </w:r>
      <w:r>
        <w:rPr>
          <w:i/>
          <w:iCs/>
        </w:rPr>
        <w:t>The geographical analysis of population</w:t>
      </w:r>
      <w:r>
        <w:t>. New York: J. Wiley.</w:t>
      </w:r>
    </w:p>
    <w:p w14:paraId="761E83B7" w14:textId="77777777" w:rsidR="005F299A" w:rsidRDefault="005F299A" w:rsidP="00561F29">
      <w:r>
        <w:t>Smith, S., 2020. </w:t>
      </w:r>
      <w:r>
        <w:rPr>
          <w:i/>
          <w:iCs/>
        </w:rPr>
        <w:t>The New York Institute of Finance guide to investing</w:t>
      </w:r>
      <w:r>
        <w:t>. New York: The Institute.</w:t>
      </w:r>
    </w:p>
    <w:p w14:paraId="0BB00004" w14:textId="77777777" w:rsidR="005F299A" w:rsidRDefault="005F299A" w:rsidP="00561F29">
      <w:r>
        <w:t>Solomon, C., 2017. Transactional Analysis Theory: The Basics. </w:t>
      </w:r>
      <w:r>
        <w:rPr>
          <w:i/>
          <w:iCs/>
        </w:rPr>
        <w:t>Transactional Analysis Journal</w:t>
      </w:r>
      <w:r>
        <w:t>, 33(1), pp.15-22.</w:t>
      </w:r>
    </w:p>
    <w:p w14:paraId="333C9B20" w14:textId="77777777" w:rsidR="005F299A" w:rsidRDefault="005F299A" w:rsidP="00561F29"/>
    <w:p w14:paraId="77E2C654" w14:textId="77777777" w:rsidR="00DD453D" w:rsidRPr="00CB455F" w:rsidRDefault="00DD453D" w:rsidP="00CB455F">
      <w:pPr>
        <w:rPr>
          <w:lang w:eastAsia="en-GB"/>
        </w:rPr>
      </w:pPr>
    </w:p>
    <w:sectPr w:rsidR="00DD453D"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0A0688" w14:textId="77777777" w:rsidR="00403C17" w:rsidRDefault="00403C17" w:rsidP="000960DA">
      <w:pPr>
        <w:spacing w:line="240" w:lineRule="auto"/>
      </w:pPr>
      <w:r>
        <w:separator/>
      </w:r>
    </w:p>
  </w:endnote>
  <w:endnote w:type="continuationSeparator" w:id="0">
    <w:p w14:paraId="42ED58F6" w14:textId="77777777" w:rsidR="00403C17" w:rsidRDefault="00403C17"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9847988"/>
      <w:docPartObj>
        <w:docPartGallery w:val="Page Numbers (Bottom of Page)"/>
        <w:docPartUnique/>
      </w:docPartObj>
    </w:sdtPr>
    <w:sdtEndPr>
      <w:rPr>
        <w:noProof/>
      </w:rPr>
    </w:sdtEndPr>
    <w:sdtContent>
      <w:p w14:paraId="361671A8" w14:textId="4D8D96AB" w:rsidR="000960DA" w:rsidRDefault="000960DA">
        <w:pPr>
          <w:pStyle w:val="Footer"/>
          <w:jc w:val="right"/>
        </w:pPr>
        <w:r>
          <w:fldChar w:fldCharType="begin"/>
        </w:r>
        <w:r>
          <w:instrText xml:space="preserve"> PAGE   \* MERGEFORMAT </w:instrText>
        </w:r>
        <w:r>
          <w:fldChar w:fldCharType="separate"/>
        </w:r>
        <w:r w:rsidR="00377F12">
          <w:rPr>
            <w:noProof/>
          </w:rPr>
          <w:t>1</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0D4C5E" w14:textId="77777777" w:rsidR="00403C17" w:rsidRDefault="00403C17" w:rsidP="000960DA">
      <w:pPr>
        <w:spacing w:line="240" w:lineRule="auto"/>
      </w:pPr>
      <w:r>
        <w:separator/>
      </w:r>
    </w:p>
  </w:footnote>
  <w:footnote w:type="continuationSeparator" w:id="0">
    <w:p w14:paraId="53D3631A" w14:textId="77777777" w:rsidR="00403C17" w:rsidRDefault="00403C17"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24475F"/>
    <w:multiLevelType w:val="hybridMultilevel"/>
    <w:tmpl w:val="81D093B6"/>
    <w:lvl w:ilvl="0" w:tplc="8BFCCDF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QxMTQ0NjM0NTe1NDJT0lEKTi0uzszPAykwNKwFAKgFWM4tAAAA"/>
  </w:docVars>
  <w:rsids>
    <w:rsidRoot w:val="00A27A2D"/>
    <w:rsid w:val="00004E3C"/>
    <w:rsid w:val="00011F86"/>
    <w:rsid w:val="00025C7C"/>
    <w:rsid w:val="000321ED"/>
    <w:rsid w:val="00056E69"/>
    <w:rsid w:val="00070058"/>
    <w:rsid w:val="00075150"/>
    <w:rsid w:val="00081A05"/>
    <w:rsid w:val="00083467"/>
    <w:rsid w:val="000851B9"/>
    <w:rsid w:val="00095A72"/>
    <w:rsid w:val="000960DA"/>
    <w:rsid w:val="000A4504"/>
    <w:rsid w:val="000A4601"/>
    <w:rsid w:val="000A6B49"/>
    <w:rsid w:val="000D635D"/>
    <w:rsid w:val="000E0315"/>
    <w:rsid w:val="000E785E"/>
    <w:rsid w:val="000F591B"/>
    <w:rsid w:val="001015FC"/>
    <w:rsid w:val="00103E4C"/>
    <w:rsid w:val="00151BF9"/>
    <w:rsid w:val="001526D2"/>
    <w:rsid w:val="00156879"/>
    <w:rsid w:val="00185FBE"/>
    <w:rsid w:val="00190C61"/>
    <w:rsid w:val="0019143F"/>
    <w:rsid w:val="00197CB4"/>
    <w:rsid w:val="001A77D6"/>
    <w:rsid w:val="001B0B88"/>
    <w:rsid w:val="001D3073"/>
    <w:rsid w:val="001D5DA1"/>
    <w:rsid w:val="00232947"/>
    <w:rsid w:val="00233A31"/>
    <w:rsid w:val="002656EC"/>
    <w:rsid w:val="002770C0"/>
    <w:rsid w:val="002818AF"/>
    <w:rsid w:val="00293914"/>
    <w:rsid w:val="00293BA3"/>
    <w:rsid w:val="00297889"/>
    <w:rsid w:val="002A3CD4"/>
    <w:rsid w:val="002B54DE"/>
    <w:rsid w:val="002B5911"/>
    <w:rsid w:val="002D1580"/>
    <w:rsid w:val="002D1B40"/>
    <w:rsid w:val="002D20AF"/>
    <w:rsid w:val="002F40FA"/>
    <w:rsid w:val="00305C31"/>
    <w:rsid w:val="003364EC"/>
    <w:rsid w:val="00377F12"/>
    <w:rsid w:val="0038452C"/>
    <w:rsid w:val="003907EE"/>
    <w:rsid w:val="003A1D90"/>
    <w:rsid w:val="003A24B6"/>
    <w:rsid w:val="003B0E02"/>
    <w:rsid w:val="003B7E5D"/>
    <w:rsid w:val="003E54D7"/>
    <w:rsid w:val="003F206F"/>
    <w:rsid w:val="00403C17"/>
    <w:rsid w:val="00407041"/>
    <w:rsid w:val="00407D89"/>
    <w:rsid w:val="00420DE2"/>
    <w:rsid w:val="00440742"/>
    <w:rsid w:val="00455940"/>
    <w:rsid w:val="00456AEB"/>
    <w:rsid w:val="00457655"/>
    <w:rsid w:val="004706A9"/>
    <w:rsid w:val="00474E04"/>
    <w:rsid w:val="004821E1"/>
    <w:rsid w:val="004878E6"/>
    <w:rsid w:val="004B0105"/>
    <w:rsid w:val="004C187B"/>
    <w:rsid w:val="004C3EA4"/>
    <w:rsid w:val="004F45A0"/>
    <w:rsid w:val="00503D3E"/>
    <w:rsid w:val="00523957"/>
    <w:rsid w:val="00527266"/>
    <w:rsid w:val="00561F29"/>
    <w:rsid w:val="00567155"/>
    <w:rsid w:val="00573E63"/>
    <w:rsid w:val="00595298"/>
    <w:rsid w:val="005A11D8"/>
    <w:rsid w:val="005A20AB"/>
    <w:rsid w:val="005B65F8"/>
    <w:rsid w:val="005F299A"/>
    <w:rsid w:val="0060736C"/>
    <w:rsid w:val="00612F30"/>
    <w:rsid w:val="00634C9D"/>
    <w:rsid w:val="006443C7"/>
    <w:rsid w:val="00656FEE"/>
    <w:rsid w:val="00661230"/>
    <w:rsid w:val="00664FFF"/>
    <w:rsid w:val="0066799B"/>
    <w:rsid w:val="006836EB"/>
    <w:rsid w:val="0069714C"/>
    <w:rsid w:val="006A07E8"/>
    <w:rsid w:val="006A1280"/>
    <w:rsid w:val="006A5391"/>
    <w:rsid w:val="006B32F0"/>
    <w:rsid w:val="006B5EA2"/>
    <w:rsid w:val="006C6437"/>
    <w:rsid w:val="006E0EC0"/>
    <w:rsid w:val="006E16A1"/>
    <w:rsid w:val="00700A8D"/>
    <w:rsid w:val="00704901"/>
    <w:rsid w:val="00712F1C"/>
    <w:rsid w:val="0071465D"/>
    <w:rsid w:val="00716FE0"/>
    <w:rsid w:val="00722E8B"/>
    <w:rsid w:val="00730024"/>
    <w:rsid w:val="00773AC1"/>
    <w:rsid w:val="0078035C"/>
    <w:rsid w:val="00791EAF"/>
    <w:rsid w:val="007B11E1"/>
    <w:rsid w:val="007E22AA"/>
    <w:rsid w:val="007F3A47"/>
    <w:rsid w:val="007F4D47"/>
    <w:rsid w:val="007F79C3"/>
    <w:rsid w:val="00815B5F"/>
    <w:rsid w:val="00836D3E"/>
    <w:rsid w:val="00845D12"/>
    <w:rsid w:val="00852638"/>
    <w:rsid w:val="00853350"/>
    <w:rsid w:val="008648CC"/>
    <w:rsid w:val="0089345C"/>
    <w:rsid w:val="008C00A7"/>
    <w:rsid w:val="008D197D"/>
    <w:rsid w:val="008D1D7B"/>
    <w:rsid w:val="008D3018"/>
    <w:rsid w:val="008F425E"/>
    <w:rsid w:val="00900214"/>
    <w:rsid w:val="009329F7"/>
    <w:rsid w:val="00951690"/>
    <w:rsid w:val="00955356"/>
    <w:rsid w:val="0096110F"/>
    <w:rsid w:val="0097518C"/>
    <w:rsid w:val="00994F4E"/>
    <w:rsid w:val="009958E7"/>
    <w:rsid w:val="009A1B47"/>
    <w:rsid w:val="009A31A1"/>
    <w:rsid w:val="009B1E95"/>
    <w:rsid w:val="009B6650"/>
    <w:rsid w:val="00A15A3B"/>
    <w:rsid w:val="00A202AA"/>
    <w:rsid w:val="00A269EA"/>
    <w:rsid w:val="00A27A2D"/>
    <w:rsid w:val="00A367DA"/>
    <w:rsid w:val="00A432CA"/>
    <w:rsid w:val="00A746A4"/>
    <w:rsid w:val="00AA3CF9"/>
    <w:rsid w:val="00AA5941"/>
    <w:rsid w:val="00AA6E7B"/>
    <w:rsid w:val="00AC090B"/>
    <w:rsid w:val="00AD6A3E"/>
    <w:rsid w:val="00AF4BE6"/>
    <w:rsid w:val="00B40435"/>
    <w:rsid w:val="00B5445F"/>
    <w:rsid w:val="00B54E54"/>
    <w:rsid w:val="00B77685"/>
    <w:rsid w:val="00BB0B3C"/>
    <w:rsid w:val="00BB3FBA"/>
    <w:rsid w:val="00BB5D7F"/>
    <w:rsid w:val="00BF4B2A"/>
    <w:rsid w:val="00BF6E89"/>
    <w:rsid w:val="00C27815"/>
    <w:rsid w:val="00C30E81"/>
    <w:rsid w:val="00C3229C"/>
    <w:rsid w:val="00C34BFE"/>
    <w:rsid w:val="00C5699D"/>
    <w:rsid w:val="00C631E4"/>
    <w:rsid w:val="00C6709A"/>
    <w:rsid w:val="00C80086"/>
    <w:rsid w:val="00C8799B"/>
    <w:rsid w:val="00C95B60"/>
    <w:rsid w:val="00CB2C21"/>
    <w:rsid w:val="00CB455F"/>
    <w:rsid w:val="00CC5759"/>
    <w:rsid w:val="00CD31C6"/>
    <w:rsid w:val="00CD5D8E"/>
    <w:rsid w:val="00D02B4E"/>
    <w:rsid w:val="00D03234"/>
    <w:rsid w:val="00D2407A"/>
    <w:rsid w:val="00D26F4E"/>
    <w:rsid w:val="00D33635"/>
    <w:rsid w:val="00D35EB5"/>
    <w:rsid w:val="00D5110F"/>
    <w:rsid w:val="00D5293D"/>
    <w:rsid w:val="00D53988"/>
    <w:rsid w:val="00D54E13"/>
    <w:rsid w:val="00D73DAE"/>
    <w:rsid w:val="00D74442"/>
    <w:rsid w:val="00D81F7A"/>
    <w:rsid w:val="00D96809"/>
    <w:rsid w:val="00DB6311"/>
    <w:rsid w:val="00DD453D"/>
    <w:rsid w:val="00DD54C7"/>
    <w:rsid w:val="00DF38B7"/>
    <w:rsid w:val="00E02706"/>
    <w:rsid w:val="00E176D7"/>
    <w:rsid w:val="00E25218"/>
    <w:rsid w:val="00E47186"/>
    <w:rsid w:val="00E6294B"/>
    <w:rsid w:val="00E666D2"/>
    <w:rsid w:val="00E67E56"/>
    <w:rsid w:val="00E96588"/>
    <w:rsid w:val="00E96DE8"/>
    <w:rsid w:val="00ED25D1"/>
    <w:rsid w:val="00F0563F"/>
    <w:rsid w:val="00F12A36"/>
    <w:rsid w:val="00F12F5F"/>
    <w:rsid w:val="00F15F08"/>
    <w:rsid w:val="00F21F49"/>
    <w:rsid w:val="00F23E28"/>
    <w:rsid w:val="00F64574"/>
    <w:rsid w:val="00F738F7"/>
    <w:rsid w:val="00F96D61"/>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89345C"/>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89345C"/>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2A3CD4"/>
    <w:pPr>
      <w:spacing w:after="100"/>
      <w:ind w:left="240"/>
    </w:pPr>
  </w:style>
  <w:style w:type="table" w:styleId="GridTable1Light-Accent6">
    <w:name w:val="Grid Table 1 Light Accent 6"/>
    <w:basedOn w:val="TableNormal"/>
    <w:uiPriority w:val="46"/>
    <w:rsid w:val="006C6437"/>
    <w:pPr>
      <w:spacing w:after="0" w:line="240" w:lineRule="auto"/>
    </w:pPr>
    <w:rPr>
      <w:rFonts w:eastAsiaTheme="minorHAnsi"/>
      <w:lang w:val="en-GB"/>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18512">
      <w:bodyDiv w:val="1"/>
      <w:marLeft w:val="0"/>
      <w:marRight w:val="0"/>
      <w:marTop w:val="0"/>
      <w:marBottom w:val="0"/>
      <w:divBdr>
        <w:top w:val="none" w:sz="0" w:space="0" w:color="auto"/>
        <w:left w:val="none" w:sz="0" w:space="0" w:color="auto"/>
        <w:bottom w:val="none" w:sz="0" w:space="0" w:color="auto"/>
        <w:right w:val="none" w:sz="0" w:space="0" w:color="auto"/>
      </w:divBdr>
    </w:div>
    <w:div w:id="388892484">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6AD68-95FA-4C86-92D4-3639205B9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2703</Words>
  <Characters>15411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Owner</cp:lastModifiedBy>
  <cp:revision>2</cp:revision>
  <dcterms:created xsi:type="dcterms:W3CDTF">2022-05-27T20:01:00Z</dcterms:created>
  <dcterms:modified xsi:type="dcterms:W3CDTF">2022-05-27T20:01:00Z</dcterms:modified>
</cp:coreProperties>
</file>