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BF5498">
      <w:pPr>
        <w:autoSpaceDE w:val="0"/>
        <w:autoSpaceDN w:val="0"/>
        <w:adjustRightInd w:val="0"/>
        <w:spacing w:after="0" w:line="480" w:lineRule="auto"/>
        <w:ind w:firstLine="560" w:firstLineChars="200"/>
        <w:jc w:val="center"/>
        <w:rPr>
          <w:rFonts w:ascii="Times New Roman" w:hAnsi="Times New Roman" w:eastAsia="Songti SC" w:cs="Times-Roman"/>
          <w:kern w:val="0"/>
          <w:sz w:val="28"/>
          <w:szCs w:val="32"/>
        </w:rPr>
      </w:pPr>
    </w:p>
    <w:p w14:paraId="461D140D">
      <w:pPr>
        <w:autoSpaceDE w:val="0"/>
        <w:autoSpaceDN w:val="0"/>
        <w:adjustRightInd w:val="0"/>
        <w:spacing w:after="0" w:line="480" w:lineRule="auto"/>
        <w:ind w:firstLine="561" w:firstLineChars="200"/>
        <w:jc w:val="center"/>
        <w:rPr>
          <w:rFonts w:ascii="Times New Roman" w:hAnsi="Times New Roman" w:eastAsia="Songti SC" w:cs="Times-Roman"/>
          <w:b/>
          <w:bCs/>
          <w:kern w:val="0"/>
          <w:sz w:val="28"/>
          <w:szCs w:val="32"/>
        </w:rPr>
      </w:pPr>
      <w:r>
        <w:rPr>
          <w:rFonts w:ascii="Times New Roman" w:hAnsi="Times New Roman" w:eastAsia="Songti SC" w:cs="Times-Roman"/>
          <w:b/>
          <w:bCs/>
          <w:kern w:val="0"/>
          <w:sz w:val="28"/>
          <w:szCs w:val="32"/>
        </w:rPr>
        <w:t>Intercultural Communication and Culture: Building Successful Business Relationships in Asia</w:t>
      </w:r>
    </w:p>
    <w:p w14:paraId="6496FF7A">
      <w:pPr>
        <w:autoSpaceDE w:val="0"/>
        <w:autoSpaceDN w:val="0"/>
        <w:adjustRightInd w:val="0"/>
        <w:spacing w:after="0" w:line="480" w:lineRule="auto"/>
        <w:ind w:firstLine="560" w:firstLineChars="200"/>
        <w:jc w:val="center"/>
        <w:rPr>
          <w:rFonts w:ascii="Times New Roman" w:hAnsi="Times New Roman" w:eastAsia="Songti SC" w:cs="Times-Roman"/>
          <w:kern w:val="0"/>
          <w:sz w:val="28"/>
          <w:szCs w:val="32"/>
        </w:rPr>
      </w:pPr>
      <w:r>
        <w:rPr>
          <w:rFonts w:ascii="Times New Roman" w:hAnsi="Times New Roman" w:eastAsia="Songti SC" w:cs="Times-Roman"/>
          <w:kern w:val="0"/>
          <w:sz w:val="28"/>
          <w:szCs w:val="32"/>
        </w:rPr>
        <w:drawing>
          <wp:inline distT="0" distB="0" distL="0" distR="0">
            <wp:extent cx="3039110" cy="2393315"/>
            <wp:effectExtent l="0" t="0" r="0" b="0"/>
            <wp:docPr id="19634924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492467" name="图片 1"/>
                    <pic:cNvPicPr>
                      <a:picLocks noChangeAspect="1"/>
                    </pic:cNvPicPr>
                  </pic:nvPicPr>
                  <pic:blipFill>
                    <a:blip r:embed="rId6"/>
                    <a:stretch>
                      <a:fillRect/>
                    </a:stretch>
                  </pic:blipFill>
                  <pic:spPr>
                    <a:xfrm>
                      <a:off x="0" y="0"/>
                      <a:ext cx="3063700" cy="2413018"/>
                    </a:xfrm>
                    <a:prstGeom prst="rect">
                      <a:avLst/>
                    </a:prstGeom>
                  </pic:spPr>
                </pic:pic>
              </a:graphicData>
            </a:graphic>
          </wp:inline>
        </w:drawing>
      </w:r>
    </w:p>
    <w:p w14:paraId="0FD3D379">
      <w:pPr>
        <w:autoSpaceDE w:val="0"/>
        <w:autoSpaceDN w:val="0"/>
        <w:adjustRightInd w:val="0"/>
        <w:spacing w:after="0" w:line="480" w:lineRule="auto"/>
        <w:ind w:firstLine="480" w:firstLineChars="200"/>
        <w:jc w:val="center"/>
        <w:rPr>
          <w:rFonts w:ascii="Times New Roman" w:hAnsi="Times New Roman" w:eastAsia="Songti SC" w:cs="Times-Roman"/>
          <w:kern w:val="0"/>
          <w:sz w:val="24"/>
          <w:szCs w:val="28"/>
        </w:rPr>
      </w:pPr>
      <w:r>
        <w:rPr>
          <w:rFonts w:ascii="Times New Roman" w:hAnsi="Times New Roman" w:eastAsia="Songti SC" w:cs="Times-Roman"/>
          <w:kern w:val="0"/>
          <w:sz w:val="24"/>
          <w:szCs w:val="29"/>
        </w:rPr>
        <w:t>Student Name / ID: Zedong Zhang 2500386</w:t>
      </w:r>
    </w:p>
    <w:p w14:paraId="4C648EDD">
      <w:pPr>
        <w:autoSpaceDE w:val="0"/>
        <w:autoSpaceDN w:val="0"/>
        <w:adjustRightInd w:val="0"/>
        <w:spacing w:after="0" w:line="480" w:lineRule="auto"/>
        <w:ind w:firstLine="480" w:firstLineChars="200"/>
        <w:jc w:val="center"/>
        <w:rPr>
          <w:rFonts w:ascii="Times New Roman" w:hAnsi="Times New Roman" w:eastAsia="Songti SC" w:cs="Times-Roman"/>
          <w:kern w:val="0"/>
          <w:sz w:val="24"/>
          <w:szCs w:val="29"/>
        </w:rPr>
      </w:pPr>
      <w:r>
        <w:rPr>
          <w:rFonts w:ascii="Times New Roman" w:hAnsi="Times New Roman" w:eastAsia="Songti SC" w:cs="Times-Roman"/>
          <w:kern w:val="0"/>
          <w:sz w:val="24"/>
          <w:szCs w:val="29"/>
        </w:rPr>
        <w:t>Course: International Business Communication</w:t>
      </w:r>
    </w:p>
    <w:p w14:paraId="48C9A02F">
      <w:pPr>
        <w:autoSpaceDE w:val="0"/>
        <w:autoSpaceDN w:val="0"/>
        <w:adjustRightInd w:val="0"/>
        <w:spacing w:after="0" w:line="480" w:lineRule="auto"/>
        <w:ind w:firstLine="480" w:firstLineChars="200"/>
        <w:jc w:val="center"/>
        <w:rPr>
          <w:rFonts w:ascii="Times New Roman" w:hAnsi="Times New Roman" w:eastAsia="Songti SC" w:cs="Times-Roman"/>
          <w:kern w:val="0"/>
          <w:sz w:val="24"/>
          <w:szCs w:val="29"/>
        </w:rPr>
      </w:pPr>
      <w:r>
        <w:rPr>
          <w:rFonts w:ascii="Times New Roman" w:hAnsi="Times New Roman" w:eastAsia="Songti SC" w:cs="Times-Roman"/>
          <w:kern w:val="0"/>
          <w:sz w:val="24"/>
          <w:szCs w:val="29"/>
        </w:rPr>
        <w:t>Course Code: BMBM6021</w:t>
      </w:r>
    </w:p>
    <w:p w14:paraId="7A12F420">
      <w:pPr>
        <w:autoSpaceDE w:val="0"/>
        <w:autoSpaceDN w:val="0"/>
        <w:adjustRightInd w:val="0"/>
        <w:spacing w:after="0" w:line="480" w:lineRule="auto"/>
        <w:ind w:firstLine="480" w:firstLineChars="200"/>
        <w:jc w:val="center"/>
        <w:rPr>
          <w:rFonts w:hint="default" w:ascii="Times New Roman" w:hAnsi="Times New Roman" w:eastAsia="Songti SC" w:cs="Times-Roman"/>
          <w:kern w:val="0"/>
          <w:sz w:val="24"/>
          <w:szCs w:val="29"/>
          <w:lang w:val="en-US" w:eastAsia="zh-CN"/>
        </w:rPr>
      </w:pPr>
      <w:r>
        <w:rPr>
          <w:rFonts w:ascii="Times New Roman" w:hAnsi="Times New Roman" w:eastAsia="Songti SC" w:cs="Times-Roman"/>
          <w:kern w:val="0"/>
          <w:sz w:val="24"/>
          <w:szCs w:val="29"/>
        </w:rPr>
        <w:t>Date of Submission:</w:t>
      </w:r>
      <w:r>
        <w:rPr>
          <w:rFonts w:hint="eastAsia" w:ascii="Times New Roman" w:hAnsi="Times New Roman" w:eastAsia="Songti SC" w:cs="Times-Roman"/>
          <w:kern w:val="0"/>
          <w:sz w:val="24"/>
          <w:szCs w:val="29"/>
          <w:lang w:val="en-US" w:eastAsia="zh-CN"/>
        </w:rPr>
        <w:t>13/11/2025</w:t>
      </w:r>
      <w:bookmarkStart w:id="61" w:name="_GoBack"/>
      <w:bookmarkEnd w:id="61"/>
    </w:p>
    <w:p w14:paraId="442C73A6">
      <w:pPr>
        <w:widowControl/>
        <w:spacing w:line="480" w:lineRule="auto"/>
        <w:ind w:firstLine="200"/>
        <w:jc w:val="both"/>
        <w:rPr>
          <w:rFonts w:ascii="Times New Roman" w:hAnsi="Times New Roman" w:eastAsia="Songti SC" w:cs="Times-Roman"/>
          <w:kern w:val="0"/>
          <w:sz w:val="24"/>
          <w:szCs w:val="29"/>
        </w:rPr>
      </w:pPr>
      <w:r>
        <w:rPr>
          <w:rFonts w:ascii="Times New Roman" w:hAnsi="Times New Roman" w:eastAsia="Songti SC" w:cs="Times-Roman"/>
          <w:kern w:val="0"/>
          <w:sz w:val="24"/>
          <w:szCs w:val="29"/>
        </w:rPr>
        <w:br w:type="page"/>
      </w:r>
    </w:p>
    <w:p w14:paraId="785D8317">
      <w:pPr>
        <w:autoSpaceDE w:val="0"/>
        <w:autoSpaceDN w:val="0"/>
        <w:adjustRightInd w:val="0"/>
        <w:spacing w:after="0" w:line="480" w:lineRule="auto"/>
        <w:ind w:firstLine="200"/>
        <w:jc w:val="center"/>
        <w:rPr>
          <w:rFonts w:ascii="Times New Roman" w:hAnsi="Times New Roman" w:eastAsia="Songti SC" w:cs="Times-Roman"/>
          <w:b/>
          <w:bCs/>
          <w:kern w:val="0"/>
          <w:sz w:val="28"/>
          <w:szCs w:val="28"/>
        </w:rPr>
      </w:pPr>
      <w:r>
        <w:rPr>
          <w:rFonts w:ascii="Times New Roman" w:hAnsi="Times New Roman" w:eastAsia="Songti SC" w:cs="Times-Roman"/>
          <w:b/>
          <w:bCs/>
          <w:kern w:val="0"/>
          <w:sz w:val="28"/>
          <w:szCs w:val="28"/>
        </w:rPr>
        <w:t>Executive Summary</w:t>
      </w:r>
    </w:p>
    <w:p w14:paraId="367AF6C0">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This report analyses how a British clothing retailer can effectively carry out cross-cultural exchanges to support its expansion in the Asian market. The purpose is to help companies understand cultural differences, improve communication efficiency, and establish sustainable business relationships across regions.</w:t>
      </w:r>
    </w:p>
    <w:p w14:paraId="26590515">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Based in key theories such as Hall’s High- and Low-Context Culture, Trompenaars’ Seven Dimensions, Hofstede’s Cultural Dimensions, and Meyer’s Trust-Building Model, the report examines how changes in Asian values, communication styles and time orientation affect negotiation, decision-making and relationship building. With the further support of Attribution Theory and Cultural Noise Model, the analysis explains the common causes of communication interruptions, such as language barriers and non-verbal misunderstandings.</w:t>
      </w:r>
    </w:p>
    <w:p w14:paraId="4024CE98">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Drawing on some relevant business examples, the report found that trust and long-term commitment are crucial in the Asian environment. Finally, this report puts forward practical suggestions based on AUM: provide cultural training, establish a localized communication team, adapt to leadership styles, and establish a feedback system to manage anxiety and uncertainty. These strategies enable enterprises to improve communication efficiency and gain competitive advantages in a cross-cultural environment.</w:t>
      </w:r>
      <w:r>
        <w:rPr>
          <w:rFonts w:ascii="Times New Roman" w:hAnsi="Times New Roman" w:eastAsia="Songti SC" w:cs="Times-Roman"/>
          <w:kern w:val="0"/>
          <w:sz w:val="24"/>
          <w:szCs w:val="28"/>
        </w:rPr>
        <w:br w:type="page"/>
      </w:r>
    </w:p>
    <w:p w14:paraId="76DC31E3">
      <w:pPr>
        <w:widowControl/>
        <w:spacing w:line="360" w:lineRule="auto"/>
        <w:jc w:val="center"/>
        <w:rPr>
          <w:rFonts w:ascii="Times New Roman" w:hAnsi="Times New Roman" w:cs="Times New Roman"/>
          <w:sz w:val="24"/>
        </w:rPr>
      </w:pPr>
      <w:r>
        <w:rPr>
          <w:rFonts w:ascii="Times New Roman" w:hAnsi="Times New Roman" w:eastAsia="Songti SC" w:cs="Times New Roman"/>
          <w:b/>
          <w:bCs/>
          <w:kern w:val="0"/>
          <w:sz w:val="28"/>
          <w:szCs w:val="28"/>
        </w:rPr>
        <w:t>Content</w:t>
      </w:r>
      <w:bookmarkStart w:id="0" w:name="_Toc213104749"/>
      <w:bookmarkStart w:id="1" w:name="_Toc213106323"/>
      <w:r>
        <w:rPr>
          <w:rFonts w:ascii="Times New Roman" w:hAnsi="Times New Roman" w:eastAsia="Songti SC" w:cs="Times New Roman"/>
          <w:b/>
          <w:bCs/>
          <w:kern w:val="0"/>
          <w:sz w:val="24"/>
        </w:rPr>
        <w:fldChar w:fldCharType="begin"/>
      </w:r>
      <w:r>
        <w:rPr>
          <w:rFonts w:ascii="Times New Roman" w:hAnsi="Times New Roman" w:eastAsia="Songti SC" w:cs="Times New Roman"/>
          <w:b/>
          <w:bCs/>
          <w:kern w:val="0"/>
          <w:sz w:val="24"/>
        </w:rPr>
        <w:instrText xml:space="preserve"> TOC \o "1-3" \h \z \u </w:instrText>
      </w:r>
      <w:r>
        <w:rPr>
          <w:rFonts w:ascii="Times New Roman" w:hAnsi="Times New Roman" w:eastAsia="Songti SC" w:cs="Times New Roman"/>
          <w:b/>
          <w:bCs/>
          <w:kern w:val="0"/>
          <w:sz w:val="24"/>
        </w:rPr>
        <w:fldChar w:fldCharType="separate"/>
      </w:r>
    </w:p>
    <w:p w14:paraId="7872CC92">
      <w:pPr>
        <w:pStyle w:val="17"/>
        <w:tabs>
          <w:tab w:val="right" w:leader="dot" w:pos="8630"/>
        </w:tabs>
        <w:spacing w:line="360" w:lineRule="auto"/>
        <w:rPr>
          <w:rFonts w:ascii="Times New Roman" w:hAnsi="Times New Roman" w:cs="Times New Roman" w:eastAsiaTheme="minorEastAsia"/>
          <w:b w:val="0"/>
          <w:bCs w:val="0"/>
          <w:caps w:val="0"/>
          <w:sz w:val="24"/>
          <w:szCs w:val="24"/>
        </w:rPr>
      </w:pPr>
      <w:r>
        <w:fldChar w:fldCharType="begin"/>
      </w:r>
      <w:r>
        <w:instrText xml:space="preserve"> HYPERLINK \l "_Toc213618253" </w:instrText>
      </w:r>
      <w:r>
        <w:fldChar w:fldCharType="separate"/>
      </w:r>
      <w:r>
        <w:rPr>
          <w:rStyle w:val="30"/>
          <w:rFonts w:ascii="Times New Roman" w:hAnsi="Times New Roman" w:cs="Times New Roman"/>
          <w:kern w:val="0"/>
          <w:sz w:val="24"/>
          <w:szCs w:val="24"/>
        </w:rPr>
        <w:t>1.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_Toc213618253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71EE7A9">
      <w:pPr>
        <w:pStyle w:val="17"/>
        <w:tabs>
          <w:tab w:val="right" w:leader="dot" w:pos="8630"/>
        </w:tabs>
        <w:spacing w:line="360" w:lineRule="auto"/>
        <w:rPr>
          <w:rFonts w:ascii="Times New Roman" w:hAnsi="Times New Roman" w:cs="Times New Roman" w:eastAsiaTheme="minorEastAsia"/>
          <w:b w:val="0"/>
          <w:bCs w:val="0"/>
          <w:caps w:val="0"/>
          <w:sz w:val="24"/>
          <w:szCs w:val="24"/>
        </w:rPr>
      </w:pPr>
      <w:r>
        <w:fldChar w:fldCharType="begin"/>
      </w:r>
      <w:r>
        <w:instrText xml:space="preserve"> HYPERLINK \l "_Toc213618254" </w:instrText>
      </w:r>
      <w:r>
        <w:fldChar w:fldCharType="separate"/>
      </w:r>
      <w:r>
        <w:rPr>
          <w:rStyle w:val="30"/>
          <w:rFonts w:ascii="Times New Roman" w:hAnsi="Times New Roman" w:cs="Times New Roman"/>
          <w:kern w:val="0"/>
          <w:sz w:val="24"/>
          <w:szCs w:val="24"/>
        </w:rPr>
        <w:t>2.0 Understanding International Business Communication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_Toc213618254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7AA2A85">
      <w:pPr>
        <w:pStyle w:val="21"/>
        <w:tabs>
          <w:tab w:val="right" w:leader="dot" w:pos="8630"/>
        </w:tabs>
        <w:spacing w:line="360" w:lineRule="auto"/>
        <w:rPr>
          <w:rFonts w:ascii="Times New Roman" w:hAnsi="Times New Roman" w:cs="Times New Roman" w:eastAsiaTheme="minorEastAsia"/>
          <w:smallCaps w:val="0"/>
          <w:sz w:val="24"/>
          <w:szCs w:val="24"/>
        </w:rPr>
      </w:pPr>
      <w:r>
        <w:fldChar w:fldCharType="begin"/>
      </w:r>
      <w:r>
        <w:instrText xml:space="preserve"> HYPERLINK \l "_Toc213618255" </w:instrText>
      </w:r>
      <w:r>
        <w:fldChar w:fldCharType="separate"/>
      </w:r>
      <w:r>
        <w:rPr>
          <w:rStyle w:val="30"/>
          <w:rFonts w:ascii="Times New Roman" w:hAnsi="Times New Roman" w:cs="Times New Roman"/>
          <w:b/>
          <w:bCs/>
          <w:kern w:val="0"/>
          <w:sz w:val="24"/>
          <w:szCs w:val="24"/>
        </w:rPr>
        <w:t>2.1 Theoretical Basis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_Toc213618255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62DE7EA">
      <w:pPr>
        <w:pStyle w:val="21"/>
        <w:tabs>
          <w:tab w:val="right" w:leader="dot" w:pos="8630"/>
        </w:tabs>
        <w:spacing w:line="360" w:lineRule="auto"/>
        <w:rPr>
          <w:rFonts w:ascii="Times New Roman" w:hAnsi="Times New Roman" w:cs="Times New Roman" w:eastAsiaTheme="minorEastAsia"/>
          <w:smallCaps w:val="0"/>
          <w:sz w:val="24"/>
          <w:szCs w:val="24"/>
        </w:rPr>
      </w:pPr>
      <w:r>
        <w:fldChar w:fldCharType="begin"/>
      </w:r>
      <w:r>
        <w:instrText xml:space="preserve"> HYPERLINK \l "_Toc213618256" </w:instrText>
      </w:r>
      <w:r>
        <w:fldChar w:fldCharType="separate"/>
      </w:r>
      <w:r>
        <w:rPr>
          <w:rStyle w:val="30"/>
          <w:rFonts w:ascii="Times New Roman" w:hAnsi="Times New Roman" w:cs="Times New Roman"/>
          <w:b/>
          <w:bCs/>
          <w:kern w:val="0"/>
          <w:sz w:val="24"/>
          <w:szCs w:val="24"/>
        </w:rPr>
        <w:t>2.2 Practical Application in Global Retail Expansion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_Toc213618256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A26CD4E">
      <w:pPr>
        <w:pStyle w:val="17"/>
        <w:tabs>
          <w:tab w:val="right" w:leader="dot" w:pos="8630"/>
        </w:tabs>
        <w:spacing w:line="360" w:lineRule="auto"/>
        <w:rPr>
          <w:rFonts w:ascii="Times New Roman" w:hAnsi="Times New Roman" w:cs="Times New Roman" w:eastAsiaTheme="minorEastAsia"/>
          <w:b w:val="0"/>
          <w:bCs w:val="0"/>
          <w:caps w:val="0"/>
          <w:sz w:val="24"/>
          <w:szCs w:val="24"/>
        </w:rPr>
      </w:pPr>
      <w:r>
        <w:fldChar w:fldCharType="begin"/>
      </w:r>
      <w:r>
        <w:instrText xml:space="preserve"> HYPERLINK \l "_Toc213618257" </w:instrText>
      </w:r>
      <w:r>
        <w:fldChar w:fldCharType="separate"/>
      </w:r>
      <w:r>
        <w:rPr>
          <w:rStyle w:val="30"/>
          <w:rFonts w:ascii="Times New Roman" w:hAnsi="Times New Roman" w:cs="Times New Roman"/>
          <w:kern w:val="0"/>
          <w:sz w:val="24"/>
          <w:szCs w:val="24"/>
        </w:rPr>
        <w:t>3.0 Culture and Its Components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_Toc213618257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D9F063F">
      <w:pPr>
        <w:pStyle w:val="21"/>
        <w:tabs>
          <w:tab w:val="right" w:leader="dot" w:pos="8630"/>
        </w:tabs>
        <w:spacing w:line="360" w:lineRule="auto"/>
        <w:rPr>
          <w:rFonts w:ascii="Times New Roman" w:hAnsi="Times New Roman" w:cs="Times New Roman" w:eastAsiaTheme="minorEastAsia"/>
          <w:smallCaps w:val="0"/>
          <w:sz w:val="24"/>
          <w:szCs w:val="24"/>
        </w:rPr>
      </w:pPr>
      <w:r>
        <w:fldChar w:fldCharType="begin"/>
      </w:r>
      <w:r>
        <w:instrText xml:space="preserve"> HYPERLINK \l "_Toc213618258" </w:instrText>
      </w:r>
      <w:r>
        <w:fldChar w:fldCharType="separate"/>
      </w:r>
      <w:r>
        <w:rPr>
          <w:rStyle w:val="30"/>
          <w:rFonts w:ascii="Times New Roman" w:hAnsi="Times New Roman" w:cs="Times New Roman"/>
          <w:b/>
          <w:bCs/>
          <w:kern w:val="0"/>
          <w:sz w:val="24"/>
          <w:szCs w:val="24"/>
        </w:rPr>
        <w:t>3.1 Theoretical Foundations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_Toc213618258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8BF81B9">
      <w:pPr>
        <w:pStyle w:val="21"/>
        <w:tabs>
          <w:tab w:val="right" w:leader="dot" w:pos="8630"/>
        </w:tabs>
        <w:spacing w:line="360" w:lineRule="auto"/>
        <w:rPr>
          <w:rFonts w:ascii="Times New Roman" w:hAnsi="Times New Roman" w:cs="Times New Roman" w:eastAsiaTheme="minorEastAsia"/>
          <w:smallCaps w:val="0"/>
          <w:sz w:val="24"/>
          <w:szCs w:val="24"/>
        </w:rPr>
      </w:pPr>
      <w:r>
        <w:fldChar w:fldCharType="begin"/>
      </w:r>
      <w:r>
        <w:instrText xml:space="preserve"> HYPERLINK \l "_Toc213618259" </w:instrText>
      </w:r>
      <w:r>
        <w:fldChar w:fldCharType="separate"/>
      </w:r>
      <w:r>
        <w:rPr>
          <w:rStyle w:val="30"/>
          <w:rFonts w:ascii="Times New Roman" w:hAnsi="Times New Roman" w:cs="Times New Roman"/>
          <w:b/>
          <w:bCs/>
          <w:kern w:val="0"/>
          <w:sz w:val="24"/>
          <w:szCs w:val="24"/>
        </w:rPr>
        <w:t>3.3 Critical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_Toc213618259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5E039CD">
      <w:pPr>
        <w:pStyle w:val="17"/>
        <w:tabs>
          <w:tab w:val="right" w:leader="dot" w:pos="8630"/>
        </w:tabs>
        <w:spacing w:line="360" w:lineRule="auto"/>
        <w:rPr>
          <w:rFonts w:ascii="Times New Roman" w:hAnsi="Times New Roman" w:cs="Times New Roman" w:eastAsiaTheme="minorEastAsia"/>
          <w:b w:val="0"/>
          <w:bCs w:val="0"/>
          <w:caps w:val="0"/>
          <w:sz w:val="24"/>
          <w:szCs w:val="24"/>
        </w:rPr>
      </w:pPr>
      <w:r>
        <w:fldChar w:fldCharType="begin"/>
      </w:r>
      <w:r>
        <w:instrText xml:space="preserve"> HYPERLINK \l "_Toc213618260" </w:instrText>
      </w:r>
      <w:r>
        <w:fldChar w:fldCharType="separate"/>
      </w:r>
      <w:r>
        <w:rPr>
          <w:rStyle w:val="30"/>
          <w:rFonts w:ascii="Times New Roman" w:hAnsi="Times New Roman" w:cs="Times New Roman"/>
          <w:kern w:val="0"/>
          <w:sz w:val="24"/>
          <w:szCs w:val="24"/>
        </w:rPr>
        <w:t>4.0 Skills Required for Effective Intercultural Communication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_Toc213618260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6162BA9">
      <w:pPr>
        <w:pStyle w:val="21"/>
        <w:tabs>
          <w:tab w:val="right" w:leader="dot" w:pos="8630"/>
        </w:tabs>
        <w:spacing w:line="360" w:lineRule="auto"/>
        <w:rPr>
          <w:rFonts w:ascii="Times New Roman" w:hAnsi="Times New Roman" w:cs="Times New Roman" w:eastAsiaTheme="minorEastAsia"/>
          <w:smallCaps w:val="0"/>
          <w:sz w:val="24"/>
          <w:szCs w:val="24"/>
        </w:rPr>
      </w:pPr>
      <w:r>
        <w:fldChar w:fldCharType="begin"/>
      </w:r>
      <w:r>
        <w:instrText xml:space="preserve"> HYPERLINK \l "_Toc213618261" </w:instrText>
      </w:r>
      <w:r>
        <w:fldChar w:fldCharType="separate"/>
      </w:r>
      <w:r>
        <w:rPr>
          <w:rStyle w:val="30"/>
          <w:rFonts w:ascii="Times New Roman" w:hAnsi="Times New Roman" w:cs="Times New Roman"/>
          <w:b/>
          <w:bCs/>
          <w:kern w:val="0"/>
          <w:sz w:val="24"/>
          <w:szCs w:val="24"/>
        </w:rPr>
        <w:t>4.1 Core skills and Theories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_Toc213618261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B95E975">
      <w:pPr>
        <w:pStyle w:val="15"/>
        <w:tabs>
          <w:tab w:val="right" w:leader="dot" w:pos="8630"/>
        </w:tabs>
        <w:spacing w:line="360" w:lineRule="auto"/>
        <w:rPr>
          <w:rFonts w:ascii="Times New Roman" w:hAnsi="Times New Roman" w:cs="Times New Roman" w:eastAsiaTheme="minorEastAsia"/>
          <w:i w:val="0"/>
          <w:iCs w:val="0"/>
          <w:sz w:val="24"/>
          <w:szCs w:val="24"/>
        </w:rPr>
      </w:pPr>
      <w:r>
        <w:fldChar w:fldCharType="begin"/>
      </w:r>
      <w:r>
        <w:instrText xml:space="preserve"> HYPERLINK \l "_Toc213618262" </w:instrText>
      </w:r>
      <w:r>
        <w:fldChar w:fldCharType="separate"/>
      </w:r>
      <w:r>
        <w:rPr>
          <w:rStyle w:val="30"/>
          <w:rFonts w:ascii="Times New Roman" w:hAnsi="Times New Roman" w:eastAsia="Songti SC" w:cs="Times New Roman"/>
          <w:kern w:val="0"/>
          <w:sz w:val="24"/>
          <w:szCs w:val="24"/>
        </w:rPr>
        <w:t>4.1.1 Cultural Intelligence (CQ)</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_Toc213618262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129F91B">
      <w:pPr>
        <w:pStyle w:val="15"/>
        <w:tabs>
          <w:tab w:val="right" w:leader="dot" w:pos="8630"/>
        </w:tabs>
        <w:spacing w:line="360" w:lineRule="auto"/>
        <w:rPr>
          <w:rFonts w:ascii="Times New Roman" w:hAnsi="Times New Roman" w:cs="Times New Roman" w:eastAsiaTheme="minorEastAsia"/>
          <w:i w:val="0"/>
          <w:iCs w:val="0"/>
          <w:sz w:val="24"/>
          <w:szCs w:val="24"/>
        </w:rPr>
      </w:pPr>
      <w:r>
        <w:fldChar w:fldCharType="begin"/>
      </w:r>
      <w:r>
        <w:instrText xml:space="preserve"> HYPERLINK \l "_Toc213618263" </w:instrText>
      </w:r>
      <w:r>
        <w:fldChar w:fldCharType="separate"/>
      </w:r>
      <w:r>
        <w:rPr>
          <w:rStyle w:val="30"/>
          <w:rFonts w:ascii="Times New Roman" w:hAnsi="Times New Roman" w:cs="Times New Roman"/>
          <w:kern w:val="0"/>
          <w:sz w:val="24"/>
          <w:szCs w:val="24"/>
        </w:rPr>
        <w:t>4.1.2 Cross-Cultural Management Competencies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_Toc213618263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2466536">
      <w:pPr>
        <w:pStyle w:val="21"/>
        <w:tabs>
          <w:tab w:val="right" w:leader="dot" w:pos="8630"/>
        </w:tabs>
        <w:spacing w:line="360" w:lineRule="auto"/>
        <w:rPr>
          <w:rFonts w:ascii="Times New Roman" w:hAnsi="Times New Roman" w:cs="Times New Roman" w:eastAsiaTheme="minorEastAsia"/>
          <w:smallCaps w:val="0"/>
          <w:sz w:val="24"/>
          <w:szCs w:val="24"/>
        </w:rPr>
      </w:pPr>
      <w:r>
        <w:fldChar w:fldCharType="begin"/>
      </w:r>
      <w:r>
        <w:instrText xml:space="preserve"> HYPERLINK \l "_Toc213618264" </w:instrText>
      </w:r>
      <w:r>
        <w:fldChar w:fldCharType="separate"/>
      </w:r>
      <w:r>
        <w:rPr>
          <w:rStyle w:val="30"/>
          <w:rFonts w:ascii="Times New Roman" w:hAnsi="Times New Roman" w:cs="Times New Roman"/>
          <w:b/>
          <w:bCs/>
          <w:kern w:val="0"/>
          <w:sz w:val="24"/>
          <w:szCs w:val="24"/>
        </w:rPr>
        <w:t>4.2 Critical Evaluation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_Toc213618264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1A5B1BD">
      <w:pPr>
        <w:pStyle w:val="17"/>
        <w:tabs>
          <w:tab w:val="right" w:leader="dot" w:pos="8630"/>
        </w:tabs>
        <w:spacing w:line="360" w:lineRule="auto"/>
        <w:rPr>
          <w:rFonts w:ascii="Times New Roman" w:hAnsi="Times New Roman" w:cs="Times New Roman" w:eastAsiaTheme="minorEastAsia"/>
          <w:b w:val="0"/>
          <w:bCs w:val="0"/>
          <w:caps w:val="0"/>
          <w:sz w:val="24"/>
          <w:szCs w:val="24"/>
        </w:rPr>
      </w:pPr>
      <w:r>
        <w:fldChar w:fldCharType="begin"/>
      </w:r>
      <w:r>
        <w:instrText xml:space="preserve"> HYPERLINK \l "_Toc213618265" </w:instrText>
      </w:r>
      <w:r>
        <w:fldChar w:fldCharType="separate"/>
      </w:r>
      <w:r>
        <w:rPr>
          <w:rStyle w:val="30"/>
          <w:rFonts w:ascii="Times New Roman" w:hAnsi="Times New Roman" w:cs="Times New Roman"/>
          <w:kern w:val="0"/>
          <w:sz w:val="24"/>
          <w:szCs w:val="24"/>
        </w:rPr>
        <w:t>5.0 Relationship Building and Trust in Asian Business Culture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_Toc213618265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CA099CA">
      <w:pPr>
        <w:pStyle w:val="21"/>
        <w:tabs>
          <w:tab w:val="right" w:leader="dot" w:pos="8630"/>
        </w:tabs>
        <w:spacing w:line="360" w:lineRule="auto"/>
        <w:rPr>
          <w:rFonts w:ascii="Times New Roman" w:hAnsi="Times New Roman" w:cs="Times New Roman" w:eastAsiaTheme="minorEastAsia"/>
          <w:smallCaps w:val="0"/>
          <w:sz w:val="24"/>
          <w:szCs w:val="24"/>
        </w:rPr>
      </w:pPr>
      <w:r>
        <w:fldChar w:fldCharType="begin"/>
      </w:r>
      <w:r>
        <w:instrText xml:space="preserve"> HYPERLINK \l "_Toc213618266" </w:instrText>
      </w:r>
      <w:r>
        <w:fldChar w:fldCharType="separate"/>
      </w:r>
      <w:r>
        <w:rPr>
          <w:rStyle w:val="30"/>
          <w:rFonts w:ascii="Times New Roman" w:hAnsi="Times New Roman" w:cs="Times New Roman"/>
          <w:b/>
          <w:bCs/>
          <w:kern w:val="0"/>
          <w:sz w:val="24"/>
          <w:szCs w:val="24"/>
        </w:rPr>
        <w:t>5.1 Trust-Building Model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_Toc213618266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838DD6F">
      <w:pPr>
        <w:pStyle w:val="21"/>
        <w:tabs>
          <w:tab w:val="right" w:leader="dot" w:pos="8630"/>
        </w:tabs>
        <w:spacing w:line="360" w:lineRule="auto"/>
        <w:rPr>
          <w:rFonts w:ascii="Times New Roman" w:hAnsi="Times New Roman" w:cs="Times New Roman" w:eastAsiaTheme="minorEastAsia"/>
          <w:smallCaps w:val="0"/>
          <w:sz w:val="24"/>
          <w:szCs w:val="24"/>
        </w:rPr>
      </w:pPr>
      <w:r>
        <w:fldChar w:fldCharType="begin"/>
      </w:r>
      <w:r>
        <w:instrText xml:space="preserve"> HYPERLINK \l "_Toc213618267" </w:instrText>
      </w:r>
      <w:r>
        <w:fldChar w:fldCharType="separate"/>
      </w:r>
      <w:r>
        <w:rPr>
          <w:rStyle w:val="30"/>
          <w:rFonts w:ascii="Times New Roman" w:hAnsi="Times New Roman" w:cs="Times New Roman"/>
          <w:b/>
          <w:bCs/>
          <w:kern w:val="0"/>
          <w:sz w:val="24"/>
          <w:szCs w:val="24"/>
        </w:rPr>
        <w:t>5.2 Hall’s Time Orientation 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_Toc213618267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893B952">
      <w:pPr>
        <w:pStyle w:val="21"/>
        <w:tabs>
          <w:tab w:val="right" w:leader="dot" w:pos="8630"/>
        </w:tabs>
        <w:spacing w:line="360" w:lineRule="auto"/>
        <w:rPr>
          <w:rFonts w:ascii="Times New Roman" w:hAnsi="Times New Roman" w:cs="Times New Roman" w:eastAsiaTheme="minorEastAsia"/>
          <w:smallCaps w:val="0"/>
          <w:sz w:val="24"/>
          <w:szCs w:val="24"/>
        </w:rPr>
      </w:pPr>
      <w:r>
        <w:fldChar w:fldCharType="begin"/>
      </w:r>
      <w:r>
        <w:instrText xml:space="preserve"> HYPERLINK \l "_Toc213618268" </w:instrText>
      </w:r>
      <w:r>
        <w:fldChar w:fldCharType="separate"/>
      </w:r>
      <w:r>
        <w:rPr>
          <w:rStyle w:val="30"/>
          <w:rFonts w:ascii="Times New Roman" w:hAnsi="Times New Roman" w:cs="Times New Roman"/>
          <w:b/>
          <w:bCs/>
          <w:kern w:val="0"/>
          <w:sz w:val="24"/>
          <w:szCs w:val="24"/>
        </w:rPr>
        <w:t>5.3 Case Study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_Toc213618268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639825D">
      <w:pPr>
        <w:pStyle w:val="17"/>
        <w:tabs>
          <w:tab w:val="right" w:leader="dot" w:pos="8630"/>
        </w:tabs>
        <w:spacing w:line="360" w:lineRule="auto"/>
        <w:rPr>
          <w:rFonts w:ascii="Times New Roman" w:hAnsi="Times New Roman" w:cs="Times New Roman" w:eastAsiaTheme="minorEastAsia"/>
          <w:b w:val="0"/>
          <w:bCs w:val="0"/>
          <w:caps w:val="0"/>
          <w:sz w:val="24"/>
          <w:szCs w:val="24"/>
        </w:rPr>
      </w:pPr>
      <w:r>
        <w:fldChar w:fldCharType="begin"/>
      </w:r>
      <w:r>
        <w:instrText xml:space="preserve"> HYPERLINK \l "_Toc213618269" </w:instrText>
      </w:r>
      <w:r>
        <w:fldChar w:fldCharType="separate"/>
      </w:r>
      <w:r>
        <w:rPr>
          <w:rStyle w:val="30"/>
          <w:rFonts w:ascii="Times New Roman" w:hAnsi="Times New Roman" w:cs="Times New Roman"/>
          <w:kern w:val="0"/>
          <w:sz w:val="24"/>
          <w:szCs w:val="24"/>
        </w:rPr>
        <w:t>6.0 Communication Breakdown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_Toc213618269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74B021F">
      <w:pPr>
        <w:pStyle w:val="21"/>
        <w:tabs>
          <w:tab w:val="right" w:leader="dot" w:pos="8630"/>
        </w:tabs>
        <w:spacing w:line="360" w:lineRule="auto"/>
        <w:rPr>
          <w:rFonts w:ascii="Times New Roman" w:hAnsi="Times New Roman" w:cs="Times New Roman" w:eastAsiaTheme="minorEastAsia"/>
          <w:smallCaps w:val="0"/>
          <w:sz w:val="24"/>
          <w:szCs w:val="24"/>
        </w:rPr>
      </w:pPr>
      <w:r>
        <w:fldChar w:fldCharType="begin"/>
      </w:r>
      <w:r>
        <w:instrText xml:space="preserve"> HYPERLINK \l "_Toc213618270" </w:instrText>
      </w:r>
      <w:r>
        <w:fldChar w:fldCharType="separate"/>
      </w:r>
      <w:r>
        <w:rPr>
          <w:rStyle w:val="30"/>
          <w:rFonts w:ascii="Times New Roman" w:hAnsi="Times New Roman" w:cs="Times New Roman"/>
          <w:b/>
          <w:bCs/>
          <w:kern w:val="0"/>
          <w:sz w:val="24"/>
          <w:szCs w:val="24"/>
        </w:rPr>
        <w:t>6.1 Causes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_Toc213618270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39D6563">
      <w:pPr>
        <w:pStyle w:val="21"/>
        <w:tabs>
          <w:tab w:val="right" w:leader="dot" w:pos="8630"/>
        </w:tabs>
        <w:spacing w:line="360" w:lineRule="auto"/>
        <w:rPr>
          <w:rFonts w:ascii="Times New Roman" w:hAnsi="Times New Roman" w:cs="Times New Roman" w:eastAsiaTheme="minorEastAsia"/>
          <w:smallCaps w:val="0"/>
          <w:sz w:val="24"/>
          <w:szCs w:val="24"/>
        </w:rPr>
      </w:pPr>
      <w:r>
        <w:fldChar w:fldCharType="begin"/>
      </w:r>
      <w:r>
        <w:instrText xml:space="preserve"> HYPERLINK \l "_Toc213618271" </w:instrText>
      </w:r>
      <w:r>
        <w:fldChar w:fldCharType="separate"/>
      </w:r>
      <w:r>
        <w:rPr>
          <w:rStyle w:val="30"/>
          <w:rFonts w:ascii="Times New Roman" w:hAnsi="Times New Roman" w:cs="Times New Roman"/>
          <w:b/>
          <w:bCs/>
          <w:kern w:val="0"/>
          <w:sz w:val="24"/>
          <w:szCs w:val="24"/>
        </w:rPr>
        <w:t>6.2 Case Study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_Toc213618271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8473FB0">
      <w:pPr>
        <w:pStyle w:val="17"/>
        <w:tabs>
          <w:tab w:val="right" w:leader="dot" w:pos="8630"/>
        </w:tabs>
        <w:spacing w:line="360" w:lineRule="auto"/>
        <w:rPr>
          <w:rFonts w:ascii="Times New Roman" w:hAnsi="Times New Roman" w:cs="Times New Roman" w:eastAsiaTheme="minorEastAsia"/>
          <w:b w:val="0"/>
          <w:bCs w:val="0"/>
          <w:caps w:val="0"/>
          <w:sz w:val="24"/>
          <w:szCs w:val="24"/>
        </w:rPr>
      </w:pPr>
      <w:r>
        <w:fldChar w:fldCharType="begin"/>
      </w:r>
      <w:r>
        <w:instrText xml:space="preserve"> HYPERLINK \l "_Toc213618272" </w:instrText>
      </w:r>
      <w:r>
        <w:fldChar w:fldCharType="separate"/>
      </w:r>
      <w:r>
        <w:rPr>
          <w:rStyle w:val="30"/>
          <w:rFonts w:ascii="Times New Roman" w:hAnsi="Times New Roman" w:cs="Times New Roman"/>
          <w:kern w:val="0"/>
          <w:sz w:val="24"/>
          <w:szCs w:val="24"/>
        </w:rPr>
        <w:t>8.0 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_Toc213618272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06309AD">
      <w:pPr>
        <w:pStyle w:val="17"/>
        <w:tabs>
          <w:tab w:val="right" w:leader="dot" w:pos="8630"/>
        </w:tabs>
        <w:spacing w:line="360" w:lineRule="auto"/>
        <w:rPr>
          <w:rFonts w:ascii="Times New Roman" w:hAnsi="Times New Roman" w:cs="Times New Roman" w:eastAsiaTheme="minorEastAsia"/>
          <w:b w:val="0"/>
          <w:bCs w:val="0"/>
          <w:caps w:val="0"/>
          <w:sz w:val="24"/>
          <w:szCs w:val="24"/>
        </w:rPr>
      </w:pPr>
      <w:r>
        <w:fldChar w:fldCharType="begin"/>
      </w:r>
      <w:r>
        <w:instrText xml:space="preserve"> HYPERLINK \l "_Toc213618273" </w:instrText>
      </w:r>
      <w:r>
        <w:fldChar w:fldCharType="separate"/>
      </w:r>
      <w:r>
        <w:rPr>
          <w:rStyle w:val="30"/>
          <w:rFonts w:ascii="Times New Roman" w:hAnsi="Times New Roman" w:cs="Times New Roman"/>
          <w:kern w:val="0"/>
          <w:sz w:val="24"/>
          <w:szCs w:val="24"/>
        </w:rPr>
        <w:t>9.0 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_Toc213618273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6FFFF56">
      <w:pPr>
        <w:widowControl/>
        <w:spacing w:line="360" w:lineRule="auto"/>
        <w:jc w:val="center"/>
        <w:rPr>
          <w:rFonts w:ascii="Times New Roman" w:hAnsi="Times New Roman" w:eastAsia="Songti SC" w:cs="Times New Roman"/>
          <w:b/>
          <w:bCs/>
          <w:kern w:val="0"/>
          <w:sz w:val="24"/>
        </w:rPr>
      </w:pPr>
      <w:r>
        <w:rPr>
          <w:rFonts w:ascii="Times New Roman" w:hAnsi="Times New Roman" w:eastAsia="Songti SC" w:cs="Times New Roman"/>
          <w:b/>
          <w:bCs/>
          <w:kern w:val="0"/>
          <w:sz w:val="24"/>
        </w:rPr>
        <w:fldChar w:fldCharType="end"/>
      </w:r>
    </w:p>
    <w:p w14:paraId="65F36B65">
      <w:pPr>
        <w:widowControl/>
        <w:outlineLvl w:val="0"/>
        <w:rPr>
          <w:rFonts w:ascii="Times New Roman" w:hAnsi="Times New Roman" w:eastAsia="Songti SC" w:cs="Times New Roman"/>
          <w:b/>
          <w:bCs/>
          <w:kern w:val="0"/>
          <w:sz w:val="24"/>
        </w:rPr>
      </w:pPr>
      <w:r>
        <w:rPr>
          <w:rFonts w:ascii="Times New Roman" w:hAnsi="Times New Roman" w:eastAsia="Songti SC" w:cs="Times New Roman"/>
          <w:b/>
          <w:bCs/>
          <w:kern w:val="0"/>
          <w:sz w:val="24"/>
        </w:rPr>
        <w:br w:type="page"/>
      </w:r>
      <w:bookmarkStart w:id="2" w:name="_Toc213618253"/>
      <w:r>
        <w:rPr>
          <w:rFonts w:ascii="Times New Roman" w:hAnsi="Times New Roman" w:cs="Times New Roman"/>
          <w:b/>
          <w:bCs/>
          <w:kern w:val="0"/>
          <w:sz w:val="28"/>
          <w:szCs w:val="28"/>
        </w:rPr>
        <w:t>1. Introduction</w:t>
      </w:r>
      <w:bookmarkEnd w:id="0"/>
      <w:bookmarkEnd w:id="1"/>
      <w:bookmarkEnd w:id="2"/>
    </w:p>
    <w:p w14:paraId="466BE3C6">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In the increasingly globalized business environment, effective cross-cultural communication has become more important when entering foreign markets (Gudykunst, 2005). The report’s client is a UK-based clothing retailer, which is planning to expand its business to the Asian market. Although Asia has huge business potential due to its rapidly growing consumer base (Hofstede, 2010), expansion has also brought considerable cultural and communication challenges. Differences in language, values and relationship-building practises often lead to misunderstandings, which hinders cooperation and long-term business success (Meyer, 2017). Therefore, understanding the communication styles and cultural expectations is crucial to building strong partnerships in the Asian environment (Trompenaars &amp; Hampden-Turner, 2020).</w:t>
      </w:r>
    </w:p>
    <w:p w14:paraId="340DF3DA">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The scope of this report is the role of cross-cultural communication theory and its relevance to the establishment of sustainable business relations in Asia. It will study how to apply theoretical frameworks, such as Hall’s high- and low-context cultural models and Trompenaars' seven dimensions of culture, to determine the gap between Western and Asian communication practises.</w:t>
      </w:r>
    </w:p>
    <w:p w14:paraId="1650D2A2">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The report has three purposes: first, to explain the key theories that support cross-cultural communication in international business; second, to analyze the impact of cultural differences on the effectiveness of communication and relationship formation; and third, to put forward practical suggestions on how to improve cross-cultural cooperation when companies enter the Asian market.</w:t>
      </w:r>
    </w:p>
    <w:p w14:paraId="35AD3B90">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Following the introduction, Section 1 explores the concept of culture and its components through relevant theories. Section 2 analyses the skills and methods required for effective international business communication. Section 3 discusses relationship building and trust within Asian business contexts. Section 4 identifies potential communication failures and their causes, while Section 5 concludes with key findings and recommendations. Each section combines theoretical discussion with practical examples and critical evaluation to guide the clients.</w:t>
      </w:r>
    </w:p>
    <w:p w14:paraId="51D2CB51">
      <w:pPr>
        <w:autoSpaceDE w:val="0"/>
        <w:autoSpaceDN w:val="0"/>
        <w:adjustRightInd w:val="0"/>
        <w:spacing w:after="0" w:line="480" w:lineRule="auto"/>
        <w:jc w:val="both"/>
        <w:outlineLvl w:val="0"/>
        <w:rPr>
          <w:rFonts w:ascii="Times-Roman" w:hAnsi="Times-Roman" w:cs="Times-Roman"/>
          <w:kern w:val="0"/>
          <w:sz w:val="24"/>
        </w:rPr>
      </w:pPr>
      <w:bookmarkStart w:id="3" w:name="_Toc213106324"/>
      <w:bookmarkStart w:id="4" w:name="_Toc213104750"/>
      <w:bookmarkStart w:id="5" w:name="_Toc213618254"/>
      <w:r>
        <w:rPr>
          <w:rFonts w:ascii="Times New Roman" w:hAnsi="Times New Roman" w:cs="Times New Roman"/>
          <w:b/>
          <w:bCs/>
          <w:kern w:val="0"/>
          <w:sz w:val="28"/>
          <w:szCs w:val="28"/>
        </w:rPr>
        <w:t>2.0 Understanding International Business Communication</w:t>
      </w:r>
      <w:bookmarkEnd w:id="3"/>
      <w:bookmarkEnd w:id="4"/>
      <w:bookmarkEnd w:id="5"/>
    </w:p>
    <w:p w14:paraId="1ECED19F">
      <w:pPr>
        <w:autoSpaceDE w:val="0"/>
        <w:autoSpaceDN w:val="0"/>
        <w:adjustRightInd w:val="0"/>
        <w:spacing w:after="0" w:line="480" w:lineRule="auto"/>
        <w:jc w:val="both"/>
        <w:outlineLvl w:val="1"/>
        <w:rPr>
          <w:rFonts w:ascii="Times New Roman" w:hAnsi="Times New Roman" w:cs="Times New Roman"/>
          <w:kern w:val="0"/>
          <w:sz w:val="28"/>
          <w:szCs w:val="28"/>
        </w:rPr>
      </w:pPr>
      <w:bookmarkStart w:id="6" w:name="_Toc213106325"/>
      <w:bookmarkStart w:id="7" w:name="_Toc213618255"/>
      <w:bookmarkStart w:id="8" w:name="_Toc213104751"/>
      <w:r>
        <w:rPr>
          <w:rFonts w:ascii="Times New Roman" w:hAnsi="Times New Roman" w:cs="Times New Roman"/>
          <w:b/>
          <w:bCs/>
          <w:kern w:val="0"/>
          <w:sz w:val="28"/>
          <w:szCs w:val="28"/>
        </w:rPr>
        <w:t>2.1 Theoretical Basis</w:t>
      </w:r>
      <w:bookmarkEnd w:id="6"/>
      <w:bookmarkEnd w:id="7"/>
      <w:bookmarkEnd w:id="8"/>
    </w:p>
    <w:p w14:paraId="7F4C8983">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bookmarkStart w:id="9" w:name="_Toc213104752"/>
      <w:bookmarkStart w:id="10" w:name="_Toc213106326"/>
      <w:r>
        <w:rPr>
          <w:rFonts w:ascii="Times New Roman" w:hAnsi="Times New Roman" w:eastAsia="Songti SC" w:cs="Times-Roman"/>
          <w:kern w:val="0"/>
          <w:sz w:val="24"/>
          <w:szCs w:val="28"/>
        </w:rPr>
        <w:t>International business communication refers to the oral, non-verbal, written and digital interactive channels the individuals and organizations exchange information, consult meaning, and develop relationship to accomplish their business objectives across national and cultural boundaries (Czinkota et al., 2021). Business interaction is conditioned by cultural expectations and social norms. Tonalities refer to intracultural verbal communication: tone and politeness in oral communication across different levels of directness; written and digital communication</w:t>
      </w:r>
      <w:r>
        <w:rPr>
          <w:rFonts w:hint="eastAsia" w:ascii="Times New Roman" w:hAnsi="Times New Roman" w:eastAsia="Songti SC" w:cs="Times-Roman"/>
          <w:kern w:val="0"/>
          <w:sz w:val="24"/>
          <w:szCs w:val="28"/>
        </w:rPr>
        <w:t xml:space="preserve">, </w:t>
      </w:r>
      <w:r>
        <w:rPr>
          <w:rFonts w:ascii="Times New Roman" w:hAnsi="Times New Roman" w:eastAsia="Songti SC" w:cs="Times-Roman"/>
          <w:kern w:val="0"/>
          <w:sz w:val="24"/>
          <w:szCs w:val="28"/>
        </w:rPr>
        <w:t>such as mails and reports and virtual meetings</w:t>
      </w:r>
      <w:r>
        <w:rPr>
          <w:rFonts w:hint="eastAsia" w:ascii="Times New Roman" w:hAnsi="Times New Roman" w:eastAsia="Songti SC" w:cs="Times-Roman"/>
          <w:kern w:val="0"/>
          <w:sz w:val="24"/>
          <w:szCs w:val="28"/>
        </w:rPr>
        <w:t>.</w:t>
      </w:r>
    </w:p>
    <w:p w14:paraId="3644751B">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The Shannon-Weaver model (1949) conceptualizes communication as a linear process between the sender and the receiver, in which “noise” can distort the meaning. In the international business environment, this “noise” often comes from cultural misunderstandings rather than technical failures. Berlo’s SMCR model (1960) expands this framework, emphasizing how the skills, attitudes, knowledge and cultural background of communicators affect the effectiveness of information.</w:t>
      </w:r>
    </w:p>
    <w:p w14:paraId="7B4D52B7">
      <w:pPr>
        <w:autoSpaceDE w:val="0"/>
        <w:autoSpaceDN w:val="0"/>
        <w:adjustRightInd w:val="0"/>
        <w:spacing w:after="0" w:line="480" w:lineRule="auto"/>
        <w:jc w:val="both"/>
        <w:outlineLvl w:val="1"/>
        <w:rPr>
          <w:rFonts w:ascii="Times New Roman" w:hAnsi="Times New Roman" w:eastAsia="Songti SC" w:cs="Times-Roman"/>
          <w:kern w:val="0"/>
          <w:sz w:val="24"/>
          <w:szCs w:val="28"/>
        </w:rPr>
      </w:pPr>
      <w:bookmarkStart w:id="11" w:name="_Toc213618256"/>
      <w:r>
        <w:rPr>
          <w:rFonts w:ascii="Times New Roman" w:hAnsi="Times New Roman" w:cs="Times New Roman"/>
          <w:b/>
          <w:bCs/>
          <w:kern w:val="0"/>
          <w:sz w:val="28"/>
          <w:szCs w:val="28"/>
        </w:rPr>
        <w:t>2.2 Practical Application in Global Retail Expansion</w:t>
      </w:r>
      <w:bookmarkEnd w:id="9"/>
      <w:bookmarkEnd w:id="10"/>
      <w:bookmarkEnd w:id="11"/>
    </w:p>
    <w:p w14:paraId="606B2260">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bookmarkStart w:id="12" w:name="_Toc213106327"/>
      <w:bookmarkStart w:id="13" w:name="_Toc213104753"/>
      <w:r>
        <w:rPr>
          <w:rFonts w:ascii="Times New Roman" w:hAnsi="Times New Roman" w:eastAsia="Songti SC" w:cs="Times-Roman"/>
          <w:kern w:val="0"/>
          <w:sz w:val="24"/>
          <w:szCs w:val="28"/>
        </w:rPr>
        <w:t>To an apparel merchant who wants to expand his business from the UK to Asia, languages’ interference can cause misunderstanding in the negotiation, marketing, supply chain coordination (Gudykunst, 2005). For instance, in the first online meeting between China brands and dealers, the British marketing manager would often have such phrases as “we may reconsider the price later” when he discussed cooperation detail, because it is supposed to illustrate the politeness and flexibility of negotiation.</w:t>
      </w:r>
      <w:r>
        <w:rPr>
          <w:rFonts w:hint="eastAsia" w:ascii="Times New Roman" w:hAnsi="Times New Roman" w:eastAsia="Songti SC" w:cs="Times-Roman"/>
          <w:kern w:val="0"/>
          <w:sz w:val="24"/>
          <w:szCs w:val="28"/>
        </w:rPr>
        <w:t xml:space="preserve"> </w:t>
      </w:r>
      <w:r>
        <w:rPr>
          <w:rFonts w:ascii="Times New Roman" w:hAnsi="Times New Roman" w:eastAsia="Songti SC" w:cs="Times-Roman"/>
          <w:kern w:val="0"/>
          <w:sz w:val="24"/>
          <w:szCs w:val="28"/>
        </w:rPr>
        <w:t>However, China interprets “possible consideration” as a hesitation or insincere reply and think that the British side does not have confidence in local partners. Because of these misjudgments resulting from language ambiguity, potential risk of semantic difference during cross-cultural communication is presented (Hofstede, 2010). Moreover, apart from language, non-verbal communication also serves a significant role in international business scene (Hall, 1976)</w:t>
      </w:r>
      <w:r>
        <w:rPr>
          <w:rFonts w:hint="eastAsia" w:ascii="Times New Roman" w:hAnsi="Times New Roman" w:eastAsia="Songti SC" w:cs="Times-Roman"/>
          <w:kern w:val="0"/>
          <w:sz w:val="24"/>
          <w:szCs w:val="28"/>
        </w:rPr>
        <w:t xml:space="preserve">. </w:t>
      </w:r>
      <w:r>
        <w:rPr>
          <w:rFonts w:ascii="Times New Roman" w:hAnsi="Times New Roman" w:eastAsia="Songti SC" w:cs="Times-Roman"/>
          <w:kern w:val="0"/>
          <w:sz w:val="24"/>
          <w:szCs w:val="28"/>
        </w:rPr>
        <w:t xml:space="preserve">For </w:t>
      </w:r>
      <w:r>
        <w:rPr>
          <w:rFonts w:hint="eastAsia" w:ascii="Times New Roman" w:hAnsi="Times New Roman" w:eastAsia="Songti SC" w:cs="Times-Roman"/>
          <w:kern w:val="0"/>
          <w:sz w:val="24"/>
          <w:szCs w:val="28"/>
        </w:rPr>
        <w:t>example</w:t>
      </w:r>
      <w:r>
        <w:rPr>
          <w:rFonts w:ascii="Times New Roman" w:hAnsi="Times New Roman" w:eastAsia="Songti SC" w:cs="Times-Roman"/>
          <w:kern w:val="0"/>
          <w:sz w:val="24"/>
          <w:szCs w:val="28"/>
        </w:rPr>
        <w:t>, in the brand marketing actions, UK’s representative maintains social distance from being polite, but local market representatives from Japan think that such behaviors do not possess affinity and sense of willingness to collaborate. On the contrary, when the UK’s representative tried to motivate him by patting his shoulder which was seen to be highly impolite as it was excessively intimate.</w:t>
      </w:r>
      <w:r>
        <w:rPr>
          <w:rFonts w:hint="eastAsia" w:ascii="Times New Roman" w:hAnsi="Times New Roman" w:eastAsia="Songti SC" w:cs="Times-Roman"/>
          <w:kern w:val="0"/>
          <w:sz w:val="24"/>
          <w:szCs w:val="28"/>
        </w:rPr>
        <w:t xml:space="preserve"> </w:t>
      </w:r>
      <w:r>
        <w:rPr>
          <w:rFonts w:ascii="Times New Roman" w:hAnsi="Times New Roman" w:eastAsia="Songti SC" w:cs="Times-Roman"/>
          <w:kern w:val="0"/>
          <w:sz w:val="24"/>
          <w:szCs w:val="28"/>
        </w:rPr>
        <w:t xml:space="preserve">The non-verbal difference is not recognized, which will cause losing trust, thus, the influence of the relationship in business can’t exist for a long time (Meyer, 2017) </w:t>
      </w:r>
    </w:p>
    <w:p w14:paraId="0912AC4C">
      <w:pPr>
        <w:autoSpaceDE w:val="0"/>
        <w:autoSpaceDN w:val="0"/>
        <w:adjustRightInd w:val="0"/>
        <w:spacing w:after="0" w:line="480" w:lineRule="auto"/>
        <w:jc w:val="both"/>
        <w:outlineLvl w:val="0"/>
        <w:rPr>
          <w:rFonts w:ascii="Times New Roman" w:hAnsi="Times New Roman" w:cs="Times New Roman"/>
          <w:b/>
          <w:bCs/>
          <w:kern w:val="0"/>
          <w:sz w:val="28"/>
          <w:szCs w:val="28"/>
        </w:rPr>
      </w:pPr>
      <w:bookmarkStart w:id="14" w:name="_Toc213618257"/>
      <w:r>
        <w:rPr>
          <w:rFonts w:ascii="Times New Roman" w:hAnsi="Times New Roman" w:cs="Times New Roman"/>
          <w:b/>
          <w:bCs/>
          <w:kern w:val="0"/>
          <w:sz w:val="28"/>
          <w:szCs w:val="28"/>
        </w:rPr>
        <w:t>3.0 Culture and Its Components</w:t>
      </w:r>
      <w:bookmarkEnd w:id="12"/>
      <w:bookmarkEnd w:id="13"/>
      <w:bookmarkEnd w:id="14"/>
    </w:p>
    <w:p w14:paraId="2C6896E8">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15" w:name="_Toc213618258"/>
      <w:bookmarkStart w:id="16" w:name="_Toc213104754"/>
      <w:bookmarkStart w:id="17" w:name="_Toc213106328"/>
      <w:r>
        <w:rPr>
          <w:rFonts w:ascii="Times New Roman" w:hAnsi="Times New Roman" w:cs="Times New Roman"/>
          <w:b/>
          <w:bCs/>
          <w:kern w:val="0"/>
          <w:sz w:val="28"/>
          <w:szCs w:val="28"/>
        </w:rPr>
        <w:t>3.1 Theoretical Foundations</w:t>
      </w:r>
      <w:bookmarkEnd w:id="15"/>
      <w:bookmarkEnd w:id="16"/>
      <w:bookmarkEnd w:id="17"/>
    </w:p>
    <w:p w14:paraId="43721E12">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Culture can be understood as the collective programming of the brain, which distinguishes one group from another and shapes perceptions, values and behaviors (Hofstede, 2010). It includes a system of shared meaning expressed through values, beliefs, norms, communication styles and time orientation (Trompenaars &amp; Hampden-Turner, 2020). These components affect how individuals interpret messages, manage relationships, and make business decisions.</w:t>
      </w:r>
      <w:bookmarkStart w:id="18" w:name="_Toc213104756"/>
      <w:bookmarkStart w:id="19" w:name="_Toc213106330"/>
    </w:p>
    <w:p w14:paraId="0BF85F93">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Edward Hall's high- and low-context cultural theories explain how the meaning of different societies is conveyed differently; Trompenaars' seven cultural dimensions provide a further framework for understanding business behavior. Three particularly relevant comparisons are: universalism and particularism, which refers to whether rules or relationships guide decision-making; neutral vs. emotionality, about emotional expression in a professional environment; specific vs. dispersion describes the separation between work and personal life; the dimension of Hofstede also clarifies cultural differences. The low power distance in the UK encourages open dialogue between managers and employees, while the Asian market tends to emphasize hierarchy and seniority.</w:t>
      </w:r>
    </w:p>
    <w:p w14:paraId="5277455F">
      <w:pPr>
        <w:autoSpaceDE w:val="0"/>
        <w:autoSpaceDN w:val="0"/>
        <w:adjustRightInd w:val="0"/>
        <w:spacing w:after="0" w:line="480" w:lineRule="auto"/>
        <w:jc w:val="both"/>
        <w:rPr>
          <w:rFonts w:ascii="Times New Roman" w:hAnsi="Times New Roman" w:eastAsia="Songti SC" w:cs="Times-Roman"/>
          <w:kern w:val="0"/>
          <w:sz w:val="24"/>
          <w:szCs w:val="28"/>
        </w:rPr>
      </w:pPr>
      <w:r>
        <w:rPr>
          <w:rFonts w:ascii="Times New Roman" w:hAnsi="Times New Roman" w:cs="Times New Roman"/>
          <w:b/>
          <w:bCs/>
          <w:kern w:val="0"/>
          <w:sz w:val="28"/>
          <w:szCs w:val="28"/>
        </w:rPr>
        <w:t>3.2 Application in Business Context</w:t>
      </w:r>
    </w:p>
    <w:p w14:paraId="44AD257A">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When expanding to the Asian market, retailers often encounter cultural differences. For example, in Japan, the typical feature of the meeting is a high-context communication style, which means that it is conveyed through subtle clues such as silence, tone and group consensus, rather than a clear statement. A British retail team accustomed to direct and low-context communication may misunderstand the hesitation of the Japanese as a lack of interest, which in fact reflects the desire to be polite and harmonious. Understanding this cultural difference can allow Western managers to adjust their approach - by pausing, listening and leaving room for indirect feedback. This adaptation promotes mutual respect and trust, and it is crucial for successful cross-cultural communication (Hall, 1976).</w:t>
      </w:r>
    </w:p>
    <w:p w14:paraId="41839C9A">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Similarly, in China, decision-making tends to be more collective and relationship oriented. Fashion retailers may meet this situation when negotiating terms of supply: business partners prefer multiple rounds of informal dinners before finalizing the agreement, because these social interactions are important to building relationships, and relationships are a network of trust and mutual obligations. This is in stark contrast to British managers, who are driven by lower power distance and task-oriented thinking and may expect faster, document-based decision-making. Recognizing this point allows the company to manage the schedule more effectively, emphasizing relationship building rather than speeding up contract agreements.</w:t>
      </w:r>
    </w:p>
    <w:p w14:paraId="711B8D45">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Real life examples like H&amp;M and ZARA show how to adapt communication strategies based on local culture. ZARA has changed its strategy to set up more flexible feedback channels with the local teams in China to respect cultural sensitivity under the changed market atmosphere (Lopez &amp; Fan, 2009).</w:t>
      </w:r>
      <w:r>
        <w:rPr>
          <w:rFonts w:hint="eastAsia" w:ascii="Times New Roman" w:hAnsi="Times New Roman" w:eastAsia="Songti SC" w:cs="Times-Roman"/>
          <w:kern w:val="0"/>
          <w:sz w:val="24"/>
          <w:szCs w:val="28"/>
        </w:rPr>
        <w:t xml:space="preserve"> </w:t>
      </w:r>
      <w:r>
        <w:rPr>
          <w:rFonts w:ascii="Times New Roman" w:hAnsi="Times New Roman" w:eastAsia="Songti SC" w:cs="Times-Roman"/>
          <w:kern w:val="0"/>
          <w:sz w:val="24"/>
          <w:szCs w:val="28"/>
        </w:rPr>
        <w:t>Second, H&amp;M tailored its marketing impression to the Japanese market to suit local tastes, by highlighting some inconspicuous and humble values, which was a local part of Japanese communication culture (Yan, 2012). Such pragmatic adjustments indicate that cultures play a role on advancing the success of cross-cultural business (Tokatli, 2015).</w:t>
      </w:r>
      <w:r>
        <w:rPr>
          <w:rFonts w:hint="eastAsia" w:ascii="Times New Roman" w:hAnsi="Times New Roman" w:eastAsia="Songti SC" w:cs="Times-Roman"/>
          <w:kern w:val="0"/>
          <w:sz w:val="24"/>
          <w:szCs w:val="28"/>
        </w:rPr>
        <w:t xml:space="preserve"> </w:t>
      </w:r>
      <w:r>
        <w:rPr>
          <w:rFonts w:ascii="Times New Roman" w:hAnsi="Times New Roman" w:eastAsia="Songti SC" w:cs="Times-Roman"/>
          <w:kern w:val="0"/>
          <w:sz w:val="24"/>
          <w:szCs w:val="28"/>
        </w:rPr>
        <w:t>For an efficient communicative way for foreign business about cultural expectations could facilitate a lasting and successful co-operation.</w:t>
      </w:r>
    </w:p>
    <w:p w14:paraId="49077B4A">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20" w:name="_Toc213618259"/>
      <w:r>
        <w:rPr>
          <w:rFonts w:ascii="Times New Roman" w:hAnsi="Times New Roman" w:cs="Times New Roman"/>
          <w:b/>
          <w:bCs/>
          <w:kern w:val="0"/>
          <w:sz w:val="28"/>
          <w:szCs w:val="28"/>
        </w:rPr>
        <w:t xml:space="preserve">3.3 Critical </w:t>
      </w:r>
      <w:bookmarkEnd w:id="18"/>
      <w:bookmarkEnd w:id="19"/>
      <w:r>
        <w:rPr>
          <w:rFonts w:ascii="Times New Roman" w:hAnsi="Times New Roman" w:cs="Times New Roman"/>
          <w:b/>
          <w:bCs/>
          <w:kern w:val="0"/>
          <w:sz w:val="28"/>
          <w:szCs w:val="28"/>
        </w:rPr>
        <w:t>A</w:t>
      </w:r>
      <w:r>
        <w:rPr>
          <w:rFonts w:hint="eastAsia" w:ascii="Times New Roman" w:hAnsi="Times New Roman" w:cs="Times New Roman"/>
          <w:b/>
          <w:bCs/>
          <w:kern w:val="0"/>
          <w:sz w:val="28"/>
          <w:szCs w:val="28"/>
        </w:rPr>
        <w:t>na</w:t>
      </w:r>
      <w:r>
        <w:rPr>
          <w:rFonts w:ascii="Times New Roman" w:hAnsi="Times New Roman" w:cs="Times New Roman"/>
          <w:b/>
          <w:bCs/>
          <w:kern w:val="0"/>
          <w:sz w:val="28"/>
          <w:szCs w:val="28"/>
        </w:rPr>
        <w:t>lysis</w:t>
      </w:r>
      <w:bookmarkEnd w:id="20"/>
    </w:p>
    <w:p w14:paraId="3F119D06">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Zakaria (2017) believes that individuals who adjust their communication methods based on cultural situations can significantly improve their effectiveness in international business. In cross-cultural communication between countries, it is crucial to switch between low context and high context communication to adapt to different cultural environments. For example, China and Japan tend to observe each other from a distance rather than close or direct contact. Although each other is traditionally a high-context culture, both sides may regard each other as a low-context culture. Therefore, adopting a low-context method through cross-cultural code conversion can help reduce misunderstandings and promote smoother interaction (Zakaria &amp; Muton, 2022).</w:t>
      </w:r>
    </w:p>
    <w:p w14:paraId="21C1D289">
      <w:pPr>
        <w:autoSpaceDE w:val="0"/>
        <w:autoSpaceDN w:val="0"/>
        <w:adjustRightInd w:val="0"/>
        <w:spacing w:after="0" w:line="480" w:lineRule="auto"/>
        <w:jc w:val="both"/>
        <w:outlineLvl w:val="0"/>
        <w:rPr>
          <w:rFonts w:ascii="Times New Roman" w:hAnsi="Times New Roman" w:cs="Times New Roman"/>
          <w:b/>
          <w:bCs/>
          <w:kern w:val="0"/>
          <w:sz w:val="28"/>
          <w:szCs w:val="28"/>
        </w:rPr>
      </w:pPr>
      <w:bookmarkStart w:id="21" w:name="_Toc213618260"/>
      <w:r>
        <w:rPr>
          <w:rFonts w:ascii="Times New Roman" w:hAnsi="Times New Roman" w:cs="Times New Roman"/>
          <w:b/>
          <w:bCs/>
          <w:kern w:val="0"/>
          <w:sz w:val="28"/>
          <w:szCs w:val="28"/>
        </w:rPr>
        <w:t>4.0 Skills Required for Effective Intercultural Communication</w:t>
      </w:r>
      <w:bookmarkEnd w:id="21"/>
    </w:p>
    <w:p w14:paraId="23B6A611">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22" w:name="_Toc213106331"/>
      <w:bookmarkStart w:id="23" w:name="_Toc213104757"/>
      <w:bookmarkStart w:id="24" w:name="_Toc213618261"/>
      <w:r>
        <w:rPr>
          <w:rFonts w:ascii="Times New Roman" w:hAnsi="Times New Roman" w:cs="Times New Roman"/>
          <w:b/>
          <w:bCs/>
          <w:kern w:val="0"/>
          <w:sz w:val="28"/>
          <w:szCs w:val="28"/>
        </w:rPr>
        <w:t>4.1 Core skills and Theories</w:t>
      </w:r>
      <w:bookmarkEnd w:id="22"/>
      <w:bookmarkEnd w:id="23"/>
      <w:bookmarkEnd w:id="24"/>
    </w:p>
    <w:p w14:paraId="310D9AEA">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Effective intercultural communication requires a set of core skills, which can be supported by various frameworks and theories, including Cultural Intelligence (CQ) and cross-Cultural Management Competencies.</w:t>
      </w:r>
    </w:p>
    <w:p w14:paraId="71FCDA72">
      <w:pPr>
        <w:autoSpaceDE w:val="0"/>
        <w:autoSpaceDN w:val="0"/>
        <w:adjustRightInd w:val="0"/>
        <w:spacing w:after="0" w:line="480" w:lineRule="auto"/>
        <w:jc w:val="both"/>
        <w:outlineLvl w:val="2"/>
        <w:rPr>
          <w:rFonts w:ascii="Times New Roman" w:hAnsi="Times New Roman" w:eastAsia="Songti SC" w:cs="Times-Roman"/>
          <w:kern w:val="0"/>
          <w:sz w:val="24"/>
          <w:szCs w:val="28"/>
        </w:rPr>
      </w:pPr>
      <w:bookmarkStart w:id="25" w:name="_Toc213106332"/>
      <w:bookmarkStart w:id="26" w:name="_Toc213618262"/>
      <w:bookmarkStart w:id="27" w:name="_Toc213104758"/>
      <w:r>
        <w:rPr>
          <w:rFonts w:ascii="Times New Roman" w:hAnsi="Times New Roman" w:eastAsia="Songti SC" w:cs="Times-Roman"/>
          <w:kern w:val="0"/>
          <w:sz w:val="24"/>
          <w:szCs w:val="28"/>
        </w:rPr>
        <w:t>4.1.1 Cultural Intelligence (CQ)</w:t>
      </w:r>
      <w:bookmarkEnd w:id="25"/>
      <w:bookmarkEnd w:id="26"/>
      <w:bookmarkEnd w:id="27"/>
    </w:p>
    <w:p w14:paraId="0C5546A5">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Earley and Ang (2003) developed the Cultural Intelligence framework, which states four essential dimensions for interacting successfully across cultures:</w:t>
      </w:r>
    </w:p>
    <w:p w14:paraId="3E83EBC0">
      <w:pPr>
        <w:widowControl/>
        <w:jc w:val="center"/>
        <w:rPr>
          <w:rFonts w:ascii="Times New Roman" w:hAnsi="Times New Roman" w:cs="Times New Roman"/>
          <w:sz w:val="24"/>
        </w:rPr>
      </w:pPr>
      <w:r>
        <w:rPr>
          <w:rFonts w:ascii="Times New Roman" w:hAnsi="Times New Roman" w:cs="Times New Roman"/>
          <w:sz w:val="24"/>
        </w:rPr>
        <w:t xml:space="preserve">Table </w:t>
      </w:r>
      <w:r>
        <w:rPr>
          <w:rFonts w:ascii="Times New Roman" w:hAnsi="Times New Roman" w:cs="Times New Roman"/>
          <w:sz w:val="24"/>
        </w:rPr>
        <w:fldChar w:fldCharType="begin"/>
      </w:r>
      <w:r>
        <w:rPr>
          <w:rFonts w:ascii="Times New Roman" w:hAnsi="Times New Roman" w:cs="Times New Roman"/>
          <w:sz w:val="24"/>
        </w:rPr>
        <w:instrText xml:space="preserve"> SEQ Table \* ARABIC </w:instrText>
      </w:r>
      <w:r>
        <w:rPr>
          <w:rFonts w:ascii="Times New Roman" w:hAnsi="Times New Roman" w:cs="Times New Roman"/>
          <w:sz w:val="24"/>
        </w:rPr>
        <w:fldChar w:fldCharType="separate"/>
      </w:r>
      <w:r>
        <w:rPr>
          <w:rFonts w:ascii="Times New Roman" w:hAnsi="Times New Roman" w:cs="Times New Roman"/>
          <w:sz w:val="24"/>
        </w:rPr>
        <w:t>1</w:t>
      </w:r>
      <w:r>
        <w:rPr>
          <w:rFonts w:ascii="Times New Roman" w:hAnsi="Times New Roman" w:cs="Times New Roman"/>
          <w:sz w:val="24"/>
        </w:rPr>
        <w:fldChar w:fldCharType="end"/>
      </w:r>
      <w:r>
        <w:rPr>
          <w:rFonts w:ascii="Times New Roman" w:hAnsi="Times New Roman" w:cs="Times New Roman"/>
          <w:sz w:val="24"/>
        </w:rPr>
        <w:t xml:space="preserve"> Four dimensions</w:t>
      </w:r>
    </w:p>
    <w:tbl>
      <w:tblPr>
        <w:tblStyle w:val="26"/>
        <w:tblW w:w="9671" w:type="dxa"/>
        <w:jc w:val="center"/>
        <w:tblBorders>
          <w:top w:val="none" w:color="auto" w:sz="6" w:space="0"/>
          <w:left w:val="none" w:color="auto" w:sz="6" w:space="0"/>
          <w:bottom w:val="none" w:color="auto" w:sz="0" w:space="0"/>
          <w:right w:val="none" w:color="auto" w:sz="6" w:space="0"/>
          <w:insideH w:val="none" w:color="auto" w:sz="0" w:space="0"/>
          <w:insideV w:val="none" w:color="auto" w:sz="0" w:space="0"/>
        </w:tblBorders>
        <w:tblLayout w:type="fixed"/>
        <w:tblCellMar>
          <w:top w:w="0" w:type="dxa"/>
          <w:left w:w="108" w:type="dxa"/>
          <w:bottom w:w="0" w:type="dxa"/>
          <w:right w:w="108" w:type="dxa"/>
        </w:tblCellMar>
      </w:tblPr>
      <w:tblGrid>
        <w:gridCol w:w="3990"/>
        <w:gridCol w:w="5681"/>
      </w:tblGrid>
      <w:tr w14:paraId="3E5968E5">
        <w:trPr>
          <w:jc w:val="center"/>
        </w:trPr>
        <w:tc>
          <w:tcPr>
            <w:tcW w:w="3990" w:type="dxa"/>
            <w:tcBorders>
              <w:top w:val="single" w:color="000000" w:sz="8" w:space="0"/>
              <w:left w:val="single" w:color="000000" w:sz="8" w:space="0"/>
              <w:bottom w:val="single" w:color="000000" w:sz="8" w:space="0"/>
              <w:right w:val="single" w:color="000000" w:sz="8" w:space="0"/>
            </w:tcBorders>
            <w:tcMar>
              <w:top w:w="0" w:type="dxa"/>
              <w:right w:w="0" w:type="dxa"/>
            </w:tcMar>
            <w:vAlign w:val="center"/>
          </w:tcPr>
          <w:p w14:paraId="65F80D59">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Cognitive CQ</w:t>
            </w:r>
          </w:p>
        </w:tc>
        <w:tc>
          <w:tcPr>
            <w:tcW w:w="5681" w:type="dxa"/>
            <w:tcBorders>
              <w:top w:val="single" w:color="000000" w:sz="8" w:space="0"/>
              <w:left w:val="single" w:color="000000" w:sz="8" w:space="0"/>
              <w:bottom w:val="single" w:color="000000" w:sz="8" w:space="0"/>
              <w:right w:val="single" w:color="000000" w:sz="8" w:space="0"/>
            </w:tcBorders>
            <w:tcMar>
              <w:top w:w="0" w:type="dxa"/>
              <w:right w:w="0" w:type="dxa"/>
            </w:tcMar>
            <w:vAlign w:val="center"/>
          </w:tcPr>
          <w:p w14:paraId="7824FF0C">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Understanding cultural norms, values, and practices</w:t>
            </w:r>
          </w:p>
        </w:tc>
      </w:tr>
      <w:tr w14:paraId="7B3D075D">
        <w:tblPrEx>
          <w:tblBorders>
            <w:top w:val="none" w:color="auto" w:sz="0" w:space="0"/>
            <w:left w:val="none" w:color="auto" w:sz="6" w:space="0"/>
            <w:bottom w:val="none" w:color="auto" w:sz="0" w:space="0"/>
            <w:right w:val="none" w:color="auto" w:sz="6" w:space="0"/>
            <w:insideH w:val="none" w:color="auto" w:sz="0" w:space="0"/>
            <w:insideV w:val="none" w:color="auto" w:sz="0" w:space="0"/>
          </w:tblBorders>
        </w:tblPrEx>
        <w:trPr>
          <w:jc w:val="center"/>
        </w:trPr>
        <w:tc>
          <w:tcPr>
            <w:tcW w:w="3990" w:type="dxa"/>
            <w:tcBorders>
              <w:top w:val="nil"/>
              <w:left w:val="single" w:color="000000" w:sz="8" w:space="0"/>
              <w:bottom w:val="single" w:color="000000" w:sz="8" w:space="0"/>
              <w:right w:val="single" w:color="000000" w:sz="8" w:space="0"/>
            </w:tcBorders>
            <w:tcMar>
              <w:top w:w="0" w:type="dxa"/>
              <w:right w:w="0" w:type="dxa"/>
            </w:tcMar>
            <w:vAlign w:val="center"/>
          </w:tcPr>
          <w:p w14:paraId="0719E480">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Metacognitive CQ</w:t>
            </w:r>
          </w:p>
        </w:tc>
        <w:tc>
          <w:tcPr>
            <w:tcW w:w="5681" w:type="dxa"/>
            <w:tcBorders>
              <w:top w:val="nil"/>
              <w:left w:val="single" w:color="000000" w:sz="8" w:space="0"/>
              <w:bottom w:val="single" w:color="000000" w:sz="8" w:space="0"/>
              <w:right w:val="single" w:color="000000" w:sz="8" w:space="0"/>
            </w:tcBorders>
            <w:tcMar>
              <w:top w:w="0" w:type="dxa"/>
              <w:right w:w="0" w:type="dxa"/>
            </w:tcMar>
            <w:vAlign w:val="center"/>
          </w:tcPr>
          <w:p w14:paraId="075FA4AC">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The ability to reflect on and adjust one’s thinking in intercultural interactions.</w:t>
            </w:r>
          </w:p>
        </w:tc>
      </w:tr>
      <w:tr w14:paraId="58CD1FA3">
        <w:tblPrEx>
          <w:tblBorders>
            <w:top w:val="none" w:color="auto" w:sz="0" w:space="0"/>
            <w:left w:val="none" w:color="auto" w:sz="6" w:space="0"/>
            <w:bottom w:val="none" w:color="auto" w:sz="0" w:space="0"/>
            <w:right w:val="none" w:color="auto" w:sz="6" w:space="0"/>
            <w:insideH w:val="none" w:color="auto" w:sz="0" w:space="0"/>
            <w:insideV w:val="none" w:color="auto" w:sz="0" w:space="0"/>
          </w:tblBorders>
        </w:tblPrEx>
        <w:trPr>
          <w:jc w:val="center"/>
        </w:trPr>
        <w:tc>
          <w:tcPr>
            <w:tcW w:w="3990" w:type="dxa"/>
            <w:tcBorders>
              <w:top w:val="nil"/>
              <w:left w:val="single" w:color="000000" w:sz="8" w:space="0"/>
              <w:bottom w:val="single" w:color="000000" w:sz="8" w:space="0"/>
              <w:right w:val="single" w:color="000000" w:sz="8" w:space="0"/>
            </w:tcBorders>
            <w:tcMar>
              <w:top w:w="0" w:type="dxa"/>
              <w:right w:w="0" w:type="dxa"/>
            </w:tcMar>
            <w:vAlign w:val="center"/>
          </w:tcPr>
          <w:p w14:paraId="6F50736B">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Motivational CQ</w:t>
            </w:r>
          </w:p>
        </w:tc>
        <w:tc>
          <w:tcPr>
            <w:tcW w:w="5681" w:type="dxa"/>
            <w:tcBorders>
              <w:top w:val="nil"/>
              <w:left w:val="single" w:color="000000" w:sz="8" w:space="0"/>
              <w:bottom w:val="single" w:color="000000" w:sz="8" w:space="0"/>
              <w:right w:val="single" w:color="000000" w:sz="8" w:space="0"/>
            </w:tcBorders>
            <w:tcMar>
              <w:top w:w="0" w:type="dxa"/>
              <w:right w:w="0" w:type="dxa"/>
            </w:tcMar>
            <w:vAlign w:val="center"/>
          </w:tcPr>
          <w:p w14:paraId="7C68BAA4">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The drive and interest to engage with people from different cultures, especially during challenging interactions</w:t>
            </w:r>
          </w:p>
        </w:tc>
      </w:tr>
      <w:tr w14:paraId="3B5FF1C5">
        <w:trPr>
          <w:jc w:val="center"/>
        </w:trPr>
        <w:tc>
          <w:tcPr>
            <w:tcW w:w="3990" w:type="dxa"/>
            <w:tcBorders>
              <w:top w:val="nil"/>
              <w:left w:val="single" w:color="000000" w:sz="8" w:space="0"/>
              <w:bottom w:val="single" w:color="000000" w:sz="8" w:space="0"/>
              <w:right w:val="single" w:color="000000" w:sz="8" w:space="0"/>
            </w:tcBorders>
            <w:tcMar>
              <w:top w:w="0" w:type="dxa"/>
              <w:right w:w="0" w:type="dxa"/>
            </w:tcMar>
            <w:vAlign w:val="center"/>
          </w:tcPr>
          <w:p w14:paraId="50438602">
            <w:pPr>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Behavioral CQ</w:t>
            </w:r>
          </w:p>
        </w:tc>
        <w:tc>
          <w:tcPr>
            <w:tcW w:w="5681" w:type="dxa"/>
            <w:tcBorders>
              <w:top w:val="nil"/>
              <w:left w:val="single" w:color="000000" w:sz="8" w:space="0"/>
              <w:bottom w:val="single" w:color="000000" w:sz="8" w:space="0"/>
              <w:right w:val="single" w:color="000000" w:sz="8" w:space="0"/>
            </w:tcBorders>
            <w:tcMar>
              <w:top w:w="0" w:type="dxa"/>
              <w:right w:w="0" w:type="dxa"/>
            </w:tcMar>
            <w:vAlign w:val="center"/>
          </w:tcPr>
          <w:p w14:paraId="4978D3BE">
            <w:pPr>
              <w:keepNext/>
              <w:autoSpaceDE w:val="0"/>
              <w:autoSpaceDN w:val="0"/>
              <w:adjustRightInd w:val="0"/>
              <w:spacing w:after="0" w:line="480" w:lineRule="auto"/>
              <w:ind w:firstLine="200"/>
              <w:jc w:val="center"/>
              <w:rPr>
                <w:rFonts w:ascii="Times-Roman" w:hAnsi="Times-Roman" w:cs="Times-Roman"/>
                <w:kern w:val="0"/>
                <w:sz w:val="24"/>
              </w:rPr>
            </w:pPr>
            <w:r>
              <w:rPr>
                <w:rFonts w:ascii="Times-Roman" w:hAnsi="Times-Roman" w:cs="Times-Roman"/>
                <w:kern w:val="0"/>
                <w:sz w:val="24"/>
              </w:rPr>
              <w:t>The ability to adjust one’s behavior in response to cultural expectations and non-verbal cues</w:t>
            </w:r>
          </w:p>
        </w:tc>
      </w:tr>
    </w:tbl>
    <w:p w14:paraId="6ACAF2EC">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 xml:space="preserve">These dimensions allow individuals to anticipate, adapt to, and respond appropriately to cultural differences, thus minimizing the </w:t>
      </w:r>
      <w:r>
        <w:rPr>
          <w:rFonts w:hint="eastAsia" w:ascii="Times New Roman" w:hAnsi="Times New Roman" w:eastAsia="Songti SC" w:cs="Times-Roman"/>
          <w:kern w:val="0"/>
          <w:sz w:val="24"/>
          <w:szCs w:val="28"/>
        </w:rPr>
        <w:t>possibility</w:t>
      </w:r>
      <w:r>
        <w:rPr>
          <w:rFonts w:ascii="Times New Roman" w:hAnsi="Times New Roman" w:eastAsia="Songti SC" w:cs="Times-Roman"/>
          <w:kern w:val="0"/>
          <w:sz w:val="24"/>
          <w:szCs w:val="28"/>
        </w:rPr>
        <w:t xml:space="preserve"> </w:t>
      </w:r>
      <w:r>
        <w:rPr>
          <w:rFonts w:hint="eastAsia" w:ascii="Times New Roman" w:hAnsi="Times New Roman" w:eastAsia="Songti SC" w:cs="Times-Roman"/>
          <w:kern w:val="0"/>
          <w:sz w:val="24"/>
          <w:szCs w:val="28"/>
        </w:rPr>
        <w:t>of</w:t>
      </w:r>
      <w:r>
        <w:rPr>
          <w:rFonts w:ascii="Times New Roman" w:hAnsi="Times New Roman" w:eastAsia="Songti SC" w:cs="Times-Roman"/>
          <w:kern w:val="0"/>
          <w:sz w:val="24"/>
          <w:szCs w:val="28"/>
        </w:rPr>
        <w:t xml:space="preserve"> misunderstanding and fostering effective communication.</w:t>
      </w:r>
    </w:p>
    <w:p w14:paraId="06D63835">
      <w:pPr>
        <w:autoSpaceDE w:val="0"/>
        <w:autoSpaceDN w:val="0"/>
        <w:adjustRightInd w:val="0"/>
        <w:spacing w:after="0" w:line="480" w:lineRule="auto"/>
        <w:jc w:val="both"/>
        <w:outlineLvl w:val="2"/>
        <w:rPr>
          <w:rFonts w:ascii="Times-Roman" w:hAnsi="Times-Roman" w:cs="Times-Roman"/>
          <w:kern w:val="0"/>
          <w:sz w:val="24"/>
        </w:rPr>
      </w:pPr>
      <w:bookmarkStart w:id="28" w:name="_Toc213106333"/>
      <w:bookmarkStart w:id="29" w:name="_Toc213104759"/>
      <w:bookmarkStart w:id="30" w:name="_Toc213618263"/>
      <w:r>
        <w:rPr>
          <w:rFonts w:ascii="Times-Roman" w:hAnsi="Times-Roman" w:cs="Times-Roman"/>
          <w:kern w:val="0"/>
          <w:sz w:val="24"/>
        </w:rPr>
        <w:t>4.1.2 Cross-Cultural Management Competencies</w:t>
      </w:r>
      <w:bookmarkEnd w:id="28"/>
      <w:bookmarkEnd w:id="29"/>
      <w:bookmarkEnd w:id="30"/>
    </w:p>
    <w:p w14:paraId="6336EF17">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Luthans and Doh (2020) highlight that cross-cultural management competencies, and these competencies include:</w:t>
      </w:r>
    </w:p>
    <w:p w14:paraId="4D7F3B24">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Cultural Awareness: Understanding cultural differences and how these differences impact communication, decision-making, and leadership.</w:t>
      </w:r>
    </w:p>
    <w:p w14:paraId="250CC299">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Adaptability: The ability to adjust one's behavior and strategies to suit various cultural contexts.</w:t>
      </w:r>
    </w:p>
    <w:p w14:paraId="75923E59">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Cross-Cultural Communication Skills: Effectively communicating with people from different cultural backgrounds, using both verbal and non-verbal cues.</w:t>
      </w:r>
    </w:p>
    <w:p w14:paraId="066EC336">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Global Leadership: Leading teams effectively across national borders and adapting leadership styles to different cultural norms and expectations.</w:t>
      </w:r>
    </w:p>
    <w:p w14:paraId="6243B13A">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These skills are essential in reducing cultural conflict and promoting productive collaboration in global business operations.</w:t>
      </w:r>
    </w:p>
    <w:p w14:paraId="59F2EA44">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31" w:name="_Toc213104760"/>
      <w:bookmarkStart w:id="32" w:name="_Toc213106334"/>
      <w:bookmarkStart w:id="33" w:name="_Toc213618264"/>
      <w:r>
        <w:rPr>
          <w:rFonts w:ascii="Times New Roman" w:hAnsi="Times New Roman" w:cs="Times New Roman"/>
          <w:b/>
          <w:bCs/>
          <w:kern w:val="0"/>
          <w:sz w:val="28"/>
          <w:szCs w:val="28"/>
        </w:rPr>
        <w:t>4.2 Critical Evaluation</w:t>
      </w:r>
      <w:bookmarkEnd w:id="31"/>
      <w:bookmarkEnd w:id="32"/>
      <w:bookmarkEnd w:id="33"/>
    </w:p>
    <w:p w14:paraId="571217A1">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bookmarkStart w:id="34" w:name="_Toc213104761"/>
      <w:bookmarkStart w:id="35" w:name="_Toc213106335"/>
      <w:r>
        <w:rPr>
          <w:rFonts w:ascii="Times New Roman" w:hAnsi="Times New Roman" w:eastAsia="Songti SC" w:cs="Times-Roman"/>
          <w:kern w:val="0"/>
          <w:sz w:val="24"/>
          <w:szCs w:val="28"/>
        </w:rPr>
        <w:t>These skills, however, are critical to minimizing cultural clashes but depends greatly on the mentality of the person concerned; ethnocentric and polycentric mentality plays a great role.</w:t>
      </w:r>
    </w:p>
    <w:p w14:paraId="6C216F06">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Ethnocentric contains holding one’s own culture superior to others’. People who have such a kind of ethnocentric attitude toward culture may have the difficulty of cross-cultural interaction because they try to make others follow their own culture. This is likely to cause problems of misunderstanding and bad communication outcomes. In contrast, polycentric thought values the differences between culture and accepts diversity. People who practice polycentric approach understand that culture is unique, and adapt his conduct to interact effectively and facilitate the cross-cultural relationship.</w:t>
      </w:r>
    </w:p>
    <w:p w14:paraId="59AD3CD4">
      <w:pPr>
        <w:autoSpaceDE w:val="0"/>
        <w:autoSpaceDN w:val="0"/>
        <w:adjustRightInd w:val="0"/>
        <w:spacing w:after="0" w:line="480" w:lineRule="auto"/>
        <w:jc w:val="both"/>
        <w:outlineLvl w:val="0"/>
        <w:rPr>
          <w:rFonts w:ascii="Times New Roman" w:hAnsi="Times New Roman" w:cs="Times New Roman"/>
          <w:b/>
          <w:bCs/>
          <w:kern w:val="0"/>
          <w:sz w:val="28"/>
          <w:szCs w:val="28"/>
        </w:rPr>
      </w:pPr>
      <w:bookmarkStart w:id="36" w:name="_Toc213618265"/>
      <w:r>
        <w:rPr>
          <w:rFonts w:ascii="Times New Roman" w:hAnsi="Times New Roman" w:cs="Times New Roman"/>
          <w:b/>
          <w:bCs/>
          <w:kern w:val="0"/>
          <w:sz w:val="28"/>
          <w:szCs w:val="28"/>
        </w:rPr>
        <w:t>5.0 Relationship Building and Trust in Asian Business Culture</w:t>
      </w:r>
      <w:bookmarkEnd w:id="34"/>
      <w:bookmarkEnd w:id="35"/>
      <w:bookmarkEnd w:id="36"/>
    </w:p>
    <w:p w14:paraId="66037066">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bookmarkStart w:id="37" w:name="_Toc213104762"/>
      <w:bookmarkStart w:id="38" w:name="_Toc213106336"/>
      <w:r>
        <w:rPr>
          <w:rFonts w:ascii="Times New Roman" w:hAnsi="Times New Roman" w:eastAsia="Songti SC" w:cs="Times-Roman"/>
          <w:kern w:val="0"/>
          <w:sz w:val="24"/>
          <w:szCs w:val="28"/>
        </w:rPr>
        <w:t>In China and many Asian cultures, trust is established within a long term of interactions and relationships, rather than formal arrangements or contracts, with strong foundation and importance in Chinese business culture, through what is known as guanxi, which refers to relations and ties. Trust is not something that can be rushed or formed quickly among people in these cultures and is the product of patience and time (Meyer</w:t>
      </w:r>
      <w:r>
        <w:rPr>
          <w:rFonts w:hint="eastAsia" w:ascii="Times New Roman" w:hAnsi="Times New Roman" w:eastAsia="Songti SC" w:cs="Times-Roman"/>
          <w:kern w:val="0"/>
          <w:sz w:val="24"/>
          <w:szCs w:val="28"/>
        </w:rPr>
        <w:t xml:space="preserve">, </w:t>
      </w:r>
      <w:r>
        <w:rPr>
          <w:rFonts w:ascii="Times New Roman" w:hAnsi="Times New Roman" w:eastAsia="Songti SC" w:cs="Times-Roman"/>
          <w:kern w:val="0"/>
          <w:sz w:val="24"/>
          <w:szCs w:val="28"/>
        </w:rPr>
        <w:t>2017; Luthans &amp; Doh</w:t>
      </w:r>
      <w:r>
        <w:rPr>
          <w:rFonts w:hint="eastAsia" w:ascii="Times New Roman" w:hAnsi="Times New Roman" w:eastAsia="Songti SC" w:cs="Times-Roman"/>
          <w:kern w:val="0"/>
          <w:sz w:val="24"/>
          <w:szCs w:val="28"/>
        </w:rPr>
        <w:t xml:space="preserve">, </w:t>
      </w:r>
      <w:r>
        <w:rPr>
          <w:rFonts w:ascii="Times New Roman" w:hAnsi="Times New Roman" w:eastAsia="Songti SC" w:cs="Times-Roman"/>
          <w:kern w:val="0"/>
          <w:sz w:val="24"/>
          <w:szCs w:val="28"/>
        </w:rPr>
        <w:t>2020).</w:t>
      </w:r>
    </w:p>
    <w:p w14:paraId="2CFBDBA9">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39" w:name="_Toc213618266"/>
      <w:r>
        <w:rPr>
          <w:rFonts w:ascii="Times New Roman" w:hAnsi="Times New Roman" w:cs="Times New Roman"/>
          <w:b/>
          <w:bCs/>
          <w:kern w:val="0"/>
          <w:sz w:val="28"/>
          <w:szCs w:val="28"/>
        </w:rPr>
        <w:t>5.1 Trust-Building Model</w:t>
      </w:r>
      <w:bookmarkEnd w:id="37"/>
      <w:bookmarkEnd w:id="38"/>
      <w:bookmarkEnd w:id="39"/>
    </w:p>
    <w:p w14:paraId="5526BDBB">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bookmarkStart w:id="40" w:name="_Toc213104763"/>
      <w:bookmarkStart w:id="41" w:name="_Toc213106337"/>
      <w:r>
        <w:rPr>
          <w:rFonts w:ascii="Times New Roman" w:hAnsi="Times New Roman" w:eastAsia="Songti SC" w:cs="Times-Roman"/>
          <w:kern w:val="0"/>
          <w:sz w:val="24"/>
          <w:szCs w:val="28"/>
        </w:rPr>
        <w:t>According to Meyer (2017), trust takes a long to time to grow in a culture such as that in China and Japan by focusing on tasks of intent. Asian culture, in contrast to Western cultures that prefer short-term business opportunities, have a different mindset to take time to spend with the party. These relations are developed through series of repeated social and informal meetings. Luthans &amp; Doh (2020), in turn, claim that such a procedure happens not just on professional dimension, but also on personal and emotional levels.</w:t>
      </w:r>
    </w:p>
    <w:p w14:paraId="4A4998E2">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42" w:name="_Toc213618267"/>
      <w:r>
        <w:rPr>
          <w:rFonts w:ascii="Times New Roman" w:hAnsi="Times New Roman" w:cs="Times New Roman"/>
          <w:b/>
          <w:bCs/>
          <w:kern w:val="0"/>
          <w:sz w:val="28"/>
          <w:szCs w:val="28"/>
        </w:rPr>
        <w:t>5.2 Hall’s Time Orientation Theory</w:t>
      </w:r>
      <w:bookmarkEnd w:id="40"/>
      <w:bookmarkEnd w:id="41"/>
      <w:bookmarkEnd w:id="42"/>
    </w:p>
    <w:p w14:paraId="047AE9CD">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bookmarkStart w:id="43" w:name="_Toc213104764"/>
      <w:bookmarkStart w:id="44" w:name="_Toc213106338"/>
      <w:r>
        <w:rPr>
          <w:rFonts w:ascii="Times New Roman" w:hAnsi="Times New Roman" w:eastAsia="Songti SC" w:cs="Times-Roman"/>
          <w:kern w:val="0"/>
          <w:sz w:val="24"/>
          <w:szCs w:val="28"/>
        </w:rPr>
        <w:t xml:space="preserve">Hall (1959) distinguished the single time culture, such as the United Kingdom and the United States, pointing out punctuality and task completion; and the pluralistic time culture, such as China and Japan, in which interpersonal relationships take precedence over strict schedules. In multiculturalism, time is more fluid, and informal interaction is the key to building trust. These cultural differences </w:t>
      </w:r>
      <w:r>
        <w:rPr>
          <w:rFonts w:hint="eastAsia" w:ascii="Times New Roman" w:hAnsi="Times New Roman" w:eastAsia="Songti SC" w:cs="Times-Roman"/>
          <w:kern w:val="0"/>
          <w:sz w:val="24"/>
          <w:szCs w:val="28"/>
        </w:rPr>
        <w:t>indicate</w:t>
      </w:r>
      <w:r>
        <w:rPr>
          <w:rFonts w:ascii="Times New Roman" w:hAnsi="Times New Roman" w:eastAsia="Songti SC" w:cs="Times-Roman"/>
          <w:kern w:val="0"/>
          <w:sz w:val="24"/>
          <w:szCs w:val="28"/>
        </w:rPr>
        <w:t xml:space="preserve"> the importance of building relationships rather than following a strict schedule.</w:t>
      </w:r>
    </w:p>
    <w:bookmarkEnd w:id="43"/>
    <w:bookmarkEnd w:id="44"/>
    <w:p w14:paraId="7A680CD3">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bookmarkStart w:id="45" w:name="_Toc213104765"/>
      <w:bookmarkStart w:id="46" w:name="_Toc213106339"/>
      <w:r>
        <w:rPr>
          <w:rFonts w:ascii="Times New Roman" w:hAnsi="Times New Roman" w:eastAsia="Songti SC" w:cs="Times-Roman"/>
          <w:kern w:val="0"/>
          <w:sz w:val="24"/>
          <w:szCs w:val="28"/>
        </w:rPr>
        <w:t>The second key distinction is the way communication differs regarding relationships. Communicating in the UK is task oriented and time efficient whereas in Chinese (also largely for Asian culture) communication is relation based. They develop lasting person-to-person relationships, and it is understood that they develop connections out of informal contact, contrary to UK’s task based efficiency.</w:t>
      </w:r>
    </w:p>
    <w:p w14:paraId="04C0F311">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47" w:name="_Toc213618268"/>
      <w:r>
        <w:rPr>
          <w:rFonts w:ascii="Times New Roman" w:hAnsi="Times New Roman" w:cs="Times New Roman"/>
          <w:b/>
          <w:bCs/>
          <w:kern w:val="0"/>
          <w:sz w:val="28"/>
          <w:szCs w:val="28"/>
        </w:rPr>
        <w:t>5.</w:t>
      </w:r>
      <w:r>
        <w:rPr>
          <w:rFonts w:hint="eastAsia" w:ascii="Times New Roman" w:hAnsi="Times New Roman" w:cs="Times New Roman"/>
          <w:b/>
          <w:bCs/>
          <w:kern w:val="0"/>
          <w:sz w:val="28"/>
          <w:szCs w:val="28"/>
        </w:rPr>
        <w:t xml:space="preserve">3 </w:t>
      </w:r>
      <w:r>
        <w:rPr>
          <w:rFonts w:ascii="Times New Roman" w:hAnsi="Times New Roman" w:cs="Times New Roman"/>
          <w:b/>
          <w:bCs/>
          <w:kern w:val="0"/>
          <w:sz w:val="28"/>
          <w:szCs w:val="28"/>
        </w:rPr>
        <w:t>Case Study</w:t>
      </w:r>
      <w:bookmarkEnd w:id="45"/>
      <w:bookmarkEnd w:id="46"/>
      <w:bookmarkEnd w:id="47"/>
    </w:p>
    <w:p w14:paraId="793982C1">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bookmarkStart w:id="48" w:name="_Toc213104766"/>
      <w:bookmarkStart w:id="49" w:name="_Toc213106340"/>
      <w:r>
        <w:rPr>
          <w:rFonts w:ascii="Times New Roman" w:hAnsi="Times New Roman" w:eastAsia="Songti SC" w:cs="Times-Roman"/>
          <w:kern w:val="0"/>
          <w:sz w:val="24"/>
          <w:szCs w:val="28"/>
        </w:rPr>
        <w:t>In his case, Meyer explains the difficulties of a white manager in Boston (low context and monochronic) when he moves to Beijing (high context and polychronic), suffering the slowness of decisions made in Beijing, which seem to have as priority to establish good friendships. Meyer notes how manager’s efforts to cut meetings short by minimizing relationship talk was found disrespectful of relationships in Beijing (Meyer, 2017).</w:t>
      </w:r>
    </w:p>
    <w:p w14:paraId="2E5A0D11">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In China, the process of building trust is slower and requires more personal participation. Managers learned that they needed to spend more time on informal social activities, such as dinners and informal parties, rather than focusing on completing tasks quickly to build the necessary trust. This case shows the contrast between the two cultures: American culture emphasizes efficiency and task completion, while Chinese culture cares the relationships and personal trust. Informal social interaction is an important part of business processes. Beijing's diversified model shows that successful business interactions in Asia require significant cultural adaptation.</w:t>
      </w:r>
    </w:p>
    <w:p w14:paraId="4FB40EAE">
      <w:pPr>
        <w:autoSpaceDE w:val="0"/>
        <w:autoSpaceDN w:val="0"/>
        <w:adjustRightInd w:val="0"/>
        <w:spacing w:after="0" w:line="480" w:lineRule="auto"/>
        <w:jc w:val="both"/>
        <w:outlineLvl w:val="0"/>
        <w:rPr>
          <w:rFonts w:ascii="Times New Roman" w:hAnsi="Times New Roman" w:cs="Times New Roman"/>
          <w:b/>
          <w:bCs/>
          <w:kern w:val="0"/>
          <w:sz w:val="28"/>
          <w:szCs w:val="28"/>
        </w:rPr>
      </w:pPr>
      <w:bookmarkStart w:id="50" w:name="_Toc213618269"/>
      <w:r>
        <w:rPr>
          <w:rFonts w:ascii="Times New Roman" w:hAnsi="Times New Roman" w:cs="Times New Roman"/>
          <w:b/>
          <w:bCs/>
          <w:kern w:val="0"/>
          <w:sz w:val="28"/>
          <w:szCs w:val="28"/>
        </w:rPr>
        <w:t>6.0 Communication Breakdown</w:t>
      </w:r>
      <w:bookmarkEnd w:id="48"/>
      <w:bookmarkEnd w:id="49"/>
      <w:bookmarkEnd w:id="50"/>
    </w:p>
    <w:p w14:paraId="49A40A51">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51" w:name="_Toc213618270"/>
      <w:bookmarkStart w:id="52" w:name="_Toc213104767"/>
      <w:bookmarkStart w:id="53" w:name="_Toc213106341"/>
      <w:r>
        <w:rPr>
          <w:rFonts w:ascii="Times New Roman" w:hAnsi="Times New Roman" w:cs="Times New Roman"/>
          <w:b/>
          <w:bCs/>
          <w:kern w:val="0"/>
          <w:sz w:val="28"/>
          <w:szCs w:val="28"/>
        </w:rPr>
        <w:t>6.1 Causes</w:t>
      </w:r>
      <w:bookmarkEnd w:id="51"/>
      <w:bookmarkEnd w:id="52"/>
      <w:bookmarkEnd w:id="53"/>
    </w:p>
    <w:p w14:paraId="352CAEDA">
      <w:pPr>
        <w:spacing w:before="240" w:after="240" w:line="480" w:lineRule="auto"/>
        <w:ind w:firstLine="480" w:firstLineChars="200"/>
        <w:jc w:val="both"/>
        <w:rPr>
          <w:rFonts w:ascii="Times New Roman" w:hAnsi="Times New Roman" w:eastAsia="Songti SC" w:cs="Times-Roman"/>
          <w:kern w:val="0"/>
          <w:sz w:val="24"/>
          <w:szCs w:val="28"/>
        </w:rPr>
      </w:pPr>
      <w:bookmarkStart w:id="54" w:name="_Toc213104769"/>
      <w:bookmarkStart w:id="55" w:name="_Toc213106343"/>
      <w:r>
        <w:rPr>
          <w:rFonts w:ascii="Times New Roman" w:hAnsi="Times New Roman" w:eastAsia="Songti SC" w:cs="Times-Roman"/>
          <w:kern w:val="0"/>
          <w:sz w:val="24"/>
          <w:szCs w:val="28"/>
        </w:rPr>
        <w:t xml:space="preserve">Cross-cultural communications may fail due to cultural and language factors. Language ambiguities are one of the main factors behind communicative breakdown that is created by translating words directly which fails to communicate with the target audience. Nonverbal communication is </w:t>
      </w:r>
      <w:r>
        <w:rPr>
          <w:rFonts w:hint="eastAsia" w:ascii="Times New Roman" w:hAnsi="Times New Roman" w:eastAsia="Songti SC" w:cs="Times-Roman"/>
          <w:kern w:val="0"/>
          <w:sz w:val="24"/>
          <w:szCs w:val="28"/>
        </w:rPr>
        <w:t>a</w:t>
      </w:r>
      <w:r>
        <w:rPr>
          <w:rFonts w:ascii="Times New Roman" w:hAnsi="Times New Roman" w:eastAsia="Songti SC" w:cs="Times-Roman"/>
          <w:kern w:val="0"/>
          <w:sz w:val="24"/>
          <w:szCs w:val="28"/>
        </w:rPr>
        <w:t xml:space="preserve"> major factor due to variations in non-verbal cues like space or non-verbal gestures and its expression, leaving room for misinterpretations between cultures. This is where, to understand why communication failures occur in cross-culture communication scenarios, we can delve deeper into the Attribution Theory (Heider, 1958). Culture Noise Theory puts forward that due to individuals use cultural frames of references in their attribution of other’</w:t>
      </w:r>
      <w:r>
        <w:rPr>
          <w:rFonts w:hint="eastAsia" w:ascii="Times New Roman" w:hAnsi="Times New Roman" w:eastAsia="Songti SC" w:cs="Times-Roman"/>
          <w:kern w:val="0"/>
          <w:sz w:val="24"/>
          <w:szCs w:val="28"/>
        </w:rPr>
        <w:t>s</w:t>
      </w:r>
      <w:r>
        <w:rPr>
          <w:rFonts w:ascii="Times New Roman" w:hAnsi="Times New Roman" w:eastAsia="Songti SC" w:cs="Times-Roman"/>
          <w:kern w:val="0"/>
          <w:sz w:val="24"/>
          <w:szCs w:val="28"/>
        </w:rPr>
        <w:t xml:space="preserve"> behavior which results in such misunderstanding; e.g., a Western manager tends to interpret an Asia partner indirect communication as avoidance, whereas the Asian partner is probably just being respectful and polite according to the culture; also cultural </w:t>
      </w:r>
      <w:r>
        <w:rPr>
          <w:rFonts w:hint="eastAsia" w:ascii="Times New Roman" w:hAnsi="Times New Roman" w:eastAsia="Songti SC" w:cs="Times-Roman"/>
          <w:kern w:val="0"/>
          <w:sz w:val="24"/>
          <w:szCs w:val="28"/>
        </w:rPr>
        <w:t>N</w:t>
      </w:r>
      <w:r>
        <w:rPr>
          <w:rFonts w:ascii="Times New Roman" w:hAnsi="Times New Roman" w:eastAsia="Songti SC" w:cs="Times-Roman"/>
          <w:kern w:val="0"/>
          <w:sz w:val="24"/>
          <w:szCs w:val="28"/>
        </w:rPr>
        <w:t>oise Model argues that cultural differences present as “noise” that is associated with communication, thus deforms the original message (Gudykunst &amp; Kim, 2003).</w:t>
      </w:r>
    </w:p>
    <w:p w14:paraId="0E3CAA7B">
      <w:pPr>
        <w:autoSpaceDE w:val="0"/>
        <w:autoSpaceDN w:val="0"/>
        <w:adjustRightInd w:val="0"/>
        <w:spacing w:after="0" w:line="480" w:lineRule="auto"/>
        <w:jc w:val="both"/>
        <w:outlineLvl w:val="1"/>
        <w:rPr>
          <w:rFonts w:ascii="Times New Roman" w:hAnsi="Times New Roman" w:cs="Times New Roman"/>
          <w:b/>
          <w:bCs/>
          <w:kern w:val="0"/>
          <w:sz w:val="28"/>
          <w:szCs w:val="28"/>
        </w:rPr>
      </w:pPr>
      <w:bookmarkStart w:id="56" w:name="_Toc213618271"/>
      <w:r>
        <w:rPr>
          <w:rFonts w:ascii="Times New Roman" w:hAnsi="Times New Roman" w:cs="Times New Roman"/>
          <w:b/>
          <w:bCs/>
          <w:kern w:val="0"/>
          <w:sz w:val="28"/>
          <w:szCs w:val="28"/>
        </w:rPr>
        <w:t>6.2 Case Study</w:t>
      </w:r>
      <w:bookmarkEnd w:id="54"/>
      <w:bookmarkEnd w:id="55"/>
      <w:bookmarkEnd w:id="56"/>
    </w:p>
    <w:p w14:paraId="4864D686">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When Nason et al. (2017) competing against Bling to enter the Asian market, the luxury brands are in trouble due to the cultural miscommunication. The brand relied on a Western-centric, direct communication approach, which failed to resonate with local consumers. In cultures like China and Japan, indirect communication and relationship building are the most important, and this method leads to confusion and lack of participation. As a result, the reputation of the brand has been damaged, and it is difficult to build trust with local partners. The case emphasizes the importance of adjusting communication strategies according to local cultural expectations, especially the situations and relationships rather than directness and efficiency.</w:t>
      </w:r>
    </w:p>
    <w:p w14:paraId="5F86A21A">
      <w:pPr>
        <w:autoSpaceDE w:val="0"/>
        <w:autoSpaceDN w:val="0"/>
        <w:adjustRightInd w:val="0"/>
        <w:spacing w:after="0" w:line="480" w:lineRule="auto"/>
        <w:jc w:val="both"/>
        <w:rPr>
          <w:rFonts w:ascii="Times New Roman" w:hAnsi="Times New Roman" w:cs="Times New Roman"/>
          <w:b/>
          <w:bCs/>
          <w:kern w:val="0"/>
          <w:sz w:val="28"/>
          <w:szCs w:val="28"/>
        </w:rPr>
      </w:pPr>
      <w:r>
        <w:rPr>
          <w:rFonts w:ascii="Times New Roman" w:hAnsi="Times New Roman" w:cs="Times New Roman"/>
          <w:b/>
          <w:bCs/>
          <w:kern w:val="0"/>
          <w:sz w:val="28"/>
          <w:szCs w:val="28"/>
        </w:rPr>
        <w:t>7.0 C</w:t>
      </w:r>
      <w:r>
        <w:rPr>
          <w:rFonts w:hint="eastAsia" w:ascii="Times New Roman" w:hAnsi="Times New Roman" w:cs="Times New Roman"/>
          <w:b/>
          <w:bCs/>
          <w:kern w:val="0"/>
          <w:sz w:val="28"/>
          <w:szCs w:val="28"/>
        </w:rPr>
        <w:t>o</w:t>
      </w:r>
      <w:r>
        <w:rPr>
          <w:rFonts w:ascii="Times New Roman" w:hAnsi="Times New Roman" w:cs="Times New Roman"/>
          <w:b/>
          <w:bCs/>
          <w:kern w:val="0"/>
          <w:sz w:val="28"/>
          <w:szCs w:val="28"/>
        </w:rPr>
        <w:t>nclusions</w:t>
      </w:r>
    </w:p>
    <w:p w14:paraId="4B05ADF7">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bookmarkStart w:id="57" w:name="_Toc213104770"/>
      <w:bookmarkStart w:id="58" w:name="_Toc213106344"/>
      <w:r>
        <w:rPr>
          <w:rFonts w:ascii="Times New Roman" w:hAnsi="Times New Roman" w:eastAsia="Songti SC" w:cs="Times-Roman"/>
          <w:kern w:val="0"/>
          <w:sz w:val="24"/>
          <w:szCs w:val="28"/>
        </w:rPr>
        <w:t>Cross-cultural communication is a key asset for the international expansion. Understanding cultural differences can</w:t>
      </w:r>
      <w:r>
        <w:rPr>
          <w:rFonts w:hint="eastAsia" w:ascii="Times New Roman" w:hAnsi="Times New Roman" w:eastAsia="Songti SC" w:cs="Times-Roman"/>
          <w:kern w:val="0"/>
          <w:sz w:val="24"/>
          <w:szCs w:val="28"/>
        </w:rPr>
        <w:t xml:space="preserve"> cont</w:t>
      </w:r>
      <w:r>
        <w:rPr>
          <w:rFonts w:ascii="Times New Roman" w:hAnsi="Times New Roman" w:eastAsia="Songti SC" w:cs="Times-Roman"/>
          <w:kern w:val="0"/>
          <w:sz w:val="24"/>
          <w:szCs w:val="28"/>
        </w:rPr>
        <w:t>ribute to effective communication, building relationships and achieving long-term success in new markets. Although cultural differences may bring challenges, they can be solved through strategies such as cultural training, localization adjustment and careful communication.</w:t>
      </w:r>
    </w:p>
    <w:p w14:paraId="33EFB380">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Hall's theory of high-context and low-context culture, Trompenaars’s seven-dimensional cultural theory, and Hofstede's cultural dimension theory, etc., provide the necessary framework for understanding and utilization of these differences. By applying these theories, enterprises can adjust communication methods, decision-making processes and leadership methods, to better adapt to the cultural background and enhance cooperation and trust. Combining these theoretical insights with practical strategies can help enterprises effectively manage cultural differences, reduce misunderstandings, and promote the success of global expansion.</w:t>
      </w:r>
    </w:p>
    <w:p w14:paraId="0DC5F604">
      <w:pPr>
        <w:autoSpaceDE w:val="0"/>
        <w:autoSpaceDN w:val="0"/>
        <w:adjustRightInd w:val="0"/>
        <w:spacing w:after="0" w:line="480" w:lineRule="auto"/>
        <w:jc w:val="both"/>
        <w:outlineLvl w:val="0"/>
        <w:rPr>
          <w:rFonts w:ascii="Times New Roman" w:hAnsi="Times New Roman" w:cs="Times New Roman"/>
          <w:b/>
          <w:bCs/>
          <w:kern w:val="0"/>
          <w:sz w:val="28"/>
          <w:szCs w:val="28"/>
        </w:rPr>
      </w:pPr>
      <w:bookmarkStart w:id="59" w:name="_Toc213618272"/>
      <w:r>
        <w:rPr>
          <w:rFonts w:hint="eastAsia" w:ascii="Times New Roman" w:hAnsi="Times New Roman" w:cs="Times New Roman"/>
          <w:b/>
          <w:bCs/>
          <w:kern w:val="0"/>
          <w:sz w:val="28"/>
          <w:szCs w:val="28"/>
        </w:rPr>
        <w:t>8.0</w:t>
      </w:r>
      <w:r>
        <w:rPr>
          <w:rFonts w:ascii="Times New Roman" w:hAnsi="Times New Roman" w:cs="Times New Roman"/>
          <w:b/>
          <w:bCs/>
          <w:kern w:val="0"/>
          <w:sz w:val="28"/>
          <w:szCs w:val="28"/>
        </w:rPr>
        <w:t xml:space="preserve"> </w:t>
      </w:r>
      <w:bookmarkEnd w:id="57"/>
      <w:bookmarkEnd w:id="58"/>
      <w:r>
        <w:rPr>
          <w:rFonts w:ascii="Times New Roman" w:hAnsi="Times New Roman" w:cs="Times New Roman"/>
          <w:b/>
          <w:bCs/>
          <w:kern w:val="0"/>
          <w:sz w:val="28"/>
          <w:szCs w:val="28"/>
        </w:rPr>
        <w:t>Recommendations</w:t>
      </w:r>
      <w:bookmarkEnd w:id="59"/>
    </w:p>
    <w:p w14:paraId="7E7BB9FC">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To strengthen communication and relationship in the Asian market, British companies should adopt several strategies, combined with the insights of AUM theory.</w:t>
      </w:r>
    </w:p>
    <w:p w14:paraId="6B9B0423">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Cultural training: C</w:t>
      </w:r>
      <w:r>
        <w:rPr>
          <w:rFonts w:hint="eastAsia" w:ascii="Times New Roman" w:hAnsi="Times New Roman" w:eastAsia="Songti SC" w:cs="Times-Roman"/>
          <w:kern w:val="0"/>
          <w:sz w:val="24"/>
          <w:szCs w:val="28"/>
        </w:rPr>
        <w:t>om</w:t>
      </w:r>
      <w:r>
        <w:rPr>
          <w:rFonts w:ascii="Times New Roman" w:hAnsi="Times New Roman" w:eastAsia="Songti SC" w:cs="Times-Roman"/>
          <w:kern w:val="0"/>
          <w:sz w:val="24"/>
          <w:szCs w:val="28"/>
        </w:rPr>
        <w:t>pany could conduct regular cultural training for British employees to help them understand Asian cultural norms, values and communication methods. According to the AUM theory, this reduces the uncertainty and anxiety when interacting, enabling employees to communicate more effectively and confidently. Training should focus on cultural aspects, such as hierarchy, indirect communication and relationship building.</w:t>
      </w:r>
    </w:p>
    <w:p w14:paraId="34FA9BD7">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 xml:space="preserve">Local communication strategy: It is essential to establish a local public relations and marketing communication team. This team should </w:t>
      </w:r>
      <w:r>
        <w:rPr>
          <w:rFonts w:hint="eastAsia" w:ascii="Times New Roman" w:hAnsi="Times New Roman" w:eastAsia="Songti SC" w:cs="Times-Roman"/>
          <w:kern w:val="0"/>
          <w:sz w:val="24"/>
          <w:szCs w:val="28"/>
        </w:rPr>
        <w:t>com</w:t>
      </w:r>
      <w:r>
        <w:rPr>
          <w:rFonts w:ascii="Times New Roman" w:hAnsi="Times New Roman" w:eastAsia="Songti SC" w:cs="Times-Roman"/>
          <w:kern w:val="0"/>
          <w:sz w:val="24"/>
          <w:szCs w:val="28"/>
        </w:rPr>
        <w:t>prehend local preferences, bridge cultural differences and adjust communication strategies. The AUM theory thinks that minimizing the uncertainty of local norms and communication methods helps employees adapt and communicate more effectively, thus promoting trust and cooperation.</w:t>
      </w:r>
    </w:p>
    <w:p w14:paraId="0D395AF4">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Relationship management: The company should adopt a long-term and mutually beneficial communication mechanism. The item should develop a strong and trust-based relationship, which is the foundation of Asian culture. By maintaining consistent and cautious participation, the company can ensure effectiveness and strengthen its market position.</w:t>
      </w:r>
    </w:p>
    <w:p w14:paraId="6C62FFEE">
      <w:pPr>
        <w:autoSpaceDE w:val="0"/>
        <w:autoSpaceDN w:val="0"/>
        <w:adjustRightInd w:val="0"/>
        <w:spacing w:after="0"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Leadership adaptation: Leaders should adjust their communication style to make it more culturally sensitive. Cross-cultural leadership communication training helps leaders manage cultural differences and reduce uncertainty.</w:t>
      </w:r>
    </w:p>
    <w:p w14:paraId="2D013DA1">
      <w:pPr>
        <w:widowControl/>
        <w:spacing w:line="480" w:lineRule="auto"/>
        <w:ind w:firstLine="480" w:firstLineChars="200"/>
        <w:jc w:val="both"/>
        <w:rPr>
          <w:rFonts w:ascii="Times New Roman" w:hAnsi="Times New Roman" w:eastAsia="Songti SC" w:cs="Times-Roman"/>
          <w:kern w:val="0"/>
          <w:sz w:val="24"/>
          <w:szCs w:val="28"/>
        </w:rPr>
      </w:pPr>
      <w:r>
        <w:rPr>
          <w:rFonts w:ascii="Times New Roman" w:hAnsi="Times New Roman" w:eastAsia="Songti SC" w:cs="Times-Roman"/>
          <w:kern w:val="0"/>
          <w:sz w:val="24"/>
          <w:szCs w:val="28"/>
        </w:rPr>
        <w:t>Feedback and evaluation: HR department could use the cross-cultural communication performance evaluation system to evaluate the effectiveness of communication strategies. Continuous feedback helps to manage uncertainty and improve overall communication efficiency.</w:t>
      </w:r>
      <w:r>
        <w:rPr>
          <w:rFonts w:ascii="Times New Roman" w:hAnsi="Times New Roman" w:eastAsia="Songti SC" w:cs="Times-Roman"/>
          <w:kern w:val="0"/>
          <w:sz w:val="24"/>
          <w:szCs w:val="28"/>
        </w:rPr>
        <w:br w:type="page"/>
      </w:r>
    </w:p>
    <w:p w14:paraId="23A6202F">
      <w:pPr>
        <w:widowControl/>
        <w:outlineLvl w:val="0"/>
        <w:rPr>
          <w:rFonts w:ascii="Times New Roman" w:hAnsi="Times New Roman" w:cs="Times New Roman"/>
          <w:b/>
          <w:bCs/>
          <w:kern w:val="0"/>
          <w:sz w:val="28"/>
          <w:szCs w:val="28"/>
        </w:rPr>
      </w:pPr>
      <w:bookmarkStart w:id="60" w:name="_Toc213618273"/>
      <w:r>
        <w:rPr>
          <w:rFonts w:hint="eastAsia" w:ascii="Times New Roman" w:hAnsi="Times New Roman" w:cs="Times New Roman"/>
          <w:b/>
          <w:bCs/>
          <w:kern w:val="0"/>
          <w:sz w:val="28"/>
          <w:szCs w:val="28"/>
        </w:rPr>
        <w:t>9</w:t>
      </w:r>
      <w:r>
        <w:rPr>
          <w:rFonts w:ascii="Times New Roman" w:hAnsi="Times New Roman" w:cs="Times New Roman"/>
          <w:b/>
          <w:bCs/>
          <w:kern w:val="0"/>
          <w:sz w:val="28"/>
          <w:szCs w:val="28"/>
        </w:rPr>
        <w:t>.0 R</w:t>
      </w:r>
      <w:r>
        <w:rPr>
          <w:rFonts w:hint="eastAsia" w:ascii="Times New Roman" w:hAnsi="Times New Roman" w:cs="Times New Roman"/>
          <w:b/>
          <w:bCs/>
          <w:kern w:val="0"/>
          <w:sz w:val="28"/>
          <w:szCs w:val="28"/>
        </w:rPr>
        <w:t>ef</w:t>
      </w:r>
      <w:r>
        <w:rPr>
          <w:rFonts w:ascii="Times New Roman" w:hAnsi="Times New Roman" w:cs="Times New Roman"/>
          <w:b/>
          <w:bCs/>
          <w:kern w:val="0"/>
          <w:sz w:val="28"/>
          <w:szCs w:val="28"/>
        </w:rPr>
        <w:t>erences</w:t>
      </w:r>
      <w:bookmarkEnd w:id="60"/>
    </w:p>
    <w:p w14:paraId="372D649F">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Arasaratnam, L. A. (2015) ‘Research in intercultural communication: Reviewing the past decade’,</w:t>
      </w:r>
      <w:r>
        <w:rPr>
          <w:rStyle w:val="52"/>
          <w:rFonts w:ascii="Times New Roman" w:hAnsi="Times New Roman" w:cs="Times New Roman"/>
          <w:color w:val="000000"/>
        </w:rPr>
        <w:t> </w:t>
      </w:r>
      <w:r>
        <w:rPr>
          <w:rStyle w:val="29"/>
          <w:rFonts w:ascii="Times New Roman" w:hAnsi="Times New Roman" w:cs="Times New Roman"/>
          <w:color w:val="000000"/>
        </w:rPr>
        <w:t>Journal of International and Intercultural Communication</w:t>
      </w:r>
      <w:r>
        <w:rPr>
          <w:rFonts w:ascii="Times New Roman" w:hAnsi="Times New Roman" w:cs="Times New Roman"/>
          <w:color w:val="000000"/>
        </w:rPr>
        <w:t>, 8(4), pp. 290–310.</w:t>
      </w:r>
    </w:p>
    <w:p w14:paraId="6379EE6B">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Bharadwaj, A. (2025) ‘Intercultural communication challenges in IT companies in India: A case study’,</w:t>
      </w:r>
      <w:r>
        <w:rPr>
          <w:rStyle w:val="52"/>
          <w:rFonts w:ascii="Times New Roman" w:hAnsi="Times New Roman" w:cs="Times New Roman"/>
          <w:color w:val="000000"/>
        </w:rPr>
        <w:t> </w:t>
      </w:r>
      <w:r>
        <w:rPr>
          <w:rStyle w:val="29"/>
          <w:rFonts w:ascii="Times New Roman" w:hAnsi="Times New Roman" w:cs="Times New Roman"/>
          <w:color w:val="000000"/>
        </w:rPr>
        <w:t>Business and Professional Communication Quarterly</w:t>
      </w:r>
      <w:r>
        <w:rPr>
          <w:rFonts w:ascii="Times New Roman" w:hAnsi="Times New Roman" w:cs="Times New Roman"/>
          <w:color w:val="000000"/>
        </w:rPr>
        <w:t>, 88(1), pp. 126–151.</w:t>
      </w:r>
    </w:p>
    <w:p w14:paraId="57BC63B9">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Beamer, L. and Varner, I. (2011)</w:t>
      </w:r>
      <w:r>
        <w:rPr>
          <w:rStyle w:val="52"/>
          <w:rFonts w:ascii="Times New Roman" w:hAnsi="Times New Roman" w:cs="Times New Roman"/>
          <w:color w:val="000000"/>
        </w:rPr>
        <w:t> </w:t>
      </w:r>
      <w:r>
        <w:rPr>
          <w:rStyle w:val="29"/>
          <w:rFonts w:ascii="Times New Roman" w:hAnsi="Times New Roman" w:cs="Times New Roman"/>
          <w:color w:val="000000"/>
        </w:rPr>
        <w:t>Intercultural Communication in the Global Workplace</w:t>
      </w:r>
      <w:r>
        <w:rPr>
          <w:rFonts w:ascii="Times New Roman" w:hAnsi="Times New Roman" w:cs="Times New Roman"/>
          <w:color w:val="000000"/>
        </w:rPr>
        <w:t>. New Delhi: Tata McGraw-Hill.</w:t>
      </w:r>
    </w:p>
    <w:p w14:paraId="714A9CC7">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Berlo, D.K. (1960)</w:t>
      </w:r>
      <w:r>
        <w:rPr>
          <w:rStyle w:val="52"/>
          <w:rFonts w:ascii="Times New Roman" w:hAnsi="Times New Roman" w:cs="Times New Roman"/>
          <w:color w:val="000000"/>
        </w:rPr>
        <w:t> </w:t>
      </w:r>
      <w:r>
        <w:rPr>
          <w:rStyle w:val="29"/>
          <w:rFonts w:ascii="Times New Roman" w:hAnsi="Times New Roman" w:cs="Times New Roman"/>
          <w:color w:val="000000"/>
        </w:rPr>
        <w:t>The Process of Communication: An Introduction to Theory and Practice</w:t>
      </w:r>
      <w:r>
        <w:rPr>
          <w:rFonts w:ascii="Times New Roman" w:hAnsi="Times New Roman" w:cs="Times New Roman"/>
          <w:color w:val="000000"/>
        </w:rPr>
        <w:t>. New York: Holt, Rinehart and Winston, pp. 27–35.</w:t>
      </w:r>
    </w:p>
    <w:p w14:paraId="566D5FB3">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Czinkota, M.R., Ronkainen, I.A. and Gupta, S. (2021)</w:t>
      </w:r>
      <w:r>
        <w:rPr>
          <w:rStyle w:val="52"/>
          <w:rFonts w:ascii="Times New Roman" w:hAnsi="Times New Roman" w:cs="Times New Roman"/>
          <w:color w:val="000000"/>
        </w:rPr>
        <w:t> </w:t>
      </w:r>
      <w:r>
        <w:rPr>
          <w:rStyle w:val="29"/>
          <w:rFonts w:ascii="Times New Roman" w:hAnsi="Times New Roman" w:cs="Times New Roman"/>
          <w:color w:val="000000"/>
        </w:rPr>
        <w:t>International Business</w:t>
      </w:r>
      <w:r>
        <w:rPr>
          <w:rFonts w:ascii="Times New Roman" w:hAnsi="Times New Roman" w:cs="Times New Roman"/>
          <w:color w:val="000000"/>
        </w:rPr>
        <w:t>. 9th edn. Cambridge: Cambridge University Press, pp. 118–122.</w:t>
      </w:r>
    </w:p>
    <w:p w14:paraId="3CFD34F6">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Earley, P.C. &amp; Ang, S. (2003)</w:t>
      </w:r>
      <w:r>
        <w:rPr>
          <w:rStyle w:val="52"/>
          <w:rFonts w:ascii="Times New Roman" w:hAnsi="Times New Roman" w:cs="Times New Roman"/>
          <w:color w:val="000000"/>
        </w:rPr>
        <w:t> </w:t>
      </w:r>
      <w:r>
        <w:rPr>
          <w:rStyle w:val="29"/>
          <w:rFonts w:ascii="Times New Roman" w:hAnsi="Times New Roman" w:cs="Times New Roman"/>
          <w:color w:val="000000"/>
        </w:rPr>
        <w:t>Cultural Intelligence: Individual Interactions Across Cultures</w:t>
      </w:r>
      <w:r>
        <w:rPr>
          <w:rFonts w:ascii="Times New Roman" w:hAnsi="Times New Roman" w:cs="Times New Roman"/>
          <w:color w:val="000000"/>
        </w:rPr>
        <w:t>. Stanford University Press.</w:t>
      </w:r>
    </w:p>
    <w:p w14:paraId="58E5A086">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Gudykunst, W.B. (1998) ‘Applying anxiety/uncertainty management (AUM) theory to intercultural adjustment training’,</w:t>
      </w:r>
      <w:r>
        <w:rPr>
          <w:rStyle w:val="52"/>
          <w:rFonts w:ascii="Times New Roman" w:hAnsi="Times New Roman" w:cs="Times New Roman"/>
          <w:color w:val="000000"/>
        </w:rPr>
        <w:t> </w:t>
      </w:r>
      <w:r>
        <w:rPr>
          <w:rStyle w:val="29"/>
          <w:rFonts w:ascii="Times New Roman" w:hAnsi="Times New Roman" w:cs="Times New Roman"/>
          <w:color w:val="000000"/>
        </w:rPr>
        <w:t>International Journal of Intercultural Relations</w:t>
      </w:r>
      <w:r>
        <w:rPr>
          <w:rFonts w:ascii="Times New Roman" w:hAnsi="Times New Roman" w:cs="Times New Roman"/>
          <w:color w:val="000000"/>
        </w:rPr>
        <w:t>, 22, pp. 227–250. doi: 10.1016/S0147-1767(98)00005-4.</w:t>
      </w:r>
    </w:p>
    <w:p w14:paraId="7C4C28BE">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Gudykunst, W.B. (2005) ‘An anxiety/uncertainty management (AUM) theory of effective communication: Making the mesh of the net finer’, in Gudykunst, W.B. (ed.)</w:t>
      </w:r>
      <w:r>
        <w:rPr>
          <w:rStyle w:val="52"/>
          <w:rFonts w:ascii="Times New Roman" w:hAnsi="Times New Roman" w:cs="Times New Roman"/>
          <w:color w:val="000000"/>
        </w:rPr>
        <w:t> </w:t>
      </w:r>
      <w:r>
        <w:rPr>
          <w:rStyle w:val="29"/>
          <w:rFonts w:ascii="Times New Roman" w:hAnsi="Times New Roman" w:cs="Times New Roman"/>
          <w:color w:val="000000"/>
        </w:rPr>
        <w:t>Theorizing about Intercultural Communication</w:t>
      </w:r>
      <w:r>
        <w:rPr>
          <w:rFonts w:ascii="Times New Roman" w:hAnsi="Times New Roman" w:cs="Times New Roman"/>
          <w:color w:val="000000"/>
        </w:rPr>
        <w:t>. Thousand Oaks, CA: SAGE, pp. 281–322.</w:t>
      </w:r>
    </w:p>
    <w:p w14:paraId="10C3E8BA">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Hall, E.T. (1959)</w:t>
      </w:r>
      <w:r>
        <w:rPr>
          <w:rStyle w:val="52"/>
          <w:rFonts w:ascii="Times New Roman" w:hAnsi="Times New Roman" w:cs="Times New Roman"/>
          <w:color w:val="000000"/>
        </w:rPr>
        <w:t> </w:t>
      </w:r>
      <w:r>
        <w:rPr>
          <w:rStyle w:val="29"/>
          <w:rFonts w:ascii="Times New Roman" w:hAnsi="Times New Roman" w:cs="Times New Roman"/>
          <w:color w:val="000000"/>
        </w:rPr>
        <w:t>The Silent Language</w:t>
      </w:r>
      <w:r>
        <w:rPr>
          <w:rFonts w:ascii="Times New Roman" w:hAnsi="Times New Roman" w:cs="Times New Roman"/>
          <w:color w:val="000000"/>
        </w:rPr>
        <w:t>. Anchor Books.</w:t>
      </w:r>
    </w:p>
    <w:p w14:paraId="46C3EA08">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Hall, E.T. and Hall, M.R. (1989)</w:t>
      </w:r>
      <w:r>
        <w:rPr>
          <w:rStyle w:val="52"/>
          <w:rFonts w:ascii="Times New Roman" w:hAnsi="Times New Roman" w:cs="Times New Roman"/>
          <w:color w:val="000000"/>
        </w:rPr>
        <w:t> </w:t>
      </w:r>
      <w:r>
        <w:rPr>
          <w:rStyle w:val="29"/>
          <w:rFonts w:ascii="Times New Roman" w:hAnsi="Times New Roman" w:cs="Times New Roman"/>
          <w:color w:val="000000"/>
        </w:rPr>
        <w:t>Understanding Cultural Differences: Germans, French and Americans</w:t>
      </w:r>
      <w:r>
        <w:rPr>
          <w:rFonts w:ascii="Times New Roman" w:hAnsi="Times New Roman" w:cs="Times New Roman"/>
          <w:color w:val="000000"/>
        </w:rPr>
        <w:t>. Yarmouth, ME: Intercultural Press.</w:t>
      </w:r>
    </w:p>
    <w:p w14:paraId="64F6132A">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He, P. (2021) ‘Challenges and coping strategies of cross-cultural communication in multinational corporations’,</w:t>
      </w:r>
      <w:r>
        <w:rPr>
          <w:rStyle w:val="52"/>
          <w:rFonts w:ascii="Times New Roman" w:hAnsi="Times New Roman" w:cs="Times New Roman"/>
          <w:color w:val="000000"/>
        </w:rPr>
        <w:t> </w:t>
      </w:r>
      <w:r>
        <w:rPr>
          <w:rStyle w:val="29"/>
          <w:rFonts w:ascii="Times New Roman" w:hAnsi="Times New Roman" w:cs="Times New Roman"/>
          <w:color w:val="000000"/>
        </w:rPr>
        <w:t>Jiangsu Business Review</w:t>
      </w:r>
      <w:r>
        <w:rPr>
          <w:rFonts w:ascii="Times New Roman" w:hAnsi="Times New Roman" w:cs="Times New Roman"/>
          <w:color w:val="000000"/>
        </w:rPr>
        <w:t>, 8, pp. 103–105. doi: 10.13395/j.cnki.issn.1009-0061.2021.08.027.</w:t>
      </w:r>
    </w:p>
    <w:p w14:paraId="4F4A1F6D">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Luthans, F. &amp; Doh, J.P. (2020)</w:t>
      </w:r>
      <w:r>
        <w:rPr>
          <w:rStyle w:val="52"/>
          <w:rFonts w:ascii="Times New Roman" w:hAnsi="Times New Roman" w:cs="Times New Roman"/>
          <w:color w:val="000000"/>
        </w:rPr>
        <w:t> </w:t>
      </w:r>
      <w:r>
        <w:rPr>
          <w:rStyle w:val="29"/>
          <w:rFonts w:ascii="Times New Roman" w:hAnsi="Times New Roman" w:cs="Times New Roman"/>
          <w:color w:val="000000"/>
        </w:rPr>
        <w:t>International Management: Culture, Strategy, and Behavior</w:t>
      </w:r>
      <w:r>
        <w:rPr>
          <w:rFonts w:ascii="Times New Roman" w:hAnsi="Times New Roman" w:cs="Times New Roman"/>
          <w:color w:val="000000"/>
        </w:rPr>
        <w:t>. 10th ed. McGraw-Hill Education.</w:t>
      </w:r>
    </w:p>
    <w:p w14:paraId="69A48B63">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Lopez, C. &amp; Fan, Y. (2009) ‘Internationalization of the Spanish fashion brand Zara’,</w:t>
      </w:r>
      <w:r>
        <w:rPr>
          <w:rStyle w:val="52"/>
          <w:rFonts w:ascii="Times New Roman" w:hAnsi="Times New Roman" w:cs="Times New Roman"/>
          <w:color w:val="000000"/>
        </w:rPr>
        <w:t> </w:t>
      </w:r>
      <w:r>
        <w:rPr>
          <w:rStyle w:val="29"/>
          <w:rFonts w:ascii="Times New Roman" w:hAnsi="Times New Roman" w:cs="Times New Roman"/>
          <w:color w:val="000000"/>
        </w:rPr>
        <w:t>Journal of Fashion Marketing and Management</w:t>
      </w:r>
      <w:r>
        <w:rPr>
          <w:rFonts w:ascii="Times New Roman" w:hAnsi="Times New Roman" w:cs="Times New Roman"/>
          <w:color w:val="000000"/>
        </w:rPr>
        <w:t>, 13(2), pp. 279–296.</w:t>
      </w:r>
    </w:p>
    <w:p w14:paraId="6884394B">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Meyer, E. (2017) ‘Being the boss in Brussels, Boston and Beijing’,</w:t>
      </w:r>
      <w:r>
        <w:rPr>
          <w:rStyle w:val="52"/>
          <w:rFonts w:ascii="Times New Roman" w:hAnsi="Times New Roman" w:cs="Times New Roman"/>
          <w:color w:val="000000"/>
        </w:rPr>
        <w:t> </w:t>
      </w:r>
      <w:r>
        <w:rPr>
          <w:rStyle w:val="29"/>
          <w:rFonts w:ascii="Times New Roman" w:hAnsi="Times New Roman" w:cs="Times New Roman"/>
          <w:color w:val="000000"/>
        </w:rPr>
        <w:t>Harvard Business Review</w:t>
      </w:r>
      <w:r>
        <w:rPr>
          <w:rFonts w:ascii="Times New Roman" w:hAnsi="Times New Roman" w:cs="Times New Roman"/>
          <w:color w:val="000000"/>
        </w:rPr>
        <w:t>. Available at:</w:t>
      </w:r>
      <w:r>
        <w:rPr>
          <w:rStyle w:val="52"/>
          <w:rFonts w:ascii="Times New Roman" w:hAnsi="Times New Roman" w:cs="Times New Roman"/>
          <w:color w:val="000000"/>
        </w:rPr>
        <w:t> </w:t>
      </w:r>
      <w:r>
        <w:fldChar w:fldCharType="begin"/>
      </w:r>
      <w:r>
        <w:instrText xml:space="preserve"> HYPERLINK "https://hbr.org/2017/07/being-the-boss-in-brussels-boston-and-beijing" \t "_new" </w:instrText>
      </w:r>
      <w:r>
        <w:fldChar w:fldCharType="separate"/>
      </w:r>
      <w:r>
        <w:rPr>
          <w:rStyle w:val="30"/>
          <w:rFonts w:ascii="Times New Roman" w:hAnsi="Times New Roman" w:cs="Times New Roman"/>
        </w:rPr>
        <w:t>https://hbr.org/2017/07/being-the-boss-in-brussels-boston-and-beijing</w:t>
      </w:r>
      <w:r>
        <w:rPr>
          <w:rStyle w:val="30"/>
          <w:rFonts w:ascii="Times New Roman" w:hAnsi="Times New Roman" w:cs="Times New Roman"/>
        </w:rPr>
        <w:fldChar w:fldCharType="end"/>
      </w:r>
      <w:r>
        <w:rPr>
          <w:rStyle w:val="52"/>
          <w:rFonts w:ascii="Times New Roman" w:hAnsi="Times New Roman" w:cs="Times New Roman"/>
          <w:color w:val="000000"/>
        </w:rPr>
        <w:t> </w:t>
      </w:r>
      <w:r>
        <w:rPr>
          <w:rFonts w:ascii="Times New Roman" w:hAnsi="Times New Roman" w:cs="Times New Roman"/>
          <w:color w:val="000000"/>
        </w:rPr>
        <w:t>(Accessed: 3 November 2025).</w:t>
      </w:r>
    </w:p>
    <w:p w14:paraId="3396D467">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Nason, S., Salvacruz, J. and Stevenson, J.P. (2017) ‘HBR Case study: Competing against bling’,</w:t>
      </w:r>
      <w:r>
        <w:rPr>
          <w:rStyle w:val="52"/>
          <w:rFonts w:ascii="Times New Roman" w:hAnsi="Times New Roman" w:cs="Times New Roman"/>
          <w:color w:val="000000"/>
        </w:rPr>
        <w:t> </w:t>
      </w:r>
      <w:r>
        <w:rPr>
          <w:rStyle w:val="29"/>
          <w:rFonts w:ascii="Times New Roman" w:hAnsi="Times New Roman" w:cs="Times New Roman"/>
          <w:color w:val="000000"/>
        </w:rPr>
        <w:t>Harvard Business Review</w:t>
      </w:r>
      <w:r>
        <w:rPr>
          <w:rFonts w:ascii="Times New Roman" w:hAnsi="Times New Roman" w:cs="Times New Roman"/>
          <w:color w:val="000000"/>
        </w:rPr>
        <w:t>.</w:t>
      </w:r>
    </w:p>
    <w:p w14:paraId="3C5F4B4F">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Neuliep, J.W. (2017) ‘Anxiety/Uncertainty Management (AUM) Theory’, in Kim, Y.Y. (ed.)</w:t>
      </w:r>
      <w:r>
        <w:rPr>
          <w:rStyle w:val="52"/>
          <w:rFonts w:ascii="Times New Roman" w:hAnsi="Times New Roman" w:cs="Times New Roman"/>
          <w:color w:val="000000"/>
        </w:rPr>
        <w:t> </w:t>
      </w:r>
      <w:r>
        <w:rPr>
          <w:rStyle w:val="29"/>
          <w:rFonts w:ascii="Times New Roman" w:hAnsi="Times New Roman" w:cs="Times New Roman"/>
          <w:color w:val="000000"/>
        </w:rPr>
        <w:t>The International Encyclopedia of Intercultural Communication</w:t>
      </w:r>
      <w:r>
        <w:rPr>
          <w:rFonts w:ascii="Times New Roman" w:hAnsi="Times New Roman" w:cs="Times New Roman"/>
          <w:color w:val="000000"/>
        </w:rPr>
        <w:t>. Hoboken, NJ: Wiley-Blackwell, pp. 1–9.</w:t>
      </w:r>
    </w:p>
    <w:p w14:paraId="2ED8F203">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rPr>
        <w:t xml:space="preserve">Ronkainen, I.A. and Gupta, S. (2021). </w:t>
      </w:r>
      <w:r>
        <w:rPr>
          <w:rFonts w:ascii="Times New Roman" w:hAnsi="Times New Roman" w:cs="Times New Roman"/>
          <w:i/>
          <w:iCs/>
        </w:rPr>
        <w:t>International Business</w:t>
      </w:r>
      <w:r>
        <w:rPr>
          <w:rFonts w:ascii="Times New Roman" w:hAnsi="Times New Roman" w:cs="Times New Roman"/>
        </w:rPr>
        <w:t>. 9th edn. Cambridge: Cambridge University Press, pp. 118–122.</w:t>
      </w:r>
    </w:p>
    <w:p w14:paraId="53C92E89">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Shannon, C.E. and Weaver, W. (1949)</w:t>
      </w:r>
      <w:r>
        <w:rPr>
          <w:rStyle w:val="52"/>
          <w:rFonts w:ascii="Times New Roman" w:hAnsi="Times New Roman" w:cs="Times New Roman"/>
          <w:color w:val="000000"/>
        </w:rPr>
        <w:t> </w:t>
      </w:r>
      <w:r>
        <w:rPr>
          <w:rStyle w:val="29"/>
          <w:rFonts w:ascii="Times New Roman" w:hAnsi="Times New Roman" w:cs="Times New Roman"/>
          <w:color w:val="000000"/>
        </w:rPr>
        <w:t>The Mathematical Theory of Communication</w:t>
      </w:r>
      <w:r>
        <w:rPr>
          <w:rFonts w:ascii="Times New Roman" w:hAnsi="Times New Roman" w:cs="Times New Roman"/>
          <w:color w:val="000000"/>
        </w:rPr>
        <w:t>. Urbana, IL: University of Illinois Press, pp. 3–7.</w:t>
      </w:r>
    </w:p>
    <w:p w14:paraId="680B289D">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Szkudlarek, B., Osland, J.S., Nardon, L. and Zander, L. (2020) ‘Communication and culture in international business: Moving the field forward’,</w:t>
      </w:r>
      <w:r>
        <w:rPr>
          <w:rStyle w:val="52"/>
          <w:rFonts w:ascii="Times New Roman" w:hAnsi="Times New Roman" w:cs="Times New Roman"/>
          <w:color w:val="000000"/>
        </w:rPr>
        <w:t> </w:t>
      </w:r>
      <w:r>
        <w:rPr>
          <w:rStyle w:val="29"/>
          <w:rFonts w:ascii="Times New Roman" w:hAnsi="Times New Roman" w:cs="Times New Roman"/>
          <w:color w:val="000000"/>
        </w:rPr>
        <w:t>Journal of World Business</w:t>
      </w:r>
      <w:r>
        <w:rPr>
          <w:rFonts w:ascii="Times New Roman" w:hAnsi="Times New Roman" w:cs="Times New Roman"/>
          <w:color w:val="000000"/>
        </w:rPr>
        <w:t>, 55(6), pp. 101–114.</w:t>
      </w:r>
    </w:p>
    <w:p w14:paraId="0F220FFD">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Tokatli, N. (2015) ‘Single firm, multiple cities: Zara’s agglomeration economies and the production of the fast fashion city’,</w:t>
      </w:r>
      <w:r>
        <w:rPr>
          <w:rStyle w:val="52"/>
          <w:rFonts w:ascii="Times New Roman" w:hAnsi="Times New Roman" w:cs="Times New Roman"/>
          <w:color w:val="000000"/>
        </w:rPr>
        <w:t> </w:t>
      </w:r>
      <w:r>
        <w:rPr>
          <w:rStyle w:val="29"/>
          <w:rFonts w:ascii="Times New Roman" w:hAnsi="Times New Roman" w:cs="Times New Roman"/>
          <w:color w:val="000000"/>
        </w:rPr>
        <w:t>Environment and Planning A</w:t>
      </w:r>
      <w:r>
        <w:rPr>
          <w:rFonts w:ascii="Times New Roman" w:hAnsi="Times New Roman" w:cs="Times New Roman"/>
          <w:color w:val="000000"/>
        </w:rPr>
        <w:t>, 47(12), pp. 2432–2450.</w:t>
      </w:r>
    </w:p>
    <w:p w14:paraId="28CC278A">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Trompenaars, F., &amp; Hampden-Turner, C. (2020).</w:t>
      </w:r>
      <w:r>
        <w:rPr>
          <w:rStyle w:val="52"/>
          <w:rFonts w:ascii="Times New Roman" w:hAnsi="Times New Roman" w:cs="Times New Roman"/>
          <w:color w:val="000000"/>
        </w:rPr>
        <w:t> </w:t>
      </w:r>
      <w:r>
        <w:rPr>
          <w:rStyle w:val="29"/>
          <w:rFonts w:ascii="Times New Roman" w:hAnsi="Times New Roman" w:cs="Times New Roman"/>
          <w:color w:val="000000"/>
        </w:rPr>
        <w:t>Riding the waves of culture: Understanding diversity in global business</w:t>
      </w:r>
      <w:r>
        <w:rPr>
          <w:rFonts w:ascii="Times New Roman" w:hAnsi="Times New Roman" w:cs="Times New Roman"/>
          <w:color w:val="000000"/>
        </w:rPr>
        <w:t>. McGraw-Hill.</w:t>
      </w:r>
    </w:p>
    <w:p w14:paraId="3B15AFAD">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Wu, C., Yama, H. and Zakaria, N. (2023) ‘How do Japanese and Chinese view each other? Understanding the meaning of low‐context culture in intercultural communication’,</w:t>
      </w:r>
      <w:r>
        <w:rPr>
          <w:rStyle w:val="52"/>
          <w:rFonts w:ascii="Times New Roman" w:hAnsi="Times New Roman" w:cs="Times New Roman"/>
          <w:color w:val="000000"/>
        </w:rPr>
        <w:t> </w:t>
      </w:r>
      <w:r>
        <w:rPr>
          <w:rStyle w:val="29"/>
          <w:rFonts w:ascii="Times New Roman" w:hAnsi="Times New Roman" w:cs="Times New Roman"/>
          <w:color w:val="000000"/>
        </w:rPr>
        <w:t>Global Networks</w:t>
      </w:r>
      <w:r>
        <w:rPr>
          <w:rFonts w:ascii="Times New Roman" w:hAnsi="Times New Roman" w:cs="Times New Roman"/>
          <w:color w:val="000000"/>
        </w:rPr>
        <w:t>, 24(1).</w:t>
      </w:r>
    </w:p>
    <w:p w14:paraId="4A0151D2">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Yan, R. (2012) ‘Brand positioning and communication strategies of H&amp;M in Japan and China’,</w:t>
      </w:r>
      <w:r>
        <w:rPr>
          <w:rStyle w:val="52"/>
          <w:rFonts w:ascii="Times New Roman" w:hAnsi="Times New Roman" w:cs="Times New Roman"/>
          <w:color w:val="000000"/>
        </w:rPr>
        <w:t> </w:t>
      </w:r>
      <w:r>
        <w:rPr>
          <w:rStyle w:val="29"/>
          <w:rFonts w:ascii="Times New Roman" w:hAnsi="Times New Roman" w:cs="Times New Roman"/>
          <w:color w:val="000000"/>
        </w:rPr>
        <w:t>Asian Business &amp; Management</w:t>
      </w:r>
      <w:r>
        <w:rPr>
          <w:rFonts w:ascii="Times New Roman" w:hAnsi="Times New Roman" w:cs="Times New Roman"/>
          <w:color w:val="000000"/>
        </w:rPr>
        <w:t>, 11(3), pp. 377–396.</w:t>
      </w:r>
    </w:p>
    <w:p w14:paraId="2FACB431">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Zakaria, N. (2017) ‘Emergent patterns of switching behaviors and intercultural communication styles of global virtual teams during distributed decision making’,</w:t>
      </w:r>
      <w:r>
        <w:rPr>
          <w:rStyle w:val="52"/>
          <w:rFonts w:ascii="Times New Roman" w:hAnsi="Times New Roman" w:cs="Times New Roman"/>
          <w:color w:val="000000"/>
        </w:rPr>
        <w:t> </w:t>
      </w:r>
      <w:r>
        <w:rPr>
          <w:rStyle w:val="29"/>
          <w:rFonts w:ascii="Times New Roman" w:hAnsi="Times New Roman" w:cs="Times New Roman"/>
          <w:color w:val="000000"/>
        </w:rPr>
        <w:t>Journal of International Management</w:t>
      </w:r>
      <w:r>
        <w:rPr>
          <w:rFonts w:ascii="Times New Roman" w:hAnsi="Times New Roman" w:cs="Times New Roman"/>
          <w:color w:val="000000"/>
        </w:rPr>
        <w:t>, 23(4), pp. 350–366.</w:t>
      </w:r>
    </w:p>
    <w:p w14:paraId="0F89798C">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Zakaria, N. and Ab Rahman Muton, N. (2022) ‘Cultural code-switching in high context global virtual team members: A qualitative study’,</w:t>
      </w:r>
      <w:r>
        <w:rPr>
          <w:rStyle w:val="52"/>
          <w:rFonts w:ascii="Times New Roman" w:hAnsi="Times New Roman" w:cs="Times New Roman"/>
          <w:color w:val="000000"/>
        </w:rPr>
        <w:t> </w:t>
      </w:r>
      <w:r>
        <w:rPr>
          <w:rStyle w:val="29"/>
          <w:rFonts w:ascii="Times New Roman" w:hAnsi="Times New Roman" w:cs="Times New Roman"/>
          <w:color w:val="000000"/>
        </w:rPr>
        <w:t>International Journal of Cross-Cultural Management</w:t>
      </w:r>
      <w:r>
        <w:rPr>
          <w:rFonts w:ascii="Times New Roman" w:hAnsi="Times New Roman" w:cs="Times New Roman"/>
          <w:color w:val="000000"/>
        </w:rPr>
        <w:t>, 22(3), pp. 487–515.</w:t>
      </w:r>
    </w:p>
    <w:p w14:paraId="280896C0">
      <w:pPr>
        <w:pStyle w:val="23"/>
        <w:spacing w:line="480" w:lineRule="auto"/>
        <w:ind w:left="480" w:hanging="480" w:hangingChars="200"/>
        <w:jc w:val="both"/>
        <w:rPr>
          <w:rFonts w:ascii="Times New Roman" w:hAnsi="Times New Roman" w:cs="Times New Roman"/>
          <w:color w:val="000000"/>
        </w:rPr>
      </w:pPr>
      <w:r>
        <w:rPr>
          <w:rFonts w:ascii="Times New Roman" w:hAnsi="Times New Roman" w:cs="Times New Roman"/>
          <w:color w:val="000000"/>
        </w:rPr>
        <w:t>Zeng, Z. (2017) ‘Research on Cross-Cultural Communication Management in Business under the Background of Global Integration’,</w:t>
      </w:r>
      <w:r>
        <w:rPr>
          <w:rStyle w:val="52"/>
          <w:rFonts w:ascii="Times New Roman" w:hAnsi="Times New Roman" w:cs="Times New Roman"/>
          <w:color w:val="000000"/>
        </w:rPr>
        <w:t> </w:t>
      </w:r>
      <w:r>
        <w:rPr>
          <w:rStyle w:val="29"/>
          <w:rFonts w:ascii="Times New Roman" w:hAnsi="Times New Roman" w:cs="Times New Roman"/>
          <w:color w:val="000000"/>
        </w:rPr>
        <w:t>China Market</w:t>
      </w:r>
      <w:r>
        <w:rPr>
          <w:rFonts w:ascii="Times New Roman" w:hAnsi="Times New Roman" w:cs="Times New Roman"/>
          <w:color w:val="000000"/>
        </w:rPr>
        <w:t>, (10), pp. 34, 77.</w:t>
      </w:r>
    </w:p>
    <w:p w14:paraId="6C8C01A3">
      <w:pPr>
        <w:spacing w:line="480" w:lineRule="auto"/>
        <w:ind w:firstLine="480" w:firstLineChars="200"/>
        <w:jc w:val="both"/>
        <w:rPr>
          <w:rFonts w:ascii="Times New Roman" w:hAnsi="Times New Roman"/>
          <w:sz w:val="24"/>
        </w:rPr>
      </w:pPr>
    </w:p>
    <w:sectPr>
      <w:pgSz w:w="12240" w:h="15840"/>
      <w:pgMar w:top="1440" w:right="1800" w:bottom="1440" w:left="180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Songti SC">
    <w:panose1 w:val="02010800040101010101"/>
    <w:charset w:val="86"/>
    <w:family w:val="auto"/>
    <w:pitch w:val="default"/>
    <w:sig w:usb0="00000001" w:usb1="080F0000" w:usb2="00000000" w:usb3="00000000" w:csb0="00040000" w:csb1="00000000"/>
  </w:font>
  <w:font w:name="Times-Roman">
    <w:altName w:val="Times New Roman"/>
    <w:panose1 w:val="020B0604020202020204"/>
    <w:charset w:val="00"/>
    <w:family w:val="roman"/>
    <w:pitch w:val="default"/>
    <w:sig w:usb0="00000000" w:usb1="00000000" w:usb2="00000000" w:usb3="00000000" w:csb0="00000001" w:csb1="00000000"/>
  </w:font>
  <w:font w:name="汉仪中等线KW">
    <w:panose1 w:val="01010104010101010101"/>
    <w:charset w:val="86"/>
    <w:family w:val="auto"/>
    <w:pitch w:val="default"/>
    <w:sig w:usb0="800002BF" w:usb1="004F7CFA" w:usb2="00000000"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980"/>
    <w:rsid w:val="00000D6A"/>
    <w:rsid w:val="000214F0"/>
    <w:rsid w:val="000E1931"/>
    <w:rsid w:val="000F3980"/>
    <w:rsid w:val="00116922"/>
    <w:rsid w:val="001D703B"/>
    <w:rsid w:val="001F7257"/>
    <w:rsid w:val="0021720E"/>
    <w:rsid w:val="00333827"/>
    <w:rsid w:val="00346568"/>
    <w:rsid w:val="00352CC9"/>
    <w:rsid w:val="00355440"/>
    <w:rsid w:val="003E0C7D"/>
    <w:rsid w:val="003E369A"/>
    <w:rsid w:val="004551C4"/>
    <w:rsid w:val="004E4B85"/>
    <w:rsid w:val="004E71C9"/>
    <w:rsid w:val="00554EE1"/>
    <w:rsid w:val="005B289E"/>
    <w:rsid w:val="005E2A64"/>
    <w:rsid w:val="005E74BE"/>
    <w:rsid w:val="00604EFA"/>
    <w:rsid w:val="00694560"/>
    <w:rsid w:val="0080267F"/>
    <w:rsid w:val="008A2757"/>
    <w:rsid w:val="008C106E"/>
    <w:rsid w:val="00956AAC"/>
    <w:rsid w:val="00982EA5"/>
    <w:rsid w:val="009A2B47"/>
    <w:rsid w:val="009B716C"/>
    <w:rsid w:val="009E0FA0"/>
    <w:rsid w:val="00BA234E"/>
    <w:rsid w:val="00C662E0"/>
    <w:rsid w:val="00C759DB"/>
    <w:rsid w:val="00CD5AD7"/>
    <w:rsid w:val="00CE1896"/>
    <w:rsid w:val="00CE44C8"/>
    <w:rsid w:val="00D22D2A"/>
    <w:rsid w:val="00D35753"/>
    <w:rsid w:val="00D53F4A"/>
    <w:rsid w:val="00E525C7"/>
    <w:rsid w:val="00E54E59"/>
    <w:rsid w:val="00E97C75"/>
    <w:rsid w:val="00EC4D84"/>
    <w:rsid w:val="00EE4071"/>
    <w:rsid w:val="00EF43C4"/>
    <w:rsid w:val="00F04CC9"/>
    <w:rsid w:val="00F7132F"/>
    <w:rsid w:val="00FA6205"/>
    <w:rsid w:val="00FB61C3"/>
    <w:rsid w:val="00FD65CE"/>
    <w:rsid w:val="F5F7C807"/>
    <w:rsid w:val="FEF5C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semiHidden="0" w:name="annotation text"/>
    <w:lsdException w:uiPriority="99" w:name="header"/>
    <w:lsdException w:uiPriority="99"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32"/>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33"/>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34"/>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35"/>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6"/>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7"/>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38"/>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9"/>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40"/>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7">
    <w:name w:val="Default Paragraph Font"/>
    <w:semiHidden/>
    <w:unhideWhenUsed/>
    <w:uiPriority w:val="1"/>
  </w:style>
  <w:style w:type="table" w:default="1" w:styleId="26">
    <w:name w:val="Normal Table"/>
    <w:semiHidden/>
    <w:unhideWhenUsed/>
    <w:uiPriority w:val="99"/>
    <w:tblPr>
      <w:tblCellMar>
        <w:top w:w="0" w:type="dxa"/>
        <w:left w:w="108" w:type="dxa"/>
        <w:bottom w:w="0" w:type="dxa"/>
        <w:right w:w="108" w:type="dxa"/>
      </w:tblCellMar>
    </w:tblPr>
  </w:style>
  <w:style w:type="paragraph" w:styleId="11">
    <w:name w:val="toc 7"/>
    <w:basedOn w:val="1"/>
    <w:next w:val="1"/>
    <w:autoRedefine/>
    <w:unhideWhenUsed/>
    <w:uiPriority w:val="39"/>
    <w:pPr>
      <w:spacing w:after="0"/>
      <w:ind w:left="1320"/>
    </w:pPr>
    <w:rPr>
      <w:rFonts w:eastAsiaTheme="minorHAnsi"/>
      <w:sz w:val="18"/>
      <w:szCs w:val="18"/>
    </w:rPr>
  </w:style>
  <w:style w:type="paragraph" w:styleId="12">
    <w:name w:val="caption"/>
    <w:basedOn w:val="1"/>
    <w:next w:val="1"/>
    <w:unhideWhenUsed/>
    <w:qFormat/>
    <w:uiPriority w:val="35"/>
    <w:rPr>
      <w:rFonts w:eastAsia="黑体" w:asciiTheme="majorHAnsi" w:hAnsiTheme="majorHAnsi" w:cstheme="majorBidi"/>
      <w:sz w:val="20"/>
      <w:szCs w:val="20"/>
    </w:rPr>
  </w:style>
  <w:style w:type="paragraph" w:styleId="13">
    <w:name w:val="annotation text"/>
    <w:basedOn w:val="1"/>
    <w:link w:val="54"/>
    <w:unhideWhenUsed/>
    <w:uiPriority w:val="99"/>
  </w:style>
  <w:style w:type="paragraph" w:styleId="14">
    <w:name w:val="toc 5"/>
    <w:basedOn w:val="1"/>
    <w:next w:val="1"/>
    <w:autoRedefine/>
    <w:unhideWhenUsed/>
    <w:uiPriority w:val="39"/>
    <w:pPr>
      <w:spacing w:after="0"/>
      <w:ind w:left="880"/>
    </w:pPr>
    <w:rPr>
      <w:rFonts w:eastAsiaTheme="minorHAnsi"/>
      <w:sz w:val="18"/>
      <w:szCs w:val="18"/>
    </w:rPr>
  </w:style>
  <w:style w:type="paragraph" w:styleId="15">
    <w:name w:val="toc 3"/>
    <w:basedOn w:val="1"/>
    <w:next w:val="1"/>
    <w:autoRedefine/>
    <w:unhideWhenUsed/>
    <w:uiPriority w:val="39"/>
    <w:pPr>
      <w:spacing w:after="0"/>
      <w:ind w:left="440"/>
    </w:pPr>
    <w:rPr>
      <w:rFonts w:eastAsiaTheme="minorHAnsi"/>
      <w:i/>
      <w:iCs/>
      <w:sz w:val="20"/>
      <w:szCs w:val="20"/>
    </w:rPr>
  </w:style>
  <w:style w:type="paragraph" w:styleId="16">
    <w:name w:val="toc 8"/>
    <w:basedOn w:val="1"/>
    <w:next w:val="1"/>
    <w:autoRedefine/>
    <w:unhideWhenUsed/>
    <w:uiPriority w:val="39"/>
    <w:pPr>
      <w:spacing w:after="0"/>
      <w:ind w:left="1540"/>
    </w:pPr>
    <w:rPr>
      <w:rFonts w:eastAsiaTheme="minorHAnsi"/>
      <w:sz w:val="18"/>
      <w:szCs w:val="18"/>
    </w:rPr>
  </w:style>
  <w:style w:type="paragraph" w:styleId="17">
    <w:name w:val="toc 1"/>
    <w:basedOn w:val="1"/>
    <w:next w:val="1"/>
    <w:autoRedefine/>
    <w:unhideWhenUsed/>
    <w:uiPriority w:val="39"/>
    <w:pPr>
      <w:spacing w:before="120" w:after="120"/>
    </w:pPr>
    <w:rPr>
      <w:rFonts w:eastAsiaTheme="minorHAnsi"/>
      <w:b/>
      <w:bCs/>
      <w:caps/>
      <w:sz w:val="20"/>
      <w:szCs w:val="20"/>
    </w:rPr>
  </w:style>
  <w:style w:type="paragraph" w:styleId="18">
    <w:name w:val="toc 4"/>
    <w:basedOn w:val="1"/>
    <w:next w:val="1"/>
    <w:autoRedefine/>
    <w:unhideWhenUsed/>
    <w:uiPriority w:val="39"/>
    <w:pPr>
      <w:spacing w:after="0"/>
      <w:ind w:left="660"/>
    </w:pPr>
    <w:rPr>
      <w:rFonts w:eastAsiaTheme="minorHAnsi"/>
      <w:sz w:val="18"/>
      <w:szCs w:val="18"/>
    </w:rPr>
  </w:style>
  <w:style w:type="paragraph" w:styleId="19">
    <w:name w:val="Subtitle"/>
    <w:basedOn w:val="1"/>
    <w:next w:val="1"/>
    <w:link w:val="42"/>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0">
    <w:name w:val="toc 6"/>
    <w:basedOn w:val="1"/>
    <w:next w:val="1"/>
    <w:autoRedefine/>
    <w:unhideWhenUsed/>
    <w:uiPriority w:val="39"/>
    <w:pPr>
      <w:spacing w:after="0"/>
      <w:ind w:left="1100"/>
    </w:pPr>
    <w:rPr>
      <w:rFonts w:eastAsiaTheme="minorHAnsi"/>
      <w:sz w:val="18"/>
      <w:szCs w:val="18"/>
    </w:rPr>
  </w:style>
  <w:style w:type="paragraph" w:styleId="21">
    <w:name w:val="toc 2"/>
    <w:basedOn w:val="1"/>
    <w:next w:val="1"/>
    <w:autoRedefine/>
    <w:unhideWhenUsed/>
    <w:uiPriority w:val="39"/>
    <w:pPr>
      <w:spacing w:after="0"/>
      <w:ind w:left="220"/>
    </w:pPr>
    <w:rPr>
      <w:rFonts w:eastAsiaTheme="minorHAnsi"/>
      <w:smallCaps/>
      <w:sz w:val="20"/>
      <w:szCs w:val="20"/>
    </w:rPr>
  </w:style>
  <w:style w:type="paragraph" w:styleId="22">
    <w:name w:val="toc 9"/>
    <w:basedOn w:val="1"/>
    <w:next w:val="1"/>
    <w:autoRedefine/>
    <w:unhideWhenUsed/>
    <w:uiPriority w:val="39"/>
    <w:pPr>
      <w:spacing w:after="0"/>
      <w:ind w:left="1760"/>
    </w:pPr>
    <w:rPr>
      <w:rFonts w:eastAsiaTheme="minorHAnsi"/>
      <w:sz w:val="18"/>
      <w:szCs w:val="18"/>
    </w:rPr>
  </w:style>
  <w:style w:type="paragraph" w:styleId="23">
    <w:name w:val="Normal (Web)"/>
    <w:basedOn w:val="1"/>
    <w:semiHidden/>
    <w:unhideWhenUsed/>
    <w:uiPriority w:val="99"/>
    <w:pPr>
      <w:widowControl/>
      <w:spacing w:before="100" w:beforeAutospacing="1" w:after="100" w:afterAutospacing="1" w:line="240" w:lineRule="auto"/>
    </w:pPr>
    <w:rPr>
      <w:rFonts w:ascii="宋体" w:hAnsi="宋体" w:eastAsia="宋体" w:cs="宋体"/>
      <w:kern w:val="0"/>
      <w:sz w:val="24"/>
      <w14:ligatures w14:val="none"/>
    </w:rPr>
  </w:style>
  <w:style w:type="paragraph" w:styleId="24">
    <w:name w:val="Title"/>
    <w:basedOn w:val="1"/>
    <w:next w:val="1"/>
    <w:link w:val="41"/>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25">
    <w:name w:val="annotation subject"/>
    <w:basedOn w:val="13"/>
    <w:next w:val="13"/>
    <w:link w:val="55"/>
    <w:semiHidden/>
    <w:unhideWhenUsed/>
    <w:uiPriority w:val="99"/>
    <w:rPr>
      <w:b/>
      <w:bCs/>
    </w:rPr>
  </w:style>
  <w:style w:type="character" w:styleId="28">
    <w:name w:val="FollowedHyperlink"/>
    <w:basedOn w:val="27"/>
    <w:semiHidden/>
    <w:unhideWhenUsed/>
    <w:uiPriority w:val="99"/>
    <w:rPr>
      <w:color w:val="96607D" w:themeColor="followedHyperlink"/>
      <w:u w:val="single"/>
      <w14:textFill>
        <w14:solidFill>
          <w14:schemeClr w14:val="folHlink"/>
        </w14:solidFill>
      </w14:textFill>
    </w:rPr>
  </w:style>
  <w:style w:type="character" w:styleId="29">
    <w:name w:val="Emphasis"/>
    <w:basedOn w:val="27"/>
    <w:qFormat/>
    <w:uiPriority w:val="20"/>
    <w:rPr>
      <w:i/>
      <w:iCs/>
    </w:rPr>
  </w:style>
  <w:style w:type="character" w:styleId="30">
    <w:name w:val="Hyperlink"/>
    <w:basedOn w:val="27"/>
    <w:unhideWhenUsed/>
    <w:uiPriority w:val="99"/>
    <w:rPr>
      <w:color w:val="467886" w:themeColor="hyperlink"/>
      <w:u w:val="single"/>
      <w14:textFill>
        <w14:solidFill>
          <w14:schemeClr w14:val="hlink"/>
        </w14:solidFill>
      </w14:textFill>
    </w:rPr>
  </w:style>
  <w:style w:type="character" w:styleId="31">
    <w:name w:val="annotation reference"/>
    <w:basedOn w:val="27"/>
    <w:semiHidden/>
    <w:unhideWhenUsed/>
    <w:uiPriority w:val="99"/>
    <w:rPr>
      <w:sz w:val="21"/>
      <w:szCs w:val="21"/>
    </w:rPr>
  </w:style>
  <w:style w:type="character" w:customStyle="1" w:styleId="32">
    <w:name w:val="标题 1 字符"/>
    <w:basedOn w:val="27"/>
    <w:link w:val="2"/>
    <w:uiPriority w:val="9"/>
    <w:rPr>
      <w:rFonts w:asciiTheme="majorHAnsi" w:hAnsiTheme="majorHAnsi" w:eastAsiaTheme="majorEastAsia" w:cstheme="majorBidi"/>
      <w:color w:val="104862" w:themeColor="accent1" w:themeShade="BF"/>
      <w:sz w:val="48"/>
      <w:szCs w:val="48"/>
    </w:rPr>
  </w:style>
  <w:style w:type="character" w:customStyle="1" w:styleId="33">
    <w:name w:val="标题 2 字符"/>
    <w:basedOn w:val="27"/>
    <w:link w:val="3"/>
    <w:semiHidden/>
    <w:uiPriority w:val="9"/>
    <w:rPr>
      <w:rFonts w:asciiTheme="majorHAnsi" w:hAnsiTheme="majorHAnsi" w:eastAsiaTheme="majorEastAsia" w:cstheme="majorBidi"/>
      <w:color w:val="104862" w:themeColor="accent1" w:themeShade="BF"/>
      <w:sz w:val="40"/>
      <w:szCs w:val="40"/>
    </w:rPr>
  </w:style>
  <w:style w:type="character" w:customStyle="1" w:styleId="34">
    <w:name w:val="标题 3 字符"/>
    <w:basedOn w:val="27"/>
    <w:link w:val="4"/>
    <w:semiHidden/>
    <w:uiPriority w:val="9"/>
    <w:rPr>
      <w:rFonts w:asciiTheme="majorHAnsi" w:hAnsiTheme="majorHAnsi" w:eastAsiaTheme="majorEastAsia" w:cstheme="majorBidi"/>
      <w:color w:val="104862" w:themeColor="accent1" w:themeShade="BF"/>
      <w:sz w:val="32"/>
      <w:szCs w:val="32"/>
    </w:rPr>
  </w:style>
  <w:style w:type="character" w:customStyle="1" w:styleId="35">
    <w:name w:val="标题 4 字符"/>
    <w:basedOn w:val="27"/>
    <w:link w:val="5"/>
    <w:semiHidden/>
    <w:uiPriority w:val="9"/>
    <w:rPr>
      <w:rFonts w:cstheme="majorBidi"/>
      <w:color w:val="104862" w:themeColor="accent1" w:themeShade="BF"/>
      <w:sz w:val="28"/>
      <w:szCs w:val="28"/>
    </w:rPr>
  </w:style>
  <w:style w:type="character" w:customStyle="1" w:styleId="36">
    <w:name w:val="标题 5 字符"/>
    <w:basedOn w:val="27"/>
    <w:link w:val="6"/>
    <w:semiHidden/>
    <w:uiPriority w:val="9"/>
    <w:rPr>
      <w:rFonts w:cstheme="majorBidi"/>
      <w:color w:val="104862" w:themeColor="accent1" w:themeShade="BF"/>
      <w:sz w:val="24"/>
    </w:rPr>
  </w:style>
  <w:style w:type="character" w:customStyle="1" w:styleId="37">
    <w:name w:val="标题 6 字符"/>
    <w:basedOn w:val="27"/>
    <w:link w:val="7"/>
    <w:semiHidden/>
    <w:uiPriority w:val="9"/>
    <w:rPr>
      <w:rFonts w:cstheme="majorBidi"/>
      <w:b/>
      <w:bCs/>
      <w:color w:val="104862" w:themeColor="accent1" w:themeShade="BF"/>
    </w:rPr>
  </w:style>
  <w:style w:type="character" w:customStyle="1" w:styleId="38">
    <w:name w:val="标题 7 字符"/>
    <w:basedOn w:val="27"/>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9">
    <w:name w:val="标题 8 字符"/>
    <w:basedOn w:val="27"/>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40">
    <w:name w:val="标题 9 字符"/>
    <w:basedOn w:val="27"/>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41">
    <w:name w:val="标题 字符"/>
    <w:basedOn w:val="27"/>
    <w:link w:val="24"/>
    <w:uiPriority w:val="10"/>
    <w:rPr>
      <w:rFonts w:asciiTheme="majorHAnsi" w:hAnsiTheme="majorHAnsi" w:eastAsiaTheme="majorEastAsia" w:cstheme="majorBidi"/>
      <w:spacing w:val="-10"/>
      <w:kern w:val="28"/>
      <w:sz w:val="56"/>
      <w:szCs w:val="56"/>
    </w:rPr>
  </w:style>
  <w:style w:type="character" w:customStyle="1" w:styleId="42">
    <w:name w:val="副标题 字符"/>
    <w:basedOn w:val="27"/>
    <w:link w:val="19"/>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3">
    <w:name w:val="Quote"/>
    <w:basedOn w:val="1"/>
    <w:next w:val="1"/>
    <w:link w:val="4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4">
    <w:name w:val="引用 字符"/>
    <w:basedOn w:val="27"/>
    <w:link w:val="43"/>
    <w:uiPriority w:val="29"/>
    <w:rPr>
      <w:i/>
      <w:iCs/>
      <w:color w:val="404040" w:themeColor="text1" w:themeTint="BF"/>
      <w14:textFill>
        <w14:solidFill>
          <w14:schemeClr w14:val="tx1">
            <w14:lumMod w14:val="75000"/>
            <w14:lumOff w14:val="25000"/>
          </w14:schemeClr>
        </w14:solidFill>
      </w14:textFill>
    </w:rPr>
  </w:style>
  <w:style w:type="paragraph" w:styleId="45">
    <w:name w:val="List Paragraph"/>
    <w:basedOn w:val="1"/>
    <w:qFormat/>
    <w:uiPriority w:val="34"/>
    <w:pPr>
      <w:ind w:left="720"/>
      <w:contextualSpacing/>
    </w:pPr>
  </w:style>
  <w:style w:type="character" w:customStyle="1" w:styleId="46">
    <w:name w:val="明显强调1"/>
    <w:basedOn w:val="27"/>
    <w:qFormat/>
    <w:uiPriority w:val="21"/>
    <w:rPr>
      <w:i/>
      <w:iCs/>
      <w:color w:val="104862" w:themeColor="accent1" w:themeShade="BF"/>
    </w:rPr>
  </w:style>
  <w:style w:type="paragraph" w:styleId="47">
    <w:name w:val="Intense Quote"/>
    <w:basedOn w:val="1"/>
    <w:next w:val="1"/>
    <w:link w:val="4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8">
    <w:name w:val="明显引用 字符"/>
    <w:basedOn w:val="27"/>
    <w:link w:val="47"/>
    <w:uiPriority w:val="30"/>
    <w:rPr>
      <w:i/>
      <w:iCs/>
      <w:color w:val="104862" w:themeColor="accent1" w:themeShade="BF"/>
    </w:rPr>
  </w:style>
  <w:style w:type="character" w:customStyle="1" w:styleId="49">
    <w:name w:val="明显参考1"/>
    <w:basedOn w:val="27"/>
    <w:qFormat/>
    <w:uiPriority w:val="32"/>
    <w:rPr>
      <w:b/>
      <w:bCs/>
      <w:smallCaps/>
      <w:color w:val="104862" w:themeColor="accent1" w:themeShade="BF"/>
      <w:spacing w:val="5"/>
    </w:rPr>
  </w:style>
  <w:style w:type="character" w:customStyle="1" w:styleId="50">
    <w:name w:val="未处理的提及1"/>
    <w:basedOn w:val="27"/>
    <w:semiHidden/>
    <w:unhideWhenUsed/>
    <w:uiPriority w:val="99"/>
    <w:rPr>
      <w:color w:val="605E5C"/>
      <w:shd w:val="clear" w:color="auto" w:fill="E1DFDD"/>
    </w:rPr>
  </w:style>
  <w:style w:type="character" w:customStyle="1" w:styleId="51">
    <w:name w:val="15"/>
    <w:basedOn w:val="27"/>
    <w:uiPriority w:val="0"/>
    <w:rPr>
      <w:rFonts w:hint="default" w:ascii="Calibri" w:hAnsi="Calibri" w:cs="Calibri"/>
      <w:color w:val="0000FF"/>
      <w:u w:val="single"/>
    </w:rPr>
  </w:style>
  <w:style w:type="character" w:customStyle="1" w:styleId="52">
    <w:name w:val="apple-converted-space"/>
    <w:basedOn w:val="27"/>
    <w:uiPriority w:val="0"/>
  </w:style>
  <w:style w:type="paragraph" w:customStyle="1" w:styleId="53">
    <w:name w:val="TOC 标题1"/>
    <w:basedOn w:val="2"/>
    <w:next w:val="1"/>
    <w:unhideWhenUsed/>
    <w:qFormat/>
    <w:uiPriority w:val="39"/>
    <w:pPr>
      <w:widowControl/>
      <w:spacing w:after="0" w:line="276" w:lineRule="auto"/>
      <w:outlineLvl w:val="9"/>
    </w:pPr>
    <w:rPr>
      <w:b/>
      <w:bCs/>
      <w:kern w:val="0"/>
      <w:sz w:val="28"/>
      <w:szCs w:val="28"/>
      <w14:ligatures w14:val="none"/>
    </w:rPr>
  </w:style>
  <w:style w:type="character" w:customStyle="1" w:styleId="54">
    <w:name w:val="批注文字 字符"/>
    <w:basedOn w:val="27"/>
    <w:link w:val="13"/>
    <w:uiPriority w:val="99"/>
  </w:style>
  <w:style w:type="character" w:customStyle="1" w:styleId="55">
    <w:name w:val="批注主题 字符"/>
    <w:basedOn w:val="54"/>
    <w:link w:val="25"/>
    <w:semiHidden/>
    <w:uiPriority w:val="99"/>
    <w:rPr>
      <w:b/>
      <w:bC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C1EA3DF5-31C4-0D4B-A14D-F9A5B79E1AC5}">
  <ds:schemaRefs/>
</ds:datastoreItem>
</file>

<file path=docProps/app.xml><?xml version="1.0" encoding="utf-8"?>
<Properties xmlns="http://schemas.openxmlformats.org/officeDocument/2006/extended-properties" xmlns:vt="http://schemas.openxmlformats.org/officeDocument/2006/docPropsVTypes">
  <Template>Normal.dotm</Template>
  <Pages>19</Pages>
  <Words>4179</Words>
  <Characters>23825</Characters>
  <Lines>198</Lines>
  <Paragraphs>55</Paragraphs>
  <TotalTime>10</TotalTime>
  <ScaleCrop>false</ScaleCrop>
  <LinksUpToDate>false</LinksUpToDate>
  <CharactersWithSpaces>27949</CharactersWithSpaces>
  <Application>WPS Office_7.2.2.8955_F1E327BC-269C-435d-A152-05C5408002CA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2025-11-06T23:08:00Z</dcterms:created>
  <dc:creator>YANG, Qilin</dc:creator>
  <cp:lastModifiedBy>清欢</cp:lastModifiedBy>
  <dcterms:modified xsi:type="dcterms:W3CDTF">2025-11-12T22:46:30Z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2052-7.2.2.8955</vt:lpwstr>
  </property>
  <property fmtid="{D5CDD505-2E9C-101B-9397-08002B2CF9AE}" pid="3" name="ICV">
    <vt:lpwstr>6EF4A49B283CA21FA39D106927ED7C29_42</vt:lpwstr>
  </property>
</Properties>
</file>