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2C14B0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B01EF">
              <w:rPr>
                <w:rFonts w:ascii="Times New Roman" w:hAnsi="Times New Roman" w:cs="Times New Roman"/>
                <w:b/>
                <w:color w:val="auto"/>
                <w:sz w:val="48"/>
              </w:rPr>
              <w:t>Rhys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6799E1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B01EF">
              <w:rPr>
                <w:rFonts w:ascii="Times New Roman" w:hAnsi="Times New Roman" w:cs="Times New Roman"/>
                <w:b/>
                <w:color w:val="auto"/>
                <w:sz w:val="48"/>
              </w:rPr>
              <w:t xml:space="preserve"> rhys.w20@outlook.com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C98A54C" w14:textId="7CF13C3E" w:rsidR="005B01EF" w:rsidRPr="005D3F07" w:rsidRDefault="005B01EF" w:rsidP="005D3F07">
            <w:pPr>
              <w:overflowPunct/>
              <w:autoSpaceDE/>
              <w:autoSpaceDN/>
              <w:adjustRightInd/>
              <w:ind w:right="-957"/>
              <w:textAlignment w:val="auto"/>
              <w:rPr>
                <w:rFonts w:ascii="Times New Roman" w:hAnsi="Times New Roman" w:cs="Times New Roman"/>
                <w:b/>
                <w:color w:val="auto"/>
                <w:sz w:val="48"/>
              </w:rPr>
            </w:pPr>
            <w:r w:rsidRPr="005B01EF">
              <w:rPr>
                <w:rFonts w:ascii="Times New Roman" w:hAnsi="Times New Roman" w:cs="Times New Roman"/>
                <w:b/>
                <w:color w:val="auto"/>
                <w:sz w:val="48"/>
              </w:rPr>
              <w:t>2318650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7E665E60" w14:textId="77777777" w:rsidR="004528FD"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77EADC7A" w14:textId="77777777" w:rsidR="004528FD" w:rsidRDefault="004528FD" w:rsidP="00FF7EBB">
            <w:pPr>
              <w:jc w:val="both"/>
              <w:rPr>
                <w:sz w:val="24"/>
                <w:szCs w:val="24"/>
              </w:rPr>
            </w:pPr>
          </w:p>
          <w:p w14:paraId="77343CED" w14:textId="2034C4EA" w:rsidR="00176D67" w:rsidRDefault="004528FD" w:rsidP="00176D67">
            <w:pPr>
              <w:jc w:val="both"/>
              <w:rPr>
                <w:sz w:val="24"/>
                <w:szCs w:val="24"/>
              </w:rPr>
            </w:pPr>
            <w:r>
              <w:rPr>
                <w:sz w:val="24"/>
                <w:szCs w:val="24"/>
              </w:rPr>
              <w:t xml:space="preserve">For adult safeguarding in Wales, the main piece of legislation is the Social Services and Wellbeing Act (SSWBA) (2014). S126 of the SSWBA (2014) defines an adult at risk as </w:t>
            </w:r>
            <w:r w:rsidR="00176D67">
              <w:rPr>
                <w:sz w:val="24"/>
                <w:szCs w:val="24"/>
              </w:rPr>
              <w:t xml:space="preserve">‘an adult who is </w:t>
            </w:r>
          </w:p>
          <w:p w14:paraId="656D0548" w14:textId="2A12431D" w:rsidR="00176D67" w:rsidRPr="00176D67" w:rsidRDefault="00176D67" w:rsidP="00176D67">
            <w:pPr>
              <w:jc w:val="both"/>
              <w:rPr>
                <w:sz w:val="24"/>
                <w:szCs w:val="24"/>
              </w:rPr>
            </w:pPr>
            <w:r>
              <w:rPr>
                <w:sz w:val="24"/>
                <w:szCs w:val="24"/>
              </w:rPr>
              <w:t xml:space="preserve"> </w:t>
            </w:r>
            <w:r w:rsidRPr="00176D67">
              <w:rPr>
                <w:sz w:val="24"/>
                <w:szCs w:val="24"/>
              </w:rPr>
              <w:t>(a) is experiencing or is at risk of abuse or neglect,</w:t>
            </w:r>
          </w:p>
          <w:p w14:paraId="22708389" w14:textId="77777777" w:rsidR="00176D67" w:rsidRPr="00176D67" w:rsidRDefault="00176D67" w:rsidP="00176D67">
            <w:pPr>
              <w:jc w:val="both"/>
              <w:rPr>
                <w:sz w:val="24"/>
                <w:szCs w:val="24"/>
              </w:rPr>
            </w:pPr>
            <w:r w:rsidRPr="00176D67">
              <w:rPr>
                <w:sz w:val="24"/>
                <w:szCs w:val="24"/>
              </w:rPr>
              <w:t xml:space="preserve"> (b) has needs for care and support (</w:t>
            </w:r>
            <w:proofErr w:type="gramStart"/>
            <w:r w:rsidRPr="00176D67">
              <w:rPr>
                <w:sz w:val="24"/>
                <w:szCs w:val="24"/>
              </w:rPr>
              <w:t>whether or not</w:t>
            </w:r>
            <w:proofErr w:type="gramEnd"/>
            <w:r w:rsidRPr="00176D67">
              <w:rPr>
                <w:sz w:val="24"/>
                <w:szCs w:val="24"/>
              </w:rPr>
              <w:t xml:space="preserve"> the authority is meeting any of </w:t>
            </w:r>
          </w:p>
          <w:p w14:paraId="5172D338" w14:textId="77777777" w:rsidR="00176D67" w:rsidRPr="00176D67" w:rsidRDefault="00176D67" w:rsidP="00176D67">
            <w:pPr>
              <w:jc w:val="both"/>
              <w:rPr>
                <w:sz w:val="24"/>
                <w:szCs w:val="24"/>
              </w:rPr>
            </w:pPr>
            <w:r w:rsidRPr="00176D67">
              <w:rPr>
                <w:sz w:val="24"/>
                <w:szCs w:val="24"/>
              </w:rPr>
              <w:t>those needs), and</w:t>
            </w:r>
          </w:p>
          <w:p w14:paraId="3D1DEAE1" w14:textId="77777777" w:rsidR="00176D67" w:rsidRPr="00176D67" w:rsidRDefault="00176D67" w:rsidP="00176D67">
            <w:pPr>
              <w:jc w:val="both"/>
              <w:rPr>
                <w:sz w:val="24"/>
                <w:szCs w:val="24"/>
              </w:rPr>
            </w:pPr>
            <w:r w:rsidRPr="00176D67">
              <w:rPr>
                <w:sz w:val="24"/>
                <w:szCs w:val="24"/>
              </w:rPr>
              <w:t xml:space="preserve"> (c) </w:t>
            </w:r>
            <w:proofErr w:type="gramStart"/>
            <w:r w:rsidRPr="00176D67">
              <w:rPr>
                <w:sz w:val="24"/>
                <w:szCs w:val="24"/>
              </w:rPr>
              <w:t>as a result of</w:t>
            </w:r>
            <w:proofErr w:type="gramEnd"/>
            <w:r w:rsidRPr="00176D67">
              <w:rPr>
                <w:sz w:val="24"/>
                <w:szCs w:val="24"/>
              </w:rPr>
              <w:t xml:space="preserve"> those needs is unable to protect himself or herself against the abuse </w:t>
            </w:r>
          </w:p>
          <w:p w14:paraId="17A49383" w14:textId="1FAD4E1E" w:rsidR="008B28E7" w:rsidRDefault="00176D67" w:rsidP="00176D67">
            <w:pPr>
              <w:jc w:val="both"/>
              <w:rPr>
                <w:sz w:val="24"/>
                <w:szCs w:val="24"/>
              </w:rPr>
            </w:pPr>
            <w:r w:rsidRPr="00176D67">
              <w:rPr>
                <w:sz w:val="24"/>
                <w:szCs w:val="24"/>
              </w:rPr>
              <w:t>or neglect or the risk of it.</w:t>
            </w:r>
            <w:r>
              <w:rPr>
                <w:sz w:val="24"/>
                <w:szCs w:val="24"/>
              </w:rPr>
              <w:t>’</w:t>
            </w:r>
          </w:p>
          <w:p w14:paraId="50909DA5" w14:textId="7B082476" w:rsidR="003D295E" w:rsidRDefault="00396EE8" w:rsidP="00176D67">
            <w:pPr>
              <w:jc w:val="both"/>
              <w:rPr>
                <w:sz w:val="24"/>
                <w:szCs w:val="24"/>
              </w:rPr>
            </w:pPr>
            <w:r>
              <w:rPr>
                <w:sz w:val="24"/>
                <w:szCs w:val="24"/>
              </w:rPr>
              <w:t>The Wales Safeguarding Procedures (20</w:t>
            </w:r>
            <w:r w:rsidR="00CD1265">
              <w:rPr>
                <w:sz w:val="24"/>
                <w:szCs w:val="24"/>
              </w:rPr>
              <w:t>19g</w:t>
            </w:r>
            <w:r>
              <w:rPr>
                <w:sz w:val="24"/>
                <w:szCs w:val="24"/>
              </w:rPr>
              <w:t>) further emphasises that adults at risk ‘</w:t>
            </w:r>
            <w:r w:rsidRPr="00396EE8">
              <w:rPr>
                <w:sz w:val="24"/>
                <w:szCs w:val="24"/>
              </w:rPr>
              <w:t>means that actual abuse or neglect does not need to occur before practitioners intervene</w:t>
            </w:r>
            <w:r>
              <w:rPr>
                <w:sz w:val="24"/>
                <w:szCs w:val="24"/>
              </w:rPr>
              <w:t xml:space="preserve">’. It recognises that early intervention could be key to safeguarding </w:t>
            </w:r>
            <w:proofErr w:type="gramStart"/>
            <w:r>
              <w:rPr>
                <w:sz w:val="24"/>
                <w:szCs w:val="24"/>
              </w:rPr>
              <w:t>a</w:t>
            </w:r>
            <w:proofErr w:type="gramEnd"/>
            <w:r>
              <w:rPr>
                <w:sz w:val="24"/>
                <w:szCs w:val="24"/>
              </w:rPr>
              <w:t xml:space="preserve"> adult before any abuse or neglect happens. </w:t>
            </w:r>
            <w:r w:rsidR="00525F02">
              <w:rPr>
                <w:sz w:val="24"/>
                <w:szCs w:val="24"/>
              </w:rPr>
              <w:t>Another key statement in the legislation is ‘needs for care and support’. This</w:t>
            </w:r>
            <w:r w:rsidR="009B1903">
              <w:rPr>
                <w:sz w:val="24"/>
                <w:szCs w:val="24"/>
              </w:rPr>
              <w:t xml:space="preserve"> recognises that the adult must have needs under s3 of the </w:t>
            </w:r>
            <w:r w:rsidR="003D295E">
              <w:rPr>
                <w:sz w:val="24"/>
                <w:szCs w:val="24"/>
              </w:rPr>
              <w:t>Care and Support (Eligibility) (Wales) Regulations (2015). This states that the need must come from ‘</w:t>
            </w:r>
            <w:r w:rsidR="003D295E" w:rsidRPr="003D295E">
              <w:rPr>
                <w:sz w:val="24"/>
                <w:szCs w:val="24"/>
              </w:rPr>
              <w:t xml:space="preserve">adult’s physical or mental ill-health, age, disability, dependence on alcohol or drugs, or other similar </w:t>
            </w:r>
            <w:proofErr w:type="gramStart"/>
            <w:r w:rsidR="003D295E" w:rsidRPr="003D295E">
              <w:rPr>
                <w:sz w:val="24"/>
                <w:szCs w:val="24"/>
              </w:rPr>
              <w:t>circumstances</w:t>
            </w:r>
            <w:r w:rsidR="003D295E">
              <w:rPr>
                <w:sz w:val="24"/>
                <w:szCs w:val="24"/>
              </w:rPr>
              <w:t>’</w:t>
            </w:r>
            <w:proofErr w:type="gramEnd"/>
            <w:r w:rsidR="003D295E">
              <w:rPr>
                <w:sz w:val="24"/>
                <w:szCs w:val="24"/>
              </w:rPr>
              <w:t>. It further highlights that need relates to ‘protection from abuse or neglect’. This recognises that adults at risk may require further support to safeguard themselves from abuse and neglect.</w:t>
            </w:r>
            <w:r w:rsidR="00241088">
              <w:rPr>
                <w:sz w:val="24"/>
                <w:szCs w:val="24"/>
              </w:rPr>
              <w:t xml:space="preserve"> </w:t>
            </w:r>
          </w:p>
          <w:p w14:paraId="2734682A" w14:textId="4A2DFECB" w:rsidR="00241088" w:rsidRDefault="00241088" w:rsidP="00176D67">
            <w:pPr>
              <w:jc w:val="both"/>
              <w:rPr>
                <w:sz w:val="24"/>
                <w:szCs w:val="24"/>
              </w:rPr>
            </w:pPr>
            <w:r>
              <w:rPr>
                <w:sz w:val="24"/>
                <w:szCs w:val="24"/>
              </w:rPr>
              <w:t xml:space="preserve">Whilst the SSWBA (2014) is the key legislation for safeguarding adults at risk, other legislation impacting adults at risk is the Mental Capacity Act (2005). Included in this are principles that people and professionals should act within the ‘best interest’ of an adult without capacity.  </w:t>
            </w:r>
          </w:p>
          <w:p w14:paraId="0445DBD5" w14:textId="49D9DA77" w:rsidR="00176D67" w:rsidRDefault="003D295E" w:rsidP="00000DB0">
            <w:pPr>
              <w:jc w:val="both"/>
              <w:rPr>
                <w:sz w:val="24"/>
                <w:szCs w:val="24"/>
              </w:rPr>
            </w:pPr>
            <w:r>
              <w:rPr>
                <w:sz w:val="24"/>
                <w:szCs w:val="24"/>
              </w:rPr>
              <w:t xml:space="preserve">S128 of the SSWBA (2014) underlines the duty to report adults at risk. </w:t>
            </w:r>
            <w:r w:rsidR="00000DB0">
              <w:rPr>
                <w:sz w:val="24"/>
                <w:szCs w:val="24"/>
              </w:rPr>
              <w:t xml:space="preserve">It states that ‘relevant </w:t>
            </w:r>
            <w:proofErr w:type="gramStart"/>
            <w:r w:rsidR="00000DB0">
              <w:rPr>
                <w:sz w:val="24"/>
                <w:szCs w:val="24"/>
              </w:rPr>
              <w:t>partners’</w:t>
            </w:r>
            <w:proofErr w:type="gramEnd"/>
            <w:r w:rsidR="00000DB0">
              <w:rPr>
                <w:sz w:val="24"/>
                <w:szCs w:val="24"/>
              </w:rPr>
              <w:t xml:space="preserve"> must inform the local authority if they suspect an adult is at risk. S162(4) of the SSWBA (2014) notes who are ‘relevant partners’ such as the police, local </w:t>
            </w:r>
            <w:proofErr w:type="spellStart"/>
            <w:r w:rsidR="00000DB0">
              <w:rPr>
                <w:sz w:val="24"/>
                <w:szCs w:val="24"/>
              </w:rPr>
              <w:t>healthboard</w:t>
            </w:r>
            <w:proofErr w:type="spellEnd"/>
            <w:r w:rsidR="00000DB0">
              <w:rPr>
                <w:sz w:val="24"/>
                <w:szCs w:val="24"/>
              </w:rPr>
              <w:t xml:space="preserve"> </w:t>
            </w:r>
            <w:proofErr w:type="gramStart"/>
            <w:r w:rsidR="00000DB0">
              <w:rPr>
                <w:sz w:val="24"/>
                <w:szCs w:val="24"/>
              </w:rPr>
              <w:t>etc..</w:t>
            </w:r>
            <w:proofErr w:type="gramEnd"/>
            <w:r w:rsidR="00000DB0">
              <w:rPr>
                <w:sz w:val="24"/>
                <w:szCs w:val="24"/>
              </w:rPr>
              <w:t xml:space="preserve"> </w:t>
            </w:r>
          </w:p>
          <w:p w14:paraId="41BC6FFB" w14:textId="705FD71E" w:rsidR="00A04F7B" w:rsidRDefault="00A04F7B" w:rsidP="00276602">
            <w:pPr>
              <w:jc w:val="both"/>
              <w:rPr>
                <w:sz w:val="24"/>
                <w:szCs w:val="24"/>
              </w:rPr>
            </w:pPr>
            <w:r>
              <w:rPr>
                <w:sz w:val="24"/>
                <w:szCs w:val="24"/>
              </w:rPr>
              <w:t>When a local authority receives a referral, under s126(2) of the SSWBA (2014) it must make ‘whatever enquiries it thinks necessary’. The local authority then has 7 days to complete an enquir</w:t>
            </w:r>
            <w:r w:rsidR="00276602">
              <w:rPr>
                <w:sz w:val="24"/>
                <w:szCs w:val="24"/>
              </w:rPr>
              <w:t xml:space="preserve">y, this can be aided by other agencies who have a duty to co-operate with an enquiry under s164 of the SSWBA (2014). An </w:t>
            </w:r>
            <w:proofErr w:type="gramStart"/>
            <w:r w:rsidR="00276602">
              <w:rPr>
                <w:sz w:val="24"/>
                <w:szCs w:val="24"/>
              </w:rPr>
              <w:t>important principle safeguarding adults</w:t>
            </w:r>
            <w:proofErr w:type="gramEnd"/>
            <w:r w:rsidR="00276602">
              <w:rPr>
                <w:sz w:val="24"/>
                <w:szCs w:val="24"/>
              </w:rPr>
              <w:t xml:space="preserve"> is that practice is person centred and with consent. The Welsh Government (2018</w:t>
            </w:r>
            <w:r w:rsidR="00B27E94">
              <w:rPr>
                <w:sz w:val="24"/>
                <w:szCs w:val="24"/>
              </w:rPr>
              <w:t>b</w:t>
            </w:r>
            <w:r w:rsidR="00276602">
              <w:rPr>
                <w:sz w:val="24"/>
                <w:szCs w:val="24"/>
              </w:rPr>
              <w:t>) recognises ‘</w:t>
            </w:r>
            <w:r w:rsidR="00276602" w:rsidRPr="00276602">
              <w:rPr>
                <w:sz w:val="24"/>
                <w:szCs w:val="24"/>
              </w:rPr>
              <w:t xml:space="preserve">The consent </w:t>
            </w:r>
            <w:r w:rsidR="00276602" w:rsidRPr="00276602">
              <w:rPr>
                <w:sz w:val="24"/>
                <w:szCs w:val="24"/>
              </w:rPr>
              <w:lastRenderedPageBreak/>
              <w:t>of the adult is a significant factor in deciding what action to take in response to a concern or allegation.</w:t>
            </w:r>
            <w:r w:rsidR="00276602">
              <w:rPr>
                <w:sz w:val="24"/>
                <w:szCs w:val="24"/>
              </w:rPr>
              <w:t xml:space="preserve">’ While consent is a key factor, factors such as the capacity of the adult to </w:t>
            </w:r>
            <w:proofErr w:type="gramStart"/>
            <w:r w:rsidR="00276602">
              <w:rPr>
                <w:sz w:val="24"/>
                <w:szCs w:val="24"/>
              </w:rPr>
              <w:t>make a decision</w:t>
            </w:r>
            <w:proofErr w:type="gramEnd"/>
            <w:r w:rsidR="00276602">
              <w:rPr>
                <w:sz w:val="24"/>
                <w:szCs w:val="24"/>
              </w:rPr>
              <w:t xml:space="preserve"> or the use of coercion against the adult must be factored into any professional judgement or decision making. </w:t>
            </w:r>
          </w:p>
          <w:p w14:paraId="394A22BA" w14:textId="6C21A24A" w:rsidR="00241088" w:rsidRDefault="00241088" w:rsidP="00276602">
            <w:pPr>
              <w:jc w:val="both"/>
              <w:rPr>
                <w:sz w:val="24"/>
                <w:szCs w:val="24"/>
              </w:rPr>
            </w:pPr>
            <w:r>
              <w:rPr>
                <w:sz w:val="24"/>
                <w:szCs w:val="24"/>
              </w:rPr>
              <w:t>Abuse or neglect can happen any setting, adults at risk are found within their own homes</w:t>
            </w:r>
            <w:r w:rsidR="007B1037">
              <w:rPr>
                <w:sz w:val="24"/>
                <w:szCs w:val="24"/>
              </w:rPr>
              <w:t xml:space="preserve">, day centres and residential homes. Research by </w:t>
            </w:r>
            <w:proofErr w:type="spellStart"/>
            <w:r w:rsidR="007B1037">
              <w:rPr>
                <w:sz w:val="24"/>
                <w:szCs w:val="24"/>
              </w:rPr>
              <w:t>StatsWales</w:t>
            </w:r>
            <w:proofErr w:type="spellEnd"/>
            <w:r w:rsidR="007B1037">
              <w:rPr>
                <w:sz w:val="24"/>
                <w:szCs w:val="24"/>
              </w:rPr>
              <w:t xml:space="preserve"> (2019) found in 2018-2019 that 14,938 adults were reported to be at risk of abuse or neglect. The Wales Safeguarding Procedures (20</w:t>
            </w:r>
            <w:r w:rsidR="005F288E">
              <w:rPr>
                <w:sz w:val="24"/>
                <w:szCs w:val="24"/>
              </w:rPr>
              <w:t>19h</w:t>
            </w:r>
            <w:r w:rsidR="007B1037">
              <w:rPr>
                <w:sz w:val="24"/>
                <w:szCs w:val="24"/>
              </w:rPr>
              <w:t xml:space="preserve">) </w:t>
            </w:r>
            <w:r w:rsidR="00023553">
              <w:rPr>
                <w:sz w:val="24"/>
                <w:szCs w:val="24"/>
              </w:rPr>
              <w:t>highlights indicators of abuse such as bruising from an inappropriate restraint for physical abuse. The Wales Safeguarding Procedures (20</w:t>
            </w:r>
            <w:r w:rsidR="005F288E">
              <w:rPr>
                <w:sz w:val="24"/>
                <w:szCs w:val="24"/>
              </w:rPr>
              <w:t>19i</w:t>
            </w:r>
            <w:r w:rsidR="00023553">
              <w:rPr>
                <w:sz w:val="24"/>
                <w:szCs w:val="24"/>
              </w:rPr>
              <w:t>) emphasises ‘</w:t>
            </w:r>
            <w:r w:rsidR="00023553" w:rsidRPr="00023553">
              <w:rPr>
                <w:sz w:val="24"/>
                <w:szCs w:val="24"/>
              </w:rPr>
              <w:t xml:space="preserve">As evidence of abuse may not always be present, suspicion of abuse or neglect may take the form of ‘concerns’ rather than ‘known </w:t>
            </w:r>
            <w:proofErr w:type="gramStart"/>
            <w:r w:rsidR="00023553" w:rsidRPr="00023553">
              <w:rPr>
                <w:sz w:val="24"/>
                <w:szCs w:val="24"/>
              </w:rPr>
              <w:t>facts’</w:t>
            </w:r>
            <w:proofErr w:type="gramEnd"/>
            <w:r w:rsidR="00023553">
              <w:rPr>
                <w:sz w:val="24"/>
                <w:szCs w:val="24"/>
              </w:rPr>
              <w:t xml:space="preserve">. </w:t>
            </w:r>
            <w:r w:rsidR="001D6364">
              <w:rPr>
                <w:sz w:val="24"/>
                <w:szCs w:val="24"/>
              </w:rPr>
              <w:t xml:space="preserve">This highlights that </w:t>
            </w:r>
            <w:r w:rsidR="001D6364" w:rsidRPr="001D6364">
              <w:rPr>
                <w:sz w:val="24"/>
                <w:szCs w:val="24"/>
              </w:rPr>
              <w:t>the full picture is not needed, only enough information that would ‘satisfy an objective observer’.</w:t>
            </w:r>
            <w:r w:rsidR="00FA0445">
              <w:rPr>
                <w:sz w:val="24"/>
                <w:szCs w:val="24"/>
              </w:rPr>
              <w:t xml:space="preserve"> </w:t>
            </w:r>
          </w:p>
          <w:p w14:paraId="6D8CB8AF" w14:textId="77777777" w:rsidR="00FC0334" w:rsidRDefault="00FC0334" w:rsidP="00FF7EBB">
            <w:pPr>
              <w:jc w:val="both"/>
              <w:rPr>
                <w:sz w:val="24"/>
                <w:szCs w:val="24"/>
              </w:rPr>
            </w:pPr>
          </w:p>
          <w:p w14:paraId="4A95F4DB" w14:textId="41293AB9" w:rsidR="00FC0334" w:rsidRPr="00B164B9" w:rsidRDefault="00686B7F" w:rsidP="00FF7EBB">
            <w:pPr>
              <w:jc w:val="both"/>
              <w:rPr>
                <w:b/>
                <w:bCs/>
                <w:sz w:val="24"/>
                <w:szCs w:val="24"/>
              </w:rPr>
            </w:pPr>
            <w:r w:rsidRPr="00B164B9">
              <w:rPr>
                <w:b/>
                <w:bCs/>
                <w:sz w:val="24"/>
                <w:szCs w:val="24"/>
              </w:rPr>
              <w:t xml:space="preserve">Word Count: </w:t>
            </w:r>
            <w:r w:rsidR="00B164B9" w:rsidRPr="00B164B9">
              <w:rPr>
                <w:b/>
                <w:bCs/>
                <w:sz w:val="24"/>
                <w:szCs w:val="24"/>
              </w:rPr>
              <w:t>547</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43E9FEB6" w14:textId="369634B0" w:rsidR="00686B7F" w:rsidRDefault="0027310E" w:rsidP="00FC0334">
            <w:pPr>
              <w:jc w:val="both"/>
              <w:rPr>
                <w:sz w:val="24"/>
                <w:szCs w:val="24"/>
              </w:rPr>
            </w:pPr>
            <w:r>
              <w:rPr>
                <w:sz w:val="24"/>
                <w:szCs w:val="24"/>
              </w:rPr>
              <w:t>The Wales Safeguarding Procedures (20</w:t>
            </w:r>
            <w:r w:rsidR="008E1E1C">
              <w:rPr>
                <w:sz w:val="24"/>
                <w:szCs w:val="24"/>
              </w:rPr>
              <w:t>19j</w:t>
            </w:r>
            <w:r>
              <w:rPr>
                <w:sz w:val="24"/>
                <w:szCs w:val="24"/>
              </w:rPr>
              <w:t xml:space="preserve">) and the Social Services and Wellbeing Act (2014) both legislate and set the policies and procedures for the safeguarding of children and adults at risk. Despite commonalities in the responses to safeguarding concerns, there are some differences. </w:t>
            </w:r>
          </w:p>
          <w:p w14:paraId="7AD86B8C" w14:textId="6A664487" w:rsidR="0027310E" w:rsidRDefault="0027310E" w:rsidP="00072C75">
            <w:pPr>
              <w:jc w:val="both"/>
              <w:rPr>
                <w:sz w:val="24"/>
                <w:szCs w:val="24"/>
              </w:rPr>
            </w:pPr>
            <w:r>
              <w:rPr>
                <w:sz w:val="24"/>
                <w:szCs w:val="24"/>
              </w:rPr>
              <w:t>The Working Together to Saf</w:t>
            </w:r>
            <w:r w:rsidR="009375F1">
              <w:rPr>
                <w:sz w:val="24"/>
                <w:szCs w:val="24"/>
              </w:rPr>
              <w:t>e</w:t>
            </w:r>
            <w:r>
              <w:rPr>
                <w:sz w:val="24"/>
                <w:szCs w:val="24"/>
              </w:rPr>
              <w:t xml:space="preserve">guard People Volume 5 (children) and volume 6 (adults) by the Welsh Government (2018) are two examples where the issue of consent shows a significant difference. Regarding </w:t>
            </w:r>
            <w:r w:rsidR="00072C75">
              <w:rPr>
                <w:sz w:val="24"/>
                <w:szCs w:val="24"/>
              </w:rPr>
              <w:t>adults at risk the Welsh Government (2018</w:t>
            </w:r>
            <w:r w:rsidR="00B27E94">
              <w:rPr>
                <w:sz w:val="24"/>
                <w:szCs w:val="24"/>
              </w:rPr>
              <w:t>b</w:t>
            </w:r>
            <w:r w:rsidR="00072C75">
              <w:rPr>
                <w:sz w:val="24"/>
                <w:szCs w:val="24"/>
              </w:rPr>
              <w:t>)</w:t>
            </w:r>
            <w:r>
              <w:rPr>
                <w:sz w:val="24"/>
                <w:szCs w:val="24"/>
              </w:rPr>
              <w:t xml:space="preserve"> </w:t>
            </w:r>
            <w:r w:rsidR="009375F1">
              <w:rPr>
                <w:sz w:val="24"/>
                <w:szCs w:val="24"/>
              </w:rPr>
              <w:t>it states that</w:t>
            </w:r>
            <w:r w:rsidR="00072C75">
              <w:rPr>
                <w:sz w:val="24"/>
                <w:szCs w:val="24"/>
              </w:rPr>
              <w:t xml:space="preserve"> ‘w</w:t>
            </w:r>
            <w:r w:rsidR="00072C75" w:rsidRPr="00072C75">
              <w:rPr>
                <w:sz w:val="24"/>
                <w:szCs w:val="24"/>
              </w:rPr>
              <w:t>hilst professionals should always record and seek to respect the adult’s personal wishes and autonomy, in some circumstances these wishes may be overridden</w:t>
            </w:r>
            <w:r w:rsidR="00072C75">
              <w:rPr>
                <w:sz w:val="24"/>
                <w:szCs w:val="24"/>
              </w:rPr>
              <w:t>’. Issues where consent can be overridden can around a capacity of an adult, high risk to an adult or concerns relating to breaches of professional care and conduct. For children, the Welsh Government (2018</w:t>
            </w:r>
            <w:r w:rsidR="00B27E94">
              <w:rPr>
                <w:sz w:val="24"/>
                <w:szCs w:val="24"/>
              </w:rPr>
              <w:t>a</w:t>
            </w:r>
            <w:r w:rsidR="00072C75">
              <w:rPr>
                <w:sz w:val="24"/>
                <w:szCs w:val="24"/>
              </w:rPr>
              <w:t xml:space="preserve">) states </w:t>
            </w:r>
            <w:r w:rsidR="007B27B6">
              <w:rPr>
                <w:sz w:val="24"/>
                <w:szCs w:val="24"/>
              </w:rPr>
              <w:t xml:space="preserve">practitioners should seek consent of parents before beginning a s47 investigation under the </w:t>
            </w:r>
            <w:proofErr w:type="spellStart"/>
            <w:r w:rsidR="007B27B6">
              <w:rPr>
                <w:sz w:val="24"/>
                <w:szCs w:val="24"/>
              </w:rPr>
              <w:t>Childrens</w:t>
            </w:r>
            <w:proofErr w:type="spellEnd"/>
            <w:r w:rsidR="007B27B6">
              <w:rPr>
                <w:sz w:val="24"/>
                <w:szCs w:val="24"/>
              </w:rPr>
              <w:t xml:space="preserve"> Act (1989). Parental consent may not be sought if it is thought this would put the child at further risk of harm or if the parent is the alleged abuser. The Wales Safeguarding Procedures (20</w:t>
            </w:r>
            <w:r w:rsidR="00573D41">
              <w:rPr>
                <w:sz w:val="24"/>
                <w:szCs w:val="24"/>
              </w:rPr>
              <w:t>19k</w:t>
            </w:r>
            <w:r w:rsidR="007B27B6">
              <w:rPr>
                <w:sz w:val="24"/>
                <w:szCs w:val="24"/>
              </w:rPr>
              <w:t>) emphasizes ‘t</w:t>
            </w:r>
            <w:r w:rsidR="007B27B6" w:rsidRPr="007B27B6">
              <w:rPr>
                <w:sz w:val="24"/>
                <w:szCs w:val="24"/>
              </w:rPr>
              <w:t>he overriding concern must be safeguarding and promoting the safety and well-being of the child. Therefore, social services and police may decide not to inform the family</w:t>
            </w:r>
            <w:r w:rsidR="007B27B6">
              <w:rPr>
                <w:sz w:val="24"/>
                <w:szCs w:val="24"/>
              </w:rPr>
              <w:t xml:space="preserve">’. </w:t>
            </w:r>
            <w:r w:rsidR="00FA0445">
              <w:rPr>
                <w:sz w:val="24"/>
                <w:szCs w:val="24"/>
              </w:rPr>
              <w:t xml:space="preserve">The child or </w:t>
            </w:r>
            <w:proofErr w:type="gramStart"/>
            <w:r w:rsidR="00FA0445">
              <w:rPr>
                <w:sz w:val="24"/>
                <w:szCs w:val="24"/>
              </w:rPr>
              <w:t>families</w:t>
            </w:r>
            <w:proofErr w:type="gramEnd"/>
            <w:r w:rsidR="00FA0445">
              <w:rPr>
                <w:sz w:val="24"/>
                <w:szCs w:val="24"/>
              </w:rPr>
              <w:t xml:space="preserve"> consent is not required to complete a s47 investigation, if required the local authority may go to court to seek a Child Assessment Order under s</w:t>
            </w:r>
            <w:r w:rsidR="00C327FE">
              <w:rPr>
                <w:sz w:val="24"/>
                <w:szCs w:val="24"/>
              </w:rPr>
              <w:t xml:space="preserve">43 of the </w:t>
            </w:r>
            <w:proofErr w:type="spellStart"/>
            <w:r w:rsidR="00C327FE">
              <w:rPr>
                <w:sz w:val="24"/>
                <w:szCs w:val="24"/>
              </w:rPr>
              <w:t>Childrens</w:t>
            </w:r>
            <w:proofErr w:type="spellEnd"/>
            <w:r w:rsidR="00C327FE">
              <w:rPr>
                <w:sz w:val="24"/>
                <w:szCs w:val="24"/>
              </w:rPr>
              <w:t xml:space="preserve"> Act (1989). A big difference noted here is that of consent, for an adult if consent is not given and there are no concerns relating coercion, immediate risk and capacity then the local authority may not take this further. For children, while consent of child and parents can be sought it is not paramount. There is a considerable difference, The Welsh Government (2018) states for an adult ‘the consent of an adult is a significant factor in deciding what action </w:t>
            </w:r>
            <w:r w:rsidR="00C327FE">
              <w:rPr>
                <w:sz w:val="24"/>
                <w:szCs w:val="24"/>
              </w:rPr>
              <w:lastRenderedPageBreak/>
              <w:t xml:space="preserve">may be taken’. While for children, </w:t>
            </w:r>
            <w:proofErr w:type="gramStart"/>
            <w:r w:rsidR="00C327FE">
              <w:rPr>
                <w:sz w:val="24"/>
                <w:szCs w:val="24"/>
              </w:rPr>
              <w:t>it is clear that while</w:t>
            </w:r>
            <w:proofErr w:type="gramEnd"/>
            <w:r w:rsidR="00C327FE">
              <w:rPr>
                <w:sz w:val="24"/>
                <w:szCs w:val="24"/>
              </w:rPr>
              <w:t xml:space="preserve"> having consent of child and parents is beneficial, it is not a must.  </w:t>
            </w:r>
            <w:r w:rsidR="0023044E">
              <w:rPr>
                <w:sz w:val="24"/>
                <w:szCs w:val="24"/>
              </w:rPr>
              <w:t xml:space="preserve">There is a clear recognition of the autonomy of legal adults, and their rights to make a choice. While children may have some decision making and choice </w:t>
            </w:r>
            <w:proofErr w:type="gramStart"/>
            <w:r w:rsidR="0023044E">
              <w:rPr>
                <w:sz w:val="24"/>
                <w:szCs w:val="24"/>
              </w:rPr>
              <w:t>in regards to</w:t>
            </w:r>
            <w:proofErr w:type="gramEnd"/>
            <w:r w:rsidR="0023044E">
              <w:rPr>
                <w:sz w:val="24"/>
                <w:szCs w:val="24"/>
              </w:rPr>
              <w:t xml:space="preserve"> safeguarding concern depending on their age and competence, the paramount consideration is their welfare.</w:t>
            </w:r>
          </w:p>
          <w:p w14:paraId="696B5326" w14:textId="77777777" w:rsidR="00973C93" w:rsidRDefault="00973C93" w:rsidP="00FC0334">
            <w:pPr>
              <w:jc w:val="both"/>
              <w:rPr>
                <w:sz w:val="24"/>
                <w:szCs w:val="24"/>
              </w:rPr>
            </w:pPr>
          </w:p>
          <w:p w14:paraId="26C699C8" w14:textId="75F16237" w:rsidR="001D4996" w:rsidRPr="00B164B9" w:rsidRDefault="001D4996" w:rsidP="00FC0334">
            <w:pPr>
              <w:jc w:val="both"/>
              <w:rPr>
                <w:b/>
                <w:bCs/>
                <w:sz w:val="24"/>
                <w:szCs w:val="24"/>
              </w:rPr>
            </w:pPr>
            <w:r w:rsidRPr="00B164B9">
              <w:rPr>
                <w:b/>
                <w:bCs/>
                <w:sz w:val="24"/>
                <w:szCs w:val="24"/>
              </w:rPr>
              <w:t>Word Count</w:t>
            </w:r>
            <w:r w:rsidR="00B164B9" w:rsidRPr="00B164B9">
              <w:rPr>
                <w:b/>
                <w:bCs/>
                <w:sz w:val="24"/>
                <w:szCs w:val="24"/>
              </w:rPr>
              <w:t>:</w:t>
            </w:r>
            <w:r w:rsidRPr="00B164B9">
              <w:rPr>
                <w:b/>
                <w:bCs/>
                <w:sz w:val="24"/>
                <w:szCs w:val="24"/>
              </w:rPr>
              <w:t xml:space="preserve"> 399</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B7A1AA" w14:textId="77777777" w:rsidR="004831CD" w:rsidRDefault="004831CD">
      <w:r>
        <w:separator/>
      </w:r>
    </w:p>
  </w:endnote>
  <w:endnote w:type="continuationSeparator" w:id="0">
    <w:p w14:paraId="18CDB3D7" w14:textId="77777777" w:rsidR="004831CD" w:rsidRDefault="004831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711ABB" w14:textId="77777777" w:rsidR="004831CD" w:rsidRDefault="004831CD">
      <w:r>
        <w:separator/>
      </w:r>
    </w:p>
  </w:footnote>
  <w:footnote w:type="continuationSeparator" w:id="0">
    <w:p w14:paraId="52BAD7FA" w14:textId="77777777" w:rsidR="004831CD" w:rsidRDefault="004831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DB0"/>
    <w:rsid w:val="0000138E"/>
    <w:rsid w:val="00002C7A"/>
    <w:rsid w:val="000045B8"/>
    <w:rsid w:val="00011F6E"/>
    <w:rsid w:val="00012B16"/>
    <w:rsid w:val="00020EEC"/>
    <w:rsid w:val="00023553"/>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2C75"/>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04D7"/>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60BA"/>
    <w:rsid w:val="001574E0"/>
    <w:rsid w:val="001608C4"/>
    <w:rsid w:val="00164832"/>
    <w:rsid w:val="00171418"/>
    <w:rsid w:val="00176D67"/>
    <w:rsid w:val="001772BF"/>
    <w:rsid w:val="001772DE"/>
    <w:rsid w:val="0019496C"/>
    <w:rsid w:val="001961CF"/>
    <w:rsid w:val="001A59BB"/>
    <w:rsid w:val="001A607E"/>
    <w:rsid w:val="001A6A51"/>
    <w:rsid w:val="001A79C4"/>
    <w:rsid w:val="001B331A"/>
    <w:rsid w:val="001B7FE9"/>
    <w:rsid w:val="001C0237"/>
    <w:rsid w:val="001C0E74"/>
    <w:rsid w:val="001C4DB8"/>
    <w:rsid w:val="001C50B8"/>
    <w:rsid w:val="001D229F"/>
    <w:rsid w:val="001D4996"/>
    <w:rsid w:val="001D6364"/>
    <w:rsid w:val="001E2EB6"/>
    <w:rsid w:val="001F4552"/>
    <w:rsid w:val="002019EB"/>
    <w:rsid w:val="00204B58"/>
    <w:rsid w:val="00205051"/>
    <w:rsid w:val="00211F65"/>
    <w:rsid w:val="00214047"/>
    <w:rsid w:val="00216563"/>
    <w:rsid w:val="0021792F"/>
    <w:rsid w:val="00220D06"/>
    <w:rsid w:val="002246A0"/>
    <w:rsid w:val="00230439"/>
    <w:rsid w:val="0023044E"/>
    <w:rsid w:val="00232A09"/>
    <w:rsid w:val="00235176"/>
    <w:rsid w:val="00236061"/>
    <w:rsid w:val="0024100E"/>
    <w:rsid w:val="00241088"/>
    <w:rsid w:val="00241C1B"/>
    <w:rsid w:val="0024288B"/>
    <w:rsid w:val="00243DB0"/>
    <w:rsid w:val="00247265"/>
    <w:rsid w:val="00260663"/>
    <w:rsid w:val="002657E9"/>
    <w:rsid w:val="0026665E"/>
    <w:rsid w:val="0027147E"/>
    <w:rsid w:val="0027310E"/>
    <w:rsid w:val="002761F4"/>
    <w:rsid w:val="00276602"/>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6EE8"/>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295E"/>
    <w:rsid w:val="003D4710"/>
    <w:rsid w:val="003D7982"/>
    <w:rsid w:val="003E16D7"/>
    <w:rsid w:val="003E197E"/>
    <w:rsid w:val="003E4B70"/>
    <w:rsid w:val="003E54CF"/>
    <w:rsid w:val="003E5FBA"/>
    <w:rsid w:val="003F1233"/>
    <w:rsid w:val="003F56D6"/>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28FD"/>
    <w:rsid w:val="00453343"/>
    <w:rsid w:val="004538C3"/>
    <w:rsid w:val="004608B9"/>
    <w:rsid w:val="00463B55"/>
    <w:rsid w:val="00465947"/>
    <w:rsid w:val="0046626E"/>
    <w:rsid w:val="004667B1"/>
    <w:rsid w:val="00467F66"/>
    <w:rsid w:val="00470461"/>
    <w:rsid w:val="00470BB1"/>
    <w:rsid w:val="00473153"/>
    <w:rsid w:val="0047350F"/>
    <w:rsid w:val="004743AF"/>
    <w:rsid w:val="00482C17"/>
    <w:rsid w:val="004831CD"/>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5F02"/>
    <w:rsid w:val="005305C6"/>
    <w:rsid w:val="00540EEC"/>
    <w:rsid w:val="005414F4"/>
    <w:rsid w:val="00546187"/>
    <w:rsid w:val="00547B11"/>
    <w:rsid w:val="00557D77"/>
    <w:rsid w:val="00562EAA"/>
    <w:rsid w:val="00563B58"/>
    <w:rsid w:val="005640C4"/>
    <w:rsid w:val="0056684C"/>
    <w:rsid w:val="00573D41"/>
    <w:rsid w:val="00574A0C"/>
    <w:rsid w:val="0057780F"/>
    <w:rsid w:val="00581E0A"/>
    <w:rsid w:val="00586D89"/>
    <w:rsid w:val="005877C8"/>
    <w:rsid w:val="00587923"/>
    <w:rsid w:val="005939D7"/>
    <w:rsid w:val="00594F9F"/>
    <w:rsid w:val="005A1B4C"/>
    <w:rsid w:val="005A545C"/>
    <w:rsid w:val="005B01EF"/>
    <w:rsid w:val="005B271A"/>
    <w:rsid w:val="005B3A2D"/>
    <w:rsid w:val="005C1567"/>
    <w:rsid w:val="005C28D3"/>
    <w:rsid w:val="005C6CE5"/>
    <w:rsid w:val="005D3F07"/>
    <w:rsid w:val="005D4A1E"/>
    <w:rsid w:val="005D4F72"/>
    <w:rsid w:val="005E13EA"/>
    <w:rsid w:val="005E17F1"/>
    <w:rsid w:val="005F288E"/>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4E64"/>
    <w:rsid w:val="006669F3"/>
    <w:rsid w:val="006712A7"/>
    <w:rsid w:val="00672CED"/>
    <w:rsid w:val="00674FC2"/>
    <w:rsid w:val="00676E35"/>
    <w:rsid w:val="00677E42"/>
    <w:rsid w:val="00682334"/>
    <w:rsid w:val="00684732"/>
    <w:rsid w:val="00684B16"/>
    <w:rsid w:val="00686B7F"/>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037"/>
    <w:rsid w:val="007B1BFD"/>
    <w:rsid w:val="007B27B6"/>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1E1C"/>
    <w:rsid w:val="008E206D"/>
    <w:rsid w:val="008E3195"/>
    <w:rsid w:val="008E5A35"/>
    <w:rsid w:val="008F127E"/>
    <w:rsid w:val="008F32D9"/>
    <w:rsid w:val="00902A65"/>
    <w:rsid w:val="00903932"/>
    <w:rsid w:val="009079BD"/>
    <w:rsid w:val="00912BD9"/>
    <w:rsid w:val="00916FB2"/>
    <w:rsid w:val="00920E5B"/>
    <w:rsid w:val="00926436"/>
    <w:rsid w:val="00926C53"/>
    <w:rsid w:val="0093018C"/>
    <w:rsid w:val="009375F1"/>
    <w:rsid w:val="0094495F"/>
    <w:rsid w:val="009544C0"/>
    <w:rsid w:val="00954FA4"/>
    <w:rsid w:val="00956AE9"/>
    <w:rsid w:val="00964CC6"/>
    <w:rsid w:val="00967BFA"/>
    <w:rsid w:val="00973C93"/>
    <w:rsid w:val="0098262C"/>
    <w:rsid w:val="0098427C"/>
    <w:rsid w:val="00986B43"/>
    <w:rsid w:val="00986C0B"/>
    <w:rsid w:val="00986D46"/>
    <w:rsid w:val="00991FDA"/>
    <w:rsid w:val="00992ACA"/>
    <w:rsid w:val="009A5F3B"/>
    <w:rsid w:val="009A5F79"/>
    <w:rsid w:val="009A6F87"/>
    <w:rsid w:val="009B0B61"/>
    <w:rsid w:val="009B1903"/>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4F7B"/>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64B9"/>
    <w:rsid w:val="00B17FA0"/>
    <w:rsid w:val="00B2292C"/>
    <w:rsid w:val="00B22C3C"/>
    <w:rsid w:val="00B24344"/>
    <w:rsid w:val="00B26769"/>
    <w:rsid w:val="00B2754B"/>
    <w:rsid w:val="00B27E94"/>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A25"/>
    <w:rsid w:val="00BC4ED3"/>
    <w:rsid w:val="00BC5725"/>
    <w:rsid w:val="00BD30B1"/>
    <w:rsid w:val="00BE0F7B"/>
    <w:rsid w:val="00BE10C2"/>
    <w:rsid w:val="00BE6AF1"/>
    <w:rsid w:val="00BF0D6C"/>
    <w:rsid w:val="00C01D14"/>
    <w:rsid w:val="00C01D97"/>
    <w:rsid w:val="00C025B4"/>
    <w:rsid w:val="00C029EC"/>
    <w:rsid w:val="00C11F63"/>
    <w:rsid w:val="00C161FD"/>
    <w:rsid w:val="00C17C9F"/>
    <w:rsid w:val="00C23F17"/>
    <w:rsid w:val="00C246F2"/>
    <w:rsid w:val="00C26D0D"/>
    <w:rsid w:val="00C27C95"/>
    <w:rsid w:val="00C300D2"/>
    <w:rsid w:val="00C3270F"/>
    <w:rsid w:val="00C3278B"/>
    <w:rsid w:val="00C327FE"/>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1265"/>
    <w:rsid w:val="00CD45E3"/>
    <w:rsid w:val="00CD4771"/>
    <w:rsid w:val="00CD5089"/>
    <w:rsid w:val="00CD5D3F"/>
    <w:rsid w:val="00CD6F79"/>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2AAB"/>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6DE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45"/>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5039</TotalTime>
  <Pages>4</Pages>
  <Words>1067</Words>
  <Characters>6084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Rhys Williams (Student)</cp:lastModifiedBy>
  <cp:revision>36</cp:revision>
  <cp:lastPrinted>2020-02-11T19:20:00Z</cp:lastPrinted>
  <dcterms:created xsi:type="dcterms:W3CDTF">2022-09-29T11:35:00Z</dcterms:created>
  <dcterms:modified xsi:type="dcterms:W3CDTF">2024-10-05T21:28:00Z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