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C5CF2" w14:textId="77777777" w:rsidR="0059676F" w:rsidRPr="00E7301D" w:rsidRDefault="0059676F" w:rsidP="0059676F">
      <w:pPr>
        <w:spacing w:before="120" w:after="120" w:line="240" w:lineRule="auto"/>
        <w:jc w:val="center"/>
        <w:rPr>
          <w:rFonts w:eastAsia="Aptos" w:cs="Arial"/>
          <w:color w:val="000000"/>
          <w:lang w:val="en-GB"/>
        </w:rPr>
      </w:pPr>
      <w:r w:rsidRPr="00E7301D">
        <w:rPr>
          <w:rFonts w:eastAsia="Aptos" w:cs="Arial"/>
          <w:noProof/>
          <w:color w:val="000000"/>
          <w:lang w:val="en-GB"/>
        </w:rPr>
        <w:drawing>
          <wp:inline distT="0" distB="0" distL="0" distR="0" wp14:anchorId="16358334" wp14:editId="1DF72BFF">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F1699C9" w14:textId="77777777" w:rsidR="0059676F" w:rsidRPr="00E7301D" w:rsidRDefault="0059676F" w:rsidP="0059676F">
      <w:pPr>
        <w:spacing w:before="120" w:after="120" w:line="240" w:lineRule="auto"/>
        <w:rPr>
          <w:rFonts w:eastAsia="Aptos" w:cs="Arial"/>
          <w:color w:val="000000"/>
          <w:lang w:val="en-GB"/>
        </w:rPr>
      </w:pPr>
    </w:p>
    <w:p w14:paraId="0116A730" w14:textId="77777777" w:rsidR="0059676F" w:rsidRPr="00E7301D" w:rsidRDefault="0059676F" w:rsidP="0059676F">
      <w:pPr>
        <w:spacing w:before="120" w:after="120" w:line="240" w:lineRule="auto"/>
        <w:rPr>
          <w:rFonts w:eastAsia="Aptos" w:cs="Arial"/>
          <w:color w:val="000000"/>
          <w:lang w:val="en-GB"/>
        </w:rPr>
      </w:pPr>
    </w:p>
    <w:p w14:paraId="5D1896E1" w14:textId="07D9A4AE"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Student Name:</w:t>
      </w:r>
      <w:r>
        <w:rPr>
          <w:rFonts w:eastAsia="Aptos" w:cs="Arial"/>
          <w:b/>
          <w:bCs/>
          <w:color w:val="000000"/>
          <w:lang w:val="en-GB"/>
        </w:rPr>
        <w:t xml:space="preserve"> </w:t>
      </w:r>
      <w:r w:rsidR="000940A6">
        <w:rPr>
          <w:rFonts w:eastAsia="Aptos" w:cs="Arial"/>
          <w:b/>
          <w:bCs/>
          <w:color w:val="000000"/>
          <w:lang w:val="en-GB"/>
        </w:rPr>
        <w:t>Nidhi</w:t>
      </w:r>
      <w:r w:rsidR="00151644">
        <w:rPr>
          <w:rFonts w:eastAsia="Aptos" w:cs="Arial"/>
          <w:b/>
          <w:bCs/>
          <w:color w:val="000000"/>
          <w:lang w:val="en-GB"/>
        </w:rPr>
        <w:t xml:space="preserve"> Radadiya </w:t>
      </w:r>
    </w:p>
    <w:p w14:paraId="136129A8" w14:textId="77777777" w:rsidR="0059676F" w:rsidRPr="00E7301D" w:rsidRDefault="0059676F" w:rsidP="0059676F">
      <w:pPr>
        <w:spacing w:before="120" w:after="120" w:line="240" w:lineRule="auto"/>
        <w:jc w:val="center"/>
        <w:rPr>
          <w:rFonts w:eastAsia="Aptos" w:cs="Arial"/>
          <w:b/>
          <w:bCs/>
          <w:color w:val="000000"/>
          <w:lang w:val="en-GB"/>
        </w:rPr>
      </w:pPr>
    </w:p>
    <w:p w14:paraId="1187D0E6" w14:textId="06A36EEC"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Student ID:</w:t>
      </w:r>
      <w:r w:rsidR="00151644">
        <w:rPr>
          <w:rFonts w:eastAsia="Aptos" w:cs="Arial"/>
          <w:b/>
          <w:bCs/>
          <w:color w:val="000000"/>
          <w:lang w:val="en-GB"/>
        </w:rPr>
        <w:t xml:space="preserve"> </w:t>
      </w:r>
      <w:r w:rsidR="00AA27D6">
        <w:rPr>
          <w:rFonts w:eastAsia="Aptos" w:cs="Arial"/>
          <w:b/>
          <w:bCs/>
          <w:color w:val="000000"/>
          <w:lang w:val="en-GB"/>
        </w:rPr>
        <w:t>2434257</w:t>
      </w:r>
    </w:p>
    <w:p w14:paraId="2265CA3E" w14:textId="77777777" w:rsidR="0059676F" w:rsidRPr="00E7301D" w:rsidRDefault="0059676F" w:rsidP="0059676F">
      <w:pPr>
        <w:spacing w:before="120" w:after="120" w:line="240" w:lineRule="auto"/>
        <w:jc w:val="center"/>
        <w:rPr>
          <w:rFonts w:eastAsia="Aptos" w:cs="Arial"/>
          <w:color w:val="000000"/>
          <w:lang w:val="en-GB"/>
        </w:rPr>
      </w:pPr>
    </w:p>
    <w:p w14:paraId="360C7953" w14:textId="77777777" w:rsidR="0059676F" w:rsidRPr="00E7301D" w:rsidRDefault="0059676F" w:rsidP="0059676F">
      <w:pPr>
        <w:spacing w:before="120" w:after="120" w:line="240" w:lineRule="auto"/>
        <w:jc w:val="center"/>
        <w:rPr>
          <w:rFonts w:eastAsia="Aptos" w:cs="Arial"/>
          <w:color w:val="000000"/>
          <w:lang w:val="en-GB"/>
        </w:rPr>
      </w:pPr>
    </w:p>
    <w:p w14:paraId="179745F6"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Module Name: International Business Concepts</w:t>
      </w:r>
    </w:p>
    <w:p w14:paraId="2163BBEC" w14:textId="77777777" w:rsidR="0059676F" w:rsidRPr="00E7301D" w:rsidRDefault="0059676F" w:rsidP="0059676F">
      <w:pPr>
        <w:spacing w:before="120" w:after="120" w:line="240" w:lineRule="auto"/>
        <w:jc w:val="center"/>
        <w:rPr>
          <w:rFonts w:eastAsia="Aptos" w:cs="Arial"/>
          <w:b/>
          <w:bCs/>
          <w:color w:val="000000"/>
          <w:lang w:val="en-GB"/>
        </w:rPr>
      </w:pPr>
    </w:p>
    <w:p w14:paraId="0A2D0024"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Module Code: LCMB7034</w:t>
      </w:r>
    </w:p>
    <w:p w14:paraId="7B6B096A" w14:textId="77777777" w:rsidR="0059676F" w:rsidRPr="00E7301D" w:rsidRDefault="0059676F" w:rsidP="0059676F">
      <w:pPr>
        <w:spacing w:before="120" w:after="120" w:line="240" w:lineRule="auto"/>
        <w:jc w:val="center"/>
        <w:rPr>
          <w:rFonts w:eastAsia="Aptos" w:cs="Arial"/>
          <w:b/>
          <w:bCs/>
          <w:color w:val="000000"/>
          <w:lang w:val="en-GB"/>
        </w:rPr>
      </w:pPr>
    </w:p>
    <w:p w14:paraId="54552B61" w14:textId="77777777" w:rsidR="0059676F" w:rsidRPr="00E7301D" w:rsidRDefault="0059676F" w:rsidP="0059676F">
      <w:pPr>
        <w:spacing w:before="120" w:after="120" w:line="240" w:lineRule="auto"/>
        <w:rPr>
          <w:rFonts w:eastAsia="Aptos" w:cs="Arial"/>
          <w:b/>
          <w:bCs/>
          <w:color w:val="000000"/>
          <w:lang w:val="en-GB"/>
        </w:rPr>
      </w:pPr>
    </w:p>
    <w:p w14:paraId="626E1C73" w14:textId="77777777" w:rsidR="0059676F" w:rsidRPr="00E7301D" w:rsidRDefault="0059676F" w:rsidP="0059676F">
      <w:pPr>
        <w:spacing w:before="120" w:after="120" w:line="240" w:lineRule="auto"/>
        <w:jc w:val="center"/>
        <w:rPr>
          <w:rFonts w:eastAsia="Aptos" w:cs="Arial"/>
          <w:b/>
          <w:bCs/>
          <w:color w:val="000000"/>
          <w:lang w:val="en-GB"/>
        </w:rPr>
      </w:pPr>
    </w:p>
    <w:p w14:paraId="35465D6A"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Lecturer’s Name:</w:t>
      </w:r>
      <w:r w:rsidRPr="00E7301D">
        <w:t xml:space="preserve"> </w:t>
      </w:r>
      <w:r w:rsidRPr="00E7301D">
        <w:rPr>
          <w:rFonts w:eastAsia="Aptos" w:cs="Arial"/>
          <w:b/>
          <w:bCs/>
          <w:color w:val="000000"/>
          <w:lang w:val="en-GB"/>
        </w:rPr>
        <w:t xml:space="preserve">Akshay Narayanan (London) </w:t>
      </w:r>
    </w:p>
    <w:p w14:paraId="677A8C17" w14:textId="77777777"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 </w:t>
      </w:r>
    </w:p>
    <w:p w14:paraId="635D2D5D" w14:textId="77777777" w:rsidR="0059676F" w:rsidRPr="00E7301D" w:rsidRDefault="0059676F" w:rsidP="0059676F">
      <w:pPr>
        <w:spacing w:before="120" w:after="120" w:line="240" w:lineRule="auto"/>
        <w:jc w:val="center"/>
        <w:rPr>
          <w:rFonts w:eastAsia="Aptos" w:cs="Arial"/>
          <w:b/>
          <w:bCs/>
          <w:color w:val="000000"/>
          <w:lang w:val="en-GB"/>
        </w:rPr>
      </w:pPr>
    </w:p>
    <w:p w14:paraId="08A22EEB" w14:textId="77777777" w:rsidR="0059676F" w:rsidRPr="00E7301D" w:rsidRDefault="0059676F" w:rsidP="0059676F">
      <w:pPr>
        <w:spacing w:before="120" w:after="120" w:line="240" w:lineRule="auto"/>
        <w:rPr>
          <w:rFonts w:eastAsia="Aptos" w:cs="Arial"/>
          <w:b/>
          <w:bCs/>
          <w:color w:val="000000"/>
          <w:lang w:val="en-GB"/>
        </w:rPr>
      </w:pPr>
    </w:p>
    <w:p w14:paraId="50EE9096" w14:textId="5D67E263" w:rsidR="0059676F" w:rsidRPr="00E7301D" w:rsidRDefault="0059676F" w:rsidP="0059676F">
      <w:pPr>
        <w:spacing w:before="120" w:after="120" w:line="240" w:lineRule="auto"/>
        <w:jc w:val="center"/>
        <w:rPr>
          <w:rFonts w:eastAsia="Aptos" w:cs="Arial"/>
          <w:b/>
          <w:bCs/>
          <w:color w:val="000000"/>
          <w:lang w:val="en-GB"/>
        </w:rPr>
      </w:pPr>
      <w:r w:rsidRPr="00E7301D">
        <w:rPr>
          <w:rFonts w:eastAsia="Aptos" w:cs="Arial"/>
          <w:b/>
          <w:bCs/>
          <w:color w:val="000000"/>
          <w:lang w:val="en-GB"/>
        </w:rPr>
        <w:t xml:space="preserve">Work Count: </w:t>
      </w:r>
      <w:r>
        <w:rPr>
          <w:rFonts w:eastAsia="Aptos" w:cs="Arial"/>
          <w:b/>
          <w:bCs/>
          <w:color w:val="000000"/>
          <w:lang w:val="en-GB"/>
        </w:rPr>
        <w:t>5</w:t>
      </w:r>
      <w:r w:rsidR="000940A6">
        <w:rPr>
          <w:rFonts w:eastAsia="Aptos" w:cs="Arial"/>
          <w:b/>
          <w:bCs/>
          <w:color w:val="000000"/>
          <w:lang w:val="en-GB"/>
        </w:rPr>
        <w:t>193</w:t>
      </w:r>
    </w:p>
    <w:p w14:paraId="6B2DB291" w14:textId="77777777" w:rsidR="0059676F" w:rsidRPr="00E7301D" w:rsidRDefault="0059676F" w:rsidP="0059676F">
      <w:pPr>
        <w:spacing w:before="120" w:after="120"/>
        <w:jc w:val="center"/>
        <w:rPr>
          <w:rFonts w:eastAsia="Aptos" w:cs="Arial"/>
          <w:b/>
          <w:bCs/>
          <w:color w:val="000000"/>
          <w:lang w:val="en-GB"/>
        </w:rPr>
      </w:pPr>
    </w:p>
    <w:p w14:paraId="532849FA" w14:textId="77777777" w:rsidR="0059676F" w:rsidRPr="00E7301D" w:rsidRDefault="0059676F" w:rsidP="0059676F">
      <w:pPr>
        <w:spacing w:before="120" w:after="120"/>
        <w:rPr>
          <w:rFonts w:eastAsia="Aptos" w:cs="Arial"/>
          <w:b/>
          <w:bCs/>
          <w:color w:val="000000"/>
          <w:lang w:val="en-GB"/>
        </w:rPr>
      </w:pPr>
    </w:p>
    <w:p w14:paraId="4BAAEBD6" w14:textId="77777777" w:rsidR="0059676F" w:rsidRPr="00E7301D" w:rsidRDefault="0059676F" w:rsidP="0059676F">
      <w:pPr>
        <w:spacing w:before="120" w:after="120"/>
        <w:jc w:val="center"/>
        <w:rPr>
          <w:rFonts w:eastAsia="Aptos" w:cs="Arial"/>
          <w:b/>
          <w:bCs/>
          <w:color w:val="000000"/>
          <w:lang w:val="en-GB"/>
        </w:rPr>
      </w:pPr>
      <w:r w:rsidRPr="00E7301D">
        <w:rPr>
          <w:rFonts w:eastAsia="Aptos" w:cs="Arial"/>
          <w:b/>
          <w:bCs/>
          <w:color w:val="000000"/>
          <w:lang w:val="en-GB"/>
        </w:rPr>
        <w:t xml:space="preserve">Term </w:t>
      </w:r>
      <w:r>
        <w:rPr>
          <w:rFonts w:eastAsia="Aptos" w:cs="Arial"/>
          <w:b/>
          <w:bCs/>
          <w:color w:val="000000"/>
          <w:lang w:val="en-GB"/>
        </w:rPr>
        <w:t>2</w:t>
      </w:r>
    </w:p>
    <w:p w14:paraId="77265FC8" w14:textId="77777777" w:rsidR="0059676F" w:rsidRDefault="0059676F" w:rsidP="0059676F"/>
    <w:p w14:paraId="3F042F40" w14:textId="77777777" w:rsidR="00B770AB" w:rsidRDefault="00B770AB"/>
    <w:p w14:paraId="6991912C" w14:textId="77777777" w:rsidR="00B770AB" w:rsidRDefault="00B770AB"/>
    <w:p w14:paraId="600C62CB" w14:textId="2E87AB54" w:rsidR="00B770AB" w:rsidRPr="00B770AB" w:rsidRDefault="00B770AB">
      <w:pPr>
        <w:rPr>
          <w:b/>
          <w:bCs/>
          <w:sz w:val="28"/>
          <w:szCs w:val="28"/>
        </w:rPr>
      </w:pPr>
      <w:r w:rsidRPr="00B770AB">
        <w:rPr>
          <w:b/>
          <w:bCs/>
          <w:sz w:val="28"/>
          <w:szCs w:val="28"/>
        </w:rPr>
        <w:t>Table of Content</w:t>
      </w:r>
    </w:p>
    <w:p w14:paraId="5B363616" w14:textId="5734141B" w:rsidR="00D57CA4" w:rsidRDefault="004546CC">
      <w:pPr>
        <w:pStyle w:val="TOC1"/>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\o "1-4" \h \z \u </w:instrText>
      </w:r>
      <w:r>
        <w:rPr>
          <w:b/>
          <w:bCs/>
          <w:sz w:val="28"/>
          <w:szCs w:val="28"/>
        </w:rPr>
        <w:fldChar w:fldCharType="separate"/>
      </w:r>
      <w:hyperlink w:anchor="_Toc216685913" w:history="1">
        <w:r w:rsidR="00D57CA4" w:rsidRPr="00D20169">
          <w:rPr>
            <w:rStyle w:val="Hyperlink"/>
            <w:noProof/>
          </w:rPr>
          <w:t>1. Introduction</w:t>
        </w:r>
        <w:r w:rsidR="00D57CA4">
          <w:rPr>
            <w:noProof/>
            <w:webHidden/>
          </w:rPr>
          <w:tab/>
        </w:r>
        <w:r w:rsidR="00D57CA4">
          <w:rPr>
            <w:noProof/>
            <w:webHidden/>
          </w:rPr>
          <w:fldChar w:fldCharType="begin"/>
        </w:r>
        <w:r w:rsidR="00D57CA4">
          <w:rPr>
            <w:noProof/>
            <w:webHidden/>
          </w:rPr>
          <w:instrText xml:space="preserve"> PAGEREF _Toc216685913 \h </w:instrText>
        </w:r>
        <w:r w:rsidR="00D57CA4">
          <w:rPr>
            <w:noProof/>
            <w:webHidden/>
          </w:rPr>
        </w:r>
        <w:r w:rsidR="00D57CA4">
          <w:rPr>
            <w:noProof/>
            <w:webHidden/>
          </w:rPr>
          <w:fldChar w:fldCharType="separate"/>
        </w:r>
        <w:r w:rsidR="00D57CA4">
          <w:rPr>
            <w:noProof/>
            <w:webHidden/>
          </w:rPr>
          <w:t>7</w:t>
        </w:r>
        <w:r w:rsidR="00D57CA4">
          <w:rPr>
            <w:noProof/>
            <w:webHidden/>
          </w:rPr>
          <w:fldChar w:fldCharType="end"/>
        </w:r>
      </w:hyperlink>
    </w:p>
    <w:p w14:paraId="49C5DF2E" w14:textId="4B613AC8" w:rsidR="00D57CA4" w:rsidRDefault="00D57CA4">
      <w:pPr>
        <w:pStyle w:val="TOC1"/>
        <w:tabs>
          <w:tab w:val="right" w:leader="dot" w:pos="9350"/>
        </w:tabs>
        <w:rPr>
          <w:rFonts w:asciiTheme="minorHAnsi" w:eastAsiaTheme="minorEastAsia" w:hAnsiTheme="minorHAnsi"/>
          <w:noProof/>
        </w:rPr>
      </w:pPr>
      <w:hyperlink w:anchor="_Toc216685914" w:history="1">
        <w:r w:rsidRPr="00D20169">
          <w:rPr>
            <w:rStyle w:val="Hyperlink"/>
            <w:noProof/>
          </w:rPr>
          <w:t>2. Benefits and Challenges of International Operations: HSBC</w:t>
        </w:r>
        <w:r>
          <w:rPr>
            <w:noProof/>
            <w:webHidden/>
          </w:rPr>
          <w:tab/>
        </w:r>
        <w:r>
          <w:rPr>
            <w:noProof/>
            <w:webHidden/>
          </w:rPr>
          <w:fldChar w:fldCharType="begin"/>
        </w:r>
        <w:r>
          <w:rPr>
            <w:noProof/>
            <w:webHidden/>
          </w:rPr>
          <w:instrText xml:space="preserve"> PAGEREF _Toc216685914 \h </w:instrText>
        </w:r>
        <w:r>
          <w:rPr>
            <w:noProof/>
            <w:webHidden/>
          </w:rPr>
        </w:r>
        <w:r>
          <w:rPr>
            <w:noProof/>
            <w:webHidden/>
          </w:rPr>
          <w:fldChar w:fldCharType="separate"/>
        </w:r>
        <w:r>
          <w:rPr>
            <w:noProof/>
            <w:webHidden/>
          </w:rPr>
          <w:t>7</w:t>
        </w:r>
        <w:r>
          <w:rPr>
            <w:noProof/>
            <w:webHidden/>
          </w:rPr>
          <w:fldChar w:fldCharType="end"/>
        </w:r>
      </w:hyperlink>
    </w:p>
    <w:p w14:paraId="470FC4D9" w14:textId="154A080C" w:rsidR="00D57CA4" w:rsidRDefault="00D57CA4">
      <w:pPr>
        <w:pStyle w:val="TOC2"/>
        <w:tabs>
          <w:tab w:val="right" w:leader="dot" w:pos="9350"/>
        </w:tabs>
        <w:rPr>
          <w:rFonts w:asciiTheme="minorHAnsi" w:eastAsiaTheme="minorEastAsia" w:hAnsiTheme="minorHAnsi"/>
          <w:noProof/>
        </w:rPr>
      </w:pPr>
      <w:hyperlink w:anchor="_Toc216685915" w:history="1">
        <w:r w:rsidRPr="00D20169">
          <w:rPr>
            <w:rStyle w:val="Hyperlink"/>
            <w:noProof/>
          </w:rPr>
          <w:t>2.1 Designation of HSBC as a Multinational / Transnational Corporation</w:t>
        </w:r>
        <w:r>
          <w:rPr>
            <w:noProof/>
            <w:webHidden/>
          </w:rPr>
          <w:tab/>
        </w:r>
        <w:r>
          <w:rPr>
            <w:noProof/>
            <w:webHidden/>
          </w:rPr>
          <w:fldChar w:fldCharType="begin"/>
        </w:r>
        <w:r>
          <w:rPr>
            <w:noProof/>
            <w:webHidden/>
          </w:rPr>
          <w:instrText xml:space="preserve"> PAGEREF _Toc216685915 \h </w:instrText>
        </w:r>
        <w:r>
          <w:rPr>
            <w:noProof/>
            <w:webHidden/>
          </w:rPr>
        </w:r>
        <w:r>
          <w:rPr>
            <w:noProof/>
            <w:webHidden/>
          </w:rPr>
          <w:fldChar w:fldCharType="separate"/>
        </w:r>
        <w:r>
          <w:rPr>
            <w:noProof/>
            <w:webHidden/>
          </w:rPr>
          <w:t>7</w:t>
        </w:r>
        <w:r>
          <w:rPr>
            <w:noProof/>
            <w:webHidden/>
          </w:rPr>
          <w:fldChar w:fldCharType="end"/>
        </w:r>
      </w:hyperlink>
    </w:p>
    <w:p w14:paraId="42FF8A34" w14:textId="70EB2507" w:rsidR="00D57CA4" w:rsidRDefault="00D57CA4">
      <w:pPr>
        <w:pStyle w:val="TOC2"/>
        <w:tabs>
          <w:tab w:val="right" w:leader="dot" w:pos="9350"/>
        </w:tabs>
        <w:rPr>
          <w:rFonts w:asciiTheme="minorHAnsi" w:eastAsiaTheme="minorEastAsia" w:hAnsiTheme="minorHAnsi"/>
          <w:noProof/>
        </w:rPr>
      </w:pPr>
      <w:hyperlink w:anchor="_Toc216685916" w:history="1">
        <w:r w:rsidRPr="00D20169">
          <w:rPr>
            <w:rStyle w:val="Hyperlink"/>
            <w:noProof/>
          </w:rPr>
          <w:t>2.2 Nature of HSBC’s Global Operations Across the Value Chain</w:t>
        </w:r>
        <w:r>
          <w:rPr>
            <w:noProof/>
            <w:webHidden/>
          </w:rPr>
          <w:tab/>
        </w:r>
        <w:r>
          <w:rPr>
            <w:noProof/>
            <w:webHidden/>
          </w:rPr>
          <w:fldChar w:fldCharType="begin"/>
        </w:r>
        <w:r>
          <w:rPr>
            <w:noProof/>
            <w:webHidden/>
          </w:rPr>
          <w:instrText xml:space="preserve"> PAGEREF _Toc216685916 \h </w:instrText>
        </w:r>
        <w:r>
          <w:rPr>
            <w:noProof/>
            <w:webHidden/>
          </w:rPr>
        </w:r>
        <w:r>
          <w:rPr>
            <w:noProof/>
            <w:webHidden/>
          </w:rPr>
          <w:fldChar w:fldCharType="separate"/>
        </w:r>
        <w:r>
          <w:rPr>
            <w:noProof/>
            <w:webHidden/>
          </w:rPr>
          <w:t>10</w:t>
        </w:r>
        <w:r>
          <w:rPr>
            <w:noProof/>
            <w:webHidden/>
          </w:rPr>
          <w:fldChar w:fldCharType="end"/>
        </w:r>
      </w:hyperlink>
    </w:p>
    <w:p w14:paraId="6065D0C5" w14:textId="60C3B3BD" w:rsidR="00D57CA4" w:rsidRDefault="00D57CA4">
      <w:pPr>
        <w:pStyle w:val="TOC3"/>
        <w:tabs>
          <w:tab w:val="right" w:leader="dot" w:pos="9350"/>
        </w:tabs>
        <w:rPr>
          <w:rFonts w:asciiTheme="minorHAnsi" w:eastAsiaTheme="minorEastAsia" w:hAnsiTheme="minorHAnsi"/>
          <w:noProof/>
        </w:rPr>
      </w:pPr>
      <w:hyperlink w:anchor="_Toc216685917" w:history="1">
        <w:r w:rsidRPr="00D20169">
          <w:rPr>
            <w:rStyle w:val="Hyperlink"/>
            <w:noProof/>
          </w:rPr>
          <w:t>2.2.1 Research, Knowledge Creation and Innovation</w:t>
        </w:r>
        <w:r>
          <w:rPr>
            <w:noProof/>
            <w:webHidden/>
          </w:rPr>
          <w:tab/>
        </w:r>
        <w:r>
          <w:rPr>
            <w:noProof/>
            <w:webHidden/>
          </w:rPr>
          <w:fldChar w:fldCharType="begin"/>
        </w:r>
        <w:r>
          <w:rPr>
            <w:noProof/>
            <w:webHidden/>
          </w:rPr>
          <w:instrText xml:space="preserve"> PAGEREF _Toc216685917 \h </w:instrText>
        </w:r>
        <w:r>
          <w:rPr>
            <w:noProof/>
            <w:webHidden/>
          </w:rPr>
        </w:r>
        <w:r>
          <w:rPr>
            <w:noProof/>
            <w:webHidden/>
          </w:rPr>
          <w:fldChar w:fldCharType="separate"/>
        </w:r>
        <w:r>
          <w:rPr>
            <w:noProof/>
            <w:webHidden/>
          </w:rPr>
          <w:t>10</w:t>
        </w:r>
        <w:r>
          <w:rPr>
            <w:noProof/>
            <w:webHidden/>
          </w:rPr>
          <w:fldChar w:fldCharType="end"/>
        </w:r>
      </w:hyperlink>
    </w:p>
    <w:p w14:paraId="3D06F447" w14:textId="19F24A13" w:rsidR="00D57CA4" w:rsidRDefault="00D57CA4">
      <w:pPr>
        <w:pStyle w:val="TOC3"/>
        <w:tabs>
          <w:tab w:val="right" w:leader="dot" w:pos="9350"/>
        </w:tabs>
        <w:rPr>
          <w:rFonts w:asciiTheme="minorHAnsi" w:eastAsiaTheme="minorEastAsia" w:hAnsiTheme="minorHAnsi"/>
          <w:noProof/>
        </w:rPr>
      </w:pPr>
      <w:hyperlink w:anchor="_Toc216685918" w:history="1">
        <w:r w:rsidRPr="00D20169">
          <w:rPr>
            <w:rStyle w:val="Hyperlink"/>
            <w:noProof/>
          </w:rPr>
          <w:t>2.2.2 Sourcing, Operations and Risk Management</w:t>
        </w:r>
        <w:r>
          <w:rPr>
            <w:noProof/>
            <w:webHidden/>
          </w:rPr>
          <w:tab/>
        </w:r>
        <w:r>
          <w:rPr>
            <w:noProof/>
            <w:webHidden/>
          </w:rPr>
          <w:fldChar w:fldCharType="begin"/>
        </w:r>
        <w:r>
          <w:rPr>
            <w:noProof/>
            <w:webHidden/>
          </w:rPr>
          <w:instrText xml:space="preserve"> PAGEREF _Toc216685918 \h </w:instrText>
        </w:r>
        <w:r>
          <w:rPr>
            <w:noProof/>
            <w:webHidden/>
          </w:rPr>
        </w:r>
        <w:r>
          <w:rPr>
            <w:noProof/>
            <w:webHidden/>
          </w:rPr>
          <w:fldChar w:fldCharType="separate"/>
        </w:r>
        <w:r>
          <w:rPr>
            <w:noProof/>
            <w:webHidden/>
          </w:rPr>
          <w:t>11</w:t>
        </w:r>
        <w:r>
          <w:rPr>
            <w:noProof/>
            <w:webHidden/>
          </w:rPr>
          <w:fldChar w:fldCharType="end"/>
        </w:r>
      </w:hyperlink>
    </w:p>
    <w:p w14:paraId="4ED6120C" w14:textId="391BBAB9" w:rsidR="00D57CA4" w:rsidRDefault="00D57CA4">
      <w:pPr>
        <w:pStyle w:val="TOC3"/>
        <w:tabs>
          <w:tab w:val="right" w:leader="dot" w:pos="9350"/>
        </w:tabs>
        <w:rPr>
          <w:rFonts w:asciiTheme="minorHAnsi" w:eastAsiaTheme="minorEastAsia" w:hAnsiTheme="minorHAnsi"/>
          <w:noProof/>
        </w:rPr>
      </w:pPr>
      <w:hyperlink w:anchor="_Toc216685919" w:history="1">
        <w:r w:rsidRPr="00D20169">
          <w:rPr>
            <w:rStyle w:val="Hyperlink"/>
            <w:noProof/>
          </w:rPr>
          <w:t>2.2.3 Production of Financial Services</w:t>
        </w:r>
        <w:r>
          <w:rPr>
            <w:noProof/>
            <w:webHidden/>
          </w:rPr>
          <w:tab/>
        </w:r>
        <w:r>
          <w:rPr>
            <w:noProof/>
            <w:webHidden/>
          </w:rPr>
          <w:fldChar w:fldCharType="begin"/>
        </w:r>
        <w:r>
          <w:rPr>
            <w:noProof/>
            <w:webHidden/>
          </w:rPr>
          <w:instrText xml:space="preserve"> PAGEREF _Toc216685919 \h </w:instrText>
        </w:r>
        <w:r>
          <w:rPr>
            <w:noProof/>
            <w:webHidden/>
          </w:rPr>
        </w:r>
        <w:r>
          <w:rPr>
            <w:noProof/>
            <w:webHidden/>
          </w:rPr>
          <w:fldChar w:fldCharType="separate"/>
        </w:r>
        <w:r>
          <w:rPr>
            <w:noProof/>
            <w:webHidden/>
          </w:rPr>
          <w:t>12</w:t>
        </w:r>
        <w:r>
          <w:rPr>
            <w:noProof/>
            <w:webHidden/>
          </w:rPr>
          <w:fldChar w:fldCharType="end"/>
        </w:r>
      </w:hyperlink>
    </w:p>
    <w:p w14:paraId="057F306D" w14:textId="13985054" w:rsidR="00D57CA4" w:rsidRDefault="00D57CA4">
      <w:pPr>
        <w:pStyle w:val="TOC3"/>
        <w:tabs>
          <w:tab w:val="right" w:leader="dot" w:pos="9350"/>
        </w:tabs>
        <w:rPr>
          <w:rFonts w:asciiTheme="minorHAnsi" w:eastAsiaTheme="minorEastAsia" w:hAnsiTheme="minorHAnsi"/>
          <w:noProof/>
        </w:rPr>
      </w:pPr>
      <w:hyperlink w:anchor="_Toc216685920" w:history="1">
        <w:r w:rsidRPr="00D20169">
          <w:rPr>
            <w:rStyle w:val="Hyperlink"/>
            <w:noProof/>
          </w:rPr>
          <w:t>2.2.4 Sales, Distribution and Client Engagement</w:t>
        </w:r>
        <w:r>
          <w:rPr>
            <w:noProof/>
            <w:webHidden/>
          </w:rPr>
          <w:tab/>
        </w:r>
        <w:r>
          <w:rPr>
            <w:noProof/>
            <w:webHidden/>
          </w:rPr>
          <w:fldChar w:fldCharType="begin"/>
        </w:r>
        <w:r>
          <w:rPr>
            <w:noProof/>
            <w:webHidden/>
          </w:rPr>
          <w:instrText xml:space="preserve"> PAGEREF _Toc216685920 \h </w:instrText>
        </w:r>
        <w:r>
          <w:rPr>
            <w:noProof/>
            <w:webHidden/>
          </w:rPr>
        </w:r>
        <w:r>
          <w:rPr>
            <w:noProof/>
            <w:webHidden/>
          </w:rPr>
          <w:fldChar w:fldCharType="separate"/>
        </w:r>
        <w:r>
          <w:rPr>
            <w:noProof/>
            <w:webHidden/>
          </w:rPr>
          <w:t>13</w:t>
        </w:r>
        <w:r>
          <w:rPr>
            <w:noProof/>
            <w:webHidden/>
          </w:rPr>
          <w:fldChar w:fldCharType="end"/>
        </w:r>
      </w:hyperlink>
    </w:p>
    <w:p w14:paraId="7B7185CF" w14:textId="3A3B32CF" w:rsidR="00D57CA4" w:rsidRDefault="00D57CA4">
      <w:pPr>
        <w:pStyle w:val="TOC3"/>
        <w:tabs>
          <w:tab w:val="right" w:leader="dot" w:pos="9350"/>
        </w:tabs>
        <w:rPr>
          <w:rFonts w:asciiTheme="minorHAnsi" w:eastAsiaTheme="minorEastAsia" w:hAnsiTheme="minorHAnsi"/>
          <w:noProof/>
        </w:rPr>
      </w:pPr>
      <w:hyperlink w:anchor="_Toc216685921" w:history="1">
        <w:r w:rsidRPr="00D20169">
          <w:rPr>
            <w:rStyle w:val="Hyperlink"/>
            <w:noProof/>
          </w:rPr>
          <w:t>2.2.5 Financing and Capital Allocation</w:t>
        </w:r>
        <w:r>
          <w:rPr>
            <w:noProof/>
            <w:webHidden/>
          </w:rPr>
          <w:tab/>
        </w:r>
        <w:r>
          <w:rPr>
            <w:noProof/>
            <w:webHidden/>
          </w:rPr>
          <w:fldChar w:fldCharType="begin"/>
        </w:r>
        <w:r>
          <w:rPr>
            <w:noProof/>
            <w:webHidden/>
          </w:rPr>
          <w:instrText xml:space="preserve"> PAGEREF _Toc216685921 \h </w:instrText>
        </w:r>
        <w:r>
          <w:rPr>
            <w:noProof/>
            <w:webHidden/>
          </w:rPr>
        </w:r>
        <w:r>
          <w:rPr>
            <w:noProof/>
            <w:webHidden/>
          </w:rPr>
          <w:fldChar w:fldCharType="separate"/>
        </w:r>
        <w:r>
          <w:rPr>
            <w:noProof/>
            <w:webHidden/>
          </w:rPr>
          <w:t>14</w:t>
        </w:r>
        <w:r>
          <w:rPr>
            <w:noProof/>
            <w:webHidden/>
          </w:rPr>
          <w:fldChar w:fldCharType="end"/>
        </w:r>
      </w:hyperlink>
    </w:p>
    <w:p w14:paraId="4D274997" w14:textId="34E7740D" w:rsidR="00D57CA4" w:rsidRDefault="00D57CA4">
      <w:pPr>
        <w:pStyle w:val="TOC2"/>
        <w:tabs>
          <w:tab w:val="right" w:leader="dot" w:pos="9350"/>
        </w:tabs>
        <w:rPr>
          <w:rFonts w:asciiTheme="minorHAnsi" w:eastAsiaTheme="minorEastAsia" w:hAnsiTheme="minorHAnsi"/>
          <w:noProof/>
        </w:rPr>
      </w:pPr>
      <w:hyperlink w:anchor="_Toc216685922" w:history="1">
        <w:r w:rsidRPr="00D20169">
          <w:rPr>
            <w:rStyle w:val="Hyperlink"/>
            <w:noProof/>
          </w:rPr>
          <w:t>2.3 Entry Modes Used by HSBC in International Markets</w:t>
        </w:r>
        <w:r>
          <w:rPr>
            <w:noProof/>
            <w:webHidden/>
          </w:rPr>
          <w:tab/>
        </w:r>
        <w:r>
          <w:rPr>
            <w:noProof/>
            <w:webHidden/>
          </w:rPr>
          <w:fldChar w:fldCharType="begin"/>
        </w:r>
        <w:r>
          <w:rPr>
            <w:noProof/>
            <w:webHidden/>
          </w:rPr>
          <w:instrText xml:space="preserve"> PAGEREF _Toc216685922 \h </w:instrText>
        </w:r>
        <w:r>
          <w:rPr>
            <w:noProof/>
            <w:webHidden/>
          </w:rPr>
        </w:r>
        <w:r>
          <w:rPr>
            <w:noProof/>
            <w:webHidden/>
          </w:rPr>
          <w:fldChar w:fldCharType="separate"/>
        </w:r>
        <w:r>
          <w:rPr>
            <w:noProof/>
            <w:webHidden/>
          </w:rPr>
          <w:t>15</w:t>
        </w:r>
        <w:r>
          <w:rPr>
            <w:noProof/>
            <w:webHidden/>
          </w:rPr>
          <w:fldChar w:fldCharType="end"/>
        </w:r>
      </w:hyperlink>
    </w:p>
    <w:p w14:paraId="773EF534" w14:textId="16682A29" w:rsidR="00D57CA4" w:rsidRDefault="00D57CA4">
      <w:pPr>
        <w:pStyle w:val="TOC3"/>
        <w:tabs>
          <w:tab w:val="right" w:leader="dot" w:pos="9350"/>
        </w:tabs>
        <w:rPr>
          <w:rFonts w:asciiTheme="minorHAnsi" w:eastAsiaTheme="minorEastAsia" w:hAnsiTheme="minorHAnsi"/>
          <w:noProof/>
        </w:rPr>
      </w:pPr>
      <w:hyperlink w:anchor="_Toc216685923" w:history="1">
        <w:r w:rsidRPr="00D20169">
          <w:rPr>
            <w:rStyle w:val="Hyperlink"/>
            <w:noProof/>
          </w:rPr>
          <w:t>2.3.1 Home Country: United Kingdom</w:t>
        </w:r>
        <w:r>
          <w:rPr>
            <w:noProof/>
            <w:webHidden/>
          </w:rPr>
          <w:tab/>
        </w:r>
        <w:r>
          <w:rPr>
            <w:noProof/>
            <w:webHidden/>
          </w:rPr>
          <w:fldChar w:fldCharType="begin"/>
        </w:r>
        <w:r>
          <w:rPr>
            <w:noProof/>
            <w:webHidden/>
          </w:rPr>
          <w:instrText xml:space="preserve"> PAGEREF _Toc216685923 \h </w:instrText>
        </w:r>
        <w:r>
          <w:rPr>
            <w:noProof/>
            <w:webHidden/>
          </w:rPr>
        </w:r>
        <w:r>
          <w:rPr>
            <w:noProof/>
            <w:webHidden/>
          </w:rPr>
          <w:fldChar w:fldCharType="separate"/>
        </w:r>
        <w:r>
          <w:rPr>
            <w:noProof/>
            <w:webHidden/>
          </w:rPr>
          <w:t>15</w:t>
        </w:r>
        <w:r>
          <w:rPr>
            <w:noProof/>
            <w:webHidden/>
          </w:rPr>
          <w:fldChar w:fldCharType="end"/>
        </w:r>
      </w:hyperlink>
    </w:p>
    <w:p w14:paraId="4551B371" w14:textId="16188EC9" w:rsidR="00D57CA4" w:rsidRDefault="00D57CA4">
      <w:pPr>
        <w:pStyle w:val="TOC3"/>
        <w:tabs>
          <w:tab w:val="right" w:leader="dot" w:pos="9350"/>
        </w:tabs>
        <w:rPr>
          <w:rFonts w:asciiTheme="minorHAnsi" w:eastAsiaTheme="minorEastAsia" w:hAnsiTheme="minorHAnsi"/>
          <w:noProof/>
        </w:rPr>
      </w:pPr>
      <w:hyperlink w:anchor="_Toc216685924" w:history="1">
        <w:r w:rsidRPr="00D20169">
          <w:rPr>
            <w:rStyle w:val="Hyperlink"/>
            <w:noProof/>
          </w:rPr>
          <w:t>2.3.2 Brazil</w:t>
        </w:r>
        <w:r>
          <w:rPr>
            <w:noProof/>
            <w:webHidden/>
          </w:rPr>
          <w:tab/>
        </w:r>
        <w:r>
          <w:rPr>
            <w:noProof/>
            <w:webHidden/>
          </w:rPr>
          <w:fldChar w:fldCharType="begin"/>
        </w:r>
        <w:r>
          <w:rPr>
            <w:noProof/>
            <w:webHidden/>
          </w:rPr>
          <w:instrText xml:space="preserve"> PAGEREF _Toc216685924 \h </w:instrText>
        </w:r>
        <w:r>
          <w:rPr>
            <w:noProof/>
            <w:webHidden/>
          </w:rPr>
        </w:r>
        <w:r>
          <w:rPr>
            <w:noProof/>
            <w:webHidden/>
          </w:rPr>
          <w:fldChar w:fldCharType="separate"/>
        </w:r>
        <w:r>
          <w:rPr>
            <w:noProof/>
            <w:webHidden/>
          </w:rPr>
          <w:t>16</w:t>
        </w:r>
        <w:r>
          <w:rPr>
            <w:noProof/>
            <w:webHidden/>
          </w:rPr>
          <w:fldChar w:fldCharType="end"/>
        </w:r>
      </w:hyperlink>
    </w:p>
    <w:p w14:paraId="6A5DD116" w14:textId="40B2A4EA" w:rsidR="00D57CA4" w:rsidRDefault="00D57CA4">
      <w:pPr>
        <w:pStyle w:val="TOC3"/>
        <w:tabs>
          <w:tab w:val="right" w:leader="dot" w:pos="9350"/>
        </w:tabs>
        <w:rPr>
          <w:rFonts w:asciiTheme="minorHAnsi" w:eastAsiaTheme="minorEastAsia" w:hAnsiTheme="minorHAnsi"/>
          <w:noProof/>
        </w:rPr>
      </w:pPr>
      <w:hyperlink w:anchor="_Toc216685925" w:history="1">
        <w:r w:rsidRPr="00D20169">
          <w:rPr>
            <w:rStyle w:val="Hyperlink"/>
            <w:noProof/>
          </w:rPr>
          <w:t>2.3.3 China and Hong Kong</w:t>
        </w:r>
        <w:r>
          <w:rPr>
            <w:noProof/>
            <w:webHidden/>
          </w:rPr>
          <w:tab/>
        </w:r>
        <w:r>
          <w:rPr>
            <w:noProof/>
            <w:webHidden/>
          </w:rPr>
          <w:fldChar w:fldCharType="begin"/>
        </w:r>
        <w:r>
          <w:rPr>
            <w:noProof/>
            <w:webHidden/>
          </w:rPr>
          <w:instrText xml:space="preserve"> PAGEREF _Toc216685925 \h </w:instrText>
        </w:r>
        <w:r>
          <w:rPr>
            <w:noProof/>
            <w:webHidden/>
          </w:rPr>
        </w:r>
        <w:r>
          <w:rPr>
            <w:noProof/>
            <w:webHidden/>
          </w:rPr>
          <w:fldChar w:fldCharType="separate"/>
        </w:r>
        <w:r>
          <w:rPr>
            <w:noProof/>
            <w:webHidden/>
          </w:rPr>
          <w:t>18</w:t>
        </w:r>
        <w:r>
          <w:rPr>
            <w:noProof/>
            <w:webHidden/>
          </w:rPr>
          <w:fldChar w:fldCharType="end"/>
        </w:r>
      </w:hyperlink>
    </w:p>
    <w:p w14:paraId="2C2B2D6F" w14:textId="2129F937" w:rsidR="00D57CA4" w:rsidRDefault="00D57CA4">
      <w:pPr>
        <w:pStyle w:val="TOC3"/>
        <w:tabs>
          <w:tab w:val="right" w:leader="dot" w:pos="9350"/>
        </w:tabs>
        <w:rPr>
          <w:rFonts w:asciiTheme="minorHAnsi" w:eastAsiaTheme="minorEastAsia" w:hAnsiTheme="minorHAnsi"/>
          <w:noProof/>
        </w:rPr>
      </w:pPr>
      <w:hyperlink w:anchor="_Toc216685926" w:history="1">
        <w:r w:rsidRPr="00D20169">
          <w:rPr>
            <w:rStyle w:val="Hyperlink"/>
            <w:noProof/>
          </w:rPr>
          <w:t>2.3.4 United States</w:t>
        </w:r>
        <w:r>
          <w:rPr>
            <w:noProof/>
            <w:webHidden/>
          </w:rPr>
          <w:tab/>
        </w:r>
        <w:r>
          <w:rPr>
            <w:noProof/>
            <w:webHidden/>
          </w:rPr>
          <w:fldChar w:fldCharType="begin"/>
        </w:r>
        <w:r>
          <w:rPr>
            <w:noProof/>
            <w:webHidden/>
          </w:rPr>
          <w:instrText xml:space="preserve"> PAGEREF _Toc216685926 \h </w:instrText>
        </w:r>
        <w:r>
          <w:rPr>
            <w:noProof/>
            <w:webHidden/>
          </w:rPr>
        </w:r>
        <w:r>
          <w:rPr>
            <w:noProof/>
            <w:webHidden/>
          </w:rPr>
          <w:fldChar w:fldCharType="separate"/>
        </w:r>
        <w:r>
          <w:rPr>
            <w:noProof/>
            <w:webHidden/>
          </w:rPr>
          <w:t>19</w:t>
        </w:r>
        <w:r>
          <w:rPr>
            <w:noProof/>
            <w:webHidden/>
          </w:rPr>
          <w:fldChar w:fldCharType="end"/>
        </w:r>
      </w:hyperlink>
    </w:p>
    <w:p w14:paraId="0F7AB925" w14:textId="6017B0D3" w:rsidR="00D57CA4" w:rsidRDefault="00D57CA4">
      <w:pPr>
        <w:pStyle w:val="TOC3"/>
        <w:tabs>
          <w:tab w:val="right" w:leader="dot" w:pos="9350"/>
        </w:tabs>
        <w:rPr>
          <w:rFonts w:asciiTheme="minorHAnsi" w:eastAsiaTheme="minorEastAsia" w:hAnsiTheme="minorHAnsi"/>
          <w:noProof/>
        </w:rPr>
      </w:pPr>
      <w:hyperlink w:anchor="_Toc216685927" w:history="1">
        <w:r w:rsidRPr="00D20169">
          <w:rPr>
            <w:rStyle w:val="Hyperlink"/>
            <w:noProof/>
          </w:rPr>
          <w:t>2.3.5 Dominant Entry Mode</w:t>
        </w:r>
        <w:r>
          <w:rPr>
            <w:noProof/>
            <w:webHidden/>
          </w:rPr>
          <w:tab/>
        </w:r>
        <w:r>
          <w:rPr>
            <w:noProof/>
            <w:webHidden/>
          </w:rPr>
          <w:fldChar w:fldCharType="begin"/>
        </w:r>
        <w:r>
          <w:rPr>
            <w:noProof/>
            <w:webHidden/>
          </w:rPr>
          <w:instrText xml:space="preserve"> PAGEREF _Toc216685927 \h </w:instrText>
        </w:r>
        <w:r>
          <w:rPr>
            <w:noProof/>
            <w:webHidden/>
          </w:rPr>
        </w:r>
        <w:r>
          <w:rPr>
            <w:noProof/>
            <w:webHidden/>
          </w:rPr>
          <w:fldChar w:fldCharType="separate"/>
        </w:r>
        <w:r>
          <w:rPr>
            <w:noProof/>
            <w:webHidden/>
          </w:rPr>
          <w:t>19</w:t>
        </w:r>
        <w:r>
          <w:rPr>
            <w:noProof/>
            <w:webHidden/>
          </w:rPr>
          <w:fldChar w:fldCharType="end"/>
        </w:r>
      </w:hyperlink>
    </w:p>
    <w:p w14:paraId="721D6E4B" w14:textId="53B1BAAB" w:rsidR="00D57CA4" w:rsidRDefault="00D57CA4">
      <w:pPr>
        <w:pStyle w:val="TOC2"/>
        <w:tabs>
          <w:tab w:val="right" w:leader="dot" w:pos="9350"/>
        </w:tabs>
        <w:rPr>
          <w:rFonts w:asciiTheme="minorHAnsi" w:eastAsiaTheme="minorEastAsia" w:hAnsiTheme="minorHAnsi"/>
          <w:noProof/>
        </w:rPr>
      </w:pPr>
      <w:hyperlink w:anchor="_Toc216685928" w:history="1">
        <w:r w:rsidRPr="00D20169">
          <w:rPr>
            <w:rStyle w:val="Hyperlink"/>
            <w:noProof/>
          </w:rPr>
          <w:t>2.4 Key Benefits Derived from HSBC’s International Operations</w:t>
        </w:r>
        <w:r>
          <w:rPr>
            <w:noProof/>
            <w:webHidden/>
          </w:rPr>
          <w:tab/>
        </w:r>
        <w:r>
          <w:rPr>
            <w:noProof/>
            <w:webHidden/>
          </w:rPr>
          <w:fldChar w:fldCharType="begin"/>
        </w:r>
        <w:r>
          <w:rPr>
            <w:noProof/>
            <w:webHidden/>
          </w:rPr>
          <w:instrText xml:space="preserve"> PAGEREF _Toc216685928 \h </w:instrText>
        </w:r>
        <w:r>
          <w:rPr>
            <w:noProof/>
            <w:webHidden/>
          </w:rPr>
        </w:r>
        <w:r>
          <w:rPr>
            <w:noProof/>
            <w:webHidden/>
          </w:rPr>
          <w:fldChar w:fldCharType="separate"/>
        </w:r>
        <w:r>
          <w:rPr>
            <w:noProof/>
            <w:webHidden/>
          </w:rPr>
          <w:t>20</w:t>
        </w:r>
        <w:r>
          <w:rPr>
            <w:noProof/>
            <w:webHidden/>
          </w:rPr>
          <w:fldChar w:fldCharType="end"/>
        </w:r>
      </w:hyperlink>
    </w:p>
    <w:p w14:paraId="6E1D39BD" w14:textId="62F89747" w:rsidR="00D57CA4" w:rsidRDefault="00D57CA4">
      <w:pPr>
        <w:pStyle w:val="TOC3"/>
        <w:tabs>
          <w:tab w:val="right" w:leader="dot" w:pos="9350"/>
        </w:tabs>
        <w:rPr>
          <w:rFonts w:asciiTheme="minorHAnsi" w:eastAsiaTheme="minorEastAsia" w:hAnsiTheme="minorHAnsi"/>
          <w:noProof/>
        </w:rPr>
      </w:pPr>
      <w:hyperlink w:anchor="_Toc216685929" w:history="1">
        <w:r w:rsidRPr="00D20169">
          <w:rPr>
            <w:rStyle w:val="Hyperlink"/>
            <w:noProof/>
          </w:rPr>
          <w:t>2.4.1 Risk Diversification and Earnings Stability</w:t>
        </w:r>
        <w:r>
          <w:rPr>
            <w:noProof/>
            <w:webHidden/>
          </w:rPr>
          <w:tab/>
        </w:r>
        <w:r>
          <w:rPr>
            <w:noProof/>
            <w:webHidden/>
          </w:rPr>
          <w:fldChar w:fldCharType="begin"/>
        </w:r>
        <w:r>
          <w:rPr>
            <w:noProof/>
            <w:webHidden/>
          </w:rPr>
          <w:instrText xml:space="preserve"> PAGEREF _Toc216685929 \h </w:instrText>
        </w:r>
        <w:r>
          <w:rPr>
            <w:noProof/>
            <w:webHidden/>
          </w:rPr>
        </w:r>
        <w:r>
          <w:rPr>
            <w:noProof/>
            <w:webHidden/>
          </w:rPr>
          <w:fldChar w:fldCharType="separate"/>
        </w:r>
        <w:r>
          <w:rPr>
            <w:noProof/>
            <w:webHidden/>
          </w:rPr>
          <w:t>20</w:t>
        </w:r>
        <w:r>
          <w:rPr>
            <w:noProof/>
            <w:webHidden/>
          </w:rPr>
          <w:fldChar w:fldCharType="end"/>
        </w:r>
      </w:hyperlink>
    </w:p>
    <w:p w14:paraId="723D09A8" w14:textId="555DCB17" w:rsidR="00D57CA4" w:rsidRDefault="00D57CA4">
      <w:pPr>
        <w:pStyle w:val="TOC3"/>
        <w:tabs>
          <w:tab w:val="right" w:leader="dot" w:pos="9350"/>
        </w:tabs>
        <w:rPr>
          <w:rFonts w:asciiTheme="minorHAnsi" w:eastAsiaTheme="minorEastAsia" w:hAnsiTheme="minorHAnsi"/>
          <w:noProof/>
        </w:rPr>
      </w:pPr>
      <w:hyperlink w:anchor="_Toc216685930" w:history="1">
        <w:r w:rsidRPr="00D20169">
          <w:rPr>
            <w:rStyle w:val="Hyperlink"/>
            <w:noProof/>
          </w:rPr>
          <w:t>2.4.2 Economies of Scale and Scope</w:t>
        </w:r>
        <w:r>
          <w:rPr>
            <w:noProof/>
            <w:webHidden/>
          </w:rPr>
          <w:tab/>
        </w:r>
        <w:r>
          <w:rPr>
            <w:noProof/>
            <w:webHidden/>
          </w:rPr>
          <w:fldChar w:fldCharType="begin"/>
        </w:r>
        <w:r>
          <w:rPr>
            <w:noProof/>
            <w:webHidden/>
          </w:rPr>
          <w:instrText xml:space="preserve"> PAGEREF _Toc216685930 \h </w:instrText>
        </w:r>
        <w:r>
          <w:rPr>
            <w:noProof/>
            <w:webHidden/>
          </w:rPr>
        </w:r>
        <w:r>
          <w:rPr>
            <w:noProof/>
            <w:webHidden/>
          </w:rPr>
          <w:fldChar w:fldCharType="separate"/>
        </w:r>
        <w:r>
          <w:rPr>
            <w:noProof/>
            <w:webHidden/>
          </w:rPr>
          <w:t>20</w:t>
        </w:r>
        <w:r>
          <w:rPr>
            <w:noProof/>
            <w:webHidden/>
          </w:rPr>
          <w:fldChar w:fldCharType="end"/>
        </w:r>
      </w:hyperlink>
    </w:p>
    <w:p w14:paraId="2AA877EE" w14:textId="1888AF48" w:rsidR="00D57CA4" w:rsidRDefault="00D57CA4">
      <w:pPr>
        <w:pStyle w:val="TOC3"/>
        <w:tabs>
          <w:tab w:val="right" w:leader="dot" w:pos="9350"/>
        </w:tabs>
        <w:rPr>
          <w:rFonts w:asciiTheme="minorHAnsi" w:eastAsiaTheme="minorEastAsia" w:hAnsiTheme="minorHAnsi"/>
          <w:noProof/>
        </w:rPr>
      </w:pPr>
      <w:hyperlink w:anchor="_Toc216685931" w:history="1">
        <w:r w:rsidRPr="00D20169">
          <w:rPr>
            <w:rStyle w:val="Hyperlink"/>
            <w:noProof/>
          </w:rPr>
          <w:t>2.4.3 Access to Growth Markets</w:t>
        </w:r>
        <w:r>
          <w:rPr>
            <w:noProof/>
            <w:webHidden/>
          </w:rPr>
          <w:tab/>
        </w:r>
        <w:r>
          <w:rPr>
            <w:noProof/>
            <w:webHidden/>
          </w:rPr>
          <w:fldChar w:fldCharType="begin"/>
        </w:r>
        <w:r>
          <w:rPr>
            <w:noProof/>
            <w:webHidden/>
          </w:rPr>
          <w:instrText xml:space="preserve"> PAGEREF _Toc216685931 \h </w:instrText>
        </w:r>
        <w:r>
          <w:rPr>
            <w:noProof/>
            <w:webHidden/>
          </w:rPr>
        </w:r>
        <w:r>
          <w:rPr>
            <w:noProof/>
            <w:webHidden/>
          </w:rPr>
          <w:fldChar w:fldCharType="separate"/>
        </w:r>
        <w:r>
          <w:rPr>
            <w:noProof/>
            <w:webHidden/>
          </w:rPr>
          <w:t>21</w:t>
        </w:r>
        <w:r>
          <w:rPr>
            <w:noProof/>
            <w:webHidden/>
          </w:rPr>
          <w:fldChar w:fldCharType="end"/>
        </w:r>
      </w:hyperlink>
    </w:p>
    <w:p w14:paraId="1C0DAFB8" w14:textId="3137F50E" w:rsidR="00D57CA4" w:rsidRDefault="00D57CA4">
      <w:pPr>
        <w:pStyle w:val="TOC3"/>
        <w:tabs>
          <w:tab w:val="right" w:leader="dot" w:pos="9350"/>
        </w:tabs>
        <w:rPr>
          <w:rFonts w:asciiTheme="minorHAnsi" w:eastAsiaTheme="minorEastAsia" w:hAnsiTheme="minorHAnsi"/>
          <w:noProof/>
        </w:rPr>
      </w:pPr>
      <w:hyperlink w:anchor="_Toc216685932" w:history="1">
        <w:r w:rsidRPr="00D20169">
          <w:rPr>
            <w:rStyle w:val="Hyperlink"/>
            <w:noProof/>
          </w:rPr>
          <w:t>2.4.4 Knowledge Transfer and Learning</w:t>
        </w:r>
        <w:r>
          <w:rPr>
            <w:noProof/>
            <w:webHidden/>
          </w:rPr>
          <w:tab/>
        </w:r>
        <w:r>
          <w:rPr>
            <w:noProof/>
            <w:webHidden/>
          </w:rPr>
          <w:fldChar w:fldCharType="begin"/>
        </w:r>
        <w:r>
          <w:rPr>
            <w:noProof/>
            <w:webHidden/>
          </w:rPr>
          <w:instrText xml:space="preserve"> PAGEREF _Toc216685932 \h </w:instrText>
        </w:r>
        <w:r>
          <w:rPr>
            <w:noProof/>
            <w:webHidden/>
          </w:rPr>
        </w:r>
        <w:r>
          <w:rPr>
            <w:noProof/>
            <w:webHidden/>
          </w:rPr>
          <w:fldChar w:fldCharType="separate"/>
        </w:r>
        <w:r>
          <w:rPr>
            <w:noProof/>
            <w:webHidden/>
          </w:rPr>
          <w:t>21</w:t>
        </w:r>
        <w:r>
          <w:rPr>
            <w:noProof/>
            <w:webHidden/>
          </w:rPr>
          <w:fldChar w:fldCharType="end"/>
        </w:r>
      </w:hyperlink>
    </w:p>
    <w:p w14:paraId="541AD98B" w14:textId="62F3CF77" w:rsidR="00D57CA4" w:rsidRDefault="00D57CA4">
      <w:pPr>
        <w:pStyle w:val="TOC3"/>
        <w:tabs>
          <w:tab w:val="right" w:leader="dot" w:pos="9350"/>
        </w:tabs>
        <w:rPr>
          <w:rFonts w:asciiTheme="minorHAnsi" w:eastAsiaTheme="minorEastAsia" w:hAnsiTheme="minorHAnsi"/>
          <w:noProof/>
        </w:rPr>
      </w:pPr>
      <w:hyperlink w:anchor="_Toc216685933" w:history="1">
        <w:r w:rsidRPr="00D20169">
          <w:rPr>
            <w:rStyle w:val="Hyperlink"/>
            <w:noProof/>
          </w:rPr>
          <w:t>2.4.5 Strategic Positioning in Glocalisation</w:t>
        </w:r>
        <w:r>
          <w:rPr>
            <w:noProof/>
            <w:webHidden/>
          </w:rPr>
          <w:tab/>
        </w:r>
        <w:r>
          <w:rPr>
            <w:noProof/>
            <w:webHidden/>
          </w:rPr>
          <w:fldChar w:fldCharType="begin"/>
        </w:r>
        <w:r>
          <w:rPr>
            <w:noProof/>
            <w:webHidden/>
          </w:rPr>
          <w:instrText xml:space="preserve"> PAGEREF _Toc216685933 \h </w:instrText>
        </w:r>
        <w:r>
          <w:rPr>
            <w:noProof/>
            <w:webHidden/>
          </w:rPr>
        </w:r>
        <w:r>
          <w:rPr>
            <w:noProof/>
            <w:webHidden/>
          </w:rPr>
          <w:fldChar w:fldCharType="separate"/>
        </w:r>
        <w:r>
          <w:rPr>
            <w:noProof/>
            <w:webHidden/>
          </w:rPr>
          <w:t>21</w:t>
        </w:r>
        <w:r>
          <w:rPr>
            <w:noProof/>
            <w:webHidden/>
          </w:rPr>
          <w:fldChar w:fldCharType="end"/>
        </w:r>
      </w:hyperlink>
    </w:p>
    <w:p w14:paraId="25189013" w14:textId="25FF57BF" w:rsidR="00D57CA4" w:rsidRDefault="00D57CA4">
      <w:pPr>
        <w:pStyle w:val="TOC1"/>
        <w:tabs>
          <w:tab w:val="right" w:leader="dot" w:pos="9350"/>
        </w:tabs>
        <w:rPr>
          <w:rFonts w:asciiTheme="minorHAnsi" w:eastAsiaTheme="minorEastAsia" w:hAnsiTheme="minorHAnsi"/>
          <w:noProof/>
        </w:rPr>
      </w:pPr>
      <w:hyperlink w:anchor="_Toc216685934" w:history="1">
        <w:r w:rsidRPr="00D20169">
          <w:rPr>
            <w:rStyle w:val="Hyperlink"/>
            <w:noProof/>
          </w:rPr>
          <w:t>3. OLI Framework and International Market Entry: HSBC in Brazil</w:t>
        </w:r>
        <w:r>
          <w:rPr>
            <w:noProof/>
            <w:webHidden/>
          </w:rPr>
          <w:tab/>
        </w:r>
        <w:r>
          <w:rPr>
            <w:noProof/>
            <w:webHidden/>
          </w:rPr>
          <w:fldChar w:fldCharType="begin"/>
        </w:r>
        <w:r>
          <w:rPr>
            <w:noProof/>
            <w:webHidden/>
          </w:rPr>
          <w:instrText xml:space="preserve"> PAGEREF _Toc216685934 \h </w:instrText>
        </w:r>
        <w:r>
          <w:rPr>
            <w:noProof/>
            <w:webHidden/>
          </w:rPr>
        </w:r>
        <w:r>
          <w:rPr>
            <w:noProof/>
            <w:webHidden/>
          </w:rPr>
          <w:fldChar w:fldCharType="separate"/>
        </w:r>
        <w:r>
          <w:rPr>
            <w:noProof/>
            <w:webHidden/>
          </w:rPr>
          <w:t>22</w:t>
        </w:r>
        <w:r>
          <w:rPr>
            <w:noProof/>
            <w:webHidden/>
          </w:rPr>
          <w:fldChar w:fldCharType="end"/>
        </w:r>
      </w:hyperlink>
    </w:p>
    <w:p w14:paraId="3A5BF5EE" w14:textId="609F6017" w:rsidR="00D57CA4" w:rsidRDefault="00D57CA4">
      <w:pPr>
        <w:pStyle w:val="TOC2"/>
        <w:tabs>
          <w:tab w:val="right" w:leader="dot" w:pos="9350"/>
        </w:tabs>
        <w:rPr>
          <w:rFonts w:asciiTheme="minorHAnsi" w:eastAsiaTheme="minorEastAsia" w:hAnsiTheme="minorHAnsi"/>
          <w:noProof/>
        </w:rPr>
      </w:pPr>
      <w:hyperlink w:anchor="_Toc216685935" w:history="1">
        <w:r w:rsidRPr="00D20169">
          <w:rPr>
            <w:rStyle w:val="Hyperlink"/>
            <w:noProof/>
          </w:rPr>
          <w:t>3.1 Introduction: OLI Paradigm and Banking Internationalisation</w:t>
        </w:r>
        <w:r>
          <w:rPr>
            <w:noProof/>
            <w:webHidden/>
          </w:rPr>
          <w:tab/>
        </w:r>
        <w:r>
          <w:rPr>
            <w:noProof/>
            <w:webHidden/>
          </w:rPr>
          <w:fldChar w:fldCharType="begin"/>
        </w:r>
        <w:r>
          <w:rPr>
            <w:noProof/>
            <w:webHidden/>
          </w:rPr>
          <w:instrText xml:space="preserve"> PAGEREF _Toc216685935 \h </w:instrText>
        </w:r>
        <w:r>
          <w:rPr>
            <w:noProof/>
            <w:webHidden/>
          </w:rPr>
        </w:r>
        <w:r>
          <w:rPr>
            <w:noProof/>
            <w:webHidden/>
          </w:rPr>
          <w:fldChar w:fldCharType="separate"/>
        </w:r>
        <w:r>
          <w:rPr>
            <w:noProof/>
            <w:webHidden/>
          </w:rPr>
          <w:t>22</w:t>
        </w:r>
        <w:r>
          <w:rPr>
            <w:noProof/>
            <w:webHidden/>
          </w:rPr>
          <w:fldChar w:fldCharType="end"/>
        </w:r>
      </w:hyperlink>
    </w:p>
    <w:p w14:paraId="74F67ACF" w14:textId="028988FF" w:rsidR="00D57CA4" w:rsidRDefault="00D57CA4">
      <w:pPr>
        <w:pStyle w:val="TOC2"/>
        <w:tabs>
          <w:tab w:val="right" w:leader="dot" w:pos="9350"/>
        </w:tabs>
        <w:rPr>
          <w:rFonts w:asciiTheme="minorHAnsi" w:eastAsiaTheme="minorEastAsia" w:hAnsiTheme="minorHAnsi"/>
          <w:noProof/>
        </w:rPr>
      </w:pPr>
      <w:hyperlink w:anchor="_Toc216685936" w:history="1">
        <w:r w:rsidRPr="00D20169">
          <w:rPr>
            <w:rStyle w:val="Hyperlink"/>
            <w:noProof/>
          </w:rPr>
          <w:t>3.2 Ownership Advantages and Entry Mode Implications</w:t>
        </w:r>
        <w:r>
          <w:rPr>
            <w:noProof/>
            <w:webHidden/>
          </w:rPr>
          <w:tab/>
        </w:r>
        <w:r>
          <w:rPr>
            <w:noProof/>
            <w:webHidden/>
          </w:rPr>
          <w:fldChar w:fldCharType="begin"/>
        </w:r>
        <w:r>
          <w:rPr>
            <w:noProof/>
            <w:webHidden/>
          </w:rPr>
          <w:instrText xml:space="preserve"> PAGEREF _Toc216685936 \h </w:instrText>
        </w:r>
        <w:r>
          <w:rPr>
            <w:noProof/>
            <w:webHidden/>
          </w:rPr>
        </w:r>
        <w:r>
          <w:rPr>
            <w:noProof/>
            <w:webHidden/>
          </w:rPr>
          <w:fldChar w:fldCharType="separate"/>
        </w:r>
        <w:r>
          <w:rPr>
            <w:noProof/>
            <w:webHidden/>
          </w:rPr>
          <w:t>23</w:t>
        </w:r>
        <w:r>
          <w:rPr>
            <w:noProof/>
            <w:webHidden/>
          </w:rPr>
          <w:fldChar w:fldCharType="end"/>
        </w:r>
      </w:hyperlink>
    </w:p>
    <w:p w14:paraId="2ED23EC0" w14:textId="08880D0B" w:rsidR="00D57CA4" w:rsidRDefault="00D57CA4">
      <w:pPr>
        <w:pStyle w:val="TOC2"/>
        <w:tabs>
          <w:tab w:val="right" w:leader="dot" w:pos="9350"/>
        </w:tabs>
        <w:rPr>
          <w:rFonts w:asciiTheme="minorHAnsi" w:eastAsiaTheme="minorEastAsia" w:hAnsiTheme="minorHAnsi"/>
          <w:noProof/>
        </w:rPr>
      </w:pPr>
      <w:hyperlink w:anchor="_Toc216685937" w:history="1">
        <w:r w:rsidRPr="00D20169">
          <w:rPr>
            <w:rStyle w:val="Hyperlink"/>
            <w:noProof/>
          </w:rPr>
          <w:t>3.3 Location Advantages and Institutional Constraints in Brazil</w:t>
        </w:r>
        <w:r>
          <w:rPr>
            <w:noProof/>
            <w:webHidden/>
          </w:rPr>
          <w:tab/>
        </w:r>
        <w:r>
          <w:rPr>
            <w:noProof/>
            <w:webHidden/>
          </w:rPr>
          <w:fldChar w:fldCharType="begin"/>
        </w:r>
        <w:r>
          <w:rPr>
            <w:noProof/>
            <w:webHidden/>
          </w:rPr>
          <w:instrText xml:space="preserve"> PAGEREF _Toc216685937 \h </w:instrText>
        </w:r>
        <w:r>
          <w:rPr>
            <w:noProof/>
            <w:webHidden/>
          </w:rPr>
        </w:r>
        <w:r>
          <w:rPr>
            <w:noProof/>
            <w:webHidden/>
          </w:rPr>
          <w:fldChar w:fldCharType="separate"/>
        </w:r>
        <w:r>
          <w:rPr>
            <w:noProof/>
            <w:webHidden/>
          </w:rPr>
          <w:t>25</w:t>
        </w:r>
        <w:r>
          <w:rPr>
            <w:noProof/>
            <w:webHidden/>
          </w:rPr>
          <w:fldChar w:fldCharType="end"/>
        </w:r>
      </w:hyperlink>
    </w:p>
    <w:p w14:paraId="52BE26C9" w14:textId="6932AF67" w:rsidR="00D57CA4" w:rsidRDefault="00D57CA4">
      <w:pPr>
        <w:pStyle w:val="TOC2"/>
        <w:tabs>
          <w:tab w:val="right" w:leader="dot" w:pos="9350"/>
        </w:tabs>
        <w:rPr>
          <w:rFonts w:asciiTheme="minorHAnsi" w:eastAsiaTheme="minorEastAsia" w:hAnsiTheme="minorHAnsi"/>
          <w:noProof/>
        </w:rPr>
      </w:pPr>
      <w:hyperlink w:anchor="_Toc216685938" w:history="1">
        <w:r w:rsidRPr="00D20169">
          <w:rPr>
            <w:rStyle w:val="Hyperlink"/>
            <w:noProof/>
          </w:rPr>
          <w:t>3.4 Internalisation Advantages and Strategic Retrenchment</w:t>
        </w:r>
        <w:r>
          <w:rPr>
            <w:noProof/>
            <w:webHidden/>
          </w:rPr>
          <w:tab/>
        </w:r>
        <w:r>
          <w:rPr>
            <w:noProof/>
            <w:webHidden/>
          </w:rPr>
          <w:fldChar w:fldCharType="begin"/>
        </w:r>
        <w:r>
          <w:rPr>
            <w:noProof/>
            <w:webHidden/>
          </w:rPr>
          <w:instrText xml:space="preserve"> PAGEREF _Toc216685938 \h </w:instrText>
        </w:r>
        <w:r>
          <w:rPr>
            <w:noProof/>
            <w:webHidden/>
          </w:rPr>
        </w:r>
        <w:r>
          <w:rPr>
            <w:noProof/>
            <w:webHidden/>
          </w:rPr>
          <w:fldChar w:fldCharType="separate"/>
        </w:r>
        <w:r>
          <w:rPr>
            <w:noProof/>
            <w:webHidden/>
          </w:rPr>
          <w:t>27</w:t>
        </w:r>
        <w:r>
          <w:rPr>
            <w:noProof/>
            <w:webHidden/>
          </w:rPr>
          <w:fldChar w:fldCharType="end"/>
        </w:r>
      </w:hyperlink>
    </w:p>
    <w:p w14:paraId="63E2E175" w14:textId="3D2E9645" w:rsidR="00D57CA4" w:rsidRDefault="00D57CA4">
      <w:pPr>
        <w:pStyle w:val="TOC2"/>
        <w:tabs>
          <w:tab w:val="right" w:leader="dot" w:pos="9350"/>
        </w:tabs>
        <w:rPr>
          <w:rFonts w:asciiTheme="minorHAnsi" w:eastAsiaTheme="minorEastAsia" w:hAnsiTheme="minorHAnsi"/>
          <w:noProof/>
        </w:rPr>
      </w:pPr>
      <w:hyperlink w:anchor="_Toc216685939" w:history="1">
        <w:r w:rsidRPr="00D20169">
          <w:rPr>
            <w:rStyle w:val="Hyperlink"/>
            <w:noProof/>
          </w:rPr>
          <w:t>3.5 Critical Evaluation of OLI Outcomes in the HSBC–Brazil Case</w:t>
        </w:r>
        <w:r>
          <w:rPr>
            <w:noProof/>
            <w:webHidden/>
          </w:rPr>
          <w:tab/>
        </w:r>
        <w:r>
          <w:rPr>
            <w:noProof/>
            <w:webHidden/>
          </w:rPr>
          <w:fldChar w:fldCharType="begin"/>
        </w:r>
        <w:r>
          <w:rPr>
            <w:noProof/>
            <w:webHidden/>
          </w:rPr>
          <w:instrText xml:space="preserve"> PAGEREF _Toc216685939 \h </w:instrText>
        </w:r>
        <w:r>
          <w:rPr>
            <w:noProof/>
            <w:webHidden/>
          </w:rPr>
        </w:r>
        <w:r>
          <w:rPr>
            <w:noProof/>
            <w:webHidden/>
          </w:rPr>
          <w:fldChar w:fldCharType="separate"/>
        </w:r>
        <w:r>
          <w:rPr>
            <w:noProof/>
            <w:webHidden/>
          </w:rPr>
          <w:t>28</w:t>
        </w:r>
        <w:r>
          <w:rPr>
            <w:noProof/>
            <w:webHidden/>
          </w:rPr>
          <w:fldChar w:fldCharType="end"/>
        </w:r>
      </w:hyperlink>
    </w:p>
    <w:p w14:paraId="11F029B0" w14:textId="3961AABC" w:rsidR="00D57CA4" w:rsidRDefault="00D57CA4">
      <w:pPr>
        <w:pStyle w:val="TOC1"/>
        <w:tabs>
          <w:tab w:val="right" w:leader="dot" w:pos="9350"/>
        </w:tabs>
        <w:rPr>
          <w:rFonts w:asciiTheme="minorHAnsi" w:eastAsiaTheme="minorEastAsia" w:hAnsiTheme="minorHAnsi"/>
          <w:noProof/>
        </w:rPr>
      </w:pPr>
      <w:hyperlink w:anchor="_Toc216685940" w:history="1">
        <w:r w:rsidRPr="00D20169">
          <w:rPr>
            <w:rStyle w:val="Hyperlink"/>
            <w:noProof/>
          </w:rPr>
          <w:t>4. Cultural Differences and Their Impact on HSBC’s Entry Strategy and Success in Brazil</w:t>
        </w:r>
        <w:r>
          <w:rPr>
            <w:noProof/>
            <w:webHidden/>
          </w:rPr>
          <w:tab/>
        </w:r>
        <w:r>
          <w:rPr>
            <w:noProof/>
            <w:webHidden/>
          </w:rPr>
          <w:fldChar w:fldCharType="begin"/>
        </w:r>
        <w:r>
          <w:rPr>
            <w:noProof/>
            <w:webHidden/>
          </w:rPr>
          <w:instrText xml:space="preserve"> PAGEREF _Toc216685940 \h </w:instrText>
        </w:r>
        <w:r>
          <w:rPr>
            <w:noProof/>
            <w:webHidden/>
          </w:rPr>
        </w:r>
        <w:r>
          <w:rPr>
            <w:noProof/>
            <w:webHidden/>
          </w:rPr>
          <w:fldChar w:fldCharType="separate"/>
        </w:r>
        <w:r>
          <w:rPr>
            <w:noProof/>
            <w:webHidden/>
          </w:rPr>
          <w:t>30</w:t>
        </w:r>
        <w:r>
          <w:rPr>
            <w:noProof/>
            <w:webHidden/>
          </w:rPr>
          <w:fldChar w:fldCharType="end"/>
        </w:r>
      </w:hyperlink>
    </w:p>
    <w:p w14:paraId="457BF2CB" w14:textId="0B7E55E0" w:rsidR="00D57CA4" w:rsidRDefault="00D57CA4">
      <w:pPr>
        <w:pStyle w:val="TOC2"/>
        <w:tabs>
          <w:tab w:val="right" w:leader="dot" w:pos="9350"/>
        </w:tabs>
        <w:rPr>
          <w:rFonts w:asciiTheme="minorHAnsi" w:eastAsiaTheme="minorEastAsia" w:hAnsiTheme="minorHAnsi"/>
          <w:noProof/>
        </w:rPr>
      </w:pPr>
      <w:hyperlink w:anchor="_Toc216685941" w:history="1">
        <w:r w:rsidRPr="00D20169">
          <w:rPr>
            <w:rStyle w:val="Hyperlink"/>
            <w:noProof/>
          </w:rPr>
          <w:t>4.1 Context: Why culture matters for banks entering emerging markets</w:t>
        </w:r>
        <w:r>
          <w:rPr>
            <w:noProof/>
            <w:webHidden/>
          </w:rPr>
          <w:tab/>
        </w:r>
        <w:r>
          <w:rPr>
            <w:noProof/>
            <w:webHidden/>
          </w:rPr>
          <w:fldChar w:fldCharType="begin"/>
        </w:r>
        <w:r>
          <w:rPr>
            <w:noProof/>
            <w:webHidden/>
          </w:rPr>
          <w:instrText xml:space="preserve"> PAGEREF _Toc216685941 \h </w:instrText>
        </w:r>
        <w:r>
          <w:rPr>
            <w:noProof/>
            <w:webHidden/>
          </w:rPr>
        </w:r>
        <w:r>
          <w:rPr>
            <w:noProof/>
            <w:webHidden/>
          </w:rPr>
          <w:fldChar w:fldCharType="separate"/>
        </w:r>
        <w:r>
          <w:rPr>
            <w:noProof/>
            <w:webHidden/>
          </w:rPr>
          <w:t>30</w:t>
        </w:r>
        <w:r>
          <w:rPr>
            <w:noProof/>
            <w:webHidden/>
          </w:rPr>
          <w:fldChar w:fldCharType="end"/>
        </w:r>
      </w:hyperlink>
    </w:p>
    <w:p w14:paraId="3F1E35E1" w14:textId="11CECDCC" w:rsidR="00D57CA4" w:rsidRDefault="00D57CA4">
      <w:pPr>
        <w:pStyle w:val="TOC2"/>
        <w:tabs>
          <w:tab w:val="right" w:leader="dot" w:pos="9350"/>
        </w:tabs>
        <w:rPr>
          <w:rFonts w:asciiTheme="minorHAnsi" w:eastAsiaTheme="minorEastAsia" w:hAnsiTheme="minorHAnsi"/>
          <w:noProof/>
        </w:rPr>
      </w:pPr>
      <w:hyperlink w:anchor="_Toc216685942" w:history="1">
        <w:r w:rsidRPr="00D20169">
          <w:rPr>
            <w:rStyle w:val="Hyperlink"/>
            <w:noProof/>
          </w:rPr>
          <w:t>4.2 UK–Brazil cultural distance (Hofstede dimensions) and strategic meaning</w:t>
        </w:r>
        <w:r>
          <w:rPr>
            <w:noProof/>
            <w:webHidden/>
          </w:rPr>
          <w:tab/>
        </w:r>
        <w:r>
          <w:rPr>
            <w:noProof/>
            <w:webHidden/>
          </w:rPr>
          <w:fldChar w:fldCharType="begin"/>
        </w:r>
        <w:r>
          <w:rPr>
            <w:noProof/>
            <w:webHidden/>
          </w:rPr>
          <w:instrText xml:space="preserve"> PAGEREF _Toc216685942 \h </w:instrText>
        </w:r>
        <w:r>
          <w:rPr>
            <w:noProof/>
            <w:webHidden/>
          </w:rPr>
        </w:r>
        <w:r>
          <w:rPr>
            <w:noProof/>
            <w:webHidden/>
          </w:rPr>
          <w:fldChar w:fldCharType="separate"/>
        </w:r>
        <w:r>
          <w:rPr>
            <w:noProof/>
            <w:webHidden/>
          </w:rPr>
          <w:t>31</w:t>
        </w:r>
        <w:r>
          <w:rPr>
            <w:noProof/>
            <w:webHidden/>
          </w:rPr>
          <w:fldChar w:fldCharType="end"/>
        </w:r>
      </w:hyperlink>
    </w:p>
    <w:p w14:paraId="0505D44E" w14:textId="03D0FB26" w:rsidR="00D57CA4" w:rsidRDefault="00D57CA4">
      <w:pPr>
        <w:pStyle w:val="TOC2"/>
        <w:tabs>
          <w:tab w:val="right" w:leader="dot" w:pos="9350"/>
        </w:tabs>
        <w:rPr>
          <w:rFonts w:asciiTheme="minorHAnsi" w:eastAsiaTheme="minorEastAsia" w:hAnsiTheme="minorHAnsi"/>
          <w:noProof/>
        </w:rPr>
      </w:pPr>
      <w:hyperlink w:anchor="_Toc216685943" w:history="1">
        <w:r w:rsidRPr="00D20169">
          <w:rPr>
            <w:rStyle w:val="Hyperlink"/>
            <w:noProof/>
          </w:rPr>
          <w:t>4.3 Implications for HSBC’s market entry strategy in Brazil</w:t>
        </w:r>
        <w:r>
          <w:rPr>
            <w:noProof/>
            <w:webHidden/>
          </w:rPr>
          <w:tab/>
        </w:r>
        <w:r>
          <w:rPr>
            <w:noProof/>
            <w:webHidden/>
          </w:rPr>
          <w:fldChar w:fldCharType="begin"/>
        </w:r>
        <w:r>
          <w:rPr>
            <w:noProof/>
            <w:webHidden/>
          </w:rPr>
          <w:instrText xml:space="preserve"> PAGEREF _Toc216685943 \h </w:instrText>
        </w:r>
        <w:r>
          <w:rPr>
            <w:noProof/>
            <w:webHidden/>
          </w:rPr>
        </w:r>
        <w:r>
          <w:rPr>
            <w:noProof/>
            <w:webHidden/>
          </w:rPr>
          <w:fldChar w:fldCharType="separate"/>
        </w:r>
        <w:r>
          <w:rPr>
            <w:noProof/>
            <w:webHidden/>
          </w:rPr>
          <w:t>32</w:t>
        </w:r>
        <w:r>
          <w:rPr>
            <w:noProof/>
            <w:webHidden/>
          </w:rPr>
          <w:fldChar w:fldCharType="end"/>
        </w:r>
      </w:hyperlink>
    </w:p>
    <w:p w14:paraId="4BAE6676" w14:textId="3864E89F" w:rsidR="00D57CA4" w:rsidRDefault="00D57CA4">
      <w:pPr>
        <w:pStyle w:val="TOC3"/>
        <w:tabs>
          <w:tab w:val="right" w:leader="dot" w:pos="9350"/>
        </w:tabs>
        <w:rPr>
          <w:rFonts w:asciiTheme="minorHAnsi" w:eastAsiaTheme="minorEastAsia" w:hAnsiTheme="minorHAnsi"/>
          <w:noProof/>
        </w:rPr>
      </w:pPr>
      <w:hyperlink w:anchor="_Toc216685944" w:history="1">
        <w:r w:rsidRPr="00D20169">
          <w:rPr>
            <w:rStyle w:val="Hyperlink"/>
            <w:noProof/>
          </w:rPr>
          <w:t>4.3.1 Entry mode choice: control versus legitimacy</w:t>
        </w:r>
        <w:r>
          <w:rPr>
            <w:noProof/>
            <w:webHidden/>
          </w:rPr>
          <w:tab/>
        </w:r>
        <w:r>
          <w:rPr>
            <w:noProof/>
            <w:webHidden/>
          </w:rPr>
          <w:fldChar w:fldCharType="begin"/>
        </w:r>
        <w:r>
          <w:rPr>
            <w:noProof/>
            <w:webHidden/>
          </w:rPr>
          <w:instrText xml:space="preserve"> PAGEREF _Toc216685944 \h </w:instrText>
        </w:r>
        <w:r>
          <w:rPr>
            <w:noProof/>
            <w:webHidden/>
          </w:rPr>
        </w:r>
        <w:r>
          <w:rPr>
            <w:noProof/>
            <w:webHidden/>
          </w:rPr>
          <w:fldChar w:fldCharType="separate"/>
        </w:r>
        <w:r>
          <w:rPr>
            <w:noProof/>
            <w:webHidden/>
          </w:rPr>
          <w:t>32</w:t>
        </w:r>
        <w:r>
          <w:rPr>
            <w:noProof/>
            <w:webHidden/>
          </w:rPr>
          <w:fldChar w:fldCharType="end"/>
        </w:r>
      </w:hyperlink>
    </w:p>
    <w:p w14:paraId="7C9DAA8F" w14:textId="49562A39" w:rsidR="00D57CA4" w:rsidRDefault="00D57CA4">
      <w:pPr>
        <w:pStyle w:val="TOC3"/>
        <w:tabs>
          <w:tab w:val="right" w:leader="dot" w:pos="9350"/>
        </w:tabs>
        <w:rPr>
          <w:rFonts w:asciiTheme="minorHAnsi" w:eastAsiaTheme="minorEastAsia" w:hAnsiTheme="minorHAnsi"/>
          <w:noProof/>
        </w:rPr>
      </w:pPr>
      <w:hyperlink w:anchor="_Toc216685945" w:history="1">
        <w:r w:rsidRPr="00D20169">
          <w:rPr>
            <w:rStyle w:val="Hyperlink"/>
            <w:noProof/>
          </w:rPr>
          <w:t>4.3.3 Relationship-based market development</w:t>
        </w:r>
        <w:r>
          <w:rPr>
            <w:noProof/>
            <w:webHidden/>
          </w:rPr>
          <w:tab/>
        </w:r>
        <w:r>
          <w:rPr>
            <w:noProof/>
            <w:webHidden/>
          </w:rPr>
          <w:fldChar w:fldCharType="begin"/>
        </w:r>
        <w:r>
          <w:rPr>
            <w:noProof/>
            <w:webHidden/>
          </w:rPr>
          <w:instrText xml:space="preserve"> PAGEREF _Toc216685945 \h </w:instrText>
        </w:r>
        <w:r>
          <w:rPr>
            <w:noProof/>
            <w:webHidden/>
          </w:rPr>
        </w:r>
        <w:r>
          <w:rPr>
            <w:noProof/>
            <w:webHidden/>
          </w:rPr>
          <w:fldChar w:fldCharType="separate"/>
        </w:r>
        <w:r>
          <w:rPr>
            <w:noProof/>
            <w:webHidden/>
          </w:rPr>
          <w:t>34</w:t>
        </w:r>
        <w:r>
          <w:rPr>
            <w:noProof/>
            <w:webHidden/>
          </w:rPr>
          <w:fldChar w:fldCharType="end"/>
        </w:r>
      </w:hyperlink>
    </w:p>
    <w:p w14:paraId="47A52D27" w14:textId="24545275" w:rsidR="00D57CA4" w:rsidRDefault="00D57CA4">
      <w:pPr>
        <w:pStyle w:val="TOC2"/>
        <w:tabs>
          <w:tab w:val="right" w:leader="dot" w:pos="9350"/>
        </w:tabs>
        <w:rPr>
          <w:rFonts w:asciiTheme="minorHAnsi" w:eastAsiaTheme="minorEastAsia" w:hAnsiTheme="minorHAnsi"/>
          <w:noProof/>
        </w:rPr>
      </w:pPr>
      <w:hyperlink w:anchor="_Toc216685946" w:history="1">
        <w:r w:rsidRPr="00D20169">
          <w:rPr>
            <w:rStyle w:val="Hyperlink"/>
            <w:noProof/>
          </w:rPr>
          <w:t>4.4 Implications for success in Brazil after entry</w:t>
        </w:r>
        <w:r>
          <w:rPr>
            <w:noProof/>
            <w:webHidden/>
          </w:rPr>
          <w:tab/>
        </w:r>
        <w:r>
          <w:rPr>
            <w:noProof/>
            <w:webHidden/>
          </w:rPr>
          <w:fldChar w:fldCharType="begin"/>
        </w:r>
        <w:r>
          <w:rPr>
            <w:noProof/>
            <w:webHidden/>
          </w:rPr>
          <w:instrText xml:space="preserve"> PAGEREF _Toc216685946 \h </w:instrText>
        </w:r>
        <w:r>
          <w:rPr>
            <w:noProof/>
            <w:webHidden/>
          </w:rPr>
        </w:r>
        <w:r>
          <w:rPr>
            <w:noProof/>
            <w:webHidden/>
          </w:rPr>
          <w:fldChar w:fldCharType="separate"/>
        </w:r>
        <w:r>
          <w:rPr>
            <w:noProof/>
            <w:webHidden/>
          </w:rPr>
          <w:t>35</w:t>
        </w:r>
        <w:r>
          <w:rPr>
            <w:noProof/>
            <w:webHidden/>
          </w:rPr>
          <w:fldChar w:fldCharType="end"/>
        </w:r>
      </w:hyperlink>
    </w:p>
    <w:p w14:paraId="26C21F17" w14:textId="6BA1E6D2" w:rsidR="00D57CA4" w:rsidRDefault="00D57CA4">
      <w:pPr>
        <w:pStyle w:val="TOC3"/>
        <w:tabs>
          <w:tab w:val="right" w:leader="dot" w:pos="9350"/>
        </w:tabs>
        <w:rPr>
          <w:rFonts w:asciiTheme="minorHAnsi" w:eastAsiaTheme="minorEastAsia" w:hAnsiTheme="minorHAnsi"/>
          <w:noProof/>
        </w:rPr>
      </w:pPr>
      <w:hyperlink w:anchor="_Toc216685947" w:history="1">
        <w:r w:rsidRPr="00D20169">
          <w:rPr>
            <w:rStyle w:val="Hyperlink"/>
            <w:noProof/>
          </w:rPr>
          <w:t>4.4.1 Service expectations, SOP discipline, and trust</w:t>
        </w:r>
        <w:r>
          <w:rPr>
            <w:noProof/>
            <w:webHidden/>
          </w:rPr>
          <w:tab/>
        </w:r>
        <w:r>
          <w:rPr>
            <w:noProof/>
            <w:webHidden/>
          </w:rPr>
          <w:fldChar w:fldCharType="begin"/>
        </w:r>
        <w:r>
          <w:rPr>
            <w:noProof/>
            <w:webHidden/>
          </w:rPr>
          <w:instrText xml:space="preserve"> PAGEREF _Toc216685947 \h </w:instrText>
        </w:r>
        <w:r>
          <w:rPr>
            <w:noProof/>
            <w:webHidden/>
          </w:rPr>
        </w:r>
        <w:r>
          <w:rPr>
            <w:noProof/>
            <w:webHidden/>
          </w:rPr>
          <w:fldChar w:fldCharType="separate"/>
        </w:r>
        <w:r>
          <w:rPr>
            <w:noProof/>
            <w:webHidden/>
          </w:rPr>
          <w:t>35</w:t>
        </w:r>
        <w:r>
          <w:rPr>
            <w:noProof/>
            <w:webHidden/>
          </w:rPr>
          <w:fldChar w:fldCharType="end"/>
        </w:r>
      </w:hyperlink>
    </w:p>
    <w:p w14:paraId="002F7ABE" w14:textId="34CC9B13" w:rsidR="00D57CA4" w:rsidRDefault="00D57CA4">
      <w:pPr>
        <w:pStyle w:val="TOC3"/>
        <w:tabs>
          <w:tab w:val="right" w:leader="dot" w:pos="9350"/>
        </w:tabs>
        <w:rPr>
          <w:rFonts w:asciiTheme="minorHAnsi" w:eastAsiaTheme="minorEastAsia" w:hAnsiTheme="minorHAnsi"/>
          <w:noProof/>
        </w:rPr>
      </w:pPr>
      <w:hyperlink w:anchor="_Toc216685948" w:history="1">
        <w:r w:rsidRPr="00D20169">
          <w:rPr>
            <w:rStyle w:val="Hyperlink"/>
            <w:noProof/>
          </w:rPr>
          <w:t>4.4.2 Risk culture and compliance effectiveness</w:t>
        </w:r>
        <w:r>
          <w:rPr>
            <w:noProof/>
            <w:webHidden/>
          </w:rPr>
          <w:tab/>
        </w:r>
        <w:r>
          <w:rPr>
            <w:noProof/>
            <w:webHidden/>
          </w:rPr>
          <w:fldChar w:fldCharType="begin"/>
        </w:r>
        <w:r>
          <w:rPr>
            <w:noProof/>
            <w:webHidden/>
          </w:rPr>
          <w:instrText xml:space="preserve"> PAGEREF _Toc216685948 \h </w:instrText>
        </w:r>
        <w:r>
          <w:rPr>
            <w:noProof/>
            <w:webHidden/>
          </w:rPr>
        </w:r>
        <w:r>
          <w:rPr>
            <w:noProof/>
            <w:webHidden/>
          </w:rPr>
          <w:fldChar w:fldCharType="separate"/>
        </w:r>
        <w:r>
          <w:rPr>
            <w:noProof/>
            <w:webHidden/>
          </w:rPr>
          <w:t>36</w:t>
        </w:r>
        <w:r>
          <w:rPr>
            <w:noProof/>
            <w:webHidden/>
          </w:rPr>
          <w:fldChar w:fldCharType="end"/>
        </w:r>
      </w:hyperlink>
    </w:p>
    <w:p w14:paraId="38848625" w14:textId="6991E7E5" w:rsidR="00D57CA4" w:rsidRDefault="00D57CA4">
      <w:pPr>
        <w:pStyle w:val="TOC3"/>
        <w:tabs>
          <w:tab w:val="right" w:leader="dot" w:pos="9350"/>
        </w:tabs>
        <w:rPr>
          <w:rFonts w:asciiTheme="minorHAnsi" w:eastAsiaTheme="minorEastAsia" w:hAnsiTheme="minorHAnsi"/>
          <w:noProof/>
        </w:rPr>
      </w:pPr>
      <w:hyperlink w:anchor="_Toc216685949" w:history="1">
        <w:r w:rsidRPr="00D20169">
          <w:rPr>
            <w:rStyle w:val="Hyperlink"/>
            <w:noProof/>
          </w:rPr>
          <w:t>4.4.3 Strategic sustainability and the risk of misfit</w:t>
        </w:r>
        <w:r>
          <w:rPr>
            <w:noProof/>
            <w:webHidden/>
          </w:rPr>
          <w:tab/>
        </w:r>
        <w:r>
          <w:rPr>
            <w:noProof/>
            <w:webHidden/>
          </w:rPr>
          <w:fldChar w:fldCharType="begin"/>
        </w:r>
        <w:r>
          <w:rPr>
            <w:noProof/>
            <w:webHidden/>
          </w:rPr>
          <w:instrText xml:space="preserve"> PAGEREF _Toc216685949 \h </w:instrText>
        </w:r>
        <w:r>
          <w:rPr>
            <w:noProof/>
            <w:webHidden/>
          </w:rPr>
        </w:r>
        <w:r>
          <w:rPr>
            <w:noProof/>
            <w:webHidden/>
          </w:rPr>
          <w:fldChar w:fldCharType="separate"/>
        </w:r>
        <w:r>
          <w:rPr>
            <w:noProof/>
            <w:webHidden/>
          </w:rPr>
          <w:t>37</w:t>
        </w:r>
        <w:r>
          <w:rPr>
            <w:noProof/>
            <w:webHidden/>
          </w:rPr>
          <w:fldChar w:fldCharType="end"/>
        </w:r>
      </w:hyperlink>
    </w:p>
    <w:p w14:paraId="4F1AF8FB" w14:textId="73E7B1D2" w:rsidR="00D57CA4" w:rsidRDefault="00D57CA4">
      <w:pPr>
        <w:pStyle w:val="TOC1"/>
        <w:tabs>
          <w:tab w:val="right" w:leader="dot" w:pos="9350"/>
        </w:tabs>
        <w:rPr>
          <w:rFonts w:asciiTheme="minorHAnsi" w:eastAsiaTheme="minorEastAsia" w:hAnsiTheme="minorHAnsi"/>
          <w:noProof/>
        </w:rPr>
      </w:pPr>
      <w:hyperlink w:anchor="_Toc216685950" w:history="1">
        <w:r w:rsidRPr="00D20169">
          <w:rPr>
            <w:rStyle w:val="Hyperlink"/>
            <w:noProof/>
          </w:rPr>
          <w:t>5. Strategic SOP Adjustments Required for HSBC’s Success in Brazil</w:t>
        </w:r>
        <w:r>
          <w:rPr>
            <w:noProof/>
            <w:webHidden/>
          </w:rPr>
          <w:tab/>
        </w:r>
        <w:r>
          <w:rPr>
            <w:noProof/>
            <w:webHidden/>
          </w:rPr>
          <w:fldChar w:fldCharType="begin"/>
        </w:r>
        <w:r>
          <w:rPr>
            <w:noProof/>
            <w:webHidden/>
          </w:rPr>
          <w:instrText xml:space="preserve"> PAGEREF _Toc216685950 \h </w:instrText>
        </w:r>
        <w:r>
          <w:rPr>
            <w:noProof/>
            <w:webHidden/>
          </w:rPr>
        </w:r>
        <w:r>
          <w:rPr>
            <w:noProof/>
            <w:webHidden/>
          </w:rPr>
          <w:fldChar w:fldCharType="separate"/>
        </w:r>
        <w:r>
          <w:rPr>
            <w:noProof/>
            <w:webHidden/>
          </w:rPr>
          <w:t>38</w:t>
        </w:r>
        <w:r>
          <w:rPr>
            <w:noProof/>
            <w:webHidden/>
          </w:rPr>
          <w:fldChar w:fldCharType="end"/>
        </w:r>
      </w:hyperlink>
    </w:p>
    <w:p w14:paraId="58CE9E9B" w14:textId="2EC0065A" w:rsidR="00D57CA4" w:rsidRDefault="00D57CA4">
      <w:pPr>
        <w:pStyle w:val="TOC2"/>
        <w:tabs>
          <w:tab w:val="right" w:leader="dot" w:pos="9350"/>
        </w:tabs>
        <w:rPr>
          <w:rFonts w:asciiTheme="minorHAnsi" w:eastAsiaTheme="minorEastAsia" w:hAnsiTheme="minorHAnsi"/>
          <w:noProof/>
        </w:rPr>
      </w:pPr>
      <w:hyperlink w:anchor="_Toc216685951" w:history="1">
        <w:r w:rsidRPr="00D20169">
          <w:rPr>
            <w:rStyle w:val="Hyperlink"/>
            <w:noProof/>
          </w:rPr>
          <w:t>5.1 Rationale for SOP Adaptation in an Emerging Economy Context</w:t>
        </w:r>
        <w:r>
          <w:rPr>
            <w:noProof/>
            <w:webHidden/>
          </w:rPr>
          <w:tab/>
        </w:r>
        <w:r>
          <w:rPr>
            <w:noProof/>
            <w:webHidden/>
          </w:rPr>
          <w:fldChar w:fldCharType="begin"/>
        </w:r>
        <w:r>
          <w:rPr>
            <w:noProof/>
            <w:webHidden/>
          </w:rPr>
          <w:instrText xml:space="preserve"> PAGEREF _Toc216685951 \h </w:instrText>
        </w:r>
        <w:r>
          <w:rPr>
            <w:noProof/>
            <w:webHidden/>
          </w:rPr>
        </w:r>
        <w:r>
          <w:rPr>
            <w:noProof/>
            <w:webHidden/>
          </w:rPr>
          <w:fldChar w:fldCharType="separate"/>
        </w:r>
        <w:r>
          <w:rPr>
            <w:noProof/>
            <w:webHidden/>
          </w:rPr>
          <w:t>38</w:t>
        </w:r>
        <w:r>
          <w:rPr>
            <w:noProof/>
            <w:webHidden/>
          </w:rPr>
          <w:fldChar w:fldCharType="end"/>
        </w:r>
      </w:hyperlink>
    </w:p>
    <w:p w14:paraId="09A78FF5" w14:textId="4C2595EC" w:rsidR="00D57CA4" w:rsidRDefault="00D57CA4">
      <w:pPr>
        <w:pStyle w:val="TOC2"/>
        <w:tabs>
          <w:tab w:val="right" w:leader="dot" w:pos="9350"/>
        </w:tabs>
        <w:rPr>
          <w:rFonts w:asciiTheme="minorHAnsi" w:eastAsiaTheme="minorEastAsia" w:hAnsiTheme="minorHAnsi"/>
          <w:noProof/>
        </w:rPr>
      </w:pPr>
      <w:hyperlink w:anchor="_Toc216685952" w:history="1">
        <w:r w:rsidRPr="00D20169">
          <w:rPr>
            <w:rStyle w:val="Hyperlink"/>
            <w:noProof/>
          </w:rPr>
          <w:t>5.2 SOP Adjustment 1: Governance, Decision-Making and Accountability Structures</w:t>
        </w:r>
        <w:r>
          <w:rPr>
            <w:noProof/>
            <w:webHidden/>
          </w:rPr>
          <w:tab/>
        </w:r>
        <w:r>
          <w:rPr>
            <w:noProof/>
            <w:webHidden/>
          </w:rPr>
          <w:fldChar w:fldCharType="begin"/>
        </w:r>
        <w:r>
          <w:rPr>
            <w:noProof/>
            <w:webHidden/>
          </w:rPr>
          <w:instrText xml:space="preserve"> PAGEREF _Toc216685952 \h </w:instrText>
        </w:r>
        <w:r>
          <w:rPr>
            <w:noProof/>
            <w:webHidden/>
          </w:rPr>
        </w:r>
        <w:r>
          <w:rPr>
            <w:noProof/>
            <w:webHidden/>
          </w:rPr>
          <w:fldChar w:fldCharType="separate"/>
        </w:r>
        <w:r>
          <w:rPr>
            <w:noProof/>
            <w:webHidden/>
          </w:rPr>
          <w:t>39</w:t>
        </w:r>
        <w:r>
          <w:rPr>
            <w:noProof/>
            <w:webHidden/>
          </w:rPr>
          <w:fldChar w:fldCharType="end"/>
        </w:r>
      </w:hyperlink>
    </w:p>
    <w:p w14:paraId="7C4A4FD7" w14:textId="5517CACF" w:rsidR="00D57CA4" w:rsidRDefault="00D57CA4">
      <w:pPr>
        <w:pStyle w:val="TOC3"/>
        <w:tabs>
          <w:tab w:val="right" w:leader="dot" w:pos="9350"/>
        </w:tabs>
        <w:rPr>
          <w:rFonts w:asciiTheme="minorHAnsi" w:eastAsiaTheme="minorEastAsia" w:hAnsiTheme="minorHAnsi"/>
          <w:noProof/>
        </w:rPr>
      </w:pPr>
      <w:hyperlink w:anchor="_Toc216685953" w:history="1">
        <w:r w:rsidRPr="00D20169">
          <w:rPr>
            <w:rStyle w:val="Hyperlink"/>
            <w:noProof/>
          </w:rPr>
          <w:t>5.2.1 Need for hierarchical clarity and local authority</w:t>
        </w:r>
        <w:r>
          <w:rPr>
            <w:noProof/>
            <w:webHidden/>
          </w:rPr>
          <w:tab/>
        </w:r>
        <w:r>
          <w:rPr>
            <w:noProof/>
            <w:webHidden/>
          </w:rPr>
          <w:fldChar w:fldCharType="begin"/>
        </w:r>
        <w:r>
          <w:rPr>
            <w:noProof/>
            <w:webHidden/>
          </w:rPr>
          <w:instrText xml:space="preserve"> PAGEREF _Toc216685953 \h </w:instrText>
        </w:r>
        <w:r>
          <w:rPr>
            <w:noProof/>
            <w:webHidden/>
          </w:rPr>
        </w:r>
        <w:r>
          <w:rPr>
            <w:noProof/>
            <w:webHidden/>
          </w:rPr>
          <w:fldChar w:fldCharType="separate"/>
        </w:r>
        <w:r>
          <w:rPr>
            <w:noProof/>
            <w:webHidden/>
          </w:rPr>
          <w:t>39</w:t>
        </w:r>
        <w:r>
          <w:rPr>
            <w:noProof/>
            <w:webHidden/>
          </w:rPr>
          <w:fldChar w:fldCharType="end"/>
        </w:r>
      </w:hyperlink>
    </w:p>
    <w:p w14:paraId="49E5E0E4" w14:textId="15017620" w:rsidR="00D57CA4" w:rsidRDefault="00D57CA4">
      <w:pPr>
        <w:pStyle w:val="TOC3"/>
        <w:tabs>
          <w:tab w:val="right" w:leader="dot" w:pos="9350"/>
        </w:tabs>
        <w:rPr>
          <w:rFonts w:asciiTheme="minorHAnsi" w:eastAsiaTheme="minorEastAsia" w:hAnsiTheme="minorHAnsi"/>
          <w:noProof/>
        </w:rPr>
      </w:pPr>
      <w:hyperlink w:anchor="_Toc216685954" w:history="1">
        <w:r w:rsidRPr="00D20169">
          <w:rPr>
            <w:rStyle w:val="Hyperlink"/>
            <w:noProof/>
          </w:rPr>
          <w:t>5.2.2 Balancing global control with local legitimacy</w:t>
        </w:r>
        <w:r>
          <w:rPr>
            <w:noProof/>
            <w:webHidden/>
          </w:rPr>
          <w:tab/>
        </w:r>
        <w:r>
          <w:rPr>
            <w:noProof/>
            <w:webHidden/>
          </w:rPr>
          <w:fldChar w:fldCharType="begin"/>
        </w:r>
        <w:r>
          <w:rPr>
            <w:noProof/>
            <w:webHidden/>
          </w:rPr>
          <w:instrText xml:space="preserve"> PAGEREF _Toc216685954 \h </w:instrText>
        </w:r>
        <w:r>
          <w:rPr>
            <w:noProof/>
            <w:webHidden/>
          </w:rPr>
        </w:r>
        <w:r>
          <w:rPr>
            <w:noProof/>
            <w:webHidden/>
          </w:rPr>
          <w:fldChar w:fldCharType="separate"/>
        </w:r>
        <w:r>
          <w:rPr>
            <w:noProof/>
            <w:webHidden/>
          </w:rPr>
          <w:t>40</w:t>
        </w:r>
        <w:r>
          <w:rPr>
            <w:noProof/>
            <w:webHidden/>
          </w:rPr>
          <w:fldChar w:fldCharType="end"/>
        </w:r>
      </w:hyperlink>
    </w:p>
    <w:p w14:paraId="12F1795A" w14:textId="24F6E6B7" w:rsidR="00D57CA4" w:rsidRDefault="00D57CA4">
      <w:pPr>
        <w:pStyle w:val="TOC2"/>
        <w:tabs>
          <w:tab w:val="right" w:leader="dot" w:pos="9350"/>
        </w:tabs>
        <w:rPr>
          <w:rFonts w:asciiTheme="minorHAnsi" w:eastAsiaTheme="minorEastAsia" w:hAnsiTheme="minorHAnsi"/>
          <w:noProof/>
        </w:rPr>
      </w:pPr>
      <w:hyperlink w:anchor="_Toc216685955" w:history="1">
        <w:r w:rsidRPr="00D20169">
          <w:rPr>
            <w:rStyle w:val="Hyperlink"/>
            <w:noProof/>
          </w:rPr>
          <w:t>5.3 SOP Adjustment 2: Risk Management, Compliance and Process Formalisation</w:t>
        </w:r>
        <w:r>
          <w:rPr>
            <w:noProof/>
            <w:webHidden/>
          </w:rPr>
          <w:tab/>
        </w:r>
        <w:r>
          <w:rPr>
            <w:noProof/>
            <w:webHidden/>
          </w:rPr>
          <w:fldChar w:fldCharType="begin"/>
        </w:r>
        <w:r>
          <w:rPr>
            <w:noProof/>
            <w:webHidden/>
          </w:rPr>
          <w:instrText xml:space="preserve"> PAGEREF _Toc216685955 \h </w:instrText>
        </w:r>
        <w:r>
          <w:rPr>
            <w:noProof/>
            <w:webHidden/>
          </w:rPr>
        </w:r>
        <w:r>
          <w:rPr>
            <w:noProof/>
            <w:webHidden/>
          </w:rPr>
          <w:fldChar w:fldCharType="separate"/>
        </w:r>
        <w:r>
          <w:rPr>
            <w:noProof/>
            <w:webHidden/>
          </w:rPr>
          <w:t>41</w:t>
        </w:r>
        <w:r>
          <w:rPr>
            <w:noProof/>
            <w:webHidden/>
          </w:rPr>
          <w:fldChar w:fldCharType="end"/>
        </w:r>
      </w:hyperlink>
    </w:p>
    <w:p w14:paraId="54C92219" w14:textId="57B942A3" w:rsidR="00D57CA4" w:rsidRDefault="00D57CA4">
      <w:pPr>
        <w:pStyle w:val="TOC3"/>
        <w:tabs>
          <w:tab w:val="right" w:leader="dot" w:pos="9350"/>
        </w:tabs>
        <w:rPr>
          <w:rFonts w:asciiTheme="minorHAnsi" w:eastAsiaTheme="minorEastAsia" w:hAnsiTheme="minorHAnsi"/>
          <w:noProof/>
        </w:rPr>
      </w:pPr>
      <w:hyperlink w:anchor="_Toc216685956" w:history="1">
        <w:r w:rsidRPr="00D20169">
          <w:rPr>
            <w:rStyle w:val="Hyperlink"/>
            <w:noProof/>
          </w:rPr>
          <w:t>5.3.1 Responding to high uncertainty avoidance</w:t>
        </w:r>
        <w:r>
          <w:rPr>
            <w:noProof/>
            <w:webHidden/>
          </w:rPr>
          <w:tab/>
        </w:r>
        <w:r>
          <w:rPr>
            <w:noProof/>
            <w:webHidden/>
          </w:rPr>
          <w:fldChar w:fldCharType="begin"/>
        </w:r>
        <w:r>
          <w:rPr>
            <w:noProof/>
            <w:webHidden/>
          </w:rPr>
          <w:instrText xml:space="preserve"> PAGEREF _Toc216685956 \h </w:instrText>
        </w:r>
        <w:r>
          <w:rPr>
            <w:noProof/>
            <w:webHidden/>
          </w:rPr>
        </w:r>
        <w:r>
          <w:rPr>
            <w:noProof/>
            <w:webHidden/>
          </w:rPr>
          <w:fldChar w:fldCharType="separate"/>
        </w:r>
        <w:r>
          <w:rPr>
            <w:noProof/>
            <w:webHidden/>
          </w:rPr>
          <w:t>41</w:t>
        </w:r>
        <w:r>
          <w:rPr>
            <w:noProof/>
            <w:webHidden/>
          </w:rPr>
          <w:fldChar w:fldCharType="end"/>
        </w:r>
      </w:hyperlink>
    </w:p>
    <w:p w14:paraId="432DFFF5" w14:textId="65833A0C" w:rsidR="00D57CA4" w:rsidRDefault="00D57CA4">
      <w:pPr>
        <w:pStyle w:val="TOC3"/>
        <w:tabs>
          <w:tab w:val="right" w:leader="dot" w:pos="9350"/>
        </w:tabs>
        <w:rPr>
          <w:rFonts w:asciiTheme="minorHAnsi" w:eastAsiaTheme="minorEastAsia" w:hAnsiTheme="minorHAnsi"/>
          <w:noProof/>
        </w:rPr>
      </w:pPr>
      <w:hyperlink w:anchor="_Toc216685957" w:history="1">
        <w:r w:rsidRPr="00D20169">
          <w:rPr>
            <w:rStyle w:val="Hyperlink"/>
            <w:noProof/>
          </w:rPr>
          <w:t>5.3.2 Embedding compliance through supervision and training</w:t>
        </w:r>
        <w:r>
          <w:rPr>
            <w:noProof/>
            <w:webHidden/>
          </w:rPr>
          <w:tab/>
        </w:r>
        <w:r>
          <w:rPr>
            <w:noProof/>
            <w:webHidden/>
          </w:rPr>
          <w:fldChar w:fldCharType="begin"/>
        </w:r>
        <w:r>
          <w:rPr>
            <w:noProof/>
            <w:webHidden/>
          </w:rPr>
          <w:instrText xml:space="preserve"> PAGEREF _Toc216685957 \h </w:instrText>
        </w:r>
        <w:r>
          <w:rPr>
            <w:noProof/>
            <w:webHidden/>
          </w:rPr>
        </w:r>
        <w:r>
          <w:rPr>
            <w:noProof/>
            <w:webHidden/>
          </w:rPr>
          <w:fldChar w:fldCharType="separate"/>
        </w:r>
        <w:r>
          <w:rPr>
            <w:noProof/>
            <w:webHidden/>
          </w:rPr>
          <w:t>42</w:t>
        </w:r>
        <w:r>
          <w:rPr>
            <w:noProof/>
            <w:webHidden/>
          </w:rPr>
          <w:fldChar w:fldCharType="end"/>
        </w:r>
      </w:hyperlink>
    </w:p>
    <w:p w14:paraId="56C142E7" w14:textId="7B5AA65D" w:rsidR="00D57CA4" w:rsidRDefault="00D57CA4">
      <w:pPr>
        <w:pStyle w:val="TOC2"/>
        <w:tabs>
          <w:tab w:val="right" w:leader="dot" w:pos="9350"/>
        </w:tabs>
        <w:rPr>
          <w:rFonts w:asciiTheme="minorHAnsi" w:eastAsiaTheme="minorEastAsia" w:hAnsiTheme="minorHAnsi"/>
          <w:noProof/>
        </w:rPr>
      </w:pPr>
      <w:hyperlink w:anchor="_Toc216685958" w:history="1">
        <w:r w:rsidRPr="00D20169">
          <w:rPr>
            <w:rStyle w:val="Hyperlink"/>
            <w:noProof/>
          </w:rPr>
          <w:t>5.4 SOP Adjustment 3: Relationship Management, Client Engagement and Cultural Embeddedness</w:t>
        </w:r>
        <w:r>
          <w:rPr>
            <w:noProof/>
            <w:webHidden/>
          </w:rPr>
          <w:tab/>
        </w:r>
        <w:r>
          <w:rPr>
            <w:noProof/>
            <w:webHidden/>
          </w:rPr>
          <w:fldChar w:fldCharType="begin"/>
        </w:r>
        <w:r>
          <w:rPr>
            <w:noProof/>
            <w:webHidden/>
          </w:rPr>
          <w:instrText xml:space="preserve"> PAGEREF _Toc216685958 \h </w:instrText>
        </w:r>
        <w:r>
          <w:rPr>
            <w:noProof/>
            <w:webHidden/>
          </w:rPr>
        </w:r>
        <w:r>
          <w:rPr>
            <w:noProof/>
            <w:webHidden/>
          </w:rPr>
          <w:fldChar w:fldCharType="separate"/>
        </w:r>
        <w:r>
          <w:rPr>
            <w:noProof/>
            <w:webHidden/>
          </w:rPr>
          <w:t>43</w:t>
        </w:r>
        <w:r>
          <w:rPr>
            <w:noProof/>
            <w:webHidden/>
          </w:rPr>
          <w:fldChar w:fldCharType="end"/>
        </w:r>
      </w:hyperlink>
    </w:p>
    <w:p w14:paraId="4F307D25" w14:textId="13A5EADE" w:rsidR="00D57CA4" w:rsidRDefault="00D57CA4">
      <w:pPr>
        <w:pStyle w:val="TOC3"/>
        <w:tabs>
          <w:tab w:val="right" w:leader="dot" w:pos="9350"/>
        </w:tabs>
        <w:rPr>
          <w:rFonts w:asciiTheme="minorHAnsi" w:eastAsiaTheme="minorEastAsia" w:hAnsiTheme="minorHAnsi"/>
          <w:noProof/>
        </w:rPr>
      </w:pPr>
      <w:hyperlink w:anchor="_Toc216685959" w:history="1">
        <w:r w:rsidRPr="00D20169">
          <w:rPr>
            <w:rStyle w:val="Hyperlink"/>
            <w:noProof/>
          </w:rPr>
          <w:t>5.4.1 Shifting from transaction-driven to relationship-driven SOPs</w:t>
        </w:r>
        <w:r>
          <w:rPr>
            <w:noProof/>
            <w:webHidden/>
          </w:rPr>
          <w:tab/>
        </w:r>
        <w:r>
          <w:rPr>
            <w:noProof/>
            <w:webHidden/>
          </w:rPr>
          <w:fldChar w:fldCharType="begin"/>
        </w:r>
        <w:r>
          <w:rPr>
            <w:noProof/>
            <w:webHidden/>
          </w:rPr>
          <w:instrText xml:space="preserve"> PAGEREF _Toc216685959 \h </w:instrText>
        </w:r>
        <w:r>
          <w:rPr>
            <w:noProof/>
            <w:webHidden/>
          </w:rPr>
        </w:r>
        <w:r>
          <w:rPr>
            <w:noProof/>
            <w:webHidden/>
          </w:rPr>
          <w:fldChar w:fldCharType="separate"/>
        </w:r>
        <w:r>
          <w:rPr>
            <w:noProof/>
            <w:webHidden/>
          </w:rPr>
          <w:t>43</w:t>
        </w:r>
        <w:r>
          <w:rPr>
            <w:noProof/>
            <w:webHidden/>
          </w:rPr>
          <w:fldChar w:fldCharType="end"/>
        </w:r>
      </w:hyperlink>
    </w:p>
    <w:p w14:paraId="123DDD7E" w14:textId="507B79B3" w:rsidR="00D57CA4" w:rsidRDefault="00D57CA4">
      <w:pPr>
        <w:pStyle w:val="TOC3"/>
        <w:tabs>
          <w:tab w:val="right" w:leader="dot" w:pos="9350"/>
        </w:tabs>
        <w:rPr>
          <w:rFonts w:asciiTheme="minorHAnsi" w:eastAsiaTheme="minorEastAsia" w:hAnsiTheme="minorHAnsi"/>
          <w:noProof/>
        </w:rPr>
      </w:pPr>
      <w:hyperlink w:anchor="_Toc216685960" w:history="1">
        <w:r w:rsidRPr="00D20169">
          <w:rPr>
            <w:rStyle w:val="Hyperlink"/>
            <w:noProof/>
          </w:rPr>
          <w:t>5.4.2 Aligning SOPs with glocalisation strategy</w:t>
        </w:r>
        <w:r>
          <w:rPr>
            <w:noProof/>
            <w:webHidden/>
          </w:rPr>
          <w:tab/>
        </w:r>
        <w:r>
          <w:rPr>
            <w:noProof/>
            <w:webHidden/>
          </w:rPr>
          <w:fldChar w:fldCharType="begin"/>
        </w:r>
        <w:r>
          <w:rPr>
            <w:noProof/>
            <w:webHidden/>
          </w:rPr>
          <w:instrText xml:space="preserve"> PAGEREF _Toc216685960 \h </w:instrText>
        </w:r>
        <w:r>
          <w:rPr>
            <w:noProof/>
            <w:webHidden/>
          </w:rPr>
        </w:r>
        <w:r>
          <w:rPr>
            <w:noProof/>
            <w:webHidden/>
          </w:rPr>
          <w:fldChar w:fldCharType="separate"/>
        </w:r>
        <w:r>
          <w:rPr>
            <w:noProof/>
            <w:webHidden/>
          </w:rPr>
          <w:t>44</w:t>
        </w:r>
        <w:r>
          <w:rPr>
            <w:noProof/>
            <w:webHidden/>
          </w:rPr>
          <w:fldChar w:fldCharType="end"/>
        </w:r>
      </w:hyperlink>
    </w:p>
    <w:p w14:paraId="6A66F793" w14:textId="7CAE7015" w:rsidR="00D57CA4" w:rsidRDefault="00D57CA4">
      <w:pPr>
        <w:pStyle w:val="TOC2"/>
        <w:tabs>
          <w:tab w:val="right" w:leader="dot" w:pos="9350"/>
        </w:tabs>
        <w:rPr>
          <w:rFonts w:asciiTheme="minorHAnsi" w:eastAsiaTheme="minorEastAsia" w:hAnsiTheme="minorHAnsi"/>
          <w:noProof/>
        </w:rPr>
      </w:pPr>
      <w:hyperlink w:anchor="_Toc216685961" w:history="1">
        <w:r w:rsidRPr="00D20169">
          <w:rPr>
            <w:rStyle w:val="Hyperlink"/>
            <w:noProof/>
          </w:rPr>
          <w:t>5.5 Integration with OLI and Strategic Implications</w:t>
        </w:r>
        <w:r>
          <w:rPr>
            <w:noProof/>
            <w:webHidden/>
          </w:rPr>
          <w:tab/>
        </w:r>
        <w:r>
          <w:rPr>
            <w:noProof/>
            <w:webHidden/>
          </w:rPr>
          <w:fldChar w:fldCharType="begin"/>
        </w:r>
        <w:r>
          <w:rPr>
            <w:noProof/>
            <w:webHidden/>
          </w:rPr>
          <w:instrText xml:space="preserve"> PAGEREF _Toc216685961 \h </w:instrText>
        </w:r>
        <w:r>
          <w:rPr>
            <w:noProof/>
            <w:webHidden/>
          </w:rPr>
        </w:r>
        <w:r>
          <w:rPr>
            <w:noProof/>
            <w:webHidden/>
          </w:rPr>
          <w:fldChar w:fldCharType="separate"/>
        </w:r>
        <w:r>
          <w:rPr>
            <w:noProof/>
            <w:webHidden/>
          </w:rPr>
          <w:t>45</w:t>
        </w:r>
        <w:r>
          <w:rPr>
            <w:noProof/>
            <w:webHidden/>
          </w:rPr>
          <w:fldChar w:fldCharType="end"/>
        </w:r>
      </w:hyperlink>
    </w:p>
    <w:p w14:paraId="0B34A337" w14:textId="14EBAA28" w:rsidR="00D57CA4" w:rsidRDefault="00D57CA4">
      <w:pPr>
        <w:pStyle w:val="TOC1"/>
        <w:tabs>
          <w:tab w:val="right" w:leader="dot" w:pos="9350"/>
        </w:tabs>
        <w:rPr>
          <w:rFonts w:asciiTheme="minorHAnsi" w:eastAsiaTheme="minorEastAsia" w:hAnsiTheme="minorHAnsi"/>
          <w:noProof/>
        </w:rPr>
      </w:pPr>
      <w:hyperlink w:anchor="_Toc216685962" w:history="1">
        <w:r w:rsidRPr="00D20169">
          <w:rPr>
            <w:rStyle w:val="Hyperlink"/>
            <w:noProof/>
          </w:rPr>
          <w:t>6. Conclusion</w:t>
        </w:r>
        <w:r>
          <w:rPr>
            <w:noProof/>
            <w:webHidden/>
          </w:rPr>
          <w:tab/>
        </w:r>
        <w:r>
          <w:rPr>
            <w:noProof/>
            <w:webHidden/>
          </w:rPr>
          <w:fldChar w:fldCharType="begin"/>
        </w:r>
        <w:r>
          <w:rPr>
            <w:noProof/>
            <w:webHidden/>
          </w:rPr>
          <w:instrText xml:space="preserve"> PAGEREF _Toc216685962 \h </w:instrText>
        </w:r>
        <w:r>
          <w:rPr>
            <w:noProof/>
            <w:webHidden/>
          </w:rPr>
        </w:r>
        <w:r>
          <w:rPr>
            <w:noProof/>
            <w:webHidden/>
          </w:rPr>
          <w:fldChar w:fldCharType="separate"/>
        </w:r>
        <w:r>
          <w:rPr>
            <w:noProof/>
            <w:webHidden/>
          </w:rPr>
          <w:t>46</w:t>
        </w:r>
        <w:r>
          <w:rPr>
            <w:noProof/>
            <w:webHidden/>
          </w:rPr>
          <w:fldChar w:fldCharType="end"/>
        </w:r>
      </w:hyperlink>
    </w:p>
    <w:p w14:paraId="7D661C2A" w14:textId="7AD633F8" w:rsidR="00D57CA4" w:rsidRDefault="00D57CA4">
      <w:pPr>
        <w:pStyle w:val="TOC1"/>
        <w:tabs>
          <w:tab w:val="right" w:leader="dot" w:pos="9350"/>
        </w:tabs>
        <w:rPr>
          <w:rFonts w:asciiTheme="minorHAnsi" w:eastAsiaTheme="minorEastAsia" w:hAnsiTheme="minorHAnsi"/>
          <w:noProof/>
        </w:rPr>
      </w:pPr>
      <w:hyperlink w:anchor="_Toc216685963" w:history="1">
        <w:r w:rsidRPr="00D20169">
          <w:rPr>
            <w:rStyle w:val="Hyperlink"/>
            <w:noProof/>
          </w:rPr>
          <w:t>References</w:t>
        </w:r>
        <w:r>
          <w:rPr>
            <w:noProof/>
            <w:webHidden/>
          </w:rPr>
          <w:tab/>
        </w:r>
        <w:r>
          <w:rPr>
            <w:noProof/>
            <w:webHidden/>
          </w:rPr>
          <w:fldChar w:fldCharType="begin"/>
        </w:r>
        <w:r>
          <w:rPr>
            <w:noProof/>
            <w:webHidden/>
          </w:rPr>
          <w:instrText xml:space="preserve"> PAGEREF _Toc216685963 \h </w:instrText>
        </w:r>
        <w:r>
          <w:rPr>
            <w:noProof/>
            <w:webHidden/>
          </w:rPr>
        </w:r>
        <w:r>
          <w:rPr>
            <w:noProof/>
            <w:webHidden/>
          </w:rPr>
          <w:fldChar w:fldCharType="separate"/>
        </w:r>
        <w:r>
          <w:rPr>
            <w:noProof/>
            <w:webHidden/>
          </w:rPr>
          <w:t>47</w:t>
        </w:r>
        <w:r>
          <w:rPr>
            <w:noProof/>
            <w:webHidden/>
          </w:rPr>
          <w:fldChar w:fldCharType="end"/>
        </w:r>
      </w:hyperlink>
    </w:p>
    <w:p w14:paraId="32EF1895" w14:textId="51537762" w:rsidR="004546CC" w:rsidRDefault="004546CC">
      <w:pPr>
        <w:rPr>
          <w:b/>
          <w:bCs/>
          <w:sz w:val="28"/>
          <w:szCs w:val="28"/>
        </w:rPr>
      </w:pPr>
      <w:r>
        <w:rPr>
          <w:b/>
          <w:bCs/>
          <w:sz w:val="28"/>
          <w:szCs w:val="28"/>
        </w:rPr>
        <w:fldChar w:fldCharType="end"/>
      </w:r>
    </w:p>
    <w:p w14:paraId="19755424" w14:textId="77777777" w:rsidR="004546CC" w:rsidRDefault="004546CC">
      <w:pPr>
        <w:rPr>
          <w:b/>
          <w:bCs/>
          <w:sz w:val="28"/>
          <w:szCs w:val="28"/>
        </w:rPr>
      </w:pPr>
    </w:p>
    <w:p w14:paraId="60C3B772" w14:textId="77777777" w:rsidR="0059676F" w:rsidRDefault="0059676F">
      <w:pPr>
        <w:rPr>
          <w:b/>
          <w:bCs/>
          <w:sz w:val="28"/>
          <w:szCs w:val="28"/>
        </w:rPr>
      </w:pPr>
    </w:p>
    <w:p w14:paraId="24A6CB52" w14:textId="77777777" w:rsidR="00D57CA4" w:rsidRDefault="00D57CA4">
      <w:pPr>
        <w:rPr>
          <w:b/>
          <w:bCs/>
          <w:sz w:val="28"/>
          <w:szCs w:val="28"/>
        </w:rPr>
      </w:pPr>
    </w:p>
    <w:p w14:paraId="27D5BD3A" w14:textId="77777777" w:rsidR="00D57CA4" w:rsidRDefault="00D57CA4">
      <w:pPr>
        <w:rPr>
          <w:b/>
          <w:bCs/>
          <w:sz w:val="28"/>
          <w:szCs w:val="28"/>
        </w:rPr>
      </w:pPr>
    </w:p>
    <w:p w14:paraId="364A37D3" w14:textId="77777777" w:rsidR="00D57CA4" w:rsidRDefault="00D57CA4">
      <w:pPr>
        <w:rPr>
          <w:b/>
          <w:bCs/>
          <w:sz w:val="28"/>
          <w:szCs w:val="28"/>
        </w:rPr>
      </w:pPr>
    </w:p>
    <w:p w14:paraId="05AD14D5" w14:textId="77777777" w:rsidR="00D57CA4" w:rsidRDefault="00D57CA4">
      <w:pPr>
        <w:rPr>
          <w:b/>
          <w:bCs/>
          <w:sz w:val="28"/>
          <w:szCs w:val="28"/>
        </w:rPr>
      </w:pPr>
    </w:p>
    <w:p w14:paraId="41F003B2" w14:textId="77777777" w:rsidR="00D57CA4" w:rsidRDefault="00D57CA4">
      <w:pPr>
        <w:rPr>
          <w:b/>
          <w:bCs/>
          <w:sz w:val="28"/>
          <w:szCs w:val="28"/>
        </w:rPr>
      </w:pPr>
    </w:p>
    <w:p w14:paraId="0D1A17BE" w14:textId="77777777" w:rsidR="00D57CA4" w:rsidRDefault="00D57CA4">
      <w:pPr>
        <w:rPr>
          <w:b/>
          <w:bCs/>
          <w:sz w:val="28"/>
          <w:szCs w:val="28"/>
        </w:rPr>
      </w:pPr>
    </w:p>
    <w:p w14:paraId="4C5BBC6E" w14:textId="77777777" w:rsidR="00D57CA4" w:rsidRDefault="00D57CA4">
      <w:pPr>
        <w:rPr>
          <w:b/>
          <w:bCs/>
          <w:sz w:val="28"/>
          <w:szCs w:val="28"/>
        </w:rPr>
      </w:pPr>
    </w:p>
    <w:p w14:paraId="3FC89837" w14:textId="77777777" w:rsidR="00D57CA4" w:rsidRDefault="00D57CA4">
      <w:pPr>
        <w:rPr>
          <w:b/>
          <w:bCs/>
          <w:sz w:val="28"/>
          <w:szCs w:val="28"/>
        </w:rPr>
      </w:pPr>
    </w:p>
    <w:p w14:paraId="28F3F195" w14:textId="77777777" w:rsidR="00D57CA4" w:rsidRDefault="00D57CA4">
      <w:pPr>
        <w:rPr>
          <w:b/>
          <w:bCs/>
          <w:sz w:val="28"/>
          <w:szCs w:val="28"/>
        </w:rPr>
      </w:pPr>
    </w:p>
    <w:p w14:paraId="3C706C8C" w14:textId="77777777" w:rsidR="00D57CA4" w:rsidRDefault="00D57CA4">
      <w:pPr>
        <w:rPr>
          <w:b/>
          <w:bCs/>
          <w:sz w:val="28"/>
          <w:szCs w:val="28"/>
        </w:rPr>
      </w:pPr>
    </w:p>
    <w:p w14:paraId="015B1231" w14:textId="77777777" w:rsidR="00D57CA4" w:rsidRDefault="00D57CA4">
      <w:pPr>
        <w:rPr>
          <w:b/>
          <w:bCs/>
          <w:sz w:val="28"/>
          <w:szCs w:val="28"/>
        </w:rPr>
      </w:pPr>
    </w:p>
    <w:p w14:paraId="22CFF8DE" w14:textId="77777777" w:rsidR="00D57CA4" w:rsidRDefault="00D57CA4">
      <w:pPr>
        <w:rPr>
          <w:b/>
          <w:bCs/>
          <w:sz w:val="28"/>
          <w:szCs w:val="28"/>
        </w:rPr>
      </w:pPr>
    </w:p>
    <w:p w14:paraId="39EB8433" w14:textId="77777777" w:rsidR="00D57CA4" w:rsidRDefault="00D57CA4">
      <w:pPr>
        <w:rPr>
          <w:b/>
          <w:bCs/>
          <w:sz w:val="28"/>
          <w:szCs w:val="28"/>
        </w:rPr>
      </w:pPr>
    </w:p>
    <w:p w14:paraId="3C2D16A5" w14:textId="77777777" w:rsidR="0059676F" w:rsidRDefault="0059676F">
      <w:pPr>
        <w:rPr>
          <w:b/>
          <w:bCs/>
          <w:sz w:val="28"/>
          <w:szCs w:val="28"/>
        </w:rPr>
      </w:pPr>
    </w:p>
    <w:p w14:paraId="01655A68" w14:textId="28CA845F" w:rsidR="00B770AB" w:rsidRDefault="00B770AB">
      <w:pPr>
        <w:rPr>
          <w:b/>
          <w:bCs/>
          <w:sz w:val="28"/>
          <w:szCs w:val="28"/>
        </w:rPr>
      </w:pPr>
      <w:r w:rsidRPr="00B770AB">
        <w:rPr>
          <w:b/>
          <w:bCs/>
          <w:sz w:val="28"/>
          <w:szCs w:val="28"/>
        </w:rPr>
        <w:t>List of Figures</w:t>
      </w:r>
    </w:p>
    <w:p w14:paraId="4BCB3AD7" w14:textId="3B311495" w:rsidR="00D57CA4" w:rsidRDefault="005C42C7">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16685964" w:history="1">
        <w:r w:rsidR="00D57CA4" w:rsidRPr="00A36512">
          <w:rPr>
            <w:rStyle w:val="Hyperlink"/>
            <w:noProof/>
          </w:rPr>
          <w:t>Figure 1: HSBC Holdings plc</w:t>
        </w:r>
        <w:r w:rsidR="00D57CA4">
          <w:rPr>
            <w:noProof/>
            <w:webHidden/>
          </w:rPr>
          <w:tab/>
        </w:r>
        <w:r w:rsidR="00D57CA4">
          <w:rPr>
            <w:noProof/>
            <w:webHidden/>
          </w:rPr>
          <w:fldChar w:fldCharType="begin"/>
        </w:r>
        <w:r w:rsidR="00D57CA4">
          <w:rPr>
            <w:noProof/>
            <w:webHidden/>
          </w:rPr>
          <w:instrText xml:space="preserve"> PAGEREF _Toc216685964 \h </w:instrText>
        </w:r>
        <w:r w:rsidR="00D57CA4">
          <w:rPr>
            <w:noProof/>
            <w:webHidden/>
          </w:rPr>
        </w:r>
        <w:r w:rsidR="00D57CA4">
          <w:rPr>
            <w:noProof/>
            <w:webHidden/>
          </w:rPr>
          <w:fldChar w:fldCharType="separate"/>
        </w:r>
        <w:r w:rsidR="00D57CA4">
          <w:rPr>
            <w:noProof/>
            <w:webHidden/>
          </w:rPr>
          <w:t>7</w:t>
        </w:r>
        <w:r w:rsidR="00D57CA4">
          <w:rPr>
            <w:noProof/>
            <w:webHidden/>
          </w:rPr>
          <w:fldChar w:fldCharType="end"/>
        </w:r>
      </w:hyperlink>
    </w:p>
    <w:p w14:paraId="4E9D33AE" w14:textId="4ED1E156" w:rsidR="00D57CA4" w:rsidRDefault="00D57CA4">
      <w:pPr>
        <w:pStyle w:val="TableofFigures"/>
        <w:tabs>
          <w:tab w:val="right" w:leader="dot" w:pos="9350"/>
        </w:tabs>
        <w:rPr>
          <w:rFonts w:asciiTheme="minorHAnsi" w:eastAsiaTheme="minorEastAsia" w:hAnsiTheme="minorHAnsi"/>
          <w:noProof/>
        </w:rPr>
      </w:pPr>
      <w:hyperlink w:anchor="_Toc216685965" w:history="1">
        <w:r w:rsidRPr="00A36512">
          <w:rPr>
            <w:rStyle w:val="Hyperlink"/>
            <w:noProof/>
          </w:rPr>
          <w:t>Figure 2: HSBC Holdings plc Logo</w:t>
        </w:r>
        <w:r>
          <w:rPr>
            <w:noProof/>
            <w:webHidden/>
          </w:rPr>
          <w:tab/>
        </w:r>
        <w:r>
          <w:rPr>
            <w:noProof/>
            <w:webHidden/>
          </w:rPr>
          <w:fldChar w:fldCharType="begin"/>
        </w:r>
        <w:r>
          <w:rPr>
            <w:noProof/>
            <w:webHidden/>
          </w:rPr>
          <w:instrText xml:space="preserve"> PAGEREF _Toc216685965 \h </w:instrText>
        </w:r>
        <w:r>
          <w:rPr>
            <w:noProof/>
            <w:webHidden/>
          </w:rPr>
        </w:r>
        <w:r>
          <w:rPr>
            <w:noProof/>
            <w:webHidden/>
          </w:rPr>
          <w:fldChar w:fldCharType="separate"/>
        </w:r>
        <w:r>
          <w:rPr>
            <w:noProof/>
            <w:webHidden/>
          </w:rPr>
          <w:t>8</w:t>
        </w:r>
        <w:r>
          <w:rPr>
            <w:noProof/>
            <w:webHidden/>
          </w:rPr>
          <w:fldChar w:fldCharType="end"/>
        </w:r>
      </w:hyperlink>
    </w:p>
    <w:p w14:paraId="7FD4716D" w14:textId="7CA8AEEA" w:rsidR="00D57CA4" w:rsidRDefault="00D57CA4">
      <w:pPr>
        <w:pStyle w:val="TableofFigures"/>
        <w:tabs>
          <w:tab w:val="right" w:leader="dot" w:pos="9350"/>
        </w:tabs>
        <w:rPr>
          <w:rFonts w:asciiTheme="minorHAnsi" w:eastAsiaTheme="minorEastAsia" w:hAnsiTheme="minorHAnsi"/>
          <w:noProof/>
        </w:rPr>
      </w:pPr>
      <w:hyperlink w:anchor="_Toc216685966" w:history="1">
        <w:r w:rsidRPr="00A36512">
          <w:rPr>
            <w:rStyle w:val="Hyperlink"/>
            <w:noProof/>
          </w:rPr>
          <w:t>Figure 3: HSBC Global Market Presence</w:t>
        </w:r>
        <w:r>
          <w:rPr>
            <w:noProof/>
            <w:webHidden/>
          </w:rPr>
          <w:tab/>
        </w:r>
        <w:r>
          <w:rPr>
            <w:noProof/>
            <w:webHidden/>
          </w:rPr>
          <w:fldChar w:fldCharType="begin"/>
        </w:r>
        <w:r>
          <w:rPr>
            <w:noProof/>
            <w:webHidden/>
          </w:rPr>
          <w:instrText xml:space="preserve"> PAGEREF _Toc216685966 \h </w:instrText>
        </w:r>
        <w:r>
          <w:rPr>
            <w:noProof/>
            <w:webHidden/>
          </w:rPr>
        </w:r>
        <w:r>
          <w:rPr>
            <w:noProof/>
            <w:webHidden/>
          </w:rPr>
          <w:fldChar w:fldCharType="separate"/>
        </w:r>
        <w:r>
          <w:rPr>
            <w:noProof/>
            <w:webHidden/>
          </w:rPr>
          <w:t>8</w:t>
        </w:r>
        <w:r>
          <w:rPr>
            <w:noProof/>
            <w:webHidden/>
          </w:rPr>
          <w:fldChar w:fldCharType="end"/>
        </w:r>
      </w:hyperlink>
    </w:p>
    <w:p w14:paraId="14104CED" w14:textId="5964EF73" w:rsidR="00D57CA4" w:rsidRDefault="00D57CA4">
      <w:pPr>
        <w:pStyle w:val="TableofFigures"/>
        <w:tabs>
          <w:tab w:val="right" w:leader="dot" w:pos="9350"/>
        </w:tabs>
        <w:rPr>
          <w:rFonts w:asciiTheme="minorHAnsi" w:eastAsiaTheme="minorEastAsia" w:hAnsiTheme="minorHAnsi"/>
          <w:noProof/>
        </w:rPr>
      </w:pPr>
      <w:hyperlink w:anchor="_Toc216685967" w:history="1">
        <w:r w:rsidRPr="00A36512">
          <w:rPr>
            <w:rStyle w:val="Hyperlink"/>
            <w:noProof/>
          </w:rPr>
          <w:t>Figure 4: Multinational vs Transnational Model</w:t>
        </w:r>
        <w:r>
          <w:rPr>
            <w:noProof/>
            <w:webHidden/>
          </w:rPr>
          <w:tab/>
        </w:r>
        <w:r>
          <w:rPr>
            <w:noProof/>
            <w:webHidden/>
          </w:rPr>
          <w:fldChar w:fldCharType="begin"/>
        </w:r>
        <w:r>
          <w:rPr>
            <w:noProof/>
            <w:webHidden/>
          </w:rPr>
          <w:instrText xml:space="preserve"> PAGEREF _Toc216685967 \h </w:instrText>
        </w:r>
        <w:r>
          <w:rPr>
            <w:noProof/>
            <w:webHidden/>
          </w:rPr>
        </w:r>
        <w:r>
          <w:rPr>
            <w:noProof/>
            <w:webHidden/>
          </w:rPr>
          <w:fldChar w:fldCharType="separate"/>
        </w:r>
        <w:r>
          <w:rPr>
            <w:noProof/>
            <w:webHidden/>
          </w:rPr>
          <w:t>9</w:t>
        </w:r>
        <w:r>
          <w:rPr>
            <w:noProof/>
            <w:webHidden/>
          </w:rPr>
          <w:fldChar w:fldCharType="end"/>
        </w:r>
      </w:hyperlink>
    </w:p>
    <w:p w14:paraId="5063C9FB" w14:textId="7267011E" w:rsidR="00D57CA4" w:rsidRDefault="00D57CA4">
      <w:pPr>
        <w:pStyle w:val="TableofFigures"/>
        <w:tabs>
          <w:tab w:val="right" w:leader="dot" w:pos="9350"/>
        </w:tabs>
        <w:rPr>
          <w:rFonts w:asciiTheme="minorHAnsi" w:eastAsiaTheme="minorEastAsia" w:hAnsiTheme="minorHAnsi"/>
          <w:noProof/>
        </w:rPr>
      </w:pPr>
      <w:hyperlink w:anchor="_Toc216685968" w:history="1">
        <w:r w:rsidRPr="00A36512">
          <w:rPr>
            <w:rStyle w:val="Hyperlink"/>
            <w:noProof/>
          </w:rPr>
          <w:t>Figure 5: HSBC Global Investment Research</w:t>
        </w:r>
        <w:r>
          <w:rPr>
            <w:noProof/>
            <w:webHidden/>
          </w:rPr>
          <w:tab/>
        </w:r>
        <w:r>
          <w:rPr>
            <w:noProof/>
            <w:webHidden/>
          </w:rPr>
          <w:fldChar w:fldCharType="begin"/>
        </w:r>
        <w:r>
          <w:rPr>
            <w:noProof/>
            <w:webHidden/>
          </w:rPr>
          <w:instrText xml:space="preserve"> PAGEREF _Toc216685968 \h </w:instrText>
        </w:r>
        <w:r>
          <w:rPr>
            <w:noProof/>
            <w:webHidden/>
          </w:rPr>
        </w:r>
        <w:r>
          <w:rPr>
            <w:noProof/>
            <w:webHidden/>
          </w:rPr>
          <w:fldChar w:fldCharType="separate"/>
        </w:r>
        <w:r>
          <w:rPr>
            <w:noProof/>
            <w:webHidden/>
          </w:rPr>
          <w:t>10</w:t>
        </w:r>
        <w:r>
          <w:rPr>
            <w:noProof/>
            <w:webHidden/>
          </w:rPr>
          <w:fldChar w:fldCharType="end"/>
        </w:r>
      </w:hyperlink>
    </w:p>
    <w:p w14:paraId="1F4890A1" w14:textId="2727A017" w:rsidR="00D57CA4" w:rsidRDefault="00D57CA4">
      <w:pPr>
        <w:pStyle w:val="TableofFigures"/>
        <w:tabs>
          <w:tab w:val="right" w:leader="dot" w:pos="9350"/>
        </w:tabs>
        <w:rPr>
          <w:rFonts w:asciiTheme="minorHAnsi" w:eastAsiaTheme="minorEastAsia" w:hAnsiTheme="minorHAnsi"/>
          <w:noProof/>
        </w:rPr>
      </w:pPr>
      <w:hyperlink w:anchor="_Toc216685969" w:history="1">
        <w:r w:rsidRPr="00A36512">
          <w:rPr>
            <w:rStyle w:val="Hyperlink"/>
            <w:noProof/>
          </w:rPr>
          <w:t>Figure 6: HSBC Innovation Banking Focus</w:t>
        </w:r>
        <w:r>
          <w:rPr>
            <w:noProof/>
            <w:webHidden/>
          </w:rPr>
          <w:tab/>
        </w:r>
        <w:r>
          <w:rPr>
            <w:noProof/>
            <w:webHidden/>
          </w:rPr>
          <w:fldChar w:fldCharType="begin"/>
        </w:r>
        <w:r>
          <w:rPr>
            <w:noProof/>
            <w:webHidden/>
          </w:rPr>
          <w:instrText xml:space="preserve"> PAGEREF _Toc216685969 \h </w:instrText>
        </w:r>
        <w:r>
          <w:rPr>
            <w:noProof/>
            <w:webHidden/>
          </w:rPr>
        </w:r>
        <w:r>
          <w:rPr>
            <w:noProof/>
            <w:webHidden/>
          </w:rPr>
          <w:fldChar w:fldCharType="separate"/>
        </w:r>
        <w:r>
          <w:rPr>
            <w:noProof/>
            <w:webHidden/>
          </w:rPr>
          <w:t>11</w:t>
        </w:r>
        <w:r>
          <w:rPr>
            <w:noProof/>
            <w:webHidden/>
          </w:rPr>
          <w:fldChar w:fldCharType="end"/>
        </w:r>
      </w:hyperlink>
    </w:p>
    <w:p w14:paraId="3DE1404A" w14:textId="382EA6BD" w:rsidR="00D57CA4" w:rsidRDefault="00D57CA4">
      <w:pPr>
        <w:pStyle w:val="TableofFigures"/>
        <w:tabs>
          <w:tab w:val="right" w:leader="dot" w:pos="9350"/>
        </w:tabs>
        <w:rPr>
          <w:rFonts w:asciiTheme="minorHAnsi" w:eastAsiaTheme="minorEastAsia" w:hAnsiTheme="minorHAnsi"/>
          <w:noProof/>
        </w:rPr>
      </w:pPr>
      <w:hyperlink w:anchor="_Toc216685970" w:history="1">
        <w:r w:rsidRPr="00A36512">
          <w:rPr>
            <w:rStyle w:val="Hyperlink"/>
            <w:noProof/>
          </w:rPr>
          <w:t>Figure 7: HSBC Core Organisational Values</w:t>
        </w:r>
        <w:r>
          <w:rPr>
            <w:noProof/>
            <w:webHidden/>
          </w:rPr>
          <w:tab/>
        </w:r>
        <w:r>
          <w:rPr>
            <w:noProof/>
            <w:webHidden/>
          </w:rPr>
          <w:fldChar w:fldCharType="begin"/>
        </w:r>
        <w:r>
          <w:rPr>
            <w:noProof/>
            <w:webHidden/>
          </w:rPr>
          <w:instrText xml:space="preserve"> PAGEREF _Toc216685970 \h </w:instrText>
        </w:r>
        <w:r>
          <w:rPr>
            <w:noProof/>
            <w:webHidden/>
          </w:rPr>
        </w:r>
        <w:r>
          <w:rPr>
            <w:noProof/>
            <w:webHidden/>
          </w:rPr>
          <w:fldChar w:fldCharType="separate"/>
        </w:r>
        <w:r>
          <w:rPr>
            <w:noProof/>
            <w:webHidden/>
          </w:rPr>
          <w:t>12</w:t>
        </w:r>
        <w:r>
          <w:rPr>
            <w:noProof/>
            <w:webHidden/>
          </w:rPr>
          <w:fldChar w:fldCharType="end"/>
        </w:r>
      </w:hyperlink>
    </w:p>
    <w:p w14:paraId="056C1B85" w14:textId="78F43E66" w:rsidR="00D57CA4" w:rsidRDefault="00D57CA4">
      <w:pPr>
        <w:pStyle w:val="TableofFigures"/>
        <w:tabs>
          <w:tab w:val="right" w:leader="dot" w:pos="9350"/>
        </w:tabs>
        <w:rPr>
          <w:rFonts w:asciiTheme="minorHAnsi" w:eastAsiaTheme="minorEastAsia" w:hAnsiTheme="minorHAnsi"/>
          <w:noProof/>
        </w:rPr>
      </w:pPr>
      <w:hyperlink w:anchor="_Toc216685971" w:history="1">
        <w:r w:rsidRPr="00A36512">
          <w:rPr>
            <w:rStyle w:val="Hyperlink"/>
            <w:noProof/>
          </w:rPr>
          <w:t>Figure 8: HSBC Financial Services Ecosystem</w:t>
        </w:r>
        <w:r>
          <w:rPr>
            <w:noProof/>
            <w:webHidden/>
          </w:rPr>
          <w:tab/>
        </w:r>
        <w:r>
          <w:rPr>
            <w:noProof/>
            <w:webHidden/>
          </w:rPr>
          <w:fldChar w:fldCharType="begin"/>
        </w:r>
        <w:r>
          <w:rPr>
            <w:noProof/>
            <w:webHidden/>
          </w:rPr>
          <w:instrText xml:space="preserve"> PAGEREF _Toc216685971 \h </w:instrText>
        </w:r>
        <w:r>
          <w:rPr>
            <w:noProof/>
            <w:webHidden/>
          </w:rPr>
        </w:r>
        <w:r>
          <w:rPr>
            <w:noProof/>
            <w:webHidden/>
          </w:rPr>
          <w:fldChar w:fldCharType="separate"/>
        </w:r>
        <w:r>
          <w:rPr>
            <w:noProof/>
            <w:webHidden/>
          </w:rPr>
          <w:t>13</w:t>
        </w:r>
        <w:r>
          <w:rPr>
            <w:noProof/>
            <w:webHidden/>
          </w:rPr>
          <w:fldChar w:fldCharType="end"/>
        </w:r>
      </w:hyperlink>
    </w:p>
    <w:p w14:paraId="1F687F7B" w14:textId="312B7AD5" w:rsidR="00D57CA4" w:rsidRDefault="00D57CA4">
      <w:pPr>
        <w:pStyle w:val="TableofFigures"/>
        <w:tabs>
          <w:tab w:val="right" w:leader="dot" w:pos="9350"/>
        </w:tabs>
        <w:rPr>
          <w:rFonts w:asciiTheme="minorHAnsi" w:eastAsiaTheme="minorEastAsia" w:hAnsiTheme="minorHAnsi"/>
          <w:noProof/>
        </w:rPr>
      </w:pPr>
      <w:hyperlink w:anchor="_Toc216685972" w:history="1">
        <w:r w:rsidRPr="00A36512">
          <w:rPr>
            <w:rStyle w:val="Hyperlink"/>
            <w:noProof/>
          </w:rPr>
          <w:t>Figure 9: HSBC Digital Distribution Model</w:t>
        </w:r>
        <w:r>
          <w:rPr>
            <w:noProof/>
            <w:webHidden/>
          </w:rPr>
          <w:tab/>
        </w:r>
        <w:r>
          <w:rPr>
            <w:noProof/>
            <w:webHidden/>
          </w:rPr>
          <w:fldChar w:fldCharType="begin"/>
        </w:r>
        <w:r>
          <w:rPr>
            <w:noProof/>
            <w:webHidden/>
          </w:rPr>
          <w:instrText xml:space="preserve"> PAGEREF _Toc216685972 \h </w:instrText>
        </w:r>
        <w:r>
          <w:rPr>
            <w:noProof/>
            <w:webHidden/>
          </w:rPr>
        </w:r>
        <w:r>
          <w:rPr>
            <w:noProof/>
            <w:webHidden/>
          </w:rPr>
          <w:fldChar w:fldCharType="separate"/>
        </w:r>
        <w:r>
          <w:rPr>
            <w:noProof/>
            <w:webHidden/>
          </w:rPr>
          <w:t>14</w:t>
        </w:r>
        <w:r>
          <w:rPr>
            <w:noProof/>
            <w:webHidden/>
          </w:rPr>
          <w:fldChar w:fldCharType="end"/>
        </w:r>
      </w:hyperlink>
    </w:p>
    <w:p w14:paraId="06EF5413" w14:textId="553F6564" w:rsidR="00D57CA4" w:rsidRDefault="00D57CA4">
      <w:pPr>
        <w:pStyle w:val="TableofFigures"/>
        <w:tabs>
          <w:tab w:val="right" w:leader="dot" w:pos="9350"/>
        </w:tabs>
        <w:rPr>
          <w:rFonts w:asciiTheme="minorHAnsi" w:eastAsiaTheme="minorEastAsia" w:hAnsiTheme="minorHAnsi"/>
          <w:noProof/>
        </w:rPr>
      </w:pPr>
      <w:hyperlink w:anchor="_Toc216685973" w:history="1">
        <w:r w:rsidRPr="00A36512">
          <w:rPr>
            <w:rStyle w:val="Hyperlink"/>
            <w:noProof/>
          </w:rPr>
          <w:t>Figure 10: HSBC Global Treasury Structure</w:t>
        </w:r>
        <w:r>
          <w:rPr>
            <w:noProof/>
            <w:webHidden/>
          </w:rPr>
          <w:tab/>
        </w:r>
        <w:r>
          <w:rPr>
            <w:noProof/>
            <w:webHidden/>
          </w:rPr>
          <w:fldChar w:fldCharType="begin"/>
        </w:r>
        <w:r>
          <w:rPr>
            <w:noProof/>
            <w:webHidden/>
          </w:rPr>
          <w:instrText xml:space="preserve"> PAGEREF _Toc216685973 \h </w:instrText>
        </w:r>
        <w:r>
          <w:rPr>
            <w:noProof/>
            <w:webHidden/>
          </w:rPr>
        </w:r>
        <w:r>
          <w:rPr>
            <w:noProof/>
            <w:webHidden/>
          </w:rPr>
          <w:fldChar w:fldCharType="separate"/>
        </w:r>
        <w:r>
          <w:rPr>
            <w:noProof/>
            <w:webHidden/>
          </w:rPr>
          <w:t>15</w:t>
        </w:r>
        <w:r>
          <w:rPr>
            <w:noProof/>
            <w:webHidden/>
          </w:rPr>
          <w:fldChar w:fldCharType="end"/>
        </w:r>
      </w:hyperlink>
    </w:p>
    <w:p w14:paraId="26790DD5" w14:textId="30256D72" w:rsidR="00D57CA4" w:rsidRDefault="00D57CA4">
      <w:pPr>
        <w:pStyle w:val="TableofFigures"/>
        <w:tabs>
          <w:tab w:val="right" w:leader="dot" w:pos="9350"/>
        </w:tabs>
        <w:rPr>
          <w:rFonts w:asciiTheme="minorHAnsi" w:eastAsiaTheme="minorEastAsia" w:hAnsiTheme="minorHAnsi"/>
          <w:noProof/>
        </w:rPr>
      </w:pPr>
      <w:hyperlink w:anchor="_Toc216685974" w:history="1">
        <w:r w:rsidRPr="00A36512">
          <w:rPr>
            <w:rStyle w:val="Hyperlink"/>
            <w:noProof/>
          </w:rPr>
          <w:t>Figure 11: Wholly owned subsidiaries</w:t>
        </w:r>
        <w:r>
          <w:rPr>
            <w:noProof/>
            <w:webHidden/>
          </w:rPr>
          <w:tab/>
        </w:r>
        <w:r>
          <w:rPr>
            <w:noProof/>
            <w:webHidden/>
          </w:rPr>
          <w:fldChar w:fldCharType="begin"/>
        </w:r>
        <w:r>
          <w:rPr>
            <w:noProof/>
            <w:webHidden/>
          </w:rPr>
          <w:instrText xml:space="preserve"> PAGEREF _Toc216685974 \h </w:instrText>
        </w:r>
        <w:r>
          <w:rPr>
            <w:noProof/>
            <w:webHidden/>
          </w:rPr>
        </w:r>
        <w:r>
          <w:rPr>
            <w:noProof/>
            <w:webHidden/>
          </w:rPr>
          <w:fldChar w:fldCharType="separate"/>
        </w:r>
        <w:r>
          <w:rPr>
            <w:noProof/>
            <w:webHidden/>
          </w:rPr>
          <w:t>16</w:t>
        </w:r>
        <w:r>
          <w:rPr>
            <w:noProof/>
            <w:webHidden/>
          </w:rPr>
          <w:fldChar w:fldCharType="end"/>
        </w:r>
      </w:hyperlink>
    </w:p>
    <w:p w14:paraId="0D146F50" w14:textId="26970AF2" w:rsidR="00D57CA4" w:rsidRDefault="00D57CA4">
      <w:pPr>
        <w:pStyle w:val="TableofFigures"/>
        <w:tabs>
          <w:tab w:val="right" w:leader="dot" w:pos="9350"/>
        </w:tabs>
        <w:rPr>
          <w:rFonts w:asciiTheme="minorHAnsi" w:eastAsiaTheme="minorEastAsia" w:hAnsiTheme="minorHAnsi"/>
          <w:noProof/>
        </w:rPr>
      </w:pPr>
      <w:hyperlink w:anchor="_Toc216685975" w:history="1">
        <w:r w:rsidRPr="00A36512">
          <w:rPr>
            <w:rStyle w:val="Hyperlink"/>
            <w:noProof/>
          </w:rPr>
          <w:t>Figure 12: Foreign Direct Investment Strategy</w:t>
        </w:r>
        <w:r>
          <w:rPr>
            <w:noProof/>
            <w:webHidden/>
          </w:rPr>
          <w:tab/>
        </w:r>
        <w:r>
          <w:rPr>
            <w:noProof/>
            <w:webHidden/>
          </w:rPr>
          <w:fldChar w:fldCharType="begin"/>
        </w:r>
        <w:r>
          <w:rPr>
            <w:noProof/>
            <w:webHidden/>
          </w:rPr>
          <w:instrText xml:space="preserve"> PAGEREF _Toc216685975 \h </w:instrText>
        </w:r>
        <w:r>
          <w:rPr>
            <w:noProof/>
            <w:webHidden/>
          </w:rPr>
        </w:r>
        <w:r>
          <w:rPr>
            <w:noProof/>
            <w:webHidden/>
          </w:rPr>
          <w:fldChar w:fldCharType="separate"/>
        </w:r>
        <w:r>
          <w:rPr>
            <w:noProof/>
            <w:webHidden/>
          </w:rPr>
          <w:t>16</w:t>
        </w:r>
        <w:r>
          <w:rPr>
            <w:noProof/>
            <w:webHidden/>
          </w:rPr>
          <w:fldChar w:fldCharType="end"/>
        </w:r>
      </w:hyperlink>
    </w:p>
    <w:p w14:paraId="63FEF5C0" w14:textId="075A0E0E" w:rsidR="00D57CA4" w:rsidRDefault="00D57CA4">
      <w:pPr>
        <w:pStyle w:val="TableofFigures"/>
        <w:tabs>
          <w:tab w:val="right" w:leader="dot" w:pos="9350"/>
        </w:tabs>
        <w:rPr>
          <w:rFonts w:asciiTheme="minorHAnsi" w:eastAsiaTheme="minorEastAsia" w:hAnsiTheme="minorHAnsi"/>
          <w:noProof/>
        </w:rPr>
      </w:pPr>
      <w:hyperlink w:anchor="_Toc216685976" w:history="1">
        <w:r w:rsidRPr="00A36512">
          <w:rPr>
            <w:rStyle w:val="Hyperlink"/>
            <w:noProof/>
          </w:rPr>
          <w:t>Figure 13: HSBC Brazil Market Exit</w:t>
        </w:r>
        <w:r>
          <w:rPr>
            <w:noProof/>
            <w:webHidden/>
          </w:rPr>
          <w:tab/>
        </w:r>
        <w:r>
          <w:rPr>
            <w:noProof/>
            <w:webHidden/>
          </w:rPr>
          <w:fldChar w:fldCharType="begin"/>
        </w:r>
        <w:r>
          <w:rPr>
            <w:noProof/>
            <w:webHidden/>
          </w:rPr>
          <w:instrText xml:space="preserve"> PAGEREF _Toc216685976 \h </w:instrText>
        </w:r>
        <w:r>
          <w:rPr>
            <w:noProof/>
            <w:webHidden/>
          </w:rPr>
        </w:r>
        <w:r>
          <w:rPr>
            <w:noProof/>
            <w:webHidden/>
          </w:rPr>
          <w:fldChar w:fldCharType="separate"/>
        </w:r>
        <w:r>
          <w:rPr>
            <w:noProof/>
            <w:webHidden/>
          </w:rPr>
          <w:t>17</w:t>
        </w:r>
        <w:r>
          <w:rPr>
            <w:noProof/>
            <w:webHidden/>
          </w:rPr>
          <w:fldChar w:fldCharType="end"/>
        </w:r>
      </w:hyperlink>
    </w:p>
    <w:p w14:paraId="4726AE9A" w14:textId="53741B67" w:rsidR="00D57CA4" w:rsidRDefault="00D57CA4">
      <w:pPr>
        <w:pStyle w:val="TableofFigures"/>
        <w:tabs>
          <w:tab w:val="right" w:leader="dot" w:pos="9350"/>
        </w:tabs>
        <w:rPr>
          <w:rFonts w:asciiTheme="minorHAnsi" w:eastAsiaTheme="minorEastAsia" w:hAnsiTheme="minorHAnsi"/>
          <w:noProof/>
        </w:rPr>
      </w:pPr>
      <w:hyperlink w:anchor="_Toc216685977" w:history="1">
        <w:r w:rsidRPr="00A36512">
          <w:rPr>
            <w:rStyle w:val="Hyperlink"/>
            <w:noProof/>
          </w:rPr>
          <w:t>Figure 14: HSBC in China–Hong Kong</w:t>
        </w:r>
        <w:r>
          <w:rPr>
            <w:noProof/>
            <w:webHidden/>
          </w:rPr>
          <w:tab/>
        </w:r>
        <w:r>
          <w:rPr>
            <w:noProof/>
            <w:webHidden/>
          </w:rPr>
          <w:fldChar w:fldCharType="begin"/>
        </w:r>
        <w:r>
          <w:rPr>
            <w:noProof/>
            <w:webHidden/>
          </w:rPr>
          <w:instrText xml:space="preserve"> PAGEREF _Toc216685977 \h </w:instrText>
        </w:r>
        <w:r>
          <w:rPr>
            <w:noProof/>
            <w:webHidden/>
          </w:rPr>
        </w:r>
        <w:r>
          <w:rPr>
            <w:noProof/>
            <w:webHidden/>
          </w:rPr>
          <w:fldChar w:fldCharType="separate"/>
        </w:r>
        <w:r>
          <w:rPr>
            <w:noProof/>
            <w:webHidden/>
          </w:rPr>
          <w:t>18</w:t>
        </w:r>
        <w:r>
          <w:rPr>
            <w:noProof/>
            <w:webHidden/>
          </w:rPr>
          <w:fldChar w:fldCharType="end"/>
        </w:r>
      </w:hyperlink>
    </w:p>
    <w:p w14:paraId="32051A58" w14:textId="08ECBD6E" w:rsidR="00D57CA4" w:rsidRDefault="00D57CA4">
      <w:pPr>
        <w:pStyle w:val="TableofFigures"/>
        <w:tabs>
          <w:tab w:val="right" w:leader="dot" w:pos="9350"/>
        </w:tabs>
        <w:rPr>
          <w:rFonts w:asciiTheme="minorHAnsi" w:eastAsiaTheme="minorEastAsia" w:hAnsiTheme="minorHAnsi"/>
          <w:noProof/>
        </w:rPr>
      </w:pPr>
      <w:hyperlink w:anchor="_Toc216685978" w:history="1">
        <w:r w:rsidRPr="00A36512">
          <w:rPr>
            <w:rStyle w:val="Hyperlink"/>
            <w:noProof/>
          </w:rPr>
          <w:t>Figure 15: HSBC United States Presence</w:t>
        </w:r>
        <w:r>
          <w:rPr>
            <w:noProof/>
            <w:webHidden/>
          </w:rPr>
          <w:tab/>
        </w:r>
        <w:r>
          <w:rPr>
            <w:noProof/>
            <w:webHidden/>
          </w:rPr>
          <w:fldChar w:fldCharType="begin"/>
        </w:r>
        <w:r>
          <w:rPr>
            <w:noProof/>
            <w:webHidden/>
          </w:rPr>
          <w:instrText xml:space="preserve"> PAGEREF _Toc216685978 \h </w:instrText>
        </w:r>
        <w:r>
          <w:rPr>
            <w:noProof/>
            <w:webHidden/>
          </w:rPr>
        </w:r>
        <w:r>
          <w:rPr>
            <w:noProof/>
            <w:webHidden/>
          </w:rPr>
          <w:fldChar w:fldCharType="separate"/>
        </w:r>
        <w:r>
          <w:rPr>
            <w:noProof/>
            <w:webHidden/>
          </w:rPr>
          <w:t>19</w:t>
        </w:r>
        <w:r>
          <w:rPr>
            <w:noProof/>
            <w:webHidden/>
          </w:rPr>
          <w:fldChar w:fldCharType="end"/>
        </w:r>
      </w:hyperlink>
    </w:p>
    <w:p w14:paraId="08D077FD" w14:textId="16A50C28" w:rsidR="00D57CA4" w:rsidRDefault="00D57CA4">
      <w:pPr>
        <w:pStyle w:val="TableofFigures"/>
        <w:tabs>
          <w:tab w:val="right" w:leader="dot" w:pos="9350"/>
        </w:tabs>
        <w:rPr>
          <w:rFonts w:asciiTheme="minorHAnsi" w:eastAsiaTheme="minorEastAsia" w:hAnsiTheme="minorHAnsi"/>
          <w:noProof/>
        </w:rPr>
      </w:pPr>
      <w:hyperlink w:anchor="_Toc216685979" w:history="1">
        <w:r w:rsidRPr="00A36512">
          <w:rPr>
            <w:rStyle w:val="Hyperlink"/>
            <w:noProof/>
          </w:rPr>
          <w:t>Figure 16: Risk Diversification and Stability</w:t>
        </w:r>
        <w:r>
          <w:rPr>
            <w:noProof/>
            <w:webHidden/>
          </w:rPr>
          <w:tab/>
        </w:r>
        <w:r>
          <w:rPr>
            <w:noProof/>
            <w:webHidden/>
          </w:rPr>
          <w:fldChar w:fldCharType="begin"/>
        </w:r>
        <w:r>
          <w:rPr>
            <w:noProof/>
            <w:webHidden/>
          </w:rPr>
          <w:instrText xml:space="preserve"> PAGEREF _Toc216685979 \h </w:instrText>
        </w:r>
        <w:r>
          <w:rPr>
            <w:noProof/>
            <w:webHidden/>
          </w:rPr>
        </w:r>
        <w:r>
          <w:rPr>
            <w:noProof/>
            <w:webHidden/>
          </w:rPr>
          <w:fldChar w:fldCharType="separate"/>
        </w:r>
        <w:r>
          <w:rPr>
            <w:noProof/>
            <w:webHidden/>
          </w:rPr>
          <w:t>20</w:t>
        </w:r>
        <w:r>
          <w:rPr>
            <w:noProof/>
            <w:webHidden/>
          </w:rPr>
          <w:fldChar w:fldCharType="end"/>
        </w:r>
      </w:hyperlink>
    </w:p>
    <w:p w14:paraId="4097EC78" w14:textId="4BC4BF43" w:rsidR="00D57CA4" w:rsidRDefault="00D57CA4">
      <w:pPr>
        <w:pStyle w:val="TableofFigures"/>
        <w:tabs>
          <w:tab w:val="right" w:leader="dot" w:pos="9350"/>
        </w:tabs>
        <w:rPr>
          <w:rFonts w:asciiTheme="minorHAnsi" w:eastAsiaTheme="minorEastAsia" w:hAnsiTheme="minorHAnsi"/>
          <w:noProof/>
        </w:rPr>
      </w:pPr>
      <w:hyperlink w:anchor="_Toc216685980" w:history="1">
        <w:r w:rsidRPr="00A36512">
          <w:rPr>
            <w:rStyle w:val="Hyperlink"/>
            <w:noProof/>
          </w:rPr>
          <w:t>Figure 17: HSBC Emerging Markets Growth</w:t>
        </w:r>
        <w:r>
          <w:rPr>
            <w:noProof/>
            <w:webHidden/>
          </w:rPr>
          <w:tab/>
        </w:r>
        <w:r>
          <w:rPr>
            <w:noProof/>
            <w:webHidden/>
          </w:rPr>
          <w:fldChar w:fldCharType="begin"/>
        </w:r>
        <w:r>
          <w:rPr>
            <w:noProof/>
            <w:webHidden/>
          </w:rPr>
          <w:instrText xml:space="preserve"> PAGEREF _Toc216685980 \h </w:instrText>
        </w:r>
        <w:r>
          <w:rPr>
            <w:noProof/>
            <w:webHidden/>
          </w:rPr>
        </w:r>
        <w:r>
          <w:rPr>
            <w:noProof/>
            <w:webHidden/>
          </w:rPr>
          <w:fldChar w:fldCharType="separate"/>
        </w:r>
        <w:r>
          <w:rPr>
            <w:noProof/>
            <w:webHidden/>
          </w:rPr>
          <w:t>21</w:t>
        </w:r>
        <w:r>
          <w:rPr>
            <w:noProof/>
            <w:webHidden/>
          </w:rPr>
          <w:fldChar w:fldCharType="end"/>
        </w:r>
      </w:hyperlink>
    </w:p>
    <w:p w14:paraId="1F577CFB" w14:textId="17CAC09C" w:rsidR="00D57CA4" w:rsidRDefault="00D57CA4">
      <w:pPr>
        <w:pStyle w:val="TableofFigures"/>
        <w:tabs>
          <w:tab w:val="right" w:leader="dot" w:pos="9350"/>
        </w:tabs>
        <w:rPr>
          <w:rFonts w:asciiTheme="minorHAnsi" w:eastAsiaTheme="minorEastAsia" w:hAnsiTheme="minorHAnsi"/>
          <w:noProof/>
        </w:rPr>
      </w:pPr>
      <w:hyperlink w:anchor="_Toc216685981" w:history="1">
        <w:r w:rsidRPr="00A36512">
          <w:rPr>
            <w:rStyle w:val="Hyperlink"/>
            <w:noProof/>
          </w:rPr>
          <w:t>Figure 18: Glocalisation Strategy</w:t>
        </w:r>
        <w:r>
          <w:rPr>
            <w:noProof/>
            <w:webHidden/>
          </w:rPr>
          <w:tab/>
        </w:r>
        <w:r>
          <w:rPr>
            <w:noProof/>
            <w:webHidden/>
          </w:rPr>
          <w:fldChar w:fldCharType="begin"/>
        </w:r>
        <w:r>
          <w:rPr>
            <w:noProof/>
            <w:webHidden/>
          </w:rPr>
          <w:instrText xml:space="preserve"> PAGEREF _Toc216685981 \h </w:instrText>
        </w:r>
        <w:r>
          <w:rPr>
            <w:noProof/>
            <w:webHidden/>
          </w:rPr>
        </w:r>
        <w:r>
          <w:rPr>
            <w:noProof/>
            <w:webHidden/>
          </w:rPr>
          <w:fldChar w:fldCharType="separate"/>
        </w:r>
        <w:r>
          <w:rPr>
            <w:noProof/>
            <w:webHidden/>
          </w:rPr>
          <w:t>22</w:t>
        </w:r>
        <w:r>
          <w:rPr>
            <w:noProof/>
            <w:webHidden/>
          </w:rPr>
          <w:fldChar w:fldCharType="end"/>
        </w:r>
      </w:hyperlink>
    </w:p>
    <w:p w14:paraId="7A62644C" w14:textId="721070B6" w:rsidR="00D57CA4" w:rsidRDefault="00D57CA4">
      <w:pPr>
        <w:pStyle w:val="TableofFigures"/>
        <w:tabs>
          <w:tab w:val="right" w:leader="dot" w:pos="9350"/>
        </w:tabs>
        <w:rPr>
          <w:rFonts w:asciiTheme="minorHAnsi" w:eastAsiaTheme="minorEastAsia" w:hAnsiTheme="minorHAnsi"/>
          <w:noProof/>
        </w:rPr>
      </w:pPr>
      <w:hyperlink w:anchor="_Toc216685982" w:history="1">
        <w:r w:rsidRPr="00A36512">
          <w:rPr>
            <w:rStyle w:val="Hyperlink"/>
            <w:noProof/>
          </w:rPr>
          <w:t>Figure 19: OLI Paradigm Framework</w:t>
        </w:r>
        <w:r>
          <w:rPr>
            <w:noProof/>
            <w:webHidden/>
          </w:rPr>
          <w:tab/>
        </w:r>
        <w:r>
          <w:rPr>
            <w:noProof/>
            <w:webHidden/>
          </w:rPr>
          <w:fldChar w:fldCharType="begin"/>
        </w:r>
        <w:r>
          <w:rPr>
            <w:noProof/>
            <w:webHidden/>
          </w:rPr>
          <w:instrText xml:space="preserve"> PAGEREF _Toc216685982 \h </w:instrText>
        </w:r>
        <w:r>
          <w:rPr>
            <w:noProof/>
            <w:webHidden/>
          </w:rPr>
        </w:r>
        <w:r>
          <w:rPr>
            <w:noProof/>
            <w:webHidden/>
          </w:rPr>
          <w:fldChar w:fldCharType="separate"/>
        </w:r>
        <w:r>
          <w:rPr>
            <w:noProof/>
            <w:webHidden/>
          </w:rPr>
          <w:t>23</w:t>
        </w:r>
        <w:r>
          <w:rPr>
            <w:noProof/>
            <w:webHidden/>
          </w:rPr>
          <w:fldChar w:fldCharType="end"/>
        </w:r>
      </w:hyperlink>
    </w:p>
    <w:p w14:paraId="2BAEC3E0" w14:textId="352F341B" w:rsidR="00D57CA4" w:rsidRDefault="00D57CA4">
      <w:pPr>
        <w:pStyle w:val="TableofFigures"/>
        <w:tabs>
          <w:tab w:val="right" w:leader="dot" w:pos="9350"/>
        </w:tabs>
        <w:rPr>
          <w:rFonts w:asciiTheme="minorHAnsi" w:eastAsiaTheme="minorEastAsia" w:hAnsiTheme="minorHAnsi"/>
          <w:noProof/>
        </w:rPr>
      </w:pPr>
      <w:hyperlink w:anchor="_Toc216685983" w:history="1">
        <w:r w:rsidRPr="00A36512">
          <w:rPr>
            <w:rStyle w:val="Hyperlink"/>
            <w:noProof/>
          </w:rPr>
          <w:t>Figure 20: HSBC Ownership Advantages Brazil</w:t>
        </w:r>
        <w:r>
          <w:rPr>
            <w:noProof/>
            <w:webHidden/>
          </w:rPr>
          <w:tab/>
        </w:r>
        <w:r>
          <w:rPr>
            <w:noProof/>
            <w:webHidden/>
          </w:rPr>
          <w:fldChar w:fldCharType="begin"/>
        </w:r>
        <w:r>
          <w:rPr>
            <w:noProof/>
            <w:webHidden/>
          </w:rPr>
          <w:instrText xml:space="preserve"> PAGEREF _Toc216685983 \h </w:instrText>
        </w:r>
        <w:r>
          <w:rPr>
            <w:noProof/>
            <w:webHidden/>
          </w:rPr>
        </w:r>
        <w:r>
          <w:rPr>
            <w:noProof/>
            <w:webHidden/>
          </w:rPr>
          <w:fldChar w:fldCharType="separate"/>
        </w:r>
        <w:r>
          <w:rPr>
            <w:noProof/>
            <w:webHidden/>
          </w:rPr>
          <w:t>24</w:t>
        </w:r>
        <w:r>
          <w:rPr>
            <w:noProof/>
            <w:webHidden/>
          </w:rPr>
          <w:fldChar w:fldCharType="end"/>
        </w:r>
      </w:hyperlink>
    </w:p>
    <w:p w14:paraId="6A9D4369" w14:textId="57C68D7A" w:rsidR="00D57CA4" w:rsidRDefault="00D57CA4">
      <w:pPr>
        <w:pStyle w:val="TableofFigures"/>
        <w:tabs>
          <w:tab w:val="right" w:leader="dot" w:pos="9350"/>
        </w:tabs>
        <w:rPr>
          <w:rFonts w:asciiTheme="minorHAnsi" w:eastAsiaTheme="minorEastAsia" w:hAnsiTheme="minorHAnsi"/>
          <w:noProof/>
        </w:rPr>
      </w:pPr>
      <w:hyperlink w:anchor="_Toc216685984" w:history="1">
        <w:r w:rsidRPr="00A36512">
          <w:rPr>
            <w:rStyle w:val="Hyperlink"/>
            <w:noProof/>
          </w:rPr>
          <w:t>Figure 21: Brazilian Banking System Complexity</w:t>
        </w:r>
        <w:r>
          <w:rPr>
            <w:noProof/>
            <w:webHidden/>
          </w:rPr>
          <w:tab/>
        </w:r>
        <w:r>
          <w:rPr>
            <w:noProof/>
            <w:webHidden/>
          </w:rPr>
          <w:fldChar w:fldCharType="begin"/>
        </w:r>
        <w:r>
          <w:rPr>
            <w:noProof/>
            <w:webHidden/>
          </w:rPr>
          <w:instrText xml:space="preserve"> PAGEREF _Toc216685984 \h </w:instrText>
        </w:r>
        <w:r>
          <w:rPr>
            <w:noProof/>
            <w:webHidden/>
          </w:rPr>
        </w:r>
        <w:r>
          <w:rPr>
            <w:noProof/>
            <w:webHidden/>
          </w:rPr>
          <w:fldChar w:fldCharType="separate"/>
        </w:r>
        <w:r>
          <w:rPr>
            <w:noProof/>
            <w:webHidden/>
          </w:rPr>
          <w:t>25</w:t>
        </w:r>
        <w:r>
          <w:rPr>
            <w:noProof/>
            <w:webHidden/>
          </w:rPr>
          <w:fldChar w:fldCharType="end"/>
        </w:r>
      </w:hyperlink>
    </w:p>
    <w:p w14:paraId="2E300796" w14:textId="4C545890" w:rsidR="00D57CA4" w:rsidRDefault="00D57CA4">
      <w:pPr>
        <w:pStyle w:val="TableofFigures"/>
        <w:tabs>
          <w:tab w:val="right" w:leader="dot" w:pos="9350"/>
        </w:tabs>
        <w:rPr>
          <w:rFonts w:asciiTheme="minorHAnsi" w:eastAsiaTheme="minorEastAsia" w:hAnsiTheme="minorHAnsi"/>
          <w:noProof/>
        </w:rPr>
      </w:pPr>
      <w:hyperlink w:anchor="_Toc216685985" w:history="1">
        <w:r w:rsidRPr="00A36512">
          <w:rPr>
            <w:rStyle w:val="Hyperlink"/>
            <w:noProof/>
          </w:rPr>
          <w:t>Figure 22: Brazil Investment Banking Market Growth</w:t>
        </w:r>
        <w:r>
          <w:rPr>
            <w:noProof/>
            <w:webHidden/>
          </w:rPr>
          <w:tab/>
        </w:r>
        <w:r>
          <w:rPr>
            <w:noProof/>
            <w:webHidden/>
          </w:rPr>
          <w:fldChar w:fldCharType="begin"/>
        </w:r>
        <w:r>
          <w:rPr>
            <w:noProof/>
            <w:webHidden/>
          </w:rPr>
          <w:instrText xml:space="preserve"> PAGEREF _Toc216685985 \h </w:instrText>
        </w:r>
        <w:r>
          <w:rPr>
            <w:noProof/>
            <w:webHidden/>
          </w:rPr>
        </w:r>
        <w:r>
          <w:rPr>
            <w:noProof/>
            <w:webHidden/>
          </w:rPr>
          <w:fldChar w:fldCharType="separate"/>
        </w:r>
        <w:r>
          <w:rPr>
            <w:noProof/>
            <w:webHidden/>
          </w:rPr>
          <w:t>26</w:t>
        </w:r>
        <w:r>
          <w:rPr>
            <w:noProof/>
            <w:webHidden/>
          </w:rPr>
          <w:fldChar w:fldCharType="end"/>
        </w:r>
      </w:hyperlink>
    </w:p>
    <w:p w14:paraId="039FC350" w14:textId="6BDAD1B4" w:rsidR="00D57CA4" w:rsidRDefault="00D57CA4">
      <w:pPr>
        <w:pStyle w:val="TableofFigures"/>
        <w:tabs>
          <w:tab w:val="right" w:leader="dot" w:pos="9350"/>
        </w:tabs>
        <w:rPr>
          <w:rFonts w:asciiTheme="minorHAnsi" w:eastAsiaTheme="minorEastAsia" w:hAnsiTheme="minorHAnsi"/>
          <w:noProof/>
        </w:rPr>
      </w:pPr>
      <w:hyperlink w:anchor="_Toc216685986" w:history="1">
        <w:r w:rsidRPr="00A36512">
          <w:rPr>
            <w:rStyle w:val="Hyperlink"/>
            <w:noProof/>
          </w:rPr>
          <w:t>Figure 23: Brazil Banking Regulatory Environment</w:t>
        </w:r>
        <w:r>
          <w:rPr>
            <w:noProof/>
            <w:webHidden/>
          </w:rPr>
          <w:tab/>
        </w:r>
        <w:r>
          <w:rPr>
            <w:noProof/>
            <w:webHidden/>
          </w:rPr>
          <w:fldChar w:fldCharType="begin"/>
        </w:r>
        <w:r>
          <w:rPr>
            <w:noProof/>
            <w:webHidden/>
          </w:rPr>
          <w:instrText xml:space="preserve"> PAGEREF _Toc216685986 \h </w:instrText>
        </w:r>
        <w:r>
          <w:rPr>
            <w:noProof/>
            <w:webHidden/>
          </w:rPr>
        </w:r>
        <w:r>
          <w:rPr>
            <w:noProof/>
            <w:webHidden/>
          </w:rPr>
          <w:fldChar w:fldCharType="separate"/>
        </w:r>
        <w:r>
          <w:rPr>
            <w:noProof/>
            <w:webHidden/>
          </w:rPr>
          <w:t>27</w:t>
        </w:r>
        <w:r>
          <w:rPr>
            <w:noProof/>
            <w:webHidden/>
          </w:rPr>
          <w:fldChar w:fldCharType="end"/>
        </w:r>
      </w:hyperlink>
    </w:p>
    <w:p w14:paraId="231481EC" w14:textId="0EB209E3" w:rsidR="00D57CA4" w:rsidRDefault="00D57CA4">
      <w:pPr>
        <w:pStyle w:val="TableofFigures"/>
        <w:tabs>
          <w:tab w:val="right" w:leader="dot" w:pos="9350"/>
        </w:tabs>
        <w:rPr>
          <w:rFonts w:asciiTheme="minorHAnsi" w:eastAsiaTheme="minorEastAsia" w:hAnsiTheme="minorHAnsi"/>
          <w:noProof/>
        </w:rPr>
      </w:pPr>
      <w:hyperlink w:anchor="_Toc216685987" w:history="1">
        <w:r w:rsidRPr="00A36512">
          <w:rPr>
            <w:rStyle w:val="Hyperlink"/>
            <w:noProof/>
          </w:rPr>
          <w:t>Figure 24: Brazil Retail Banking Growth</w:t>
        </w:r>
        <w:r>
          <w:rPr>
            <w:noProof/>
            <w:webHidden/>
          </w:rPr>
          <w:tab/>
        </w:r>
        <w:r>
          <w:rPr>
            <w:noProof/>
            <w:webHidden/>
          </w:rPr>
          <w:fldChar w:fldCharType="begin"/>
        </w:r>
        <w:r>
          <w:rPr>
            <w:noProof/>
            <w:webHidden/>
          </w:rPr>
          <w:instrText xml:space="preserve"> PAGEREF _Toc216685987 \h </w:instrText>
        </w:r>
        <w:r>
          <w:rPr>
            <w:noProof/>
            <w:webHidden/>
          </w:rPr>
        </w:r>
        <w:r>
          <w:rPr>
            <w:noProof/>
            <w:webHidden/>
          </w:rPr>
          <w:fldChar w:fldCharType="separate"/>
        </w:r>
        <w:r>
          <w:rPr>
            <w:noProof/>
            <w:webHidden/>
          </w:rPr>
          <w:t>28</w:t>
        </w:r>
        <w:r>
          <w:rPr>
            <w:noProof/>
            <w:webHidden/>
          </w:rPr>
          <w:fldChar w:fldCharType="end"/>
        </w:r>
      </w:hyperlink>
    </w:p>
    <w:p w14:paraId="64C8F481" w14:textId="1CC14FB7" w:rsidR="00D57CA4" w:rsidRDefault="00D57CA4">
      <w:pPr>
        <w:pStyle w:val="TableofFigures"/>
        <w:tabs>
          <w:tab w:val="right" w:leader="dot" w:pos="9350"/>
        </w:tabs>
        <w:rPr>
          <w:rFonts w:asciiTheme="minorHAnsi" w:eastAsiaTheme="minorEastAsia" w:hAnsiTheme="minorHAnsi"/>
          <w:noProof/>
        </w:rPr>
      </w:pPr>
      <w:hyperlink w:anchor="_Toc216685988" w:history="1">
        <w:r w:rsidRPr="00A36512">
          <w:rPr>
            <w:rStyle w:val="Hyperlink"/>
            <w:noProof/>
          </w:rPr>
          <w:t>Figure 25: Brazil Institutional Investment Pressures</w:t>
        </w:r>
        <w:r>
          <w:rPr>
            <w:noProof/>
            <w:webHidden/>
          </w:rPr>
          <w:tab/>
        </w:r>
        <w:r>
          <w:rPr>
            <w:noProof/>
            <w:webHidden/>
          </w:rPr>
          <w:fldChar w:fldCharType="begin"/>
        </w:r>
        <w:r>
          <w:rPr>
            <w:noProof/>
            <w:webHidden/>
          </w:rPr>
          <w:instrText xml:space="preserve"> PAGEREF _Toc216685988 \h </w:instrText>
        </w:r>
        <w:r>
          <w:rPr>
            <w:noProof/>
            <w:webHidden/>
          </w:rPr>
        </w:r>
        <w:r>
          <w:rPr>
            <w:noProof/>
            <w:webHidden/>
          </w:rPr>
          <w:fldChar w:fldCharType="separate"/>
        </w:r>
        <w:r>
          <w:rPr>
            <w:noProof/>
            <w:webHidden/>
          </w:rPr>
          <w:t>29</w:t>
        </w:r>
        <w:r>
          <w:rPr>
            <w:noProof/>
            <w:webHidden/>
          </w:rPr>
          <w:fldChar w:fldCharType="end"/>
        </w:r>
      </w:hyperlink>
    </w:p>
    <w:p w14:paraId="0C58D46E" w14:textId="2BEE565B" w:rsidR="00D57CA4" w:rsidRDefault="00D57CA4">
      <w:pPr>
        <w:pStyle w:val="TableofFigures"/>
        <w:tabs>
          <w:tab w:val="right" w:leader="dot" w:pos="9350"/>
        </w:tabs>
        <w:rPr>
          <w:rFonts w:asciiTheme="minorHAnsi" w:eastAsiaTheme="minorEastAsia" w:hAnsiTheme="minorHAnsi"/>
          <w:noProof/>
        </w:rPr>
      </w:pPr>
      <w:hyperlink w:anchor="_Toc216685989" w:history="1">
        <w:r w:rsidRPr="00A36512">
          <w:rPr>
            <w:rStyle w:val="Hyperlink"/>
            <w:noProof/>
          </w:rPr>
          <w:t>Figure 26: Culturally Adapted Market Entry</w:t>
        </w:r>
        <w:r>
          <w:rPr>
            <w:noProof/>
            <w:webHidden/>
          </w:rPr>
          <w:tab/>
        </w:r>
        <w:r>
          <w:rPr>
            <w:noProof/>
            <w:webHidden/>
          </w:rPr>
          <w:fldChar w:fldCharType="begin"/>
        </w:r>
        <w:r>
          <w:rPr>
            <w:noProof/>
            <w:webHidden/>
          </w:rPr>
          <w:instrText xml:space="preserve"> PAGEREF _Toc216685989 \h </w:instrText>
        </w:r>
        <w:r>
          <w:rPr>
            <w:noProof/>
            <w:webHidden/>
          </w:rPr>
        </w:r>
        <w:r>
          <w:rPr>
            <w:noProof/>
            <w:webHidden/>
          </w:rPr>
          <w:fldChar w:fldCharType="separate"/>
        </w:r>
        <w:r>
          <w:rPr>
            <w:noProof/>
            <w:webHidden/>
          </w:rPr>
          <w:t>30</w:t>
        </w:r>
        <w:r>
          <w:rPr>
            <w:noProof/>
            <w:webHidden/>
          </w:rPr>
          <w:fldChar w:fldCharType="end"/>
        </w:r>
      </w:hyperlink>
    </w:p>
    <w:p w14:paraId="46DA3216" w14:textId="7CBF5ECA" w:rsidR="00D57CA4" w:rsidRDefault="00D57CA4">
      <w:pPr>
        <w:pStyle w:val="TableofFigures"/>
        <w:tabs>
          <w:tab w:val="right" w:leader="dot" w:pos="9350"/>
        </w:tabs>
        <w:rPr>
          <w:rFonts w:asciiTheme="minorHAnsi" w:eastAsiaTheme="minorEastAsia" w:hAnsiTheme="minorHAnsi"/>
          <w:noProof/>
        </w:rPr>
      </w:pPr>
      <w:hyperlink w:anchor="_Toc216685990" w:history="1">
        <w:r w:rsidRPr="00A36512">
          <w:rPr>
            <w:rStyle w:val="Hyperlink"/>
            <w:noProof/>
          </w:rPr>
          <w:t>Figure 27: Hofstede dimensions UK and Brazil</w:t>
        </w:r>
        <w:r>
          <w:rPr>
            <w:noProof/>
            <w:webHidden/>
          </w:rPr>
          <w:tab/>
        </w:r>
        <w:r>
          <w:rPr>
            <w:noProof/>
            <w:webHidden/>
          </w:rPr>
          <w:fldChar w:fldCharType="begin"/>
        </w:r>
        <w:r>
          <w:rPr>
            <w:noProof/>
            <w:webHidden/>
          </w:rPr>
          <w:instrText xml:space="preserve"> PAGEREF _Toc216685990 \h </w:instrText>
        </w:r>
        <w:r>
          <w:rPr>
            <w:noProof/>
            <w:webHidden/>
          </w:rPr>
        </w:r>
        <w:r>
          <w:rPr>
            <w:noProof/>
            <w:webHidden/>
          </w:rPr>
          <w:fldChar w:fldCharType="separate"/>
        </w:r>
        <w:r>
          <w:rPr>
            <w:noProof/>
            <w:webHidden/>
          </w:rPr>
          <w:t>31</w:t>
        </w:r>
        <w:r>
          <w:rPr>
            <w:noProof/>
            <w:webHidden/>
          </w:rPr>
          <w:fldChar w:fldCharType="end"/>
        </w:r>
      </w:hyperlink>
    </w:p>
    <w:p w14:paraId="3BC063B0" w14:textId="400E4A47" w:rsidR="00D57CA4" w:rsidRDefault="00D57CA4">
      <w:pPr>
        <w:pStyle w:val="TableofFigures"/>
        <w:tabs>
          <w:tab w:val="right" w:leader="dot" w:pos="9350"/>
        </w:tabs>
        <w:rPr>
          <w:rFonts w:asciiTheme="minorHAnsi" w:eastAsiaTheme="minorEastAsia" w:hAnsiTheme="minorHAnsi"/>
          <w:noProof/>
        </w:rPr>
      </w:pPr>
      <w:hyperlink w:anchor="_Toc216685991" w:history="1">
        <w:r w:rsidRPr="00A36512">
          <w:rPr>
            <w:rStyle w:val="Hyperlink"/>
            <w:noProof/>
          </w:rPr>
          <w:t>Figure 28: Brazil Banking Competitive Intensity</w:t>
        </w:r>
        <w:r>
          <w:rPr>
            <w:noProof/>
            <w:webHidden/>
          </w:rPr>
          <w:tab/>
        </w:r>
        <w:r>
          <w:rPr>
            <w:noProof/>
            <w:webHidden/>
          </w:rPr>
          <w:fldChar w:fldCharType="begin"/>
        </w:r>
        <w:r>
          <w:rPr>
            <w:noProof/>
            <w:webHidden/>
          </w:rPr>
          <w:instrText xml:space="preserve"> PAGEREF _Toc216685991 \h </w:instrText>
        </w:r>
        <w:r>
          <w:rPr>
            <w:noProof/>
            <w:webHidden/>
          </w:rPr>
        </w:r>
        <w:r>
          <w:rPr>
            <w:noProof/>
            <w:webHidden/>
          </w:rPr>
          <w:fldChar w:fldCharType="separate"/>
        </w:r>
        <w:r>
          <w:rPr>
            <w:noProof/>
            <w:webHidden/>
          </w:rPr>
          <w:t>32</w:t>
        </w:r>
        <w:r>
          <w:rPr>
            <w:noProof/>
            <w:webHidden/>
          </w:rPr>
          <w:fldChar w:fldCharType="end"/>
        </w:r>
      </w:hyperlink>
    </w:p>
    <w:p w14:paraId="5EBD2DC7" w14:textId="7CCDBEC1" w:rsidR="00D57CA4" w:rsidRDefault="00D57CA4">
      <w:pPr>
        <w:pStyle w:val="TableofFigures"/>
        <w:tabs>
          <w:tab w:val="right" w:leader="dot" w:pos="9350"/>
        </w:tabs>
        <w:rPr>
          <w:rFonts w:asciiTheme="minorHAnsi" w:eastAsiaTheme="minorEastAsia" w:hAnsiTheme="minorHAnsi"/>
          <w:noProof/>
        </w:rPr>
      </w:pPr>
      <w:hyperlink w:anchor="_Toc216685992" w:history="1">
        <w:r w:rsidRPr="00A36512">
          <w:rPr>
            <w:rStyle w:val="Hyperlink"/>
            <w:noProof/>
          </w:rPr>
          <w:t>Figure 29: HSBC Governance Structure Simplification</w:t>
        </w:r>
        <w:r>
          <w:rPr>
            <w:noProof/>
            <w:webHidden/>
          </w:rPr>
          <w:tab/>
        </w:r>
        <w:r>
          <w:rPr>
            <w:noProof/>
            <w:webHidden/>
          </w:rPr>
          <w:fldChar w:fldCharType="begin"/>
        </w:r>
        <w:r>
          <w:rPr>
            <w:noProof/>
            <w:webHidden/>
          </w:rPr>
          <w:instrText xml:space="preserve"> PAGEREF _Toc216685992 \h </w:instrText>
        </w:r>
        <w:r>
          <w:rPr>
            <w:noProof/>
            <w:webHidden/>
          </w:rPr>
        </w:r>
        <w:r>
          <w:rPr>
            <w:noProof/>
            <w:webHidden/>
          </w:rPr>
          <w:fldChar w:fldCharType="separate"/>
        </w:r>
        <w:r>
          <w:rPr>
            <w:noProof/>
            <w:webHidden/>
          </w:rPr>
          <w:t>33</w:t>
        </w:r>
        <w:r>
          <w:rPr>
            <w:noProof/>
            <w:webHidden/>
          </w:rPr>
          <w:fldChar w:fldCharType="end"/>
        </w:r>
      </w:hyperlink>
    </w:p>
    <w:p w14:paraId="1A921924" w14:textId="554EB4A4" w:rsidR="00D57CA4" w:rsidRDefault="00D57CA4">
      <w:pPr>
        <w:pStyle w:val="TableofFigures"/>
        <w:tabs>
          <w:tab w:val="right" w:leader="dot" w:pos="9350"/>
        </w:tabs>
        <w:rPr>
          <w:rFonts w:asciiTheme="minorHAnsi" w:eastAsiaTheme="minorEastAsia" w:hAnsiTheme="minorHAnsi"/>
          <w:noProof/>
        </w:rPr>
      </w:pPr>
      <w:hyperlink w:anchor="_Toc216685993" w:history="1">
        <w:r w:rsidRPr="00A36512">
          <w:rPr>
            <w:rStyle w:val="Hyperlink"/>
            <w:noProof/>
          </w:rPr>
          <w:t>Figure 30: HSBC Brazil Export Finance</w:t>
        </w:r>
        <w:r>
          <w:rPr>
            <w:noProof/>
            <w:webHidden/>
          </w:rPr>
          <w:tab/>
        </w:r>
        <w:r>
          <w:rPr>
            <w:noProof/>
            <w:webHidden/>
          </w:rPr>
          <w:fldChar w:fldCharType="begin"/>
        </w:r>
        <w:r>
          <w:rPr>
            <w:noProof/>
            <w:webHidden/>
          </w:rPr>
          <w:instrText xml:space="preserve"> PAGEREF _Toc216685993 \h </w:instrText>
        </w:r>
        <w:r>
          <w:rPr>
            <w:noProof/>
            <w:webHidden/>
          </w:rPr>
        </w:r>
        <w:r>
          <w:rPr>
            <w:noProof/>
            <w:webHidden/>
          </w:rPr>
          <w:fldChar w:fldCharType="separate"/>
        </w:r>
        <w:r>
          <w:rPr>
            <w:noProof/>
            <w:webHidden/>
          </w:rPr>
          <w:t>34</w:t>
        </w:r>
        <w:r>
          <w:rPr>
            <w:noProof/>
            <w:webHidden/>
          </w:rPr>
          <w:fldChar w:fldCharType="end"/>
        </w:r>
      </w:hyperlink>
    </w:p>
    <w:p w14:paraId="71DB387E" w14:textId="67988748" w:rsidR="00D57CA4" w:rsidRDefault="00D57CA4">
      <w:pPr>
        <w:pStyle w:val="TableofFigures"/>
        <w:tabs>
          <w:tab w:val="right" w:leader="dot" w:pos="9350"/>
        </w:tabs>
        <w:rPr>
          <w:rFonts w:asciiTheme="minorHAnsi" w:eastAsiaTheme="minorEastAsia" w:hAnsiTheme="minorHAnsi"/>
          <w:noProof/>
        </w:rPr>
      </w:pPr>
      <w:hyperlink w:anchor="_Toc216685994" w:history="1">
        <w:r w:rsidRPr="00A36512">
          <w:rPr>
            <w:rStyle w:val="Hyperlink"/>
            <w:noProof/>
          </w:rPr>
          <w:t>Figure 31: Service expectations, SOP discipline, and trust</w:t>
        </w:r>
        <w:r>
          <w:rPr>
            <w:noProof/>
            <w:webHidden/>
          </w:rPr>
          <w:tab/>
        </w:r>
        <w:r>
          <w:rPr>
            <w:noProof/>
            <w:webHidden/>
          </w:rPr>
          <w:fldChar w:fldCharType="begin"/>
        </w:r>
        <w:r>
          <w:rPr>
            <w:noProof/>
            <w:webHidden/>
          </w:rPr>
          <w:instrText xml:space="preserve"> PAGEREF _Toc216685994 \h </w:instrText>
        </w:r>
        <w:r>
          <w:rPr>
            <w:noProof/>
            <w:webHidden/>
          </w:rPr>
        </w:r>
        <w:r>
          <w:rPr>
            <w:noProof/>
            <w:webHidden/>
          </w:rPr>
          <w:fldChar w:fldCharType="separate"/>
        </w:r>
        <w:r>
          <w:rPr>
            <w:noProof/>
            <w:webHidden/>
          </w:rPr>
          <w:t>35</w:t>
        </w:r>
        <w:r>
          <w:rPr>
            <w:noProof/>
            <w:webHidden/>
          </w:rPr>
          <w:fldChar w:fldCharType="end"/>
        </w:r>
      </w:hyperlink>
    </w:p>
    <w:p w14:paraId="02131F61" w14:textId="24DA8B19" w:rsidR="00D57CA4" w:rsidRDefault="00D57CA4">
      <w:pPr>
        <w:pStyle w:val="TableofFigures"/>
        <w:tabs>
          <w:tab w:val="right" w:leader="dot" w:pos="9350"/>
        </w:tabs>
        <w:rPr>
          <w:rFonts w:asciiTheme="minorHAnsi" w:eastAsiaTheme="minorEastAsia" w:hAnsiTheme="minorHAnsi"/>
          <w:noProof/>
        </w:rPr>
      </w:pPr>
      <w:hyperlink w:anchor="_Toc216685995" w:history="1">
        <w:r w:rsidRPr="00A36512">
          <w:rPr>
            <w:rStyle w:val="Hyperlink"/>
            <w:noProof/>
          </w:rPr>
          <w:t>Figure 32: Risk culture and compliance effectiveness</w:t>
        </w:r>
        <w:r>
          <w:rPr>
            <w:noProof/>
            <w:webHidden/>
          </w:rPr>
          <w:tab/>
        </w:r>
        <w:r>
          <w:rPr>
            <w:noProof/>
            <w:webHidden/>
          </w:rPr>
          <w:fldChar w:fldCharType="begin"/>
        </w:r>
        <w:r>
          <w:rPr>
            <w:noProof/>
            <w:webHidden/>
          </w:rPr>
          <w:instrText xml:space="preserve"> PAGEREF _Toc216685995 \h </w:instrText>
        </w:r>
        <w:r>
          <w:rPr>
            <w:noProof/>
            <w:webHidden/>
          </w:rPr>
        </w:r>
        <w:r>
          <w:rPr>
            <w:noProof/>
            <w:webHidden/>
          </w:rPr>
          <w:fldChar w:fldCharType="separate"/>
        </w:r>
        <w:r>
          <w:rPr>
            <w:noProof/>
            <w:webHidden/>
          </w:rPr>
          <w:t>36</w:t>
        </w:r>
        <w:r>
          <w:rPr>
            <w:noProof/>
            <w:webHidden/>
          </w:rPr>
          <w:fldChar w:fldCharType="end"/>
        </w:r>
      </w:hyperlink>
    </w:p>
    <w:p w14:paraId="32A78B67" w14:textId="60D2EEE0" w:rsidR="00D57CA4" w:rsidRDefault="00D57CA4">
      <w:pPr>
        <w:pStyle w:val="TableofFigures"/>
        <w:tabs>
          <w:tab w:val="right" w:leader="dot" w:pos="9350"/>
        </w:tabs>
        <w:rPr>
          <w:rFonts w:asciiTheme="minorHAnsi" w:eastAsiaTheme="minorEastAsia" w:hAnsiTheme="minorHAnsi"/>
          <w:noProof/>
        </w:rPr>
      </w:pPr>
      <w:hyperlink w:anchor="_Toc216685996" w:history="1">
        <w:r w:rsidRPr="00A36512">
          <w:rPr>
            <w:rStyle w:val="Hyperlink"/>
            <w:noProof/>
          </w:rPr>
          <w:t>Figure 33: Strategic sustainability and the risk of misfit</w:t>
        </w:r>
        <w:r>
          <w:rPr>
            <w:noProof/>
            <w:webHidden/>
          </w:rPr>
          <w:tab/>
        </w:r>
        <w:r>
          <w:rPr>
            <w:noProof/>
            <w:webHidden/>
          </w:rPr>
          <w:fldChar w:fldCharType="begin"/>
        </w:r>
        <w:r>
          <w:rPr>
            <w:noProof/>
            <w:webHidden/>
          </w:rPr>
          <w:instrText xml:space="preserve"> PAGEREF _Toc216685996 \h </w:instrText>
        </w:r>
        <w:r>
          <w:rPr>
            <w:noProof/>
            <w:webHidden/>
          </w:rPr>
        </w:r>
        <w:r>
          <w:rPr>
            <w:noProof/>
            <w:webHidden/>
          </w:rPr>
          <w:fldChar w:fldCharType="separate"/>
        </w:r>
        <w:r>
          <w:rPr>
            <w:noProof/>
            <w:webHidden/>
          </w:rPr>
          <w:t>37</w:t>
        </w:r>
        <w:r>
          <w:rPr>
            <w:noProof/>
            <w:webHidden/>
          </w:rPr>
          <w:fldChar w:fldCharType="end"/>
        </w:r>
      </w:hyperlink>
    </w:p>
    <w:p w14:paraId="609BCCFA" w14:textId="31C4BA08" w:rsidR="00D57CA4" w:rsidRDefault="00D57CA4">
      <w:pPr>
        <w:pStyle w:val="TableofFigures"/>
        <w:tabs>
          <w:tab w:val="right" w:leader="dot" w:pos="9350"/>
        </w:tabs>
        <w:rPr>
          <w:rFonts w:asciiTheme="minorHAnsi" w:eastAsiaTheme="minorEastAsia" w:hAnsiTheme="minorHAnsi"/>
          <w:noProof/>
        </w:rPr>
      </w:pPr>
      <w:hyperlink w:anchor="_Toc216685997" w:history="1">
        <w:r w:rsidRPr="00A36512">
          <w:rPr>
            <w:rStyle w:val="Hyperlink"/>
            <w:noProof/>
          </w:rPr>
          <w:t>Figure 34: SOP Localisation and Governance</w:t>
        </w:r>
        <w:r>
          <w:rPr>
            <w:noProof/>
            <w:webHidden/>
          </w:rPr>
          <w:tab/>
        </w:r>
        <w:r>
          <w:rPr>
            <w:noProof/>
            <w:webHidden/>
          </w:rPr>
          <w:fldChar w:fldCharType="begin"/>
        </w:r>
        <w:r>
          <w:rPr>
            <w:noProof/>
            <w:webHidden/>
          </w:rPr>
          <w:instrText xml:space="preserve"> PAGEREF _Toc216685997 \h </w:instrText>
        </w:r>
        <w:r>
          <w:rPr>
            <w:noProof/>
            <w:webHidden/>
          </w:rPr>
        </w:r>
        <w:r>
          <w:rPr>
            <w:noProof/>
            <w:webHidden/>
          </w:rPr>
          <w:fldChar w:fldCharType="separate"/>
        </w:r>
        <w:r>
          <w:rPr>
            <w:noProof/>
            <w:webHidden/>
          </w:rPr>
          <w:t>38</w:t>
        </w:r>
        <w:r>
          <w:rPr>
            <w:noProof/>
            <w:webHidden/>
          </w:rPr>
          <w:fldChar w:fldCharType="end"/>
        </w:r>
      </w:hyperlink>
    </w:p>
    <w:p w14:paraId="54138C81" w14:textId="1910B6E0" w:rsidR="00D57CA4" w:rsidRDefault="00D57CA4">
      <w:pPr>
        <w:pStyle w:val="TableofFigures"/>
        <w:tabs>
          <w:tab w:val="right" w:leader="dot" w:pos="9350"/>
        </w:tabs>
        <w:rPr>
          <w:rFonts w:asciiTheme="minorHAnsi" w:eastAsiaTheme="minorEastAsia" w:hAnsiTheme="minorHAnsi"/>
          <w:noProof/>
        </w:rPr>
      </w:pPr>
      <w:hyperlink w:anchor="_Toc216685998" w:history="1">
        <w:r w:rsidRPr="00A36512">
          <w:rPr>
            <w:rStyle w:val="Hyperlink"/>
            <w:noProof/>
          </w:rPr>
          <w:t>Figure 35: Hierarchical Governance and Accountability</w:t>
        </w:r>
        <w:r>
          <w:rPr>
            <w:noProof/>
            <w:webHidden/>
          </w:rPr>
          <w:tab/>
        </w:r>
        <w:r>
          <w:rPr>
            <w:noProof/>
            <w:webHidden/>
          </w:rPr>
          <w:fldChar w:fldCharType="begin"/>
        </w:r>
        <w:r>
          <w:rPr>
            <w:noProof/>
            <w:webHidden/>
          </w:rPr>
          <w:instrText xml:space="preserve"> PAGEREF _Toc216685998 \h </w:instrText>
        </w:r>
        <w:r>
          <w:rPr>
            <w:noProof/>
            <w:webHidden/>
          </w:rPr>
        </w:r>
        <w:r>
          <w:rPr>
            <w:noProof/>
            <w:webHidden/>
          </w:rPr>
          <w:fldChar w:fldCharType="separate"/>
        </w:r>
        <w:r>
          <w:rPr>
            <w:noProof/>
            <w:webHidden/>
          </w:rPr>
          <w:t>39</w:t>
        </w:r>
        <w:r>
          <w:rPr>
            <w:noProof/>
            <w:webHidden/>
          </w:rPr>
          <w:fldChar w:fldCharType="end"/>
        </w:r>
      </w:hyperlink>
    </w:p>
    <w:p w14:paraId="0D020A1B" w14:textId="29F27B74" w:rsidR="00D57CA4" w:rsidRDefault="00D57CA4">
      <w:pPr>
        <w:pStyle w:val="TableofFigures"/>
        <w:tabs>
          <w:tab w:val="right" w:leader="dot" w:pos="9350"/>
        </w:tabs>
        <w:rPr>
          <w:rFonts w:asciiTheme="minorHAnsi" w:eastAsiaTheme="minorEastAsia" w:hAnsiTheme="minorHAnsi"/>
          <w:noProof/>
        </w:rPr>
      </w:pPr>
      <w:hyperlink w:anchor="_Toc216685999" w:history="1">
        <w:r w:rsidRPr="00A36512">
          <w:rPr>
            <w:rStyle w:val="Hyperlink"/>
            <w:noProof/>
          </w:rPr>
          <w:t>Figure 36: Balancing global control with local legitimacy</w:t>
        </w:r>
        <w:r>
          <w:rPr>
            <w:noProof/>
            <w:webHidden/>
          </w:rPr>
          <w:tab/>
        </w:r>
        <w:r>
          <w:rPr>
            <w:noProof/>
            <w:webHidden/>
          </w:rPr>
          <w:fldChar w:fldCharType="begin"/>
        </w:r>
        <w:r>
          <w:rPr>
            <w:noProof/>
            <w:webHidden/>
          </w:rPr>
          <w:instrText xml:space="preserve"> PAGEREF _Toc216685999 \h </w:instrText>
        </w:r>
        <w:r>
          <w:rPr>
            <w:noProof/>
            <w:webHidden/>
          </w:rPr>
        </w:r>
        <w:r>
          <w:rPr>
            <w:noProof/>
            <w:webHidden/>
          </w:rPr>
          <w:fldChar w:fldCharType="separate"/>
        </w:r>
        <w:r>
          <w:rPr>
            <w:noProof/>
            <w:webHidden/>
          </w:rPr>
          <w:t>40</w:t>
        </w:r>
        <w:r>
          <w:rPr>
            <w:noProof/>
            <w:webHidden/>
          </w:rPr>
          <w:fldChar w:fldCharType="end"/>
        </w:r>
      </w:hyperlink>
    </w:p>
    <w:p w14:paraId="224A6E19" w14:textId="269DE4D9" w:rsidR="00D57CA4" w:rsidRDefault="00D57CA4">
      <w:pPr>
        <w:pStyle w:val="TableofFigures"/>
        <w:tabs>
          <w:tab w:val="right" w:leader="dot" w:pos="9350"/>
        </w:tabs>
        <w:rPr>
          <w:rFonts w:asciiTheme="minorHAnsi" w:eastAsiaTheme="minorEastAsia" w:hAnsiTheme="minorHAnsi"/>
          <w:noProof/>
        </w:rPr>
      </w:pPr>
      <w:hyperlink w:anchor="_Toc216686000" w:history="1">
        <w:r w:rsidRPr="00A36512">
          <w:rPr>
            <w:rStyle w:val="Hyperlink"/>
            <w:noProof/>
          </w:rPr>
          <w:t>Figure 37: Compliance Versus Risk Control</w:t>
        </w:r>
        <w:r>
          <w:rPr>
            <w:noProof/>
            <w:webHidden/>
          </w:rPr>
          <w:tab/>
        </w:r>
        <w:r>
          <w:rPr>
            <w:noProof/>
            <w:webHidden/>
          </w:rPr>
          <w:fldChar w:fldCharType="begin"/>
        </w:r>
        <w:r>
          <w:rPr>
            <w:noProof/>
            <w:webHidden/>
          </w:rPr>
          <w:instrText xml:space="preserve"> PAGEREF _Toc216686000 \h </w:instrText>
        </w:r>
        <w:r>
          <w:rPr>
            <w:noProof/>
            <w:webHidden/>
          </w:rPr>
        </w:r>
        <w:r>
          <w:rPr>
            <w:noProof/>
            <w:webHidden/>
          </w:rPr>
          <w:fldChar w:fldCharType="separate"/>
        </w:r>
        <w:r>
          <w:rPr>
            <w:noProof/>
            <w:webHidden/>
          </w:rPr>
          <w:t>41</w:t>
        </w:r>
        <w:r>
          <w:rPr>
            <w:noProof/>
            <w:webHidden/>
          </w:rPr>
          <w:fldChar w:fldCharType="end"/>
        </w:r>
      </w:hyperlink>
    </w:p>
    <w:p w14:paraId="1C6E8914" w14:textId="311EF8FE" w:rsidR="00D57CA4" w:rsidRDefault="00D57CA4">
      <w:pPr>
        <w:pStyle w:val="TableofFigures"/>
        <w:tabs>
          <w:tab w:val="right" w:leader="dot" w:pos="9350"/>
        </w:tabs>
        <w:rPr>
          <w:rFonts w:asciiTheme="minorHAnsi" w:eastAsiaTheme="minorEastAsia" w:hAnsiTheme="minorHAnsi"/>
          <w:noProof/>
        </w:rPr>
      </w:pPr>
      <w:hyperlink w:anchor="_Toc216686001" w:history="1">
        <w:r w:rsidRPr="00A36512">
          <w:rPr>
            <w:rStyle w:val="Hyperlink"/>
            <w:noProof/>
          </w:rPr>
          <w:t>Figure 38: Embedding compliance through supervision and training</w:t>
        </w:r>
        <w:r>
          <w:rPr>
            <w:noProof/>
            <w:webHidden/>
          </w:rPr>
          <w:tab/>
        </w:r>
        <w:r>
          <w:rPr>
            <w:noProof/>
            <w:webHidden/>
          </w:rPr>
          <w:fldChar w:fldCharType="begin"/>
        </w:r>
        <w:r>
          <w:rPr>
            <w:noProof/>
            <w:webHidden/>
          </w:rPr>
          <w:instrText xml:space="preserve"> PAGEREF _Toc216686001 \h </w:instrText>
        </w:r>
        <w:r>
          <w:rPr>
            <w:noProof/>
            <w:webHidden/>
          </w:rPr>
        </w:r>
        <w:r>
          <w:rPr>
            <w:noProof/>
            <w:webHidden/>
          </w:rPr>
          <w:fldChar w:fldCharType="separate"/>
        </w:r>
        <w:r>
          <w:rPr>
            <w:noProof/>
            <w:webHidden/>
          </w:rPr>
          <w:t>42</w:t>
        </w:r>
        <w:r>
          <w:rPr>
            <w:noProof/>
            <w:webHidden/>
          </w:rPr>
          <w:fldChar w:fldCharType="end"/>
        </w:r>
      </w:hyperlink>
    </w:p>
    <w:p w14:paraId="578D8F7E" w14:textId="7F08C2FC" w:rsidR="00D57CA4" w:rsidRDefault="00D57CA4">
      <w:pPr>
        <w:pStyle w:val="TableofFigures"/>
        <w:tabs>
          <w:tab w:val="right" w:leader="dot" w:pos="9350"/>
        </w:tabs>
        <w:rPr>
          <w:rFonts w:asciiTheme="minorHAnsi" w:eastAsiaTheme="minorEastAsia" w:hAnsiTheme="minorHAnsi"/>
          <w:noProof/>
        </w:rPr>
      </w:pPr>
      <w:hyperlink w:anchor="_Toc216686002" w:history="1">
        <w:r w:rsidRPr="00A36512">
          <w:rPr>
            <w:rStyle w:val="Hyperlink"/>
            <w:noProof/>
          </w:rPr>
          <w:t>Figure 39: Cultural Impact on Customer Engagement</w:t>
        </w:r>
        <w:r>
          <w:rPr>
            <w:noProof/>
            <w:webHidden/>
          </w:rPr>
          <w:tab/>
        </w:r>
        <w:r>
          <w:rPr>
            <w:noProof/>
            <w:webHidden/>
          </w:rPr>
          <w:fldChar w:fldCharType="begin"/>
        </w:r>
        <w:r>
          <w:rPr>
            <w:noProof/>
            <w:webHidden/>
          </w:rPr>
          <w:instrText xml:space="preserve"> PAGEREF _Toc216686002 \h </w:instrText>
        </w:r>
        <w:r>
          <w:rPr>
            <w:noProof/>
            <w:webHidden/>
          </w:rPr>
        </w:r>
        <w:r>
          <w:rPr>
            <w:noProof/>
            <w:webHidden/>
          </w:rPr>
          <w:fldChar w:fldCharType="separate"/>
        </w:r>
        <w:r>
          <w:rPr>
            <w:noProof/>
            <w:webHidden/>
          </w:rPr>
          <w:t>43</w:t>
        </w:r>
        <w:r>
          <w:rPr>
            <w:noProof/>
            <w:webHidden/>
          </w:rPr>
          <w:fldChar w:fldCharType="end"/>
        </w:r>
      </w:hyperlink>
    </w:p>
    <w:p w14:paraId="6CC6BCB2" w14:textId="76175DFB" w:rsidR="00D57CA4" w:rsidRDefault="00D57CA4">
      <w:pPr>
        <w:pStyle w:val="TableofFigures"/>
        <w:tabs>
          <w:tab w:val="right" w:leader="dot" w:pos="9350"/>
        </w:tabs>
        <w:rPr>
          <w:rFonts w:asciiTheme="minorHAnsi" w:eastAsiaTheme="minorEastAsia" w:hAnsiTheme="minorHAnsi"/>
          <w:noProof/>
        </w:rPr>
      </w:pPr>
      <w:hyperlink w:anchor="_Toc216686003" w:history="1">
        <w:r w:rsidRPr="00A36512">
          <w:rPr>
            <w:rStyle w:val="Hyperlink"/>
            <w:noProof/>
          </w:rPr>
          <w:t>Figure 40: Aligning SOPs with glocalisation strategy</w:t>
        </w:r>
        <w:r>
          <w:rPr>
            <w:noProof/>
            <w:webHidden/>
          </w:rPr>
          <w:tab/>
        </w:r>
        <w:r>
          <w:rPr>
            <w:noProof/>
            <w:webHidden/>
          </w:rPr>
          <w:fldChar w:fldCharType="begin"/>
        </w:r>
        <w:r>
          <w:rPr>
            <w:noProof/>
            <w:webHidden/>
          </w:rPr>
          <w:instrText xml:space="preserve"> PAGEREF _Toc216686003 \h </w:instrText>
        </w:r>
        <w:r>
          <w:rPr>
            <w:noProof/>
            <w:webHidden/>
          </w:rPr>
        </w:r>
        <w:r>
          <w:rPr>
            <w:noProof/>
            <w:webHidden/>
          </w:rPr>
          <w:fldChar w:fldCharType="separate"/>
        </w:r>
        <w:r>
          <w:rPr>
            <w:noProof/>
            <w:webHidden/>
          </w:rPr>
          <w:t>44</w:t>
        </w:r>
        <w:r>
          <w:rPr>
            <w:noProof/>
            <w:webHidden/>
          </w:rPr>
          <w:fldChar w:fldCharType="end"/>
        </w:r>
      </w:hyperlink>
    </w:p>
    <w:p w14:paraId="1F41F665" w14:textId="58DC6C29" w:rsidR="00D57CA4" w:rsidRDefault="00D57CA4">
      <w:pPr>
        <w:pStyle w:val="TableofFigures"/>
        <w:tabs>
          <w:tab w:val="right" w:leader="dot" w:pos="9350"/>
        </w:tabs>
        <w:rPr>
          <w:rFonts w:asciiTheme="minorHAnsi" w:eastAsiaTheme="minorEastAsia" w:hAnsiTheme="minorHAnsi"/>
          <w:noProof/>
        </w:rPr>
      </w:pPr>
      <w:hyperlink w:anchor="_Toc216686004" w:history="1">
        <w:r w:rsidRPr="00A36512">
          <w:rPr>
            <w:rStyle w:val="Hyperlink"/>
            <w:noProof/>
          </w:rPr>
          <w:t>Figure 41: Integration with OLI and Strategic Implications</w:t>
        </w:r>
        <w:r>
          <w:rPr>
            <w:noProof/>
            <w:webHidden/>
          </w:rPr>
          <w:tab/>
        </w:r>
        <w:r>
          <w:rPr>
            <w:noProof/>
            <w:webHidden/>
          </w:rPr>
          <w:fldChar w:fldCharType="begin"/>
        </w:r>
        <w:r>
          <w:rPr>
            <w:noProof/>
            <w:webHidden/>
          </w:rPr>
          <w:instrText xml:space="preserve"> PAGEREF _Toc216686004 \h </w:instrText>
        </w:r>
        <w:r>
          <w:rPr>
            <w:noProof/>
            <w:webHidden/>
          </w:rPr>
        </w:r>
        <w:r>
          <w:rPr>
            <w:noProof/>
            <w:webHidden/>
          </w:rPr>
          <w:fldChar w:fldCharType="separate"/>
        </w:r>
        <w:r>
          <w:rPr>
            <w:noProof/>
            <w:webHidden/>
          </w:rPr>
          <w:t>45</w:t>
        </w:r>
        <w:r>
          <w:rPr>
            <w:noProof/>
            <w:webHidden/>
          </w:rPr>
          <w:fldChar w:fldCharType="end"/>
        </w:r>
      </w:hyperlink>
    </w:p>
    <w:p w14:paraId="5BAEC0AC" w14:textId="409652BD" w:rsidR="005C42C7" w:rsidRDefault="005C42C7">
      <w:pPr>
        <w:rPr>
          <w:b/>
          <w:bCs/>
          <w:sz w:val="28"/>
          <w:szCs w:val="28"/>
        </w:rPr>
      </w:pPr>
      <w:r>
        <w:rPr>
          <w:b/>
          <w:bCs/>
          <w:sz w:val="28"/>
          <w:szCs w:val="28"/>
        </w:rPr>
        <w:fldChar w:fldCharType="end"/>
      </w:r>
    </w:p>
    <w:p w14:paraId="3CA03DEE" w14:textId="77777777" w:rsidR="00E21F18" w:rsidRDefault="00E21F18">
      <w:pPr>
        <w:rPr>
          <w:b/>
          <w:bCs/>
          <w:sz w:val="28"/>
          <w:szCs w:val="28"/>
        </w:rPr>
      </w:pPr>
    </w:p>
    <w:p w14:paraId="1AAD4330" w14:textId="77777777" w:rsidR="00E21F18" w:rsidRDefault="00E21F18">
      <w:pPr>
        <w:rPr>
          <w:b/>
          <w:bCs/>
          <w:sz w:val="28"/>
          <w:szCs w:val="28"/>
        </w:rPr>
      </w:pPr>
    </w:p>
    <w:p w14:paraId="418E117A" w14:textId="77777777" w:rsidR="00E21F18" w:rsidRDefault="00E21F18">
      <w:pPr>
        <w:rPr>
          <w:b/>
          <w:bCs/>
          <w:sz w:val="28"/>
          <w:szCs w:val="28"/>
        </w:rPr>
      </w:pPr>
    </w:p>
    <w:p w14:paraId="1FE839A9" w14:textId="77777777" w:rsidR="00E21F18" w:rsidRDefault="00E21F18">
      <w:pPr>
        <w:rPr>
          <w:b/>
          <w:bCs/>
          <w:sz w:val="28"/>
          <w:szCs w:val="28"/>
        </w:rPr>
      </w:pPr>
    </w:p>
    <w:p w14:paraId="27C16F59" w14:textId="77777777" w:rsidR="00E21F18" w:rsidRDefault="00E21F18">
      <w:pPr>
        <w:rPr>
          <w:b/>
          <w:bCs/>
          <w:sz w:val="28"/>
          <w:szCs w:val="28"/>
        </w:rPr>
      </w:pPr>
    </w:p>
    <w:p w14:paraId="28657BE4" w14:textId="77777777" w:rsidR="00E21F18" w:rsidRDefault="00E21F18">
      <w:pPr>
        <w:rPr>
          <w:b/>
          <w:bCs/>
          <w:sz w:val="28"/>
          <w:szCs w:val="28"/>
        </w:rPr>
      </w:pPr>
    </w:p>
    <w:p w14:paraId="59A3AE97" w14:textId="77777777" w:rsidR="00E21F18" w:rsidRDefault="00E21F18">
      <w:pPr>
        <w:rPr>
          <w:b/>
          <w:bCs/>
          <w:sz w:val="28"/>
          <w:szCs w:val="28"/>
        </w:rPr>
      </w:pPr>
    </w:p>
    <w:p w14:paraId="4A030197" w14:textId="77777777" w:rsidR="00E21F18" w:rsidRDefault="00E21F18">
      <w:pPr>
        <w:rPr>
          <w:b/>
          <w:bCs/>
          <w:sz w:val="28"/>
          <w:szCs w:val="28"/>
        </w:rPr>
      </w:pPr>
    </w:p>
    <w:p w14:paraId="4D37253C" w14:textId="77777777" w:rsidR="00E21F18" w:rsidRDefault="00E21F18">
      <w:pPr>
        <w:rPr>
          <w:b/>
          <w:bCs/>
          <w:sz w:val="28"/>
          <w:szCs w:val="28"/>
        </w:rPr>
      </w:pPr>
    </w:p>
    <w:p w14:paraId="239114D9" w14:textId="77777777" w:rsidR="004546CC" w:rsidRPr="00B770AB" w:rsidRDefault="004546CC">
      <w:pPr>
        <w:rPr>
          <w:b/>
          <w:bCs/>
          <w:sz w:val="28"/>
          <w:szCs w:val="28"/>
        </w:rPr>
      </w:pPr>
    </w:p>
    <w:p w14:paraId="6B5A6666" w14:textId="7CEB91B4" w:rsidR="00321690" w:rsidRPr="00321690" w:rsidRDefault="00321690" w:rsidP="00321690"/>
    <w:p w14:paraId="54BBE175" w14:textId="77777777" w:rsidR="00B03FF0" w:rsidRDefault="00B03FF0" w:rsidP="00E21F18"/>
    <w:p w14:paraId="7D66A9BB" w14:textId="53FF3823" w:rsidR="003F2998" w:rsidRPr="003F2998" w:rsidRDefault="003F2998" w:rsidP="003F2998">
      <w:pPr>
        <w:pStyle w:val="Heading1"/>
      </w:pPr>
      <w:bookmarkStart w:id="0" w:name="_Toc216685913"/>
      <w:r>
        <w:t xml:space="preserve">1. </w:t>
      </w:r>
      <w:r w:rsidRPr="003F2998">
        <w:t>Introduction</w:t>
      </w:r>
      <w:bookmarkEnd w:id="0"/>
    </w:p>
    <w:p w14:paraId="668A5867" w14:textId="45490D08" w:rsidR="003F2998" w:rsidRPr="003F2998" w:rsidRDefault="00051F20" w:rsidP="003F2998">
      <w:r w:rsidRPr="00051F20">
        <w:t>Within an increasing globalized financial environment, multinational banking institutions are required to carefully realign their international strategic structures vis-a-vis the economic, institutional and cultural dynamics of the host countries.</w:t>
      </w:r>
      <w:r w:rsidR="003F2998" w:rsidRPr="003F2998">
        <w:t xml:space="preserve"> </w:t>
      </w:r>
      <w:r w:rsidR="00343A37" w:rsidRPr="00343A37">
        <w:t>This report provides an in-depth discussion of international activities of HSBC Holdings plc, a leading and global banking and financial services organization, and its involvement with Brazil as an emerging economy.</w:t>
      </w:r>
      <w:r w:rsidR="003F2998" w:rsidRPr="003F2998">
        <w:t xml:space="preserve"> </w:t>
      </w:r>
      <w:r w:rsidR="0006346B" w:rsidRPr="0006346B">
        <w:t xml:space="preserve">Using the theory of multinational enterprise, the Ownership-Location-Internalisation (OLI) paradigm and cross-cultural frameworks, the report provides a critical analysis of HSBC's global value chain, market entry </w:t>
      </w:r>
      <w:r w:rsidR="001141F2" w:rsidRPr="0006346B">
        <w:t>versus</w:t>
      </w:r>
      <w:r w:rsidR="0006346B" w:rsidRPr="0006346B">
        <w:t xml:space="preserve"> operational challenges.</w:t>
      </w:r>
      <w:r w:rsidR="003F2998" w:rsidRPr="003F2998">
        <w:t xml:space="preserve"> </w:t>
      </w:r>
      <w:r w:rsidR="001141F2" w:rsidRPr="001141F2">
        <w:t>This research is especially sensitive to the impact of cultural and institutional variations in the United Kingdom and Brazil on strategic choices, organisational performance, and adaptation of the standard operating procedures that need to be made to ensure successful performance in new markets.</w:t>
      </w:r>
    </w:p>
    <w:p w14:paraId="28ABFA8E" w14:textId="5E4BD181" w:rsidR="0059676F" w:rsidRDefault="003F2998" w:rsidP="00401DF2">
      <w:pPr>
        <w:jc w:val="center"/>
      </w:pPr>
      <w:r>
        <w:rPr>
          <w:noProof/>
        </w:rPr>
        <w:drawing>
          <wp:inline distT="0" distB="0" distL="0" distR="0" wp14:anchorId="01BD37AA" wp14:editId="3B7FEB4B">
            <wp:extent cx="2848571" cy="1541030"/>
            <wp:effectExtent l="0" t="0" r="0" b="2540"/>
            <wp:docPr id="869888363" name="Picture 1" descr="HSBC Holdings PLC: Navigating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SBC Holdings PLC: Navigating th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8750" cy="1546537"/>
                    </a:xfrm>
                    <a:prstGeom prst="rect">
                      <a:avLst/>
                    </a:prstGeom>
                    <a:noFill/>
                    <a:ln>
                      <a:noFill/>
                    </a:ln>
                  </pic:spPr>
                </pic:pic>
              </a:graphicData>
            </a:graphic>
          </wp:inline>
        </w:drawing>
      </w:r>
    </w:p>
    <w:p w14:paraId="6F374985" w14:textId="79A39124" w:rsidR="0059676F" w:rsidRDefault="003F2998" w:rsidP="00401DF2">
      <w:pPr>
        <w:pStyle w:val="Caption"/>
      </w:pPr>
      <w:bookmarkStart w:id="1" w:name="_Toc216685964"/>
      <w:r>
        <w:t xml:space="preserve">Figure </w:t>
      </w:r>
      <w:r w:rsidR="00C3617A">
        <w:fldChar w:fldCharType="begin"/>
      </w:r>
      <w:r w:rsidR="00C3617A">
        <w:instrText xml:space="preserve"> SEQ Figure \* ARABIC </w:instrText>
      </w:r>
      <w:r w:rsidR="00C3617A">
        <w:fldChar w:fldCharType="separate"/>
      </w:r>
      <w:r w:rsidR="00C3617A">
        <w:rPr>
          <w:noProof/>
        </w:rPr>
        <w:t>1</w:t>
      </w:r>
      <w:r w:rsidR="00C3617A">
        <w:rPr>
          <w:noProof/>
        </w:rPr>
        <w:fldChar w:fldCharType="end"/>
      </w:r>
      <w:r>
        <w:t xml:space="preserve">: </w:t>
      </w:r>
      <w:r w:rsidRPr="00824103">
        <w:t>HSBC Holdings plc</w:t>
      </w:r>
      <w:bookmarkEnd w:id="1"/>
    </w:p>
    <w:p w14:paraId="4B36ABF8" w14:textId="77777777" w:rsidR="00401DF2" w:rsidRPr="00401DF2" w:rsidRDefault="00401DF2" w:rsidP="00401DF2"/>
    <w:p w14:paraId="53A78E3A" w14:textId="77777777" w:rsidR="00DC59FA" w:rsidRPr="00DC59FA" w:rsidRDefault="00DC59FA" w:rsidP="00AD02BB">
      <w:pPr>
        <w:pStyle w:val="Heading1"/>
      </w:pPr>
      <w:bookmarkStart w:id="2" w:name="_Toc216685914"/>
      <w:r w:rsidRPr="00DC59FA">
        <w:t>2. Benefits and Challenges of International Operations: HSBC</w:t>
      </w:r>
      <w:bookmarkEnd w:id="2"/>
    </w:p>
    <w:p w14:paraId="5E081F7C" w14:textId="77777777" w:rsidR="00DC59FA" w:rsidRDefault="00DC59FA" w:rsidP="00AD02BB">
      <w:pPr>
        <w:pStyle w:val="Heading2"/>
      </w:pPr>
      <w:bookmarkStart w:id="3" w:name="_Toc216685915"/>
      <w:r w:rsidRPr="00DC59FA">
        <w:t>2.1 Designation of HSBC as a Multinational / Transnational Corporation</w:t>
      </w:r>
      <w:bookmarkEnd w:id="3"/>
    </w:p>
    <w:p w14:paraId="705A9CAB" w14:textId="7EA0BD1C" w:rsidR="00401DF2" w:rsidRDefault="00401DF2" w:rsidP="00401DF2">
      <w:pPr>
        <w:jc w:val="center"/>
      </w:pPr>
      <w:r>
        <w:rPr>
          <w:noProof/>
        </w:rPr>
        <w:drawing>
          <wp:inline distT="0" distB="0" distL="0" distR="0" wp14:anchorId="2C3EB3DD" wp14:editId="45696E28">
            <wp:extent cx="4191000" cy="1122762"/>
            <wp:effectExtent l="0" t="0" r="0" b="1270"/>
            <wp:docPr id="1835201249" name="Picture 2" descr="HSBC Holdings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SBC Holdings pl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6296" cy="1132218"/>
                    </a:xfrm>
                    <a:prstGeom prst="rect">
                      <a:avLst/>
                    </a:prstGeom>
                    <a:noFill/>
                    <a:ln>
                      <a:noFill/>
                    </a:ln>
                  </pic:spPr>
                </pic:pic>
              </a:graphicData>
            </a:graphic>
          </wp:inline>
        </w:drawing>
      </w:r>
    </w:p>
    <w:p w14:paraId="671AFBC6" w14:textId="4493E960" w:rsidR="00401DF2" w:rsidRPr="00401DF2" w:rsidRDefault="00401DF2" w:rsidP="00401DF2">
      <w:pPr>
        <w:pStyle w:val="Caption"/>
      </w:pPr>
      <w:bookmarkStart w:id="4" w:name="_Toc216685965"/>
      <w:r>
        <w:t xml:space="preserve">Figure </w:t>
      </w:r>
      <w:r w:rsidR="00C3617A">
        <w:fldChar w:fldCharType="begin"/>
      </w:r>
      <w:r w:rsidR="00C3617A">
        <w:instrText xml:space="preserve"> SEQ Figure \* ARABIC </w:instrText>
      </w:r>
      <w:r w:rsidR="00C3617A">
        <w:fldChar w:fldCharType="separate"/>
      </w:r>
      <w:r w:rsidR="00C3617A">
        <w:rPr>
          <w:noProof/>
        </w:rPr>
        <w:t>2</w:t>
      </w:r>
      <w:r w:rsidR="00C3617A">
        <w:rPr>
          <w:noProof/>
        </w:rPr>
        <w:fldChar w:fldCharType="end"/>
      </w:r>
      <w:r>
        <w:t xml:space="preserve">: </w:t>
      </w:r>
      <w:r w:rsidRPr="00494DAB">
        <w:t xml:space="preserve">HSBC Holdings plc </w:t>
      </w:r>
      <w:r>
        <w:t>Logo</w:t>
      </w:r>
      <w:bookmarkEnd w:id="4"/>
    </w:p>
    <w:p w14:paraId="78ACBEC5" w14:textId="1F07F269" w:rsidR="00DC59FA" w:rsidRDefault="00415381" w:rsidP="00DC59FA">
      <w:r w:rsidRPr="00415381">
        <w:t>HSBC Holdings plc can be definitely classified as multinational corporation (MNC) and TNC (Transnational Corporation) specifically due to the scale, scope and integration of its international operations.</w:t>
      </w:r>
      <w:r w:rsidR="00DC59FA" w:rsidRPr="00DC59FA">
        <w:t xml:space="preserve"> </w:t>
      </w:r>
      <w:r w:rsidR="005D6289" w:rsidRPr="005D6289">
        <w:t>MNC can be defined as a company based in one country and owns or has control over value-generating operations in several other countries (Gratton, 2025).</w:t>
      </w:r>
      <w:r w:rsidR="00DC59FA" w:rsidRPr="00DC59FA">
        <w:t xml:space="preserve"> </w:t>
      </w:r>
      <w:r w:rsidR="00F3150E" w:rsidRPr="00F3150E">
        <w:t>HSBC meets this criterion as it operates in over 50 countries and territories and therefore caters for personal, corporate, and institutional clientele on a global scale (HSBC Holdings plc, 2025).</w:t>
      </w:r>
    </w:p>
    <w:p w14:paraId="450F621F" w14:textId="055027E1" w:rsidR="00401DF2" w:rsidRDefault="00401DF2" w:rsidP="00401DF2">
      <w:pPr>
        <w:jc w:val="center"/>
      </w:pPr>
      <w:r>
        <w:rPr>
          <w:noProof/>
        </w:rPr>
        <w:drawing>
          <wp:inline distT="0" distB="0" distL="0" distR="0" wp14:anchorId="6F16831B" wp14:editId="0BC3D2B4">
            <wp:extent cx="5172075" cy="5634024"/>
            <wp:effectExtent l="0" t="0" r="0" b="5080"/>
            <wp:docPr id="168762854" name="Picture 1" descr="A map of the world with red and grey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2854" name="Picture 1" descr="A map of the world with red and grey colors&#10;&#10;AI-generated content may be incorrect."/>
                    <pic:cNvPicPr/>
                  </pic:nvPicPr>
                  <pic:blipFill>
                    <a:blip r:embed="rId11"/>
                    <a:stretch>
                      <a:fillRect/>
                    </a:stretch>
                  </pic:blipFill>
                  <pic:spPr>
                    <a:xfrm>
                      <a:off x="0" y="0"/>
                      <a:ext cx="5176260" cy="5638583"/>
                    </a:xfrm>
                    <a:prstGeom prst="rect">
                      <a:avLst/>
                    </a:prstGeom>
                  </pic:spPr>
                </pic:pic>
              </a:graphicData>
            </a:graphic>
          </wp:inline>
        </w:drawing>
      </w:r>
    </w:p>
    <w:p w14:paraId="7D85CE53" w14:textId="4EE72A42" w:rsidR="00401DF2" w:rsidRPr="00DC59FA" w:rsidRDefault="00401DF2" w:rsidP="00401DF2">
      <w:pPr>
        <w:pStyle w:val="Caption"/>
      </w:pPr>
      <w:bookmarkStart w:id="5" w:name="_Toc216685966"/>
      <w:r>
        <w:t xml:space="preserve">Figure </w:t>
      </w:r>
      <w:r w:rsidR="00C3617A">
        <w:fldChar w:fldCharType="begin"/>
      </w:r>
      <w:r w:rsidR="00C3617A">
        <w:instrText xml:space="preserve"> SEQ Figure \* ARABIC </w:instrText>
      </w:r>
      <w:r w:rsidR="00C3617A">
        <w:fldChar w:fldCharType="separate"/>
      </w:r>
      <w:r w:rsidR="00C3617A">
        <w:rPr>
          <w:noProof/>
        </w:rPr>
        <w:t>3</w:t>
      </w:r>
      <w:r w:rsidR="00C3617A">
        <w:rPr>
          <w:noProof/>
        </w:rPr>
        <w:fldChar w:fldCharType="end"/>
      </w:r>
      <w:r>
        <w:t xml:space="preserve">: </w:t>
      </w:r>
      <w:r w:rsidRPr="005A6C86">
        <w:t>HSBC Global Market Presence</w:t>
      </w:r>
      <w:bookmarkEnd w:id="5"/>
    </w:p>
    <w:p w14:paraId="161F8CE5" w14:textId="4EAD08F4" w:rsidR="00DC59FA" w:rsidRDefault="003402D1" w:rsidP="00DC59FA">
      <w:r w:rsidRPr="003402D1">
        <w:t>HSBC also shows main transnational features, which include centralized strategic governance, as well as marked proximity to local reactions.</w:t>
      </w:r>
      <w:r w:rsidR="00DC59FA" w:rsidRPr="00DC59FA">
        <w:t xml:space="preserve"> </w:t>
      </w:r>
      <w:r w:rsidR="008B065F" w:rsidRPr="008B065F">
        <w:t>While governance, risk management, capital, and brand strategy at the group level are centrally coordinated from the United Kingdom, operational decisions are tailored to the host countries with regard to regulations, culture, and institutions (HSBC Holdings plc, 2025; Abdelaziz et al., 2025).</w:t>
      </w:r>
      <w:r w:rsidR="00DC59FA" w:rsidRPr="00DC59FA">
        <w:t xml:space="preserve"> </w:t>
      </w:r>
      <w:r w:rsidR="00067977" w:rsidRPr="00067977">
        <w:t>The balance between the globalisation process and local adaptation aligns with the TNC paradigm, under which companies internalise the benefits of cross-border operations and, at the same time, flexibly adapt to the needs of local markets (Kocúrek, 2024).</w:t>
      </w:r>
    </w:p>
    <w:p w14:paraId="4EE84005" w14:textId="71D3E042" w:rsidR="00067977" w:rsidRPr="00DC59FA" w:rsidRDefault="00067977" w:rsidP="00067977">
      <w:pPr>
        <w:jc w:val="center"/>
      </w:pPr>
      <w:r>
        <w:rPr>
          <w:noProof/>
        </w:rPr>
        <w:drawing>
          <wp:inline distT="0" distB="0" distL="0" distR="0" wp14:anchorId="4083C231" wp14:editId="6B8A675E">
            <wp:extent cx="4419600" cy="5688925"/>
            <wp:effectExtent l="0" t="0" r="0" b="7620"/>
            <wp:docPr id="2114736496" name="Picture 3" descr="What is the difference between a multi-national corporation (MNC) and a  trans-national corporation (TNC)?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the difference between a multi-national corporation (MNC) and a  trans-national corporation (TNC)? - Quora"/>
                    <pic:cNvPicPr>
                      <a:picLocks noChangeAspect="1" noChangeArrowheads="1"/>
                    </pic:cNvPicPr>
                  </pic:nvPicPr>
                  <pic:blipFill rotWithShape="1">
                    <a:blip r:embed="rId12">
                      <a:extLst>
                        <a:ext uri="{28A0092B-C50C-407E-A947-70E740481C1C}">
                          <a14:useLocalDpi xmlns:a14="http://schemas.microsoft.com/office/drawing/2010/main" val="0"/>
                        </a:ext>
                      </a:extLst>
                    </a:blip>
                    <a:srcRect b="4215"/>
                    <a:stretch>
                      <a:fillRect/>
                    </a:stretch>
                  </pic:blipFill>
                  <pic:spPr bwMode="auto">
                    <a:xfrm>
                      <a:off x="0" y="0"/>
                      <a:ext cx="4428726" cy="5700672"/>
                    </a:xfrm>
                    <a:prstGeom prst="rect">
                      <a:avLst/>
                    </a:prstGeom>
                    <a:noFill/>
                    <a:ln>
                      <a:noFill/>
                    </a:ln>
                    <a:extLst>
                      <a:ext uri="{53640926-AAD7-44D8-BBD7-CCE9431645EC}">
                        <a14:shadowObscured xmlns:a14="http://schemas.microsoft.com/office/drawing/2010/main"/>
                      </a:ext>
                    </a:extLst>
                  </pic:spPr>
                </pic:pic>
              </a:graphicData>
            </a:graphic>
          </wp:inline>
        </w:drawing>
      </w:r>
    </w:p>
    <w:p w14:paraId="536CF473" w14:textId="0C8C12DF" w:rsidR="00DC59FA" w:rsidRPr="00DC59FA" w:rsidRDefault="00067977" w:rsidP="00067977">
      <w:pPr>
        <w:pStyle w:val="Caption"/>
      </w:pPr>
      <w:bookmarkStart w:id="6" w:name="_Toc216685967"/>
      <w:r>
        <w:t xml:space="preserve">Figure </w:t>
      </w:r>
      <w:r w:rsidR="00C3617A">
        <w:fldChar w:fldCharType="begin"/>
      </w:r>
      <w:r w:rsidR="00C3617A">
        <w:instrText xml:space="preserve"> SEQ Figure \* ARABIC </w:instrText>
      </w:r>
      <w:r w:rsidR="00C3617A">
        <w:fldChar w:fldCharType="separate"/>
      </w:r>
      <w:r w:rsidR="00C3617A">
        <w:rPr>
          <w:noProof/>
        </w:rPr>
        <w:t>4</w:t>
      </w:r>
      <w:r w:rsidR="00C3617A">
        <w:rPr>
          <w:noProof/>
        </w:rPr>
        <w:fldChar w:fldCharType="end"/>
      </w:r>
      <w:r>
        <w:t xml:space="preserve">: </w:t>
      </w:r>
      <w:r w:rsidRPr="00637207">
        <w:t>Multinational vs Transnational Model</w:t>
      </w:r>
      <w:bookmarkEnd w:id="6"/>
    </w:p>
    <w:p w14:paraId="15EAAFA7" w14:textId="77777777" w:rsidR="00DC59FA" w:rsidRPr="00DC59FA" w:rsidRDefault="00DC59FA" w:rsidP="00AD02BB">
      <w:pPr>
        <w:pStyle w:val="Heading2"/>
      </w:pPr>
      <w:bookmarkStart w:id="7" w:name="_Toc216685916"/>
      <w:r w:rsidRPr="00DC59FA">
        <w:t>2.2 Nature of HSBC’s Global Operations Across the Value Chain</w:t>
      </w:r>
      <w:bookmarkEnd w:id="7"/>
    </w:p>
    <w:p w14:paraId="67616545" w14:textId="77777777" w:rsidR="00DC59FA" w:rsidRPr="00DC59FA" w:rsidRDefault="00DC59FA" w:rsidP="00AD02BB">
      <w:pPr>
        <w:pStyle w:val="Heading3"/>
      </w:pPr>
      <w:bookmarkStart w:id="8" w:name="_Toc216685917"/>
      <w:r w:rsidRPr="00DC59FA">
        <w:t>2.2.1 Research, Knowledge Creation and Innovation</w:t>
      </w:r>
      <w:bookmarkEnd w:id="8"/>
    </w:p>
    <w:p w14:paraId="17157DE7" w14:textId="33D4537F" w:rsidR="00CD6A6C" w:rsidRDefault="00EB1EE1" w:rsidP="00DC59FA">
      <w:r w:rsidRPr="00EB1EE1">
        <w:t xml:space="preserve">HSBC's research and innovation activities are sprinkled throughout the </w:t>
      </w:r>
      <w:r w:rsidR="00CD6A6C" w:rsidRPr="00EB1EE1">
        <w:t>world but</w:t>
      </w:r>
      <w:r w:rsidRPr="00EB1EE1">
        <w:t xml:space="preserve"> </w:t>
      </w:r>
      <w:r w:rsidR="00CD6A6C" w:rsidRPr="00EB1EE1">
        <w:t>are strategically</w:t>
      </w:r>
      <w:r w:rsidRPr="00EB1EE1">
        <w:t xml:space="preserve"> coordinated.</w:t>
      </w:r>
      <w:r w:rsidR="00DC59FA" w:rsidRPr="00DC59FA">
        <w:t xml:space="preserve"> </w:t>
      </w:r>
      <w:r w:rsidR="00953837" w:rsidRPr="00953837">
        <w:t xml:space="preserve">In order to assist with </w:t>
      </w:r>
      <w:r w:rsidR="00CD6A6C" w:rsidRPr="00953837">
        <w:t>investment</w:t>
      </w:r>
      <w:r w:rsidR="00953837" w:rsidRPr="00953837">
        <w:t xml:space="preserve"> decisions in different regions, HSBC Global Investment Research provides macroeconomic, equity, sustainability and digital finance and thematic research (HSBC Global Banking and Markets, 2025).</w:t>
      </w:r>
      <w:r w:rsidR="00DC59FA" w:rsidRPr="00DC59FA">
        <w:t xml:space="preserve"> </w:t>
      </w:r>
    </w:p>
    <w:p w14:paraId="7D6FD437" w14:textId="37C1D291" w:rsidR="00CD6A6C" w:rsidRDefault="00CD6A6C" w:rsidP="00DC59FA">
      <w:r>
        <w:rPr>
          <w:noProof/>
        </w:rPr>
        <w:drawing>
          <wp:inline distT="0" distB="0" distL="0" distR="0" wp14:anchorId="21B7E928" wp14:editId="2A43778F">
            <wp:extent cx="5943600" cy="5839460"/>
            <wp:effectExtent l="0" t="0" r="0" b="8890"/>
            <wp:docPr id="1462037742"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037742" name="Picture 1" descr="A screenshot of a website&#10;&#10;AI-generated content may be incorrect."/>
                    <pic:cNvPicPr/>
                  </pic:nvPicPr>
                  <pic:blipFill>
                    <a:blip r:embed="rId13"/>
                    <a:stretch>
                      <a:fillRect/>
                    </a:stretch>
                  </pic:blipFill>
                  <pic:spPr>
                    <a:xfrm>
                      <a:off x="0" y="0"/>
                      <a:ext cx="5943600" cy="5839460"/>
                    </a:xfrm>
                    <a:prstGeom prst="rect">
                      <a:avLst/>
                    </a:prstGeom>
                  </pic:spPr>
                </pic:pic>
              </a:graphicData>
            </a:graphic>
          </wp:inline>
        </w:drawing>
      </w:r>
    </w:p>
    <w:p w14:paraId="42F3156C" w14:textId="5EEBF88C" w:rsidR="00CD6A6C" w:rsidRDefault="00CD6A6C" w:rsidP="00CD6A6C">
      <w:pPr>
        <w:pStyle w:val="Caption"/>
      </w:pPr>
      <w:bookmarkStart w:id="9" w:name="_Toc216685968"/>
      <w:r>
        <w:t xml:space="preserve">Figure </w:t>
      </w:r>
      <w:r w:rsidR="00C3617A">
        <w:fldChar w:fldCharType="begin"/>
      </w:r>
      <w:r w:rsidR="00C3617A">
        <w:instrText xml:space="preserve"> SEQ Figure \* ARABIC </w:instrText>
      </w:r>
      <w:r w:rsidR="00C3617A">
        <w:fldChar w:fldCharType="separate"/>
      </w:r>
      <w:r w:rsidR="00C3617A">
        <w:rPr>
          <w:noProof/>
        </w:rPr>
        <w:t>5</w:t>
      </w:r>
      <w:r w:rsidR="00C3617A">
        <w:rPr>
          <w:noProof/>
        </w:rPr>
        <w:fldChar w:fldCharType="end"/>
      </w:r>
      <w:r>
        <w:t xml:space="preserve">: </w:t>
      </w:r>
      <w:r w:rsidRPr="00274F6D">
        <w:t>HSBC Global Investment Research</w:t>
      </w:r>
      <w:bookmarkEnd w:id="9"/>
    </w:p>
    <w:p w14:paraId="1E76EC79" w14:textId="35CBB224" w:rsidR="00DC59FA" w:rsidRDefault="00CD6A6C" w:rsidP="00DC59FA">
      <w:r w:rsidRPr="00CD6A6C">
        <w:t>Concurrently, HSBC Innovation Banking offers support to early stage and scaling enterprises in the fintech, climate technology and deep technology sectors, including nascent sectors like in space manufacturing (HSBC Innovation Banking, 2025).</w:t>
      </w:r>
      <w:r w:rsidR="00DC59FA" w:rsidRPr="00DC59FA">
        <w:t xml:space="preserve"> </w:t>
      </w:r>
      <w:r w:rsidR="00101ADB" w:rsidRPr="00101ADB">
        <w:t>All of these actions strengthen the informational advantage of HSBC and concentrate the assets of the ownership character on the arena of global finance.</w:t>
      </w:r>
    </w:p>
    <w:p w14:paraId="6FE0B28D" w14:textId="0A7F6CAE" w:rsidR="00067977" w:rsidRDefault="00067977" w:rsidP="00067977">
      <w:pPr>
        <w:jc w:val="center"/>
      </w:pPr>
      <w:r>
        <w:rPr>
          <w:noProof/>
        </w:rPr>
        <w:drawing>
          <wp:inline distT="0" distB="0" distL="0" distR="0" wp14:anchorId="3F79AF02" wp14:editId="609805D3">
            <wp:extent cx="5663973" cy="3171825"/>
            <wp:effectExtent l="0" t="0" r="0" b="0"/>
            <wp:docPr id="685955629" name="Picture 4" descr="Our brand | HSBC Innovation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ur brand | HSBC Innovation Bank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0844" cy="3175673"/>
                    </a:xfrm>
                    <a:prstGeom prst="rect">
                      <a:avLst/>
                    </a:prstGeom>
                    <a:noFill/>
                    <a:ln>
                      <a:noFill/>
                    </a:ln>
                  </pic:spPr>
                </pic:pic>
              </a:graphicData>
            </a:graphic>
          </wp:inline>
        </w:drawing>
      </w:r>
    </w:p>
    <w:p w14:paraId="703C1DB5" w14:textId="546AF8CF" w:rsidR="00067977" w:rsidRDefault="00067977" w:rsidP="00067977">
      <w:pPr>
        <w:pStyle w:val="Caption"/>
      </w:pPr>
      <w:bookmarkStart w:id="10" w:name="_Toc216685969"/>
      <w:r>
        <w:t xml:space="preserve">Figure </w:t>
      </w:r>
      <w:r w:rsidR="00C3617A">
        <w:fldChar w:fldCharType="begin"/>
      </w:r>
      <w:r w:rsidR="00C3617A">
        <w:instrText xml:space="preserve"> SEQ Figure \* ARABIC </w:instrText>
      </w:r>
      <w:r w:rsidR="00C3617A">
        <w:fldChar w:fldCharType="separate"/>
      </w:r>
      <w:r w:rsidR="00C3617A">
        <w:rPr>
          <w:noProof/>
        </w:rPr>
        <w:t>6</w:t>
      </w:r>
      <w:r w:rsidR="00C3617A">
        <w:rPr>
          <w:noProof/>
        </w:rPr>
        <w:fldChar w:fldCharType="end"/>
      </w:r>
      <w:r>
        <w:t xml:space="preserve">: </w:t>
      </w:r>
      <w:r w:rsidRPr="0079682F">
        <w:t>HSBC Innovation Banking Focus</w:t>
      </w:r>
      <w:bookmarkEnd w:id="10"/>
    </w:p>
    <w:p w14:paraId="47534841" w14:textId="77777777" w:rsidR="006F140B" w:rsidRPr="006F140B" w:rsidRDefault="006F140B" w:rsidP="006F140B"/>
    <w:p w14:paraId="535AA0B8" w14:textId="77777777" w:rsidR="00DC59FA" w:rsidRPr="00DC59FA" w:rsidRDefault="00DC59FA" w:rsidP="00AD02BB">
      <w:pPr>
        <w:pStyle w:val="Heading3"/>
      </w:pPr>
      <w:bookmarkStart w:id="11" w:name="_Toc216685918"/>
      <w:r w:rsidRPr="00DC59FA">
        <w:t>2.2.2 Sourcing, Operations and Risk Management</w:t>
      </w:r>
      <w:bookmarkEnd w:id="11"/>
    </w:p>
    <w:p w14:paraId="56D4869D" w14:textId="5233C31D" w:rsidR="00DC59FA" w:rsidRDefault="00B7135A" w:rsidP="00DC59FA">
      <w:r w:rsidRPr="00B7135A">
        <w:t>The policy in operational sourcing at HSBC is focusing on global talent, technological platforms, and specialized services.</w:t>
      </w:r>
      <w:r w:rsidR="00DC59FA" w:rsidRPr="00DC59FA">
        <w:t xml:space="preserve"> </w:t>
      </w:r>
      <w:r w:rsidR="00923D00" w:rsidRPr="00923D00">
        <w:t>Its fundamental risk, compliance, legal, finance, sustainability, and internal audit activities are aligned under Global Functions, both ensuring uniformity in governance and simultaneously addressing country-specific risks (HSBC Holdings plc, 2025).</w:t>
      </w:r>
      <w:r w:rsidR="00DC59FA" w:rsidRPr="00DC59FA">
        <w:t xml:space="preserve"> </w:t>
      </w:r>
      <w:r w:rsidR="004024F7" w:rsidRPr="004024F7">
        <w:t>Efficient, efficient control frameworks and standard operating procedure (SOP) complement efficiency, quality of service delivery and regulatory conformity among nations (Rukmana, 2023; Hadi et al., 2025).</w:t>
      </w:r>
    </w:p>
    <w:p w14:paraId="0B1A623E" w14:textId="1F0776CB" w:rsidR="004024F7" w:rsidRDefault="004024F7" w:rsidP="00DC59FA">
      <w:r>
        <w:rPr>
          <w:noProof/>
        </w:rPr>
        <w:drawing>
          <wp:inline distT="0" distB="0" distL="0" distR="0" wp14:anchorId="243628BE" wp14:editId="6EF4AE31">
            <wp:extent cx="5943600" cy="4429125"/>
            <wp:effectExtent l="0" t="0" r="0" b="9525"/>
            <wp:docPr id="1230402803" name="Picture 5" descr="HSBC: In-Depth Guide for Aspiring Bank Professio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SBC: In-Depth Guide for Aspiring Bank Professionals"/>
                    <pic:cNvPicPr>
                      <a:picLocks noChangeAspect="1" noChangeArrowheads="1"/>
                    </pic:cNvPicPr>
                  </pic:nvPicPr>
                  <pic:blipFill rotWithShape="1">
                    <a:blip r:embed="rId15">
                      <a:extLst>
                        <a:ext uri="{28A0092B-C50C-407E-A947-70E740481C1C}">
                          <a14:useLocalDpi xmlns:a14="http://schemas.microsoft.com/office/drawing/2010/main" val="0"/>
                        </a:ext>
                      </a:extLst>
                    </a:blip>
                    <a:srcRect t="8120" b="12821"/>
                    <a:stretch>
                      <a:fillRect/>
                    </a:stretch>
                  </pic:blipFill>
                  <pic:spPr bwMode="auto">
                    <a:xfrm>
                      <a:off x="0" y="0"/>
                      <a:ext cx="5943600" cy="4429125"/>
                    </a:xfrm>
                    <a:prstGeom prst="rect">
                      <a:avLst/>
                    </a:prstGeom>
                    <a:noFill/>
                    <a:ln>
                      <a:noFill/>
                    </a:ln>
                    <a:extLst>
                      <a:ext uri="{53640926-AAD7-44D8-BBD7-CCE9431645EC}">
                        <a14:shadowObscured xmlns:a14="http://schemas.microsoft.com/office/drawing/2010/main"/>
                      </a:ext>
                    </a:extLst>
                  </pic:spPr>
                </pic:pic>
              </a:graphicData>
            </a:graphic>
          </wp:inline>
        </w:drawing>
      </w:r>
    </w:p>
    <w:p w14:paraId="7194E375" w14:textId="15E478CA" w:rsidR="004024F7" w:rsidRDefault="004024F7" w:rsidP="004024F7">
      <w:pPr>
        <w:pStyle w:val="Caption"/>
      </w:pPr>
      <w:bookmarkStart w:id="12" w:name="_Toc216685970"/>
      <w:r>
        <w:t xml:space="preserve">Figure </w:t>
      </w:r>
      <w:r w:rsidR="00C3617A">
        <w:fldChar w:fldCharType="begin"/>
      </w:r>
      <w:r w:rsidR="00C3617A">
        <w:instrText xml:space="preserve"> SEQ Figure \* ARABIC </w:instrText>
      </w:r>
      <w:r w:rsidR="00C3617A">
        <w:fldChar w:fldCharType="separate"/>
      </w:r>
      <w:r w:rsidR="00C3617A">
        <w:rPr>
          <w:noProof/>
        </w:rPr>
        <w:t>7</w:t>
      </w:r>
      <w:r w:rsidR="00C3617A">
        <w:rPr>
          <w:noProof/>
        </w:rPr>
        <w:fldChar w:fldCharType="end"/>
      </w:r>
      <w:r>
        <w:t xml:space="preserve">: </w:t>
      </w:r>
      <w:r w:rsidRPr="00D71D2C">
        <w:t>HSBC Core Organisational Values</w:t>
      </w:r>
      <w:bookmarkEnd w:id="12"/>
    </w:p>
    <w:p w14:paraId="400F0194" w14:textId="77777777" w:rsidR="004024F7" w:rsidRPr="004024F7" w:rsidRDefault="004024F7" w:rsidP="004024F7"/>
    <w:p w14:paraId="323D11B9" w14:textId="77777777" w:rsidR="00DC59FA" w:rsidRPr="00DC59FA" w:rsidRDefault="00DC59FA" w:rsidP="00AD02BB">
      <w:pPr>
        <w:pStyle w:val="Heading3"/>
      </w:pPr>
      <w:bookmarkStart w:id="13" w:name="_Toc216685919"/>
      <w:r w:rsidRPr="00DC59FA">
        <w:t>2.2.3 Production of Financial Services</w:t>
      </w:r>
      <w:bookmarkEnd w:id="13"/>
    </w:p>
    <w:p w14:paraId="6BDDB421" w14:textId="51A0087F" w:rsidR="00DC59FA" w:rsidRDefault="00CA43BE" w:rsidP="00DC59FA">
      <w:r w:rsidRPr="00CA43BE">
        <w:t>In addition, HSBC has not produced physical goods but provides financial services including corporate, global markets, trade finance, wealth management, and investment banking.</w:t>
      </w:r>
      <w:r w:rsidR="00DC59FA" w:rsidRPr="00DC59FA">
        <w:t xml:space="preserve"> </w:t>
      </w:r>
      <w:r w:rsidR="00306ECE" w:rsidRPr="00306ECE">
        <w:t>As an example, HSBC focuses on export finance, foreign exchange, and global market solutions in the process so companies that are engaged in international trade, not the mass retail banking industry (HSBC, 2025; Unlock LatAm, 2025).</w:t>
      </w:r>
      <w:r w:rsidR="00DC59FA" w:rsidRPr="00DC59FA">
        <w:t xml:space="preserve"> </w:t>
      </w:r>
      <w:r w:rsidR="00FC0CBD" w:rsidRPr="00FC0CBD">
        <w:t>This service-based value chain allows HSBC to go global without having to bear higher physical asset intensity as compared to manufacturing multinational corporations.</w:t>
      </w:r>
    </w:p>
    <w:p w14:paraId="65041C81" w14:textId="6BDF4E99" w:rsidR="00FC0CBD" w:rsidRDefault="00FC0CBD" w:rsidP="00DC59FA">
      <w:r>
        <w:rPr>
          <w:noProof/>
        </w:rPr>
        <w:drawing>
          <wp:inline distT="0" distB="0" distL="0" distR="0" wp14:anchorId="0BEFD24F" wp14:editId="2E850FC5">
            <wp:extent cx="5943600" cy="4600575"/>
            <wp:effectExtent l="0" t="0" r="0" b="9525"/>
            <wp:docPr id="1903428309" name="Picture 6" descr="HSBC Financial Service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SBC Financial Services Fun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600575"/>
                    </a:xfrm>
                    <a:prstGeom prst="rect">
                      <a:avLst/>
                    </a:prstGeom>
                    <a:noFill/>
                    <a:ln>
                      <a:noFill/>
                    </a:ln>
                  </pic:spPr>
                </pic:pic>
              </a:graphicData>
            </a:graphic>
          </wp:inline>
        </w:drawing>
      </w:r>
    </w:p>
    <w:p w14:paraId="7D167425" w14:textId="30051762" w:rsidR="00FC0CBD" w:rsidRDefault="00FC0CBD" w:rsidP="00FC0CBD">
      <w:pPr>
        <w:pStyle w:val="Caption"/>
      </w:pPr>
      <w:bookmarkStart w:id="14" w:name="_Toc216685971"/>
      <w:r>
        <w:t xml:space="preserve">Figure </w:t>
      </w:r>
      <w:r w:rsidR="00C3617A">
        <w:fldChar w:fldCharType="begin"/>
      </w:r>
      <w:r w:rsidR="00C3617A">
        <w:instrText xml:space="preserve"> SEQ Figure \* ARABIC </w:instrText>
      </w:r>
      <w:r w:rsidR="00C3617A">
        <w:fldChar w:fldCharType="separate"/>
      </w:r>
      <w:r w:rsidR="00C3617A">
        <w:rPr>
          <w:noProof/>
        </w:rPr>
        <w:t>8</w:t>
      </w:r>
      <w:r w:rsidR="00C3617A">
        <w:rPr>
          <w:noProof/>
        </w:rPr>
        <w:fldChar w:fldCharType="end"/>
      </w:r>
      <w:r>
        <w:t xml:space="preserve">: </w:t>
      </w:r>
      <w:r w:rsidRPr="006E6CEA">
        <w:t>HSBC Financial Services Ecosystem</w:t>
      </w:r>
      <w:bookmarkEnd w:id="14"/>
    </w:p>
    <w:p w14:paraId="0B2D6CE0" w14:textId="77777777" w:rsidR="00FC0CBD" w:rsidRPr="00FC0CBD" w:rsidRDefault="00FC0CBD" w:rsidP="00FC0CBD"/>
    <w:p w14:paraId="33545298" w14:textId="77777777" w:rsidR="00DC59FA" w:rsidRPr="00DC59FA" w:rsidRDefault="00DC59FA" w:rsidP="00AD02BB">
      <w:pPr>
        <w:pStyle w:val="Heading3"/>
      </w:pPr>
      <w:bookmarkStart w:id="15" w:name="_Toc216685920"/>
      <w:r w:rsidRPr="00DC59FA">
        <w:t>2.2.4 Sales, Distribution and Client Engagement</w:t>
      </w:r>
      <w:bookmarkEnd w:id="15"/>
    </w:p>
    <w:p w14:paraId="44F16DC1" w14:textId="49E32752" w:rsidR="00DC59FA" w:rsidRDefault="00C51795" w:rsidP="00DC59FA">
      <w:r w:rsidRPr="00C51795">
        <w:t>Sales and distribution is conducted via relationship-oriented banking frameworks, reinforced by local teams with a solid market acumen.</w:t>
      </w:r>
      <w:r w:rsidR="00DC59FA" w:rsidRPr="00DC59FA">
        <w:t xml:space="preserve"> </w:t>
      </w:r>
      <w:r w:rsidR="003D53A0" w:rsidRPr="003D53A0">
        <w:t>The focus of HSBC on sales, investment, and advisory activities highlights the importance of trust, long-term relationship with clients and tailored solutions in the framework of global banking (HSBC Holdings plc, 2025).</w:t>
      </w:r>
      <w:r w:rsidR="00DC59FA" w:rsidRPr="00DC59FA">
        <w:t xml:space="preserve"> </w:t>
      </w:r>
      <w:r w:rsidR="003772DE" w:rsidRPr="003772DE">
        <w:t>Digital platforms play an important role in the distribution of the reach and the increase of the operational efficiency, especially when it comes to cross border payment and trade finance (HSBC, 2024).</w:t>
      </w:r>
    </w:p>
    <w:p w14:paraId="3CA827B0" w14:textId="6C557B45" w:rsidR="003D53A0" w:rsidRDefault="003D53A0" w:rsidP="00DC59FA">
      <w:r>
        <w:rPr>
          <w:noProof/>
        </w:rPr>
        <w:drawing>
          <wp:inline distT="0" distB="0" distL="0" distR="0" wp14:anchorId="2288DA80" wp14:editId="2D1467BD">
            <wp:extent cx="5943600" cy="4733925"/>
            <wp:effectExtent l="0" t="0" r="0" b="9525"/>
            <wp:docPr id="953016767" name="Picture 7" descr="How BaaS is broadening the boundaries of banking | Insights | HS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w BaaS is broadening the boundaries of banking | Insights | HSBC"/>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4733925"/>
                    </a:xfrm>
                    <a:prstGeom prst="rect">
                      <a:avLst/>
                    </a:prstGeom>
                    <a:noFill/>
                    <a:ln>
                      <a:noFill/>
                    </a:ln>
                  </pic:spPr>
                </pic:pic>
              </a:graphicData>
            </a:graphic>
          </wp:inline>
        </w:drawing>
      </w:r>
    </w:p>
    <w:p w14:paraId="7D815E62" w14:textId="4BFEDE32" w:rsidR="003D53A0" w:rsidRDefault="003D53A0" w:rsidP="003D53A0">
      <w:pPr>
        <w:pStyle w:val="Caption"/>
      </w:pPr>
      <w:bookmarkStart w:id="16" w:name="_Toc216685972"/>
      <w:r>
        <w:t xml:space="preserve">Figure </w:t>
      </w:r>
      <w:r w:rsidR="00C3617A">
        <w:fldChar w:fldCharType="begin"/>
      </w:r>
      <w:r w:rsidR="00C3617A">
        <w:instrText xml:space="preserve"> SEQ Figure \* ARABIC </w:instrText>
      </w:r>
      <w:r w:rsidR="00C3617A">
        <w:fldChar w:fldCharType="separate"/>
      </w:r>
      <w:r w:rsidR="00C3617A">
        <w:rPr>
          <w:noProof/>
        </w:rPr>
        <w:t>9</w:t>
      </w:r>
      <w:r w:rsidR="00C3617A">
        <w:rPr>
          <w:noProof/>
        </w:rPr>
        <w:fldChar w:fldCharType="end"/>
      </w:r>
      <w:r>
        <w:t xml:space="preserve">: </w:t>
      </w:r>
      <w:r w:rsidRPr="00E4235E">
        <w:t>HSBC Digital Distribution Model</w:t>
      </w:r>
      <w:bookmarkEnd w:id="16"/>
    </w:p>
    <w:p w14:paraId="66E9D914" w14:textId="77777777" w:rsidR="007F4369" w:rsidRPr="007F4369" w:rsidRDefault="007F4369" w:rsidP="007F4369"/>
    <w:p w14:paraId="7D0C6B76" w14:textId="77777777" w:rsidR="00DC59FA" w:rsidRPr="00DC59FA" w:rsidRDefault="00DC59FA" w:rsidP="00AD02BB">
      <w:pPr>
        <w:pStyle w:val="Heading3"/>
      </w:pPr>
      <w:bookmarkStart w:id="17" w:name="_Toc216685921"/>
      <w:r w:rsidRPr="00DC59FA">
        <w:t>2.2.5 Financing and Capital Allocation</w:t>
      </w:r>
      <w:bookmarkEnd w:id="17"/>
    </w:p>
    <w:p w14:paraId="608392B7" w14:textId="3CEA5178" w:rsidR="00DC59FA" w:rsidRDefault="00B52016" w:rsidP="00DC59FA">
      <w:r w:rsidRPr="00B52016">
        <w:t xml:space="preserve">The broad global </w:t>
      </w:r>
      <w:r w:rsidR="00FD06C9" w:rsidRPr="00B52016">
        <w:t>footprint</w:t>
      </w:r>
      <w:r w:rsidRPr="00B52016">
        <w:t xml:space="preserve"> ensures effective mobilisation and capital distribution of HSBC across markets.</w:t>
      </w:r>
      <w:r w:rsidR="00DC59FA" w:rsidRPr="00DC59FA">
        <w:t xml:space="preserve"> </w:t>
      </w:r>
      <w:r w:rsidR="00FD06C9" w:rsidRPr="00FD06C9">
        <w:t>International diversification allows for the redistributing of capital from developed markets to high growth regions, which reduces the volatility of earnings and increase risk-adjusted earnings (Freedom24, 2023).</w:t>
      </w:r>
      <w:r w:rsidR="00DC59FA" w:rsidRPr="00DC59FA">
        <w:t xml:space="preserve"> </w:t>
      </w:r>
      <w:r w:rsidR="00602813" w:rsidRPr="00602813">
        <w:t>The centralised treasury and funding activities play the role of strengthening liquidity management, and at the same time ensure that host-country regulatory requirements are met (Habib et al., 2025).</w:t>
      </w:r>
    </w:p>
    <w:p w14:paraId="724EFCA7" w14:textId="5B78E175" w:rsidR="00FD06C9" w:rsidRPr="00DC59FA" w:rsidRDefault="00602813" w:rsidP="00DC59FA">
      <w:r>
        <w:rPr>
          <w:noProof/>
        </w:rPr>
        <w:drawing>
          <wp:inline distT="0" distB="0" distL="0" distR="0" wp14:anchorId="7D954FA7" wp14:editId="3861EF16">
            <wp:extent cx="5943600" cy="3569970"/>
            <wp:effectExtent l="0" t="0" r="0" b="0"/>
            <wp:docPr id="213324405" name="Picture 8" descr="Treasury Transformation | Insights | HS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reasury Transformation | Insights | HSB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p w14:paraId="32A05245" w14:textId="344FD2C4" w:rsidR="00DC59FA" w:rsidRDefault="00FD06C9" w:rsidP="00FD06C9">
      <w:pPr>
        <w:pStyle w:val="Caption"/>
      </w:pPr>
      <w:bookmarkStart w:id="18" w:name="_Toc216685973"/>
      <w:r>
        <w:t xml:space="preserve">Figure </w:t>
      </w:r>
      <w:r w:rsidR="00C3617A">
        <w:fldChar w:fldCharType="begin"/>
      </w:r>
      <w:r w:rsidR="00C3617A">
        <w:instrText xml:space="preserve"> SEQ Figure \* ARABIC </w:instrText>
      </w:r>
      <w:r w:rsidR="00C3617A">
        <w:fldChar w:fldCharType="separate"/>
      </w:r>
      <w:r w:rsidR="00C3617A">
        <w:rPr>
          <w:noProof/>
        </w:rPr>
        <w:t>10</w:t>
      </w:r>
      <w:r w:rsidR="00C3617A">
        <w:rPr>
          <w:noProof/>
        </w:rPr>
        <w:fldChar w:fldCharType="end"/>
      </w:r>
      <w:r>
        <w:t xml:space="preserve">: </w:t>
      </w:r>
      <w:r w:rsidRPr="00357EE6">
        <w:t>HSBC Global Treasury Structure</w:t>
      </w:r>
      <w:bookmarkEnd w:id="18"/>
    </w:p>
    <w:p w14:paraId="1C7D26BF" w14:textId="77777777" w:rsidR="00AB6EDB" w:rsidRPr="00AB6EDB" w:rsidRDefault="00AB6EDB" w:rsidP="00AB6EDB"/>
    <w:p w14:paraId="4B80E819" w14:textId="77777777" w:rsidR="00DC59FA" w:rsidRPr="00DC59FA" w:rsidRDefault="00DC59FA" w:rsidP="00AD02BB">
      <w:pPr>
        <w:pStyle w:val="Heading2"/>
      </w:pPr>
      <w:bookmarkStart w:id="19" w:name="_Toc216685922"/>
      <w:r w:rsidRPr="00DC59FA">
        <w:t>2.3 Entry Modes Used by HSBC in International Markets</w:t>
      </w:r>
      <w:bookmarkEnd w:id="19"/>
    </w:p>
    <w:p w14:paraId="2B54E86A" w14:textId="781A6493" w:rsidR="00DC59FA" w:rsidRDefault="00236A11" w:rsidP="00DC59FA">
      <w:r w:rsidRPr="00236A11">
        <w:t>HSBC pursues a range of foreign market entry modes and thus reflects the institutional conditions prevalent, regulations and strategic priorities (Belaounia et al., 2016; Zhou et al., 2025).</w:t>
      </w:r>
    </w:p>
    <w:p w14:paraId="0B18A1A7" w14:textId="77777777" w:rsidR="00236A11" w:rsidRPr="00DC59FA" w:rsidRDefault="00236A11" w:rsidP="00DC59FA"/>
    <w:p w14:paraId="73650279" w14:textId="77777777" w:rsidR="00DC59FA" w:rsidRPr="00DC59FA" w:rsidRDefault="00DC59FA" w:rsidP="00AD02BB">
      <w:pPr>
        <w:pStyle w:val="Heading3"/>
      </w:pPr>
      <w:bookmarkStart w:id="20" w:name="_Toc216685923"/>
      <w:r w:rsidRPr="00DC59FA">
        <w:t>2.3.1 Home Country: United Kingdom</w:t>
      </w:r>
      <w:bookmarkEnd w:id="20"/>
    </w:p>
    <w:p w14:paraId="051CBF3E" w14:textId="7C429F3A" w:rsidR="00DC59FA" w:rsidRDefault="00D815C8" w:rsidP="00DC59FA">
      <w:r w:rsidRPr="00D815C8">
        <w:t>In the United Kingdom, HSBC has presence in subsidiaries and branches that are wholly owned, thus, having complete strategic control of their operations in the domestic base.</w:t>
      </w:r>
      <w:r w:rsidR="00DC59FA" w:rsidRPr="00DC59FA">
        <w:t xml:space="preserve"> </w:t>
      </w:r>
      <w:r w:rsidR="006A29D5" w:rsidRPr="006A29D5">
        <w:t>The United Kingdom is the global head, easing, and regulatory anchor of HSBC, enabling vital governance and choices (HSBC Holdings plc, 2025).</w:t>
      </w:r>
    </w:p>
    <w:p w14:paraId="580EDA99" w14:textId="11BB83FA" w:rsidR="00D815C8" w:rsidRDefault="00D815C8" w:rsidP="00D815C8">
      <w:pPr>
        <w:jc w:val="center"/>
      </w:pPr>
      <w:r>
        <w:rPr>
          <w:noProof/>
        </w:rPr>
        <w:drawing>
          <wp:inline distT="0" distB="0" distL="0" distR="0" wp14:anchorId="1014ABF8" wp14:editId="42B26B06">
            <wp:extent cx="5943600" cy="2171700"/>
            <wp:effectExtent l="0" t="0" r="0" b="0"/>
            <wp:docPr id="43964691" name="Picture 10" descr="What is a Wholly-Owned Subsidiary, Partly-Owned Subsidiary or an Equity  Investment? – CFO SECR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at is a Wholly-Owned Subsidiary, Partly-Owned Subsidiary or an Equity  Investment? – CFO SECRE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171700"/>
                    </a:xfrm>
                    <a:prstGeom prst="rect">
                      <a:avLst/>
                    </a:prstGeom>
                    <a:noFill/>
                    <a:ln>
                      <a:noFill/>
                    </a:ln>
                  </pic:spPr>
                </pic:pic>
              </a:graphicData>
            </a:graphic>
          </wp:inline>
        </w:drawing>
      </w:r>
    </w:p>
    <w:p w14:paraId="5EF6E666" w14:textId="42BF587E" w:rsidR="00D815C8" w:rsidRDefault="00D815C8" w:rsidP="00D815C8">
      <w:pPr>
        <w:pStyle w:val="Caption"/>
      </w:pPr>
      <w:bookmarkStart w:id="21" w:name="_Toc216685974"/>
      <w:r>
        <w:t xml:space="preserve">Figure </w:t>
      </w:r>
      <w:r w:rsidR="00C3617A">
        <w:fldChar w:fldCharType="begin"/>
      </w:r>
      <w:r w:rsidR="00C3617A">
        <w:instrText xml:space="preserve"> SEQ Figure \* ARABIC </w:instrText>
      </w:r>
      <w:r w:rsidR="00C3617A">
        <w:fldChar w:fldCharType="separate"/>
      </w:r>
      <w:r w:rsidR="00C3617A">
        <w:rPr>
          <w:noProof/>
        </w:rPr>
        <w:t>11</w:t>
      </w:r>
      <w:r w:rsidR="00C3617A">
        <w:rPr>
          <w:noProof/>
        </w:rPr>
        <w:fldChar w:fldCharType="end"/>
      </w:r>
      <w:r>
        <w:t>: W</w:t>
      </w:r>
      <w:r w:rsidRPr="004E3E5D">
        <w:t>holly owned subsidiaries</w:t>
      </w:r>
      <w:bookmarkEnd w:id="21"/>
    </w:p>
    <w:p w14:paraId="052E0AFF" w14:textId="77777777" w:rsidR="00D815C8" w:rsidRPr="00D815C8" w:rsidRDefault="00D815C8" w:rsidP="00D815C8"/>
    <w:p w14:paraId="3AE15490" w14:textId="77777777" w:rsidR="00DC59FA" w:rsidRDefault="00DC59FA" w:rsidP="00AD02BB">
      <w:pPr>
        <w:pStyle w:val="Heading3"/>
      </w:pPr>
      <w:bookmarkStart w:id="22" w:name="_Toc216685924"/>
      <w:r w:rsidRPr="00DC59FA">
        <w:t>2.3.2 Brazil</w:t>
      </w:r>
      <w:bookmarkEnd w:id="22"/>
    </w:p>
    <w:p w14:paraId="14BFC443" w14:textId="015CB5FD" w:rsidR="002F43DE" w:rsidRPr="002F43DE" w:rsidRDefault="002F43DE" w:rsidP="002F43DE">
      <w:pPr>
        <w:jc w:val="center"/>
      </w:pPr>
      <w:r>
        <w:rPr>
          <w:noProof/>
        </w:rPr>
        <w:drawing>
          <wp:inline distT="0" distB="0" distL="0" distR="0" wp14:anchorId="4153028A" wp14:editId="0CD95E2A">
            <wp:extent cx="4514850" cy="3009900"/>
            <wp:effectExtent l="0" t="0" r="0" b="0"/>
            <wp:docPr id="570505981" name="Picture 11" descr="Foreign Direct Investment: Definition, Example, Pros and 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eign Direct Investment: Definition, Example, Pros and Con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14850" cy="3009900"/>
                    </a:xfrm>
                    <a:prstGeom prst="rect">
                      <a:avLst/>
                    </a:prstGeom>
                    <a:noFill/>
                    <a:ln>
                      <a:noFill/>
                    </a:ln>
                  </pic:spPr>
                </pic:pic>
              </a:graphicData>
            </a:graphic>
          </wp:inline>
        </w:drawing>
      </w:r>
    </w:p>
    <w:p w14:paraId="677B9F26" w14:textId="4E5058C4" w:rsidR="002F43DE" w:rsidRPr="002F43DE" w:rsidRDefault="002F43DE" w:rsidP="002F43DE">
      <w:pPr>
        <w:pStyle w:val="Caption"/>
      </w:pPr>
      <w:bookmarkStart w:id="23" w:name="_Toc216685975"/>
      <w:r>
        <w:t xml:space="preserve">Figure </w:t>
      </w:r>
      <w:r w:rsidR="00C3617A">
        <w:fldChar w:fldCharType="begin"/>
      </w:r>
      <w:r w:rsidR="00C3617A">
        <w:instrText xml:space="preserve"> SEQ Figure \* ARABIC </w:instrText>
      </w:r>
      <w:r w:rsidR="00C3617A">
        <w:fldChar w:fldCharType="separate"/>
      </w:r>
      <w:r w:rsidR="00C3617A">
        <w:rPr>
          <w:noProof/>
        </w:rPr>
        <w:t>12</w:t>
      </w:r>
      <w:r w:rsidR="00C3617A">
        <w:rPr>
          <w:noProof/>
        </w:rPr>
        <w:fldChar w:fldCharType="end"/>
      </w:r>
      <w:r>
        <w:t xml:space="preserve">: </w:t>
      </w:r>
      <w:r w:rsidRPr="00CF306C">
        <w:t>Foreign Direct Investment Strategy</w:t>
      </w:r>
      <w:bookmarkEnd w:id="23"/>
    </w:p>
    <w:p w14:paraId="7175E423" w14:textId="668AD3B6" w:rsidR="00DC59FA" w:rsidRDefault="00760463" w:rsidP="00DC59FA">
      <w:r w:rsidRPr="00760463">
        <w:t xml:space="preserve">Traditionally, HSBC had gained entry into Brazil by acquisitions and full-service banking </w:t>
      </w:r>
      <w:r w:rsidR="002136AF" w:rsidRPr="00760463">
        <w:t>operations,</w:t>
      </w:r>
      <w:r w:rsidRPr="00760463">
        <w:t xml:space="preserve"> and this had aligned it with the foreign direct investment (FDI) strategies that multinational banks usually seek in emerging markets (Marcopolis, 2012).</w:t>
      </w:r>
      <w:r w:rsidR="00DC59FA" w:rsidRPr="00DC59FA">
        <w:t xml:space="preserve"> </w:t>
      </w:r>
      <w:r w:rsidR="008A4418" w:rsidRPr="008A4418">
        <w:t xml:space="preserve">Nonetheless, due to the complexity of the regulation and strategic refocusing, HSBC ceased its sector of the retail banking business and finalized the divestiture of its Brazilian business in 2016, while preserving its presence with a focus on corporate, trade-finance, and global markets activity business (The Asian Banker, 2016; Chambers </w:t>
      </w:r>
      <w:r w:rsidR="007E313C">
        <w:t>et al.</w:t>
      </w:r>
      <w:r w:rsidR="008A4418" w:rsidRPr="008A4418">
        <w:t>, 2025).</w:t>
      </w:r>
      <w:r w:rsidR="00DC59FA" w:rsidRPr="00DC59FA">
        <w:t xml:space="preserve"> </w:t>
      </w:r>
      <w:r w:rsidR="00716936" w:rsidRPr="00716936">
        <w:t xml:space="preserve">The </w:t>
      </w:r>
      <w:r w:rsidR="002136AF" w:rsidRPr="00716936">
        <w:t>change regarded</w:t>
      </w:r>
      <w:r w:rsidR="00716936" w:rsidRPr="00716936">
        <w:t xml:space="preserve"> can be considered the dynamic adaptation of a strategic entry and exit strategy, which depends upon institutional risk factors.</w:t>
      </w:r>
    </w:p>
    <w:p w14:paraId="57F38953" w14:textId="10E163CB" w:rsidR="00052563" w:rsidRDefault="00052563" w:rsidP="00DC59FA">
      <w:r>
        <w:rPr>
          <w:noProof/>
        </w:rPr>
        <w:drawing>
          <wp:inline distT="0" distB="0" distL="0" distR="0" wp14:anchorId="31BE21C3" wp14:editId="61D40F31">
            <wp:extent cx="5943600" cy="6658610"/>
            <wp:effectExtent l="0" t="0" r="0" b="8890"/>
            <wp:docPr id="601824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24819" name="Picture 1" descr="A screenshot of a computer&#10;&#10;AI-generated content may be incorrect."/>
                    <pic:cNvPicPr/>
                  </pic:nvPicPr>
                  <pic:blipFill>
                    <a:blip r:embed="rId21"/>
                    <a:stretch>
                      <a:fillRect/>
                    </a:stretch>
                  </pic:blipFill>
                  <pic:spPr>
                    <a:xfrm>
                      <a:off x="0" y="0"/>
                      <a:ext cx="5943600" cy="6658610"/>
                    </a:xfrm>
                    <a:prstGeom prst="rect">
                      <a:avLst/>
                    </a:prstGeom>
                  </pic:spPr>
                </pic:pic>
              </a:graphicData>
            </a:graphic>
          </wp:inline>
        </w:drawing>
      </w:r>
    </w:p>
    <w:p w14:paraId="6EFB9171" w14:textId="193ED873" w:rsidR="00F31A7B" w:rsidRPr="00DC59FA" w:rsidRDefault="00052563" w:rsidP="00052563">
      <w:pPr>
        <w:pStyle w:val="Caption"/>
      </w:pPr>
      <w:bookmarkStart w:id="24" w:name="_Toc216685976"/>
      <w:r>
        <w:t xml:space="preserve">Figure </w:t>
      </w:r>
      <w:r w:rsidR="00C3617A">
        <w:fldChar w:fldCharType="begin"/>
      </w:r>
      <w:r w:rsidR="00C3617A">
        <w:instrText xml:space="preserve"> SEQ Figure \* ARABIC </w:instrText>
      </w:r>
      <w:r w:rsidR="00C3617A">
        <w:fldChar w:fldCharType="separate"/>
      </w:r>
      <w:r w:rsidR="00C3617A">
        <w:rPr>
          <w:noProof/>
        </w:rPr>
        <w:t>13</w:t>
      </w:r>
      <w:r w:rsidR="00C3617A">
        <w:rPr>
          <w:noProof/>
        </w:rPr>
        <w:fldChar w:fldCharType="end"/>
      </w:r>
      <w:r>
        <w:t xml:space="preserve">: </w:t>
      </w:r>
      <w:r w:rsidRPr="002257C9">
        <w:t>HSBC Brazil Market Exit</w:t>
      </w:r>
      <w:bookmarkEnd w:id="24"/>
    </w:p>
    <w:p w14:paraId="52BE0C06" w14:textId="77777777" w:rsidR="00DC59FA" w:rsidRPr="00DC59FA" w:rsidRDefault="00DC59FA" w:rsidP="00AD02BB">
      <w:pPr>
        <w:pStyle w:val="Heading3"/>
      </w:pPr>
      <w:bookmarkStart w:id="25" w:name="_Toc216685925"/>
      <w:r w:rsidRPr="00DC59FA">
        <w:t>2.3.3 China and Hong Kong</w:t>
      </w:r>
      <w:bookmarkEnd w:id="25"/>
    </w:p>
    <w:p w14:paraId="5FE01F04" w14:textId="1AB0F0D4" w:rsidR="00DC59FA" w:rsidRDefault="006E7979" w:rsidP="00DC59FA">
      <w:r w:rsidRPr="006E7979">
        <w:t xml:space="preserve">In China and Hong Kong, HSBC uses </w:t>
      </w:r>
      <w:r w:rsidR="005D51F9" w:rsidRPr="006E7979">
        <w:t>wholly owned</w:t>
      </w:r>
      <w:r w:rsidRPr="006E7979">
        <w:t xml:space="preserve"> subsidiaries, branches and strategic partnerships, which demonstrates a long-term commitment to Asia as an engine of growth (HSBC Holdings plc, 2025).</w:t>
      </w:r>
      <w:r w:rsidR="00DC59FA" w:rsidRPr="00DC59FA">
        <w:t xml:space="preserve"> </w:t>
      </w:r>
      <w:r w:rsidR="005D51F9" w:rsidRPr="005D51F9">
        <w:t xml:space="preserve">The regulatory restrictions in China require gradual market entry, incomplete ownership, and increased cooperation with regulatory bodies, further supporting institutional theory views of foreign bank entry (Abdelaziz </w:t>
      </w:r>
      <w:r w:rsidR="005D51F9">
        <w:t>et al.</w:t>
      </w:r>
      <w:r w:rsidR="005D51F9" w:rsidRPr="005D51F9">
        <w:t>, 2025).</w:t>
      </w:r>
    </w:p>
    <w:p w14:paraId="5C61697F" w14:textId="1E51DB2C" w:rsidR="005D51F9" w:rsidRDefault="005D51F9" w:rsidP="005D51F9">
      <w:pPr>
        <w:jc w:val="center"/>
      </w:pPr>
      <w:r>
        <w:rPr>
          <w:noProof/>
        </w:rPr>
        <w:drawing>
          <wp:inline distT="0" distB="0" distL="0" distR="0" wp14:anchorId="4551DFDB" wp14:editId="34E2350D">
            <wp:extent cx="4107908" cy="6038850"/>
            <wp:effectExtent l="0" t="0" r="6985" b="0"/>
            <wp:docPr id="65532385" name="Picture 1" descr="A screenshot of a news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2385" name="Picture 1" descr="A screenshot of a newspaper&#10;&#10;AI-generated content may be incorrect."/>
                    <pic:cNvPicPr/>
                  </pic:nvPicPr>
                  <pic:blipFill>
                    <a:blip r:embed="rId22"/>
                    <a:stretch>
                      <a:fillRect/>
                    </a:stretch>
                  </pic:blipFill>
                  <pic:spPr>
                    <a:xfrm>
                      <a:off x="0" y="0"/>
                      <a:ext cx="4113056" cy="6046418"/>
                    </a:xfrm>
                    <a:prstGeom prst="rect">
                      <a:avLst/>
                    </a:prstGeom>
                  </pic:spPr>
                </pic:pic>
              </a:graphicData>
            </a:graphic>
          </wp:inline>
        </w:drawing>
      </w:r>
    </w:p>
    <w:p w14:paraId="07F8EBD7" w14:textId="378B14D9" w:rsidR="005D51F9" w:rsidRPr="00DC59FA" w:rsidRDefault="005D51F9" w:rsidP="005D51F9">
      <w:pPr>
        <w:pStyle w:val="Caption"/>
      </w:pPr>
      <w:bookmarkStart w:id="26" w:name="_Toc216685977"/>
      <w:r>
        <w:t xml:space="preserve">Figure </w:t>
      </w:r>
      <w:r w:rsidR="00C3617A">
        <w:fldChar w:fldCharType="begin"/>
      </w:r>
      <w:r w:rsidR="00C3617A">
        <w:instrText xml:space="preserve"> SEQ Figure \* ARABIC </w:instrText>
      </w:r>
      <w:r w:rsidR="00C3617A">
        <w:fldChar w:fldCharType="separate"/>
      </w:r>
      <w:r w:rsidR="00C3617A">
        <w:rPr>
          <w:noProof/>
        </w:rPr>
        <w:t>14</w:t>
      </w:r>
      <w:r w:rsidR="00C3617A">
        <w:rPr>
          <w:noProof/>
        </w:rPr>
        <w:fldChar w:fldCharType="end"/>
      </w:r>
      <w:r>
        <w:t xml:space="preserve">: </w:t>
      </w:r>
      <w:r w:rsidRPr="004E505D">
        <w:t>HSBC in China–Hong Kong</w:t>
      </w:r>
      <w:bookmarkEnd w:id="26"/>
    </w:p>
    <w:p w14:paraId="3412B851" w14:textId="77777777" w:rsidR="00DC59FA" w:rsidRPr="00DC59FA" w:rsidRDefault="00DC59FA" w:rsidP="00AD02BB">
      <w:pPr>
        <w:pStyle w:val="Heading3"/>
      </w:pPr>
      <w:bookmarkStart w:id="27" w:name="_Toc216685926"/>
      <w:r w:rsidRPr="00DC59FA">
        <w:t>2.3.4 United States</w:t>
      </w:r>
      <w:bookmarkEnd w:id="27"/>
    </w:p>
    <w:p w14:paraId="4D35C96D" w14:textId="0532DDB8" w:rsidR="00DC59FA" w:rsidRDefault="006C28D6" w:rsidP="00DC59FA">
      <w:r w:rsidRPr="006C28D6">
        <w:t>In United States, HSBC has historically utilized branch networks as well as subsidiaries, however, recent restructuring initiatives have led HSBC to selectively dissociate itself from mass retail, banking activities in favor of focusing on wealth as well as firm banking (Brooks, 2025).</w:t>
      </w:r>
      <w:r w:rsidR="00DC59FA" w:rsidRPr="00DC59FA">
        <w:t xml:space="preserve"> </w:t>
      </w:r>
      <w:r w:rsidR="00644AF2" w:rsidRPr="00644AF2">
        <w:t>This shows a portfolio approach to market-entry strategies in different markets.</w:t>
      </w:r>
    </w:p>
    <w:p w14:paraId="63E2220E" w14:textId="3547F90D" w:rsidR="00A04428" w:rsidRDefault="00A04428" w:rsidP="00DC59FA">
      <w:r>
        <w:rPr>
          <w:noProof/>
        </w:rPr>
        <w:drawing>
          <wp:inline distT="0" distB="0" distL="0" distR="0" wp14:anchorId="2C23DD48" wp14:editId="1833C1E7">
            <wp:extent cx="5943600" cy="3876675"/>
            <wp:effectExtent l="0" t="0" r="0" b="9525"/>
            <wp:docPr id="46359910" name="Picture 12" descr="HSBC HOLDINGS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SBC HOLDINGS plc"/>
                    <pic:cNvPicPr>
                      <a:picLocks noChangeAspect="1" noChangeArrowheads="1"/>
                    </pic:cNvPicPr>
                  </pic:nvPicPr>
                  <pic:blipFill rotWithShape="1">
                    <a:blip r:embed="rId23">
                      <a:extLst>
                        <a:ext uri="{28A0092B-C50C-407E-A947-70E740481C1C}">
                          <a14:useLocalDpi xmlns:a14="http://schemas.microsoft.com/office/drawing/2010/main" val="0"/>
                        </a:ext>
                      </a:extLst>
                    </a:blip>
                    <a:srcRect b="13034"/>
                    <a:stretch>
                      <a:fillRect/>
                    </a:stretch>
                  </pic:blipFill>
                  <pic:spPr bwMode="auto">
                    <a:xfrm>
                      <a:off x="0" y="0"/>
                      <a:ext cx="5943600" cy="3876675"/>
                    </a:xfrm>
                    <a:prstGeom prst="rect">
                      <a:avLst/>
                    </a:prstGeom>
                    <a:noFill/>
                    <a:ln>
                      <a:noFill/>
                    </a:ln>
                    <a:extLst>
                      <a:ext uri="{53640926-AAD7-44D8-BBD7-CCE9431645EC}">
                        <a14:shadowObscured xmlns:a14="http://schemas.microsoft.com/office/drawing/2010/main"/>
                      </a:ext>
                    </a:extLst>
                  </pic:spPr>
                </pic:pic>
              </a:graphicData>
            </a:graphic>
          </wp:inline>
        </w:drawing>
      </w:r>
    </w:p>
    <w:p w14:paraId="493FB5B2" w14:textId="1C70AFA3" w:rsidR="00A04428" w:rsidRDefault="00A04428" w:rsidP="00A04428">
      <w:pPr>
        <w:pStyle w:val="Caption"/>
      </w:pPr>
      <w:bookmarkStart w:id="28" w:name="_Toc216685978"/>
      <w:r>
        <w:t xml:space="preserve">Figure </w:t>
      </w:r>
      <w:r w:rsidR="00C3617A">
        <w:fldChar w:fldCharType="begin"/>
      </w:r>
      <w:r w:rsidR="00C3617A">
        <w:instrText xml:space="preserve"> SEQ Figure \* ARABIC </w:instrText>
      </w:r>
      <w:r w:rsidR="00C3617A">
        <w:fldChar w:fldCharType="separate"/>
      </w:r>
      <w:r w:rsidR="00C3617A">
        <w:rPr>
          <w:noProof/>
        </w:rPr>
        <w:t>15</w:t>
      </w:r>
      <w:r w:rsidR="00C3617A">
        <w:rPr>
          <w:noProof/>
        </w:rPr>
        <w:fldChar w:fldCharType="end"/>
      </w:r>
      <w:r>
        <w:t xml:space="preserve">: </w:t>
      </w:r>
      <w:r w:rsidRPr="006D569C">
        <w:t>HSBC United States Presence</w:t>
      </w:r>
      <w:bookmarkEnd w:id="28"/>
    </w:p>
    <w:p w14:paraId="354F976D" w14:textId="77777777" w:rsidR="00A04428" w:rsidRPr="00A04428" w:rsidRDefault="00A04428" w:rsidP="00A04428"/>
    <w:p w14:paraId="605FB40C" w14:textId="7F7EF92E" w:rsidR="00DC59FA" w:rsidRDefault="00AD02BB" w:rsidP="00AD02BB">
      <w:pPr>
        <w:pStyle w:val="Heading3"/>
      </w:pPr>
      <w:bookmarkStart w:id="29" w:name="_Toc216685927"/>
      <w:r>
        <w:t xml:space="preserve">2.3.5 </w:t>
      </w:r>
      <w:r w:rsidR="00DC59FA" w:rsidRPr="00DC59FA">
        <w:t>Dominant Entry Mode</w:t>
      </w:r>
      <w:bookmarkEnd w:id="29"/>
    </w:p>
    <w:p w14:paraId="237D37CF" w14:textId="7F4471CD" w:rsidR="00DC59FA" w:rsidRPr="00DC59FA" w:rsidRDefault="009413E9" w:rsidP="00DC59FA">
      <w:r w:rsidRPr="009413E9">
        <w:t xml:space="preserve">HSBC's main channel of entry in the foreign markets is foreign direct investment mostly through the establishment of </w:t>
      </w:r>
      <w:r w:rsidR="00325CA3" w:rsidRPr="009413E9">
        <w:t>wholly owned</w:t>
      </w:r>
      <w:r w:rsidRPr="009413E9">
        <w:t xml:space="preserve"> subsidiaries and branches, while other strategic actions include selective acquisitions and collaborative alliances where regulatory frameworks require sharing of ownership (Bouzidi et al., 2024).</w:t>
      </w:r>
    </w:p>
    <w:p w14:paraId="15D2D88B" w14:textId="20BCE0A7" w:rsidR="00DC59FA" w:rsidRPr="00DC59FA" w:rsidRDefault="00DC59FA" w:rsidP="00DC59FA"/>
    <w:p w14:paraId="54CA05E4" w14:textId="77777777" w:rsidR="00DC59FA" w:rsidRPr="00DC59FA" w:rsidRDefault="00DC59FA" w:rsidP="00AD02BB">
      <w:pPr>
        <w:pStyle w:val="Heading2"/>
      </w:pPr>
      <w:bookmarkStart w:id="30" w:name="_Toc216685928"/>
      <w:r w:rsidRPr="00DC59FA">
        <w:t>2.4 Key Benefits Derived from HSBC’s International Operations</w:t>
      </w:r>
      <w:bookmarkEnd w:id="30"/>
    </w:p>
    <w:p w14:paraId="6550DAE9" w14:textId="77777777" w:rsidR="00DC59FA" w:rsidRPr="00DC59FA" w:rsidRDefault="00DC59FA" w:rsidP="00AD02BB">
      <w:pPr>
        <w:pStyle w:val="Heading3"/>
      </w:pPr>
      <w:bookmarkStart w:id="31" w:name="_Toc216685929"/>
      <w:r w:rsidRPr="00DC59FA">
        <w:t>2.4.1 Risk Diversification and Earnings Stability</w:t>
      </w:r>
      <w:bookmarkEnd w:id="31"/>
    </w:p>
    <w:p w14:paraId="69EB09BD" w14:textId="2281FF81" w:rsidR="00DC59FA" w:rsidRDefault="007A521B" w:rsidP="00DC59FA">
      <w:r w:rsidRPr="007A521B">
        <w:t>The diversification of the HSBC geographic and economic risk exposures is made possible by the international operations of the organization.</w:t>
      </w:r>
      <w:r w:rsidR="00DC59FA" w:rsidRPr="00DC59FA">
        <w:t xml:space="preserve"> </w:t>
      </w:r>
      <w:r w:rsidR="00044C24" w:rsidRPr="00044C24">
        <w:t>Exposure across multiple markets ensures that the reliance on any one economy is lowered and therefore adds to the resilience in the event of downturn in any one region (Freedom24, 2023).</w:t>
      </w:r>
    </w:p>
    <w:p w14:paraId="3109E989" w14:textId="494E48F5" w:rsidR="00DC133A" w:rsidRDefault="00DC133A" w:rsidP="00DC59FA">
      <w:r>
        <w:rPr>
          <w:noProof/>
        </w:rPr>
        <w:drawing>
          <wp:inline distT="0" distB="0" distL="0" distR="0" wp14:anchorId="46F76398" wp14:editId="6A9DF769">
            <wp:extent cx="5943600" cy="3009900"/>
            <wp:effectExtent l="0" t="0" r="0" b="0"/>
            <wp:docPr id="1672953037" name="Picture 13" descr="The Power of Portfolio Divers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The Power of Portfolio Diversificatio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009900"/>
                    </a:xfrm>
                    <a:prstGeom prst="rect">
                      <a:avLst/>
                    </a:prstGeom>
                    <a:noFill/>
                    <a:ln>
                      <a:noFill/>
                    </a:ln>
                  </pic:spPr>
                </pic:pic>
              </a:graphicData>
            </a:graphic>
          </wp:inline>
        </w:drawing>
      </w:r>
    </w:p>
    <w:p w14:paraId="7FCDE351" w14:textId="7159846F" w:rsidR="00DC133A" w:rsidRDefault="00DC133A" w:rsidP="00DC133A">
      <w:pPr>
        <w:pStyle w:val="Caption"/>
      </w:pPr>
      <w:bookmarkStart w:id="32" w:name="_Toc216685979"/>
      <w:r>
        <w:t xml:space="preserve">Figure </w:t>
      </w:r>
      <w:r w:rsidR="00C3617A">
        <w:fldChar w:fldCharType="begin"/>
      </w:r>
      <w:r w:rsidR="00C3617A">
        <w:instrText xml:space="preserve"> SEQ Figure \* ARABIC </w:instrText>
      </w:r>
      <w:r w:rsidR="00C3617A">
        <w:fldChar w:fldCharType="separate"/>
      </w:r>
      <w:r w:rsidR="00C3617A">
        <w:rPr>
          <w:noProof/>
        </w:rPr>
        <w:t>16</w:t>
      </w:r>
      <w:r w:rsidR="00C3617A">
        <w:rPr>
          <w:noProof/>
        </w:rPr>
        <w:fldChar w:fldCharType="end"/>
      </w:r>
      <w:r>
        <w:t xml:space="preserve">: </w:t>
      </w:r>
      <w:r w:rsidRPr="003B5B91">
        <w:t>Risk Diversification and Stability</w:t>
      </w:r>
      <w:bookmarkEnd w:id="32"/>
    </w:p>
    <w:p w14:paraId="55C62F29" w14:textId="77777777" w:rsidR="00DC133A" w:rsidRPr="00DC133A" w:rsidRDefault="00DC133A" w:rsidP="00DC133A"/>
    <w:p w14:paraId="78E1837B" w14:textId="77777777" w:rsidR="00DC59FA" w:rsidRPr="00DC59FA" w:rsidRDefault="00DC59FA" w:rsidP="00AD02BB">
      <w:pPr>
        <w:pStyle w:val="Heading3"/>
      </w:pPr>
      <w:bookmarkStart w:id="33" w:name="_Toc216685930"/>
      <w:r w:rsidRPr="00DC59FA">
        <w:t>2.4.2 Economies of Scale and Scope</w:t>
      </w:r>
      <w:bookmarkEnd w:id="33"/>
    </w:p>
    <w:p w14:paraId="7E7DEE21" w14:textId="5E65D471" w:rsidR="00DC59FA" w:rsidRDefault="00517808" w:rsidP="00DC59FA">
      <w:r w:rsidRPr="00517808">
        <w:t>Global operation also allows the HSBC to share technology, compliance systems and research spending with other markets hence creating economies of scale.</w:t>
      </w:r>
      <w:r w:rsidR="00DC59FA" w:rsidRPr="00DC59FA">
        <w:t xml:space="preserve"> </w:t>
      </w:r>
      <w:r w:rsidR="00E75143" w:rsidRPr="00E75143">
        <w:t>Concurrently with these developments, economies of scope arise due to the provision of integrated solutions which cut across the areas of trade finance, foreign exchange and capital markets (Gratton, 2025; Habib et al., 2025).</w:t>
      </w:r>
    </w:p>
    <w:p w14:paraId="7EB1B625" w14:textId="77777777" w:rsidR="00E75143" w:rsidRPr="00DC59FA" w:rsidRDefault="00E75143" w:rsidP="00DC59FA"/>
    <w:p w14:paraId="40257048" w14:textId="77777777" w:rsidR="00DC59FA" w:rsidRPr="00DC59FA" w:rsidRDefault="00DC59FA" w:rsidP="00AD02BB">
      <w:pPr>
        <w:pStyle w:val="Heading3"/>
      </w:pPr>
      <w:bookmarkStart w:id="34" w:name="_Toc216685931"/>
      <w:r w:rsidRPr="00DC59FA">
        <w:t>2.4.3 Access to Growth Markets</w:t>
      </w:r>
      <w:bookmarkEnd w:id="34"/>
    </w:p>
    <w:p w14:paraId="77516394" w14:textId="48DA2605" w:rsidR="00DC59FA" w:rsidRDefault="00DC133A" w:rsidP="00DC59FA">
      <w:r w:rsidRPr="00DC133A">
        <w:t>These early and consistent presence in high-developing areas, especially Asia and emerging markets, has provided HSBC with benefits in terms of capturing increased trade flows, wealth creation, and investment demand (HSBC Holdings plc, 2025; IMARC Group, 2025).</w:t>
      </w:r>
    </w:p>
    <w:p w14:paraId="1F3C4BD0" w14:textId="1F0BEE65" w:rsidR="00E07445" w:rsidRDefault="00E07445" w:rsidP="00DC59FA">
      <w:r>
        <w:rPr>
          <w:noProof/>
        </w:rPr>
        <w:drawing>
          <wp:inline distT="0" distB="0" distL="0" distR="0" wp14:anchorId="4F735CA1" wp14:editId="6E577AF1">
            <wp:extent cx="5943600" cy="3343275"/>
            <wp:effectExtent l="0" t="0" r="0" b="9525"/>
            <wp:docPr id="1120456872" name="Picture 14" descr="India is an 'expensive market,' HSBC s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ndia is an 'expensive market,' HSBC say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7879E8C" w14:textId="1DE18C6F" w:rsidR="00DC133A" w:rsidRDefault="00E07445" w:rsidP="00E07445">
      <w:pPr>
        <w:pStyle w:val="Caption"/>
      </w:pPr>
      <w:bookmarkStart w:id="35" w:name="_Toc216685980"/>
      <w:r>
        <w:t xml:space="preserve">Figure </w:t>
      </w:r>
      <w:r w:rsidR="00C3617A">
        <w:fldChar w:fldCharType="begin"/>
      </w:r>
      <w:r w:rsidR="00C3617A">
        <w:instrText xml:space="preserve"> SEQ Figure \* ARABIC </w:instrText>
      </w:r>
      <w:r w:rsidR="00C3617A">
        <w:fldChar w:fldCharType="separate"/>
      </w:r>
      <w:r w:rsidR="00C3617A">
        <w:rPr>
          <w:noProof/>
        </w:rPr>
        <w:t>17</w:t>
      </w:r>
      <w:r w:rsidR="00C3617A">
        <w:rPr>
          <w:noProof/>
        </w:rPr>
        <w:fldChar w:fldCharType="end"/>
      </w:r>
      <w:r>
        <w:t xml:space="preserve">: </w:t>
      </w:r>
      <w:r w:rsidRPr="00234FCD">
        <w:t>HSBC Emerging Markets Growth</w:t>
      </w:r>
      <w:bookmarkEnd w:id="35"/>
    </w:p>
    <w:p w14:paraId="64259A63" w14:textId="77777777" w:rsidR="00E07445" w:rsidRPr="00E07445" w:rsidRDefault="00E07445" w:rsidP="00E07445"/>
    <w:p w14:paraId="0866146A" w14:textId="77777777" w:rsidR="00DC59FA" w:rsidRPr="00DC59FA" w:rsidRDefault="00DC59FA" w:rsidP="00AD02BB">
      <w:pPr>
        <w:pStyle w:val="Heading3"/>
      </w:pPr>
      <w:bookmarkStart w:id="36" w:name="_Toc216685932"/>
      <w:r w:rsidRPr="00DC59FA">
        <w:t>2.4.4 Knowledge Transfer and Learning</w:t>
      </w:r>
      <w:bookmarkEnd w:id="36"/>
    </w:p>
    <w:p w14:paraId="4F29CC7F" w14:textId="765A9862" w:rsidR="00DC59FA" w:rsidRDefault="00E07445" w:rsidP="00DC59FA">
      <w:r w:rsidRPr="00E07445">
        <w:t>Cross border operations are facilitating organisational learning and knowledge transfer. Insights gained in one market can be knowledge transferrable to other areas in order to achieve service innovation and operational improvement (Hendriks et al., 2023).</w:t>
      </w:r>
    </w:p>
    <w:p w14:paraId="4368EB61" w14:textId="77777777" w:rsidR="00E07445" w:rsidRPr="00DC59FA" w:rsidRDefault="00E07445" w:rsidP="00DC59FA"/>
    <w:p w14:paraId="11970180" w14:textId="77777777" w:rsidR="00DC59FA" w:rsidRPr="00DC59FA" w:rsidRDefault="00DC59FA" w:rsidP="00AD02BB">
      <w:pPr>
        <w:pStyle w:val="Heading3"/>
      </w:pPr>
      <w:bookmarkStart w:id="37" w:name="_Toc216685933"/>
      <w:r w:rsidRPr="00DC59FA">
        <w:t>2.4.5 Strategic Positioning in Glocalisation</w:t>
      </w:r>
      <w:bookmarkEnd w:id="37"/>
    </w:p>
    <w:p w14:paraId="69214B69" w14:textId="3CA6C0EB" w:rsidR="00DC59FA" w:rsidRDefault="00B10BA2" w:rsidP="00DC59FA">
      <w:r w:rsidRPr="00B10BA2">
        <w:t xml:space="preserve">The </w:t>
      </w:r>
      <w:r w:rsidR="007E0DA7" w:rsidRPr="00B10BA2">
        <w:t>large, distributed</w:t>
      </w:r>
      <w:r w:rsidRPr="00B10BA2">
        <w:t xml:space="preserve"> network of HSBC makes the institution a key catalyst of glocalisation, hence supporting firms which require glocal connectivity as well as strong local compliance strength (HSBC, 2024). This kind of positioning creates greater loyalty of clients and creates competitive advantage.</w:t>
      </w:r>
    </w:p>
    <w:p w14:paraId="2B743F9B" w14:textId="1AD3462A" w:rsidR="00197EAF" w:rsidRDefault="00197EAF" w:rsidP="00BF3FFE">
      <w:pPr>
        <w:jc w:val="center"/>
      </w:pPr>
      <w:r>
        <w:rPr>
          <w:noProof/>
        </w:rPr>
        <w:drawing>
          <wp:inline distT="0" distB="0" distL="0" distR="0" wp14:anchorId="7C129A71" wp14:editId="64ACC978">
            <wp:extent cx="5861685" cy="3848100"/>
            <wp:effectExtent l="0" t="0" r="5715" b="0"/>
            <wp:docPr id="1727206035" name="Picture 15" descr="Glocalisation | Università Cattolica del Sacro Cu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Glocalisation | Università Cattolica del Sacro Cuor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873629" cy="3855941"/>
                    </a:xfrm>
                    <a:prstGeom prst="rect">
                      <a:avLst/>
                    </a:prstGeom>
                    <a:noFill/>
                    <a:ln>
                      <a:noFill/>
                    </a:ln>
                  </pic:spPr>
                </pic:pic>
              </a:graphicData>
            </a:graphic>
          </wp:inline>
        </w:drawing>
      </w:r>
    </w:p>
    <w:p w14:paraId="71AA7EA7" w14:textId="4AF2F46B" w:rsidR="0059676F" w:rsidRDefault="00197EAF" w:rsidP="00197EAF">
      <w:pPr>
        <w:pStyle w:val="Caption"/>
      </w:pPr>
      <w:bookmarkStart w:id="38" w:name="_Toc216685981"/>
      <w:r>
        <w:t xml:space="preserve">Figure </w:t>
      </w:r>
      <w:r w:rsidR="00C3617A">
        <w:fldChar w:fldCharType="begin"/>
      </w:r>
      <w:r w:rsidR="00C3617A">
        <w:instrText xml:space="preserve"> SEQ Figure \* ARABIC </w:instrText>
      </w:r>
      <w:r w:rsidR="00C3617A">
        <w:fldChar w:fldCharType="separate"/>
      </w:r>
      <w:r w:rsidR="00C3617A">
        <w:rPr>
          <w:noProof/>
        </w:rPr>
        <w:t>18</w:t>
      </w:r>
      <w:r w:rsidR="00C3617A">
        <w:rPr>
          <w:noProof/>
        </w:rPr>
        <w:fldChar w:fldCharType="end"/>
      </w:r>
      <w:r>
        <w:t xml:space="preserve">: </w:t>
      </w:r>
      <w:r w:rsidRPr="0099712A">
        <w:t>Glocalisation Strategy</w:t>
      </w:r>
      <w:bookmarkEnd w:id="38"/>
    </w:p>
    <w:p w14:paraId="7B3C5DA5" w14:textId="77777777" w:rsidR="00197EAF" w:rsidRPr="00197EAF" w:rsidRDefault="00197EAF" w:rsidP="00197EAF"/>
    <w:p w14:paraId="0AE32B7B" w14:textId="77777777" w:rsidR="00A867B5" w:rsidRPr="00A867B5" w:rsidRDefault="00A867B5" w:rsidP="00AD02BB">
      <w:pPr>
        <w:pStyle w:val="Heading1"/>
      </w:pPr>
      <w:bookmarkStart w:id="39" w:name="_Toc216685934"/>
      <w:r w:rsidRPr="00A867B5">
        <w:t>3. OLI Framework and International Market Entry: HSBC in Brazil</w:t>
      </w:r>
      <w:bookmarkEnd w:id="39"/>
    </w:p>
    <w:p w14:paraId="4807B638" w14:textId="77777777" w:rsidR="00A867B5" w:rsidRDefault="00A867B5" w:rsidP="00AD02BB">
      <w:pPr>
        <w:pStyle w:val="Heading2"/>
      </w:pPr>
      <w:bookmarkStart w:id="40" w:name="_Toc216685935"/>
      <w:r w:rsidRPr="00A867B5">
        <w:t>3.1 Introduction: OLI Paradigm and Banking Internationalisation</w:t>
      </w:r>
      <w:bookmarkEnd w:id="40"/>
    </w:p>
    <w:p w14:paraId="50B48552" w14:textId="77777777" w:rsidR="00525B18" w:rsidRDefault="00CB63E0" w:rsidP="00A867B5">
      <w:r w:rsidRPr="00CB63E0">
        <w:t>The Ownership-Location-Internalisation (OLI) paradigm provides a powerful analytical framework for analyzing the foreign market entry choices of multinational enterprises, particularly in those sectors of regulated services, such as banking (Kocúrek, 2024).</w:t>
      </w:r>
      <w:r w:rsidR="00A867B5" w:rsidRPr="00A867B5">
        <w:t xml:space="preserve"> </w:t>
      </w:r>
      <w:r w:rsidR="0004155F" w:rsidRPr="0004155F">
        <w:t>For the multinational banks, their choice of entry mode toward the host market is not only based on the advantages of the firm but also the institutional constraints of the host country as well as the transaction costs (Belaounia et al., 2016; Abdelaziz et al., 2025).</w:t>
      </w:r>
      <w:r w:rsidR="00A867B5" w:rsidRPr="00A867B5">
        <w:t xml:space="preserve"> </w:t>
      </w:r>
    </w:p>
    <w:p w14:paraId="3D70CDAC" w14:textId="77777777" w:rsidR="00525B18" w:rsidRDefault="00525B18" w:rsidP="00525B18">
      <w:pPr>
        <w:jc w:val="center"/>
      </w:pPr>
      <w:r>
        <w:rPr>
          <w:noProof/>
        </w:rPr>
        <w:drawing>
          <wp:inline distT="0" distB="0" distL="0" distR="0" wp14:anchorId="2886DC76" wp14:editId="67F39B97">
            <wp:extent cx="4843903" cy="4229100"/>
            <wp:effectExtent l="0" t="0" r="0" b="0"/>
            <wp:docPr id="2140218624" name="Picture 16" descr="OLI framework. OLI: ownership, location, and internationaliz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OLI framework. OLI: ownership, location, and internationalization. |  Download Scientific Diagram"/>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63004" cy="4245777"/>
                    </a:xfrm>
                    <a:prstGeom prst="rect">
                      <a:avLst/>
                    </a:prstGeom>
                    <a:noFill/>
                    <a:ln>
                      <a:noFill/>
                    </a:ln>
                  </pic:spPr>
                </pic:pic>
              </a:graphicData>
            </a:graphic>
          </wp:inline>
        </w:drawing>
      </w:r>
    </w:p>
    <w:p w14:paraId="108AF1F4" w14:textId="2CC1DAFB" w:rsidR="00525B18" w:rsidRDefault="00525B18" w:rsidP="00525B18">
      <w:pPr>
        <w:pStyle w:val="Caption"/>
      </w:pPr>
      <w:bookmarkStart w:id="41" w:name="_Toc216685982"/>
      <w:r>
        <w:t xml:space="preserve">Figure </w:t>
      </w:r>
      <w:r w:rsidR="00C3617A">
        <w:fldChar w:fldCharType="begin"/>
      </w:r>
      <w:r w:rsidR="00C3617A">
        <w:instrText xml:space="preserve"> SEQ Figure \* ARABIC </w:instrText>
      </w:r>
      <w:r w:rsidR="00C3617A">
        <w:fldChar w:fldCharType="separate"/>
      </w:r>
      <w:r w:rsidR="00C3617A">
        <w:rPr>
          <w:noProof/>
        </w:rPr>
        <w:t>19</w:t>
      </w:r>
      <w:r w:rsidR="00C3617A">
        <w:rPr>
          <w:noProof/>
        </w:rPr>
        <w:fldChar w:fldCharType="end"/>
      </w:r>
      <w:r>
        <w:t xml:space="preserve">: </w:t>
      </w:r>
      <w:r w:rsidRPr="00D140B0">
        <w:t>OLI Paradigm Framework</w:t>
      </w:r>
      <w:bookmarkEnd w:id="41"/>
    </w:p>
    <w:p w14:paraId="6AE66672" w14:textId="7E129148" w:rsidR="00A867B5" w:rsidRPr="00A867B5" w:rsidRDefault="00706D00" w:rsidP="00A867B5">
      <w:r w:rsidRPr="00706D00">
        <w:t>The section is a critical analysis of the role of ownership, locational, and internalisation advantages to the entry, restructuring and partial exit strategies of HSBC operations in Brazil, a developing economy with complex institutional arrangements and competitive forces</w:t>
      </w:r>
      <w:r w:rsidR="00A867B5" w:rsidRPr="00A867B5">
        <w:t>.</w:t>
      </w:r>
    </w:p>
    <w:p w14:paraId="23F51708" w14:textId="1C7AF3E0" w:rsidR="00A867B5" w:rsidRPr="00A867B5" w:rsidRDefault="00A867B5" w:rsidP="00A867B5"/>
    <w:p w14:paraId="0C814BE0" w14:textId="77777777" w:rsidR="00A867B5" w:rsidRPr="00A867B5" w:rsidRDefault="00A867B5" w:rsidP="00AD02BB">
      <w:pPr>
        <w:pStyle w:val="Heading2"/>
      </w:pPr>
      <w:bookmarkStart w:id="42" w:name="_Toc216685936"/>
      <w:r w:rsidRPr="00A867B5">
        <w:t>3.2 Ownership Advantages and Entry Mode Implications</w:t>
      </w:r>
      <w:bookmarkEnd w:id="42"/>
    </w:p>
    <w:p w14:paraId="57488C2B" w14:textId="409D5518" w:rsidR="00A867B5" w:rsidRDefault="00250292" w:rsidP="00A867B5">
      <w:r w:rsidRPr="00250292">
        <w:t xml:space="preserve">The ownership advantages of </w:t>
      </w:r>
      <w:r w:rsidR="00BF4FAE" w:rsidRPr="00250292">
        <w:t>HSBC</w:t>
      </w:r>
      <w:r w:rsidRPr="00250292">
        <w:t xml:space="preserve"> have its base in the global brand reputation, robustness of capital, prowess in risk management, and in international trade finance (Gratton 2025, HSBC Holdings plc, 2025a).</w:t>
      </w:r>
      <w:r w:rsidR="00A867B5" w:rsidRPr="00A867B5">
        <w:t xml:space="preserve"> </w:t>
      </w:r>
      <w:r w:rsidR="00E501D3" w:rsidRPr="00E501D3">
        <w:t>These firm-specific resources allowed HSBC to first seek high-control entry modes, such as wholly owned subsidiaries and acquiring businesses in Brazil, which is in harmony with the OLI forecast that high ownership benefits underline FDI-based entry (Kocúrek, 2024).</w:t>
      </w:r>
    </w:p>
    <w:p w14:paraId="074F2630" w14:textId="4695BACE" w:rsidR="00817B7D" w:rsidRDefault="00817B7D" w:rsidP="00A867B5">
      <w:r>
        <w:rPr>
          <w:noProof/>
        </w:rPr>
        <w:drawing>
          <wp:inline distT="0" distB="0" distL="0" distR="0" wp14:anchorId="489469B9" wp14:editId="5B58E680">
            <wp:extent cx="5943600" cy="3952875"/>
            <wp:effectExtent l="0" t="0" r="0" b="9525"/>
            <wp:docPr id="985415707" name="Picture 17" descr="HSBC Business - Your partner for growth | HSBC Braz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SBC Business - Your partner for growth | HSBC Brazil"/>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952875"/>
                    </a:xfrm>
                    <a:prstGeom prst="rect">
                      <a:avLst/>
                    </a:prstGeom>
                    <a:noFill/>
                    <a:ln>
                      <a:noFill/>
                    </a:ln>
                  </pic:spPr>
                </pic:pic>
              </a:graphicData>
            </a:graphic>
          </wp:inline>
        </w:drawing>
      </w:r>
    </w:p>
    <w:p w14:paraId="274C5AB8" w14:textId="36C70CF5" w:rsidR="00817B7D" w:rsidRPr="00A867B5" w:rsidRDefault="00817B7D" w:rsidP="00817B7D">
      <w:pPr>
        <w:pStyle w:val="Caption"/>
      </w:pPr>
      <w:bookmarkStart w:id="43" w:name="_Toc216685983"/>
      <w:r>
        <w:t xml:space="preserve">Figure </w:t>
      </w:r>
      <w:r w:rsidR="00C3617A">
        <w:fldChar w:fldCharType="begin"/>
      </w:r>
      <w:r w:rsidR="00C3617A">
        <w:instrText xml:space="preserve"> SEQ Figure \* ARABIC </w:instrText>
      </w:r>
      <w:r w:rsidR="00C3617A">
        <w:fldChar w:fldCharType="separate"/>
      </w:r>
      <w:r w:rsidR="00C3617A">
        <w:rPr>
          <w:noProof/>
        </w:rPr>
        <w:t>20</w:t>
      </w:r>
      <w:r w:rsidR="00C3617A">
        <w:rPr>
          <w:noProof/>
        </w:rPr>
        <w:fldChar w:fldCharType="end"/>
      </w:r>
      <w:r>
        <w:t xml:space="preserve">: </w:t>
      </w:r>
      <w:r w:rsidRPr="00496669">
        <w:t>HSBC Ownership Advantages Brazil</w:t>
      </w:r>
      <w:bookmarkEnd w:id="43"/>
    </w:p>
    <w:p w14:paraId="4A6F6FAB" w14:textId="56031D49" w:rsidR="00D64273" w:rsidRDefault="00817B7D" w:rsidP="00A867B5">
      <w:r w:rsidRPr="00817B7D">
        <w:t>HSBC's significant experience in cross border trade finance and global markets equipped the institution to take advantage of the growing export sector of Brazil and this is done through instruments such as foreign exchange, structured trade finance, and international funding solutions (Marcopolis, 2012; HSBC, 2025).</w:t>
      </w:r>
      <w:r w:rsidR="00A867B5" w:rsidRPr="00A867B5">
        <w:t xml:space="preserve"> </w:t>
      </w:r>
      <w:r w:rsidR="00A226B1" w:rsidRPr="00A226B1">
        <w:t>In the theoretical aspects, the ownership advantages happen to neutralize the liability of foreignness and consequently justify the deeper commitment into the market (Zhou et al., 2025).</w:t>
      </w:r>
      <w:r w:rsidR="00A867B5" w:rsidRPr="00A867B5">
        <w:t xml:space="preserve"> </w:t>
      </w:r>
    </w:p>
    <w:p w14:paraId="5949EEE6" w14:textId="007711FB" w:rsidR="00A867B5" w:rsidRDefault="007E313C" w:rsidP="00A867B5">
      <w:r w:rsidRPr="007E313C">
        <w:t xml:space="preserve">Nonetheless, ownership advantages of HSBC proved less transferable to the mass retail banking arm of Brazil, where the domestic incumbents had better local knowledge, distribution networks and embeddedness within the regulatory process (Unlock LatAm, 2025; Chambers </w:t>
      </w:r>
      <w:r>
        <w:t>et al.</w:t>
      </w:r>
      <w:r w:rsidRPr="007E313C">
        <w:t>, 2025).</w:t>
      </w:r>
      <w:r w:rsidR="00A867B5" w:rsidRPr="00A867B5">
        <w:t xml:space="preserve"> </w:t>
      </w:r>
      <w:r w:rsidR="00F67672" w:rsidRPr="00F67672">
        <w:t>The affected limitation brought weakness to full-scale internalisation sustainability.</w:t>
      </w:r>
    </w:p>
    <w:p w14:paraId="060AFCFE" w14:textId="35B788C4" w:rsidR="00D64273" w:rsidRDefault="00D64273" w:rsidP="00A867B5">
      <w:r>
        <w:rPr>
          <w:noProof/>
        </w:rPr>
        <w:drawing>
          <wp:inline distT="0" distB="0" distL="0" distR="0" wp14:anchorId="5D069DF8" wp14:editId="5ACA9BF2">
            <wp:extent cx="5943600" cy="5261610"/>
            <wp:effectExtent l="0" t="0" r="0" b="0"/>
            <wp:docPr id="351985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985407" name=""/>
                    <pic:cNvPicPr/>
                  </pic:nvPicPr>
                  <pic:blipFill>
                    <a:blip r:embed="rId29"/>
                    <a:stretch>
                      <a:fillRect/>
                    </a:stretch>
                  </pic:blipFill>
                  <pic:spPr>
                    <a:xfrm>
                      <a:off x="0" y="0"/>
                      <a:ext cx="5943600" cy="5261610"/>
                    </a:xfrm>
                    <a:prstGeom prst="rect">
                      <a:avLst/>
                    </a:prstGeom>
                  </pic:spPr>
                </pic:pic>
              </a:graphicData>
            </a:graphic>
          </wp:inline>
        </w:drawing>
      </w:r>
    </w:p>
    <w:p w14:paraId="6AB7F2A6" w14:textId="1F1BB75C" w:rsidR="00F67672" w:rsidRDefault="00D64273" w:rsidP="00D64273">
      <w:pPr>
        <w:pStyle w:val="Caption"/>
      </w:pPr>
      <w:bookmarkStart w:id="44" w:name="_Toc216685984"/>
      <w:r>
        <w:t xml:space="preserve">Figure </w:t>
      </w:r>
      <w:r w:rsidR="00C3617A">
        <w:fldChar w:fldCharType="begin"/>
      </w:r>
      <w:r w:rsidR="00C3617A">
        <w:instrText xml:space="preserve"> SEQ Figure \* ARABIC </w:instrText>
      </w:r>
      <w:r w:rsidR="00C3617A">
        <w:fldChar w:fldCharType="separate"/>
      </w:r>
      <w:r w:rsidR="00C3617A">
        <w:rPr>
          <w:noProof/>
        </w:rPr>
        <w:t>21</w:t>
      </w:r>
      <w:r w:rsidR="00C3617A">
        <w:rPr>
          <w:noProof/>
        </w:rPr>
        <w:fldChar w:fldCharType="end"/>
      </w:r>
      <w:r>
        <w:t xml:space="preserve">: </w:t>
      </w:r>
      <w:r w:rsidRPr="00002CF4">
        <w:t>Brazilian Banking System Complexity</w:t>
      </w:r>
      <w:bookmarkEnd w:id="44"/>
    </w:p>
    <w:p w14:paraId="2CB53A16" w14:textId="77777777" w:rsidR="00D64273" w:rsidRPr="00D64273" w:rsidRDefault="00D64273" w:rsidP="00D64273"/>
    <w:p w14:paraId="045EE55E" w14:textId="77777777" w:rsidR="00A867B5" w:rsidRPr="00A867B5" w:rsidRDefault="00A867B5" w:rsidP="00AD02BB">
      <w:pPr>
        <w:pStyle w:val="Heading2"/>
      </w:pPr>
      <w:bookmarkStart w:id="45" w:name="_Toc216685937"/>
      <w:r w:rsidRPr="00A867B5">
        <w:t>3.3 Location Advantages and Institutional Constraints in Brazil</w:t>
      </w:r>
      <w:bookmarkEnd w:id="45"/>
    </w:p>
    <w:p w14:paraId="47920BA2" w14:textId="195F2BAD" w:rsidR="00A867B5" w:rsidRDefault="0090382D" w:rsidP="00A867B5">
      <w:r w:rsidRPr="0090382D">
        <w:t>Locational advantages in Brazil are substantial, with the availability of a large domestic market, diverse economy, emerging capital markets, and strategically positioned in reference to the movement of its trade within Latin America (IMARC Group, 2025).</w:t>
      </w:r>
      <w:r w:rsidR="00A867B5" w:rsidRPr="00A867B5">
        <w:t xml:space="preserve"> </w:t>
      </w:r>
      <w:r w:rsidR="00EC5430" w:rsidRPr="00EC5430">
        <w:t>The factors mentioned above were what initially led HSBC towards the development of the full-ground production banking, a step that fit the OLI logic, which presupposes that the favourable market size and growth opportunities are the incentives to foreign direct investment (Kocúrek, 2024).</w:t>
      </w:r>
    </w:p>
    <w:p w14:paraId="561196A0" w14:textId="1CAD7669" w:rsidR="00EC5430" w:rsidRDefault="00EC5430" w:rsidP="00A867B5">
      <w:r>
        <w:rPr>
          <w:noProof/>
        </w:rPr>
        <w:drawing>
          <wp:inline distT="0" distB="0" distL="0" distR="0" wp14:anchorId="5504F6CB" wp14:editId="2CB7A7CF">
            <wp:extent cx="5943600" cy="4659630"/>
            <wp:effectExtent l="0" t="0" r="0" b="7620"/>
            <wp:docPr id="2140583559" name="Picture 1" descr="A screenshot of a financi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83559" name="Picture 1" descr="A screenshot of a financial report&#10;&#10;AI-generated content may be incorrect."/>
                    <pic:cNvPicPr/>
                  </pic:nvPicPr>
                  <pic:blipFill>
                    <a:blip r:embed="rId30"/>
                    <a:stretch>
                      <a:fillRect/>
                    </a:stretch>
                  </pic:blipFill>
                  <pic:spPr>
                    <a:xfrm>
                      <a:off x="0" y="0"/>
                      <a:ext cx="5943600" cy="4659630"/>
                    </a:xfrm>
                    <a:prstGeom prst="rect">
                      <a:avLst/>
                    </a:prstGeom>
                  </pic:spPr>
                </pic:pic>
              </a:graphicData>
            </a:graphic>
          </wp:inline>
        </w:drawing>
      </w:r>
    </w:p>
    <w:p w14:paraId="0F6EE4F2" w14:textId="02A966D2" w:rsidR="00EC5430" w:rsidRDefault="00EC5430" w:rsidP="00EC5430">
      <w:pPr>
        <w:pStyle w:val="Caption"/>
      </w:pPr>
      <w:bookmarkStart w:id="46" w:name="_Toc216685985"/>
      <w:r>
        <w:t xml:space="preserve">Figure </w:t>
      </w:r>
      <w:r w:rsidR="00C3617A">
        <w:fldChar w:fldCharType="begin"/>
      </w:r>
      <w:r w:rsidR="00C3617A">
        <w:instrText xml:space="preserve"> SEQ Figure \* ARABIC </w:instrText>
      </w:r>
      <w:r w:rsidR="00C3617A">
        <w:fldChar w:fldCharType="separate"/>
      </w:r>
      <w:r w:rsidR="00C3617A">
        <w:rPr>
          <w:noProof/>
        </w:rPr>
        <w:t>22</w:t>
      </w:r>
      <w:r w:rsidR="00C3617A">
        <w:rPr>
          <w:noProof/>
        </w:rPr>
        <w:fldChar w:fldCharType="end"/>
      </w:r>
      <w:r>
        <w:t xml:space="preserve">: </w:t>
      </w:r>
      <w:r w:rsidRPr="007C183E">
        <w:t xml:space="preserve">Brazil Investment </w:t>
      </w:r>
      <w:r w:rsidRPr="00EC5430">
        <w:t>Banking</w:t>
      </w:r>
      <w:r>
        <w:t xml:space="preserve"> </w:t>
      </w:r>
      <w:r w:rsidRPr="007C183E">
        <w:t>Market Growth</w:t>
      </w:r>
      <w:bookmarkEnd w:id="46"/>
    </w:p>
    <w:p w14:paraId="4C64F15F" w14:textId="77777777" w:rsidR="00EC5430" w:rsidRPr="00EC5430" w:rsidRDefault="00EC5430" w:rsidP="00EC5430"/>
    <w:p w14:paraId="48D52071" w14:textId="0523D74F" w:rsidR="00A867B5" w:rsidRDefault="00586BA8" w:rsidP="00A867B5">
      <w:r w:rsidRPr="00586BA8">
        <w:t>Nevertheless, the institutional environment of Brazil imposed simultaneous constraints on HSBC's choice of entry modes.</w:t>
      </w:r>
      <w:r>
        <w:t xml:space="preserve"> </w:t>
      </w:r>
      <w:r w:rsidR="007C2881" w:rsidRPr="007C2881">
        <w:t xml:space="preserve">Banking is a field that is highly regulated, often has domestic rivalry with alternating competitive pressure, very high compliance expenses, and constantly developing regulatory demands (Chambers </w:t>
      </w:r>
      <w:r w:rsidR="007C2881">
        <w:t>et al.</w:t>
      </w:r>
      <w:r w:rsidR="007C2881" w:rsidRPr="007C2881">
        <w:t xml:space="preserve">, 2025; Abdelaziz </w:t>
      </w:r>
      <w:r w:rsidR="007C2881">
        <w:t>et al.</w:t>
      </w:r>
      <w:r w:rsidR="007C2881" w:rsidRPr="007C2881">
        <w:t>, 2025).</w:t>
      </w:r>
      <w:r w:rsidR="007C2881">
        <w:t xml:space="preserve"> </w:t>
      </w:r>
      <w:r w:rsidR="000C76AD" w:rsidRPr="000C76AD">
        <w:t>These conditions increased operational risk and at the same time reduced the efficiency of foreign-owned retail banking operations.</w:t>
      </w:r>
      <w:r w:rsidR="00A867B5" w:rsidRPr="00A867B5">
        <w:t xml:space="preserve"> </w:t>
      </w:r>
      <w:r w:rsidR="004C6B02" w:rsidRPr="004C6B02">
        <w:t xml:space="preserve">Empirical studies reveal that in some institutional systems, foreign banking institutions are faced with an increased risk of default in their adoption of wholly internalized organizational structures without proper local adjustments (Saleh </w:t>
      </w:r>
      <w:r w:rsidR="004C6B02">
        <w:t>et al.</w:t>
      </w:r>
      <w:r w:rsidR="004C6B02" w:rsidRPr="004C6B02">
        <w:t>, 2022).</w:t>
      </w:r>
    </w:p>
    <w:p w14:paraId="7D361597" w14:textId="735237EF" w:rsidR="00DD3F55" w:rsidRDefault="00DD3F55" w:rsidP="00A867B5">
      <w:r>
        <w:rPr>
          <w:noProof/>
        </w:rPr>
        <w:drawing>
          <wp:inline distT="0" distB="0" distL="0" distR="0" wp14:anchorId="3438AECE" wp14:editId="53A48FCD">
            <wp:extent cx="5943600" cy="3067050"/>
            <wp:effectExtent l="0" t="0" r="0" b="0"/>
            <wp:docPr id="1393460385" name="Picture 1"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60385" name="Picture 1" descr="A white text on a white background&#10;&#10;AI-generated content may be incorrect."/>
                    <pic:cNvPicPr/>
                  </pic:nvPicPr>
                  <pic:blipFill>
                    <a:blip r:embed="rId31">
                      <a:extLst>
                        <a:ext uri="{BEBA8EAE-BF5A-486C-A8C5-ECC9F3942E4B}">
                          <a14:imgProps xmlns:a14="http://schemas.microsoft.com/office/drawing/2010/main">
                            <a14:imgLayer r:embed="rId32">
                              <a14:imgEffect>
                                <a14:colorTemperature colorTemp="4700"/>
                              </a14:imgEffect>
                            </a14:imgLayer>
                          </a14:imgProps>
                        </a:ext>
                      </a:extLst>
                    </a:blip>
                    <a:stretch>
                      <a:fillRect/>
                    </a:stretch>
                  </pic:blipFill>
                  <pic:spPr>
                    <a:xfrm>
                      <a:off x="0" y="0"/>
                      <a:ext cx="5943600" cy="3067050"/>
                    </a:xfrm>
                    <a:prstGeom prst="rect">
                      <a:avLst/>
                    </a:prstGeom>
                  </pic:spPr>
                </pic:pic>
              </a:graphicData>
            </a:graphic>
          </wp:inline>
        </w:drawing>
      </w:r>
    </w:p>
    <w:p w14:paraId="2296BC88" w14:textId="0C6391E4" w:rsidR="00DD3F55" w:rsidRPr="00A867B5" w:rsidRDefault="00DD3F55" w:rsidP="00DD3F55">
      <w:pPr>
        <w:pStyle w:val="Caption"/>
      </w:pPr>
      <w:bookmarkStart w:id="47" w:name="_Toc216685986"/>
      <w:r>
        <w:t xml:space="preserve">Figure </w:t>
      </w:r>
      <w:r w:rsidR="00C3617A">
        <w:fldChar w:fldCharType="begin"/>
      </w:r>
      <w:r w:rsidR="00C3617A">
        <w:instrText xml:space="preserve"> SEQ Figure \* ARABIC </w:instrText>
      </w:r>
      <w:r w:rsidR="00C3617A">
        <w:fldChar w:fldCharType="separate"/>
      </w:r>
      <w:r w:rsidR="00C3617A">
        <w:rPr>
          <w:noProof/>
        </w:rPr>
        <w:t>23</w:t>
      </w:r>
      <w:r w:rsidR="00C3617A">
        <w:rPr>
          <w:noProof/>
        </w:rPr>
        <w:fldChar w:fldCharType="end"/>
      </w:r>
      <w:r>
        <w:t xml:space="preserve">: </w:t>
      </w:r>
      <w:r w:rsidRPr="00027882">
        <w:t>Brazil Banking Regulatory Environment</w:t>
      </w:r>
      <w:bookmarkEnd w:id="47"/>
    </w:p>
    <w:p w14:paraId="334A59AE" w14:textId="5EC061F9" w:rsidR="00A867B5" w:rsidRPr="00A867B5" w:rsidRDefault="008736FF" w:rsidP="00A867B5">
      <w:r w:rsidRPr="008736FF">
        <w:t>Consequently, while Brazil's advantages of the location supported the choice of market entry, they did not endorse with information the full internalization of all value chain activities, thus triggering HSBC to reassess the type of its presence.</w:t>
      </w:r>
    </w:p>
    <w:p w14:paraId="465F3EC1" w14:textId="4A6B2031" w:rsidR="00A867B5" w:rsidRPr="00A867B5" w:rsidRDefault="00A867B5" w:rsidP="00A867B5"/>
    <w:p w14:paraId="4EF74416" w14:textId="77777777" w:rsidR="00A867B5" w:rsidRPr="00A867B5" w:rsidRDefault="00A867B5" w:rsidP="00AD02BB">
      <w:pPr>
        <w:pStyle w:val="Heading2"/>
      </w:pPr>
      <w:bookmarkStart w:id="48" w:name="_Toc216685938"/>
      <w:r w:rsidRPr="00A867B5">
        <w:t>3.4 Internalisation Advantages and Strategic Retrenchment</w:t>
      </w:r>
      <w:bookmarkEnd w:id="48"/>
    </w:p>
    <w:p w14:paraId="7EFBCEE3" w14:textId="3FB6DD3C" w:rsidR="00A867B5" w:rsidRDefault="00D95B19" w:rsidP="00A867B5">
      <w:r w:rsidRPr="00D95B19">
        <w:t>The advantages of internalisation are associated with the benefits of keeping the control over the activities that contribute to value creation, instead of relying on the market-related arrangements (Kocúrek, 2024).</w:t>
      </w:r>
      <w:r w:rsidR="00A867B5" w:rsidRPr="00A867B5">
        <w:t xml:space="preserve"> </w:t>
      </w:r>
      <w:r w:rsidR="004C6FC6" w:rsidRPr="004C6FC6">
        <w:t>The HSBC Group initially centralised the Brazilian operation to protect proprietary systems, risk mitigation and service quality standards (Habib et al., 2025; Hadi et al., 2025).</w:t>
      </w:r>
      <w:r w:rsidR="00A867B5" w:rsidRPr="00A867B5">
        <w:t xml:space="preserve"> </w:t>
      </w:r>
      <w:r w:rsidR="007503D1" w:rsidRPr="007503D1">
        <w:t xml:space="preserve">Strong internal controls were especially essential in areas such as credit risk management, factoring in </w:t>
      </w:r>
      <w:r w:rsidR="00B035D1" w:rsidRPr="007503D1">
        <w:t>anti-money</w:t>
      </w:r>
      <w:r w:rsidR="007503D1" w:rsidRPr="007503D1">
        <w:t xml:space="preserve"> laundering compliance, and global treasury operations.</w:t>
      </w:r>
    </w:p>
    <w:p w14:paraId="6D80D715" w14:textId="175C7818" w:rsidR="00262616" w:rsidRDefault="00262616" w:rsidP="00A867B5">
      <w:r>
        <w:rPr>
          <w:noProof/>
        </w:rPr>
        <w:drawing>
          <wp:inline distT="0" distB="0" distL="0" distR="0" wp14:anchorId="193B20B4" wp14:editId="178B320E">
            <wp:extent cx="5943600" cy="3343275"/>
            <wp:effectExtent l="0" t="0" r="0" b="9525"/>
            <wp:docPr id="1094487360" name="Picture 18" descr="Brazil Retail Banking Market Size &amp; Outlook, 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Brazil Retail Banking Market Size &amp; Outlook, 203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7303E01" w14:textId="44712DD6" w:rsidR="00262616" w:rsidRPr="00A867B5" w:rsidRDefault="00262616" w:rsidP="00262616">
      <w:pPr>
        <w:pStyle w:val="Caption"/>
      </w:pPr>
      <w:bookmarkStart w:id="49" w:name="_Toc216685987"/>
      <w:r>
        <w:t xml:space="preserve">Figure </w:t>
      </w:r>
      <w:r w:rsidR="00C3617A">
        <w:fldChar w:fldCharType="begin"/>
      </w:r>
      <w:r w:rsidR="00C3617A">
        <w:instrText xml:space="preserve"> SEQ Figure \* ARABIC </w:instrText>
      </w:r>
      <w:r w:rsidR="00C3617A">
        <w:fldChar w:fldCharType="separate"/>
      </w:r>
      <w:r w:rsidR="00C3617A">
        <w:rPr>
          <w:noProof/>
        </w:rPr>
        <w:t>24</w:t>
      </w:r>
      <w:r w:rsidR="00C3617A">
        <w:rPr>
          <w:noProof/>
        </w:rPr>
        <w:fldChar w:fldCharType="end"/>
      </w:r>
      <w:r>
        <w:t xml:space="preserve">: </w:t>
      </w:r>
      <w:r w:rsidRPr="00DA1C3F">
        <w:t>Brazil Retail Banking Growth</w:t>
      </w:r>
      <w:bookmarkEnd w:id="49"/>
    </w:p>
    <w:p w14:paraId="1D3CE4EF" w14:textId="109876CA" w:rsidR="00A867B5" w:rsidRPr="00A867B5" w:rsidRDefault="00F2284C" w:rsidP="00A867B5">
      <w:r w:rsidRPr="00F2284C">
        <w:t>However, expenses of internalization have over time overshadowed the profits gained in the Brazilian retail banking industry.</w:t>
      </w:r>
      <w:r w:rsidR="00A867B5" w:rsidRPr="00A867B5">
        <w:t xml:space="preserve"> </w:t>
      </w:r>
      <w:r w:rsidR="000C6AC4" w:rsidRPr="000C6AC4">
        <w:t>Increased compliance requirements, cultural dislocations, and inefficiencies in operations have reduced the profitability of internalization operations (Bouzidi et al., 2024).</w:t>
      </w:r>
      <w:r w:rsidR="00A867B5" w:rsidRPr="00A867B5">
        <w:t xml:space="preserve"> </w:t>
      </w:r>
      <w:r w:rsidR="00B94013" w:rsidRPr="00B94013">
        <w:t>In line with this, HSBC Get out of Brazilian retail banking by a process of divesting its domestic business, selective retention of internalised corporate and institutional operations, including trade finance and global market services (The Asian Banker, 2016; HSBC, 2025).</w:t>
      </w:r>
    </w:p>
    <w:p w14:paraId="44277213" w14:textId="0CE515C8" w:rsidR="00A867B5" w:rsidRPr="00A867B5" w:rsidRDefault="00262616" w:rsidP="00A867B5">
      <w:r w:rsidRPr="00262616">
        <w:t>The shift in the strategy is a partial model of internalisation whereby HSBC continues to internalise high-value and globally integrated activities, while avoiding full acquisition of segments where market-based models or client-focused models are more efficient (Ko, 2019; Zhou et al., 2025).</w:t>
      </w:r>
    </w:p>
    <w:p w14:paraId="38502728" w14:textId="0ABED1A5" w:rsidR="00A867B5" w:rsidRPr="00A867B5" w:rsidRDefault="00A867B5" w:rsidP="00A867B5"/>
    <w:p w14:paraId="75FB04B7" w14:textId="77777777" w:rsidR="00A867B5" w:rsidRPr="00A867B5" w:rsidRDefault="00A867B5" w:rsidP="00AD02BB">
      <w:pPr>
        <w:pStyle w:val="Heading2"/>
      </w:pPr>
      <w:bookmarkStart w:id="50" w:name="_Toc216685939"/>
      <w:r w:rsidRPr="00A867B5">
        <w:t>3.5 Critical Evaluation of OLI Outcomes in the HSBC–Brazil Case</w:t>
      </w:r>
      <w:bookmarkEnd w:id="50"/>
    </w:p>
    <w:p w14:paraId="39F0E2DB" w14:textId="0F0AC887" w:rsidR="00A867B5" w:rsidRDefault="00F74767" w:rsidP="00A867B5">
      <w:r w:rsidRPr="00F74767">
        <w:t>The HSBC</w:t>
      </w:r>
      <w:r w:rsidR="00A60688">
        <w:t xml:space="preserve"> </w:t>
      </w:r>
      <w:r w:rsidRPr="00F74767">
        <w:t>Brazil case shows that the benefits of OLI are not bottlenecked, but they are dynamic.</w:t>
      </w:r>
      <w:r w:rsidR="00A867B5" w:rsidRPr="00A867B5">
        <w:t xml:space="preserve"> </w:t>
      </w:r>
      <w:r w:rsidR="00311325" w:rsidRPr="00311325">
        <w:t xml:space="preserve">Whilst both ownership and locational advantages supported entry based on foreign direct investments in the early stages, the progressive development of institutional pressures has diminished the net benefits related to internalisation in retail banking (Kocuerek, 2024; Abdelaziz </w:t>
      </w:r>
      <w:r w:rsidR="003C3598">
        <w:t>et al.</w:t>
      </w:r>
      <w:r w:rsidR="00311325" w:rsidRPr="00311325">
        <w:t>, 2025).</w:t>
      </w:r>
      <w:r w:rsidR="00A867B5" w:rsidRPr="00A867B5">
        <w:t xml:space="preserve"> </w:t>
      </w:r>
      <w:r w:rsidR="00804A5C" w:rsidRPr="00804A5C">
        <w:t>The reorganization that follows by HSBC aligns with broader strategic simplification and accountability efforts at the group level, which, in turn, implies a repositioning of the international strategy of the institution on areas of undivided competitive advantage (Brooks, 2025; HSBC Holdings Plc, 2025).</w:t>
      </w:r>
    </w:p>
    <w:p w14:paraId="65E65295" w14:textId="03E6B8D3" w:rsidR="00A60688" w:rsidRDefault="00A60688" w:rsidP="00A867B5">
      <w:r>
        <w:rPr>
          <w:noProof/>
        </w:rPr>
        <w:drawing>
          <wp:inline distT="0" distB="0" distL="0" distR="0" wp14:anchorId="526F2786" wp14:editId="152C336D">
            <wp:extent cx="5943600" cy="5943600"/>
            <wp:effectExtent l="0" t="0" r="0" b="0"/>
            <wp:docPr id="584803288" name="Picture 19" descr="Brazil's Difficulties in Attracting Foreign Investment - Geopolitical  Fu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Brazil's Difficulties in Attracting Foreign Investment - Geopolitical  Futures"/>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5861A8C7" w14:textId="4F72BC30" w:rsidR="00A60688" w:rsidRPr="00A867B5" w:rsidRDefault="00A60688" w:rsidP="00A60688">
      <w:pPr>
        <w:pStyle w:val="Caption"/>
      </w:pPr>
      <w:bookmarkStart w:id="51" w:name="_Toc216685988"/>
      <w:r>
        <w:t xml:space="preserve">Figure </w:t>
      </w:r>
      <w:r w:rsidR="00C3617A">
        <w:fldChar w:fldCharType="begin"/>
      </w:r>
      <w:r w:rsidR="00C3617A">
        <w:instrText xml:space="preserve"> SEQ Figure \* ARABIC </w:instrText>
      </w:r>
      <w:r w:rsidR="00C3617A">
        <w:fldChar w:fldCharType="separate"/>
      </w:r>
      <w:r w:rsidR="00C3617A">
        <w:rPr>
          <w:noProof/>
        </w:rPr>
        <w:t>25</w:t>
      </w:r>
      <w:r w:rsidR="00C3617A">
        <w:rPr>
          <w:noProof/>
        </w:rPr>
        <w:fldChar w:fldCharType="end"/>
      </w:r>
      <w:r>
        <w:t xml:space="preserve">: </w:t>
      </w:r>
      <w:r w:rsidRPr="00D47950">
        <w:t>Brazil Institutional Investment Pressures</w:t>
      </w:r>
      <w:bookmarkEnd w:id="51"/>
    </w:p>
    <w:p w14:paraId="693BC77E" w14:textId="559C45FB" w:rsidR="00A867B5" w:rsidRPr="00A867B5" w:rsidRDefault="00A60688" w:rsidP="00A867B5">
      <w:r w:rsidRPr="00A60688">
        <w:t>Notably, HSBC's continued presence in the Brazilian market through corporate banking and export finance shows that the OLI framework does not require total exiting as it shows a selective reconfiguration of entry modes.</w:t>
      </w:r>
      <w:r w:rsidR="00A867B5" w:rsidRPr="00A867B5">
        <w:t xml:space="preserve"> </w:t>
      </w:r>
      <w:r w:rsidR="003A073D" w:rsidRPr="003A073D">
        <w:t>The current results support the modern critique of the OLI paradigm, which compels the need to introduce adaptive and portfolio-based internationalization strategies to the uncertain and unstable emerging economies (Zhou et al., 2025).</w:t>
      </w:r>
    </w:p>
    <w:p w14:paraId="0AC12F55" w14:textId="708A3280" w:rsidR="0059676F" w:rsidRDefault="0059676F" w:rsidP="0071109B"/>
    <w:p w14:paraId="5B749BB8" w14:textId="77777777" w:rsidR="00A867B5" w:rsidRPr="00A867B5" w:rsidRDefault="00A867B5" w:rsidP="00AD02BB">
      <w:pPr>
        <w:pStyle w:val="Heading1"/>
      </w:pPr>
      <w:bookmarkStart w:id="52" w:name="_Toc216685940"/>
      <w:r w:rsidRPr="00A867B5">
        <w:t>4. Cultural Differences and Their Impact on HSBC’s Entry Strategy and Success in Brazil</w:t>
      </w:r>
      <w:bookmarkEnd w:id="52"/>
    </w:p>
    <w:p w14:paraId="306440A9" w14:textId="111150B0" w:rsidR="00420141" w:rsidRPr="00420141" w:rsidRDefault="00A867B5" w:rsidP="00420141">
      <w:pPr>
        <w:pStyle w:val="Heading2"/>
      </w:pPr>
      <w:bookmarkStart w:id="53" w:name="_Toc216685941"/>
      <w:r w:rsidRPr="00A867B5">
        <w:t>4.1 Context: Why culture matters for banks entering emerging markets</w:t>
      </w:r>
      <w:bookmarkEnd w:id="53"/>
    </w:p>
    <w:p w14:paraId="272104A4" w14:textId="77777777" w:rsidR="00420141" w:rsidRDefault="00116C20" w:rsidP="00A867B5">
      <w:r w:rsidRPr="00116C20">
        <w:t>For a global bank like HSBC, successful market entry is dependent on a confluence of factors beyond regulatory compliance and macroeconomics. Key determinants include cultural alignment within its leadership, the cultivation of customer trust, the fulfilment of service expectations and the adherence to compliance norms (Alegbeleye, 2025; Khan et al., 2021).</w:t>
      </w:r>
      <w:r w:rsidR="00A867B5" w:rsidRPr="00A867B5">
        <w:t xml:space="preserve"> </w:t>
      </w:r>
    </w:p>
    <w:p w14:paraId="6189F9F2" w14:textId="14AFB9D6" w:rsidR="00420141" w:rsidRDefault="00F41949" w:rsidP="00F41949">
      <w:pPr>
        <w:jc w:val="center"/>
      </w:pPr>
      <w:r>
        <w:rPr>
          <w:noProof/>
        </w:rPr>
        <w:drawing>
          <wp:inline distT="0" distB="0" distL="0" distR="0" wp14:anchorId="7AFBFE35" wp14:editId="72712A16">
            <wp:extent cx="5637337" cy="3211195"/>
            <wp:effectExtent l="0" t="0" r="1905" b="8255"/>
            <wp:docPr id="213627534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46909" cy="3216647"/>
                    </a:xfrm>
                    <a:prstGeom prst="rect">
                      <a:avLst/>
                    </a:prstGeom>
                    <a:noFill/>
                  </pic:spPr>
                </pic:pic>
              </a:graphicData>
            </a:graphic>
          </wp:inline>
        </w:drawing>
      </w:r>
    </w:p>
    <w:p w14:paraId="1AA11919" w14:textId="1CFB26A9" w:rsidR="00420141" w:rsidRDefault="00420141" w:rsidP="00420141">
      <w:pPr>
        <w:pStyle w:val="Caption"/>
      </w:pPr>
      <w:bookmarkStart w:id="54" w:name="_Toc216685989"/>
      <w:r>
        <w:t xml:space="preserve">Figure </w:t>
      </w:r>
      <w:r w:rsidR="00C3617A">
        <w:fldChar w:fldCharType="begin"/>
      </w:r>
      <w:r w:rsidR="00C3617A">
        <w:instrText xml:space="preserve"> SEQ Figure \* ARABIC </w:instrText>
      </w:r>
      <w:r w:rsidR="00C3617A">
        <w:fldChar w:fldCharType="separate"/>
      </w:r>
      <w:r w:rsidR="00C3617A">
        <w:rPr>
          <w:noProof/>
        </w:rPr>
        <w:t>26</w:t>
      </w:r>
      <w:r w:rsidR="00C3617A">
        <w:rPr>
          <w:noProof/>
        </w:rPr>
        <w:fldChar w:fldCharType="end"/>
      </w:r>
      <w:r>
        <w:t xml:space="preserve">: </w:t>
      </w:r>
      <w:r w:rsidRPr="00F04FAC">
        <w:t>Culturally Adapted Market Entry</w:t>
      </w:r>
      <w:bookmarkEnd w:id="54"/>
    </w:p>
    <w:p w14:paraId="02E0B9FE" w14:textId="4A5C3560" w:rsidR="00A867B5" w:rsidRDefault="00420141" w:rsidP="00A867B5">
      <w:r w:rsidRPr="00420141">
        <w:t>The liability of foreignness can be aggravated by cultural distance and increase coordination costs and deteriorate performance in the event that a bank transfer home-country routines are not adapated (Korzeb et al., 2022; Saleh et al., 2022).</w:t>
      </w:r>
      <w:r w:rsidR="00A867B5" w:rsidRPr="00A867B5">
        <w:t xml:space="preserve"> </w:t>
      </w:r>
      <w:r w:rsidR="00F41949" w:rsidRPr="00F41949">
        <w:t>HSBC's international strategy, as well as the bank's long historical experience in serving global client requirements, indicate an impressive ability for the bank to conduct its cross-border operations. Nevertheless, the institution must still prioritize on robust localisation efforts within cultures that are disparate markets (HSBC Holdings plc, 2025a, HSBC, 2024).</w:t>
      </w:r>
    </w:p>
    <w:p w14:paraId="5566E8DC" w14:textId="77777777" w:rsidR="00A867B5" w:rsidRPr="00A867B5" w:rsidRDefault="00A867B5" w:rsidP="00A867B5"/>
    <w:p w14:paraId="024BF010" w14:textId="77777777" w:rsidR="00A867B5" w:rsidRDefault="00A867B5" w:rsidP="00AD02BB">
      <w:pPr>
        <w:pStyle w:val="Heading2"/>
      </w:pPr>
      <w:bookmarkStart w:id="55" w:name="_Toc216685942"/>
      <w:r w:rsidRPr="00A867B5">
        <w:t>4.2 UK–Brazil cultural distance (Hofstede dimensions) and strategic meaning</w:t>
      </w:r>
      <w:bookmarkEnd w:id="55"/>
    </w:p>
    <w:p w14:paraId="6598CEA4" w14:textId="323C58C6" w:rsidR="00A867B5" w:rsidRDefault="00A867B5" w:rsidP="00A867B5">
      <w:pPr>
        <w:rPr>
          <w:b/>
          <w:bCs/>
        </w:rPr>
      </w:pPr>
      <w:r>
        <w:rPr>
          <w:noProof/>
        </w:rPr>
        <w:drawing>
          <wp:inline distT="0" distB="0" distL="0" distR="0" wp14:anchorId="50266CAF" wp14:editId="568345E4">
            <wp:extent cx="5943600" cy="3097530"/>
            <wp:effectExtent l="0" t="0" r="0" b="7620"/>
            <wp:docPr id="682851058"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51058" name="Picture 1" descr="A graph of different colored bars&#10;&#10;AI-generated content may be incorrect."/>
                    <pic:cNvPicPr/>
                  </pic:nvPicPr>
                  <pic:blipFill>
                    <a:blip r:embed="rId36"/>
                    <a:stretch>
                      <a:fillRect/>
                    </a:stretch>
                  </pic:blipFill>
                  <pic:spPr>
                    <a:xfrm>
                      <a:off x="0" y="0"/>
                      <a:ext cx="5943600" cy="3097530"/>
                    </a:xfrm>
                    <a:prstGeom prst="rect">
                      <a:avLst/>
                    </a:prstGeom>
                  </pic:spPr>
                </pic:pic>
              </a:graphicData>
            </a:graphic>
          </wp:inline>
        </w:drawing>
      </w:r>
    </w:p>
    <w:p w14:paraId="4DC40B4E" w14:textId="1636D187" w:rsidR="00F41949" w:rsidRDefault="00F41949" w:rsidP="00F41949">
      <w:pPr>
        <w:pStyle w:val="Caption"/>
        <w:rPr>
          <w:b/>
          <w:bCs/>
        </w:rPr>
      </w:pPr>
      <w:bookmarkStart w:id="56" w:name="_Toc216685990"/>
      <w:r>
        <w:t xml:space="preserve">Figure </w:t>
      </w:r>
      <w:r w:rsidR="00C3617A">
        <w:fldChar w:fldCharType="begin"/>
      </w:r>
      <w:r w:rsidR="00C3617A">
        <w:instrText xml:space="preserve"> SEQ Figure \* ARABIC </w:instrText>
      </w:r>
      <w:r w:rsidR="00C3617A">
        <w:fldChar w:fldCharType="separate"/>
      </w:r>
      <w:r w:rsidR="00C3617A">
        <w:rPr>
          <w:noProof/>
        </w:rPr>
        <w:t>27</w:t>
      </w:r>
      <w:r w:rsidR="00C3617A">
        <w:rPr>
          <w:noProof/>
        </w:rPr>
        <w:fldChar w:fldCharType="end"/>
      </w:r>
      <w:r>
        <w:t xml:space="preserve">: </w:t>
      </w:r>
      <w:r w:rsidRPr="00D00A8C">
        <w:t>Hofstede dimensions</w:t>
      </w:r>
      <w:r>
        <w:t xml:space="preserve"> UK and Brazil</w:t>
      </w:r>
      <w:bookmarkEnd w:id="56"/>
    </w:p>
    <w:p w14:paraId="36453E6D" w14:textId="5D52EBED" w:rsidR="00A867B5" w:rsidRPr="00A867B5" w:rsidRDefault="00D76857" w:rsidP="00A867B5">
      <w:r w:rsidRPr="00D76857">
        <w:t>The figure outline a significant cultural divide between Brazil and the United Kingdom, which has a direct managerial practice and international operations implication.</w:t>
      </w:r>
      <w:r w:rsidR="00736E62" w:rsidRPr="00736E62">
        <w:t xml:space="preserve"> </w:t>
      </w:r>
      <w:r w:rsidR="00B15306" w:rsidRPr="00B15306">
        <w:t>The higher power distance found in Brazil (69 in comparison to 35 in the United Kingdom) indicates a greater acceptance of hierarchical arrangements and centralized authority as opposed to the United Kingdom which favors flatter organizational structures and a more decentralized approach to decision-making.</w:t>
      </w:r>
      <w:r w:rsidR="00736E62" w:rsidRPr="00736E62">
        <w:t xml:space="preserve"> </w:t>
      </w:r>
      <w:r w:rsidR="00E620DA" w:rsidRPr="00E620DA">
        <w:t>The level of individualism in the United Kingdom is quite high (76) compared as to Brazil that has a high collectivist orientation (36). Such difference implies that more importance is placed on interpersonal relationships and group loyalty in Brazil.</w:t>
      </w:r>
      <w:r w:rsidR="00736E62" w:rsidRPr="00736E62">
        <w:t xml:space="preserve"> </w:t>
      </w:r>
      <w:r w:rsidR="0001785E" w:rsidRPr="0001785E">
        <w:t>The high score in Brazil's uncertain avoidance dimension (76), thus a strong preference for structured formal rules of action, extensive procedural structures and a systematic prevention of risks rather than a tolerance for ambiguity, unlike the United Kingdom which shows a comparatively higher tolerance for ambiguities (Khan et al., 2021; Korzeb et al., 2022).</w:t>
      </w:r>
      <w:r w:rsidR="00736E62" w:rsidRPr="00736E62">
        <w:t xml:space="preserve"> </w:t>
      </w:r>
      <w:r w:rsidR="008E6142" w:rsidRPr="008E6142">
        <w:t>Also, the relative long-term orientation of the United Kingdom remains comparatively strong (60 vs. 28) and seems to have a more strategically oriented view of the future.</w:t>
      </w:r>
      <w:r w:rsidR="00736E62" w:rsidRPr="00736E62">
        <w:t xml:space="preserve"> </w:t>
      </w:r>
      <w:r w:rsidR="000C6101" w:rsidRPr="000C6101">
        <w:t>Consequently, the differences noted require United Kingdom-based enterprises entering Brazil to adjust their modes of leadership, governance frameworks, and operational procedures based on the expectations of the local culture in order to be more effective and legitimate (Alegbeleye, 2025).</w:t>
      </w:r>
    </w:p>
    <w:p w14:paraId="1978B74F" w14:textId="65DF4079" w:rsidR="00A867B5" w:rsidRPr="00A867B5" w:rsidRDefault="00A867B5" w:rsidP="00A867B5"/>
    <w:p w14:paraId="471D0A1F" w14:textId="77777777" w:rsidR="00A867B5" w:rsidRPr="00A867B5" w:rsidRDefault="00A867B5" w:rsidP="00AD02BB">
      <w:pPr>
        <w:pStyle w:val="Heading2"/>
      </w:pPr>
      <w:bookmarkStart w:id="57" w:name="_Toc216685943"/>
      <w:r w:rsidRPr="00A867B5">
        <w:t>4.3 Implications for HSBC’s market entry strategy in Brazil</w:t>
      </w:r>
      <w:bookmarkEnd w:id="57"/>
    </w:p>
    <w:p w14:paraId="401A187C" w14:textId="77777777" w:rsidR="00A867B5" w:rsidRDefault="00A867B5" w:rsidP="00AD02BB">
      <w:pPr>
        <w:pStyle w:val="Heading3"/>
      </w:pPr>
      <w:bookmarkStart w:id="58" w:name="_Toc216685944"/>
      <w:r w:rsidRPr="00A867B5">
        <w:t>4.3.1 Entry mode choice: control versus legitimacy</w:t>
      </w:r>
      <w:bookmarkEnd w:id="58"/>
    </w:p>
    <w:p w14:paraId="5EB8D198" w14:textId="35365AA1" w:rsidR="00394057" w:rsidRPr="00394057" w:rsidRDefault="00394057" w:rsidP="00394057">
      <w:pPr>
        <w:jc w:val="center"/>
      </w:pPr>
      <w:r>
        <w:rPr>
          <w:noProof/>
        </w:rPr>
        <w:drawing>
          <wp:inline distT="0" distB="0" distL="0" distR="0" wp14:anchorId="429706B4" wp14:editId="600C12FF">
            <wp:extent cx="3867150" cy="3867150"/>
            <wp:effectExtent l="0" t="0" r="0" b="0"/>
            <wp:docPr id="465693930" name="Picture 22" descr="🇧🇷🏦 Brazil's banking titans have grown 33% in two years—what's driving  this surge, and where does fintech fit in? Brazil's top five banks—Banco do  Brasil, Itaú, Caixa, Bradesco, and Santander—now… | Latinometri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 Brazil's banking titans have grown 33% in two years—what's driving  this surge, and where does fintech fit in? Brazil's top five banks—Banco do  Brasil, Itaú, Caixa, Bradesco, and Santander—now… | Latinometrics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67150" cy="3867150"/>
                    </a:xfrm>
                    <a:prstGeom prst="rect">
                      <a:avLst/>
                    </a:prstGeom>
                    <a:noFill/>
                    <a:ln>
                      <a:noFill/>
                    </a:ln>
                  </pic:spPr>
                </pic:pic>
              </a:graphicData>
            </a:graphic>
          </wp:inline>
        </w:drawing>
      </w:r>
    </w:p>
    <w:p w14:paraId="2EE6FA66" w14:textId="0A878241" w:rsidR="00394057" w:rsidRPr="00394057" w:rsidRDefault="00394057" w:rsidP="00394057">
      <w:pPr>
        <w:pStyle w:val="Caption"/>
      </w:pPr>
      <w:bookmarkStart w:id="59" w:name="_Toc216685991"/>
      <w:r>
        <w:t xml:space="preserve">Figure </w:t>
      </w:r>
      <w:r w:rsidR="00C3617A">
        <w:fldChar w:fldCharType="begin"/>
      </w:r>
      <w:r w:rsidR="00C3617A">
        <w:instrText xml:space="preserve"> SEQ Figure \* ARABIC </w:instrText>
      </w:r>
      <w:r w:rsidR="00C3617A">
        <w:fldChar w:fldCharType="separate"/>
      </w:r>
      <w:r w:rsidR="00C3617A">
        <w:rPr>
          <w:noProof/>
        </w:rPr>
        <w:t>28</w:t>
      </w:r>
      <w:r w:rsidR="00C3617A">
        <w:rPr>
          <w:noProof/>
        </w:rPr>
        <w:fldChar w:fldCharType="end"/>
      </w:r>
      <w:r>
        <w:t xml:space="preserve">: </w:t>
      </w:r>
      <w:r w:rsidRPr="00D56B6A">
        <w:t>Brazil Banking Competitive Intensity</w:t>
      </w:r>
      <w:bookmarkEnd w:id="59"/>
    </w:p>
    <w:p w14:paraId="442A22FD" w14:textId="76D3568E" w:rsidR="00A867B5" w:rsidRDefault="00394057" w:rsidP="00A867B5">
      <w:r w:rsidRPr="00394057">
        <w:t xml:space="preserve">Foreign banks operating in culturally and institutionally elaborate markets often face a trade-off between high- control entry (wholly owned subsidiaries, direct foreign-direct investment (FDI)) and legitimacy-building entry (alliances, owning a controlling interest, selective presence) (Belaounia et al., 2016; Abdelaziz </w:t>
      </w:r>
      <w:r>
        <w:t>et al.</w:t>
      </w:r>
      <w:r w:rsidRPr="00394057">
        <w:t>, 2025).</w:t>
      </w:r>
      <w:r w:rsidR="00A867B5" w:rsidRPr="00A867B5">
        <w:t xml:space="preserve"> </w:t>
      </w:r>
      <w:r w:rsidR="003A2D74" w:rsidRPr="003A2D74">
        <w:t>The high uncertainty avoidance characteristic of Brazil increases the expectations of stable processes and conspicuous guarantees, such as branch credibility and strong customer support. These elevated expectations can cause the entrants to implement internalised structures in order to protect service consistency and risk controls (Habib et al., 2025; Hadi et al., 2025).</w:t>
      </w:r>
      <w:r w:rsidR="003A2D74">
        <w:t xml:space="preserve"> </w:t>
      </w:r>
      <w:r w:rsidR="00636C09" w:rsidRPr="00636C09">
        <w:t>However, the existence of strong home competitors and the nature of the banking environment in Brazil increases the cost of complete internalisation and can dilute the results of foreign banks, which favours a more discriminating, client-oriented strategy (Unlock LatAm, 2025; Chambers et al., 2025; Bouzidi et al., 2024).</w:t>
      </w:r>
    </w:p>
    <w:p w14:paraId="0B1696CE" w14:textId="77777777" w:rsidR="00636C09" w:rsidRPr="00A867B5" w:rsidRDefault="00636C09" w:rsidP="00A867B5"/>
    <w:p w14:paraId="1F8D2ADD" w14:textId="77777777" w:rsidR="00A867B5" w:rsidRDefault="00A867B5" w:rsidP="00A867B5">
      <w:pPr>
        <w:rPr>
          <w:b/>
          <w:bCs/>
        </w:rPr>
      </w:pPr>
      <w:r w:rsidRPr="00A867B5">
        <w:rPr>
          <w:b/>
          <w:bCs/>
        </w:rPr>
        <w:t>4.3.2 Governance and decision-making design</w:t>
      </w:r>
    </w:p>
    <w:p w14:paraId="44D59449" w14:textId="1460DA17" w:rsidR="00636C09" w:rsidRDefault="00636C09" w:rsidP="00A867B5">
      <w:pPr>
        <w:rPr>
          <w:b/>
          <w:bCs/>
        </w:rPr>
      </w:pPr>
      <w:r>
        <w:rPr>
          <w:noProof/>
        </w:rPr>
        <w:drawing>
          <wp:inline distT="0" distB="0" distL="0" distR="0" wp14:anchorId="21D53C8C" wp14:editId="649530BB">
            <wp:extent cx="5943600" cy="3508375"/>
            <wp:effectExtent l="0" t="0" r="0" b="0"/>
            <wp:docPr id="1513488976" name="Picture 23" descr="Group structure | Investing in HSBC | HSBC Holdings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Group structure | Investing in HSBC | HSBC Holdings plc"/>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508375"/>
                    </a:xfrm>
                    <a:prstGeom prst="rect">
                      <a:avLst/>
                    </a:prstGeom>
                    <a:noFill/>
                    <a:ln>
                      <a:noFill/>
                    </a:ln>
                  </pic:spPr>
                </pic:pic>
              </a:graphicData>
            </a:graphic>
          </wp:inline>
        </w:drawing>
      </w:r>
    </w:p>
    <w:p w14:paraId="74384C40" w14:textId="5941C078" w:rsidR="00636C09" w:rsidRPr="00A867B5" w:rsidRDefault="00636C09" w:rsidP="00636C09">
      <w:pPr>
        <w:pStyle w:val="Caption"/>
        <w:rPr>
          <w:b/>
          <w:bCs/>
        </w:rPr>
      </w:pPr>
      <w:bookmarkStart w:id="60" w:name="_Toc216685992"/>
      <w:r>
        <w:t xml:space="preserve">Figure </w:t>
      </w:r>
      <w:r w:rsidR="00C3617A">
        <w:fldChar w:fldCharType="begin"/>
      </w:r>
      <w:r w:rsidR="00C3617A">
        <w:instrText xml:space="preserve"> SEQ Figure \* ARABIC </w:instrText>
      </w:r>
      <w:r w:rsidR="00C3617A">
        <w:fldChar w:fldCharType="separate"/>
      </w:r>
      <w:r w:rsidR="00C3617A">
        <w:rPr>
          <w:noProof/>
        </w:rPr>
        <w:t>29</w:t>
      </w:r>
      <w:r w:rsidR="00C3617A">
        <w:rPr>
          <w:noProof/>
        </w:rPr>
        <w:fldChar w:fldCharType="end"/>
      </w:r>
      <w:r>
        <w:t xml:space="preserve">: </w:t>
      </w:r>
      <w:r w:rsidRPr="00C03D95">
        <w:t>HSBC Governance Structure Simplification</w:t>
      </w:r>
      <w:bookmarkEnd w:id="60"/>
    </w:p>
    <w:p w14:paraId="05B229CB" w14:textId="3754F721" w:rsidR="00A867B5" w:rsidRDefault="005C5970" w:rsidP="00A867B5">
      <w:r w:rsidRPr="005C5970">
        <w:t>In Brazil, high levels of power distance are related to a strengthened acceptance of hierarchical structures and to marking explicit lines of authority within organisational settings.</w:t>
      </w:r>
      <w:r w:rsidR="00A867B5" w:rsidRPr="00A867B5">
        <w:t xml:space="preserve"> </w:t>
      </w:r>
      <w:r w:rsidR="00C11570" w:rsidRPr="00C11570">
        <w:t>Unless HSBC is adaptive in implementing a flatter, UK-style governance rhythm, it would be susceptible to creating role ambiguity, frustrating local execution, hence, poor responsiveness and service quality (Alegbeleye, 2025; Saleh et al., 2022).</w:t>
      </w:r>
      <w:r w:rsidR="00A867B5" w:rsidRPr="00A867B5">
        <w:t xml:space="preserve"> </w:t>
      </w:r>
      <w:r w:rsidR="00FF1389" w:rsidRPr="00FF1389">
        <w:t>The recent emphasis HSBC is placing on simplification, clarity of accountability, and reducing layered co-management signifies a shift from a group level towards greater precision of ownership of decisions; that is especially beneficial in markets where the importance of ownership of hierarchical clarity is valued (Brooks, 2025; HSBC Holdings plc, 2025c.).</w:t>
      </w:r>
      <w:r w:rsidR="00A867B5" w:rsidRPr="00A867B5">
        <w:t xml:space="preserve"> </w:t>
      </w:r>
      <w:r w:rsidR="008B5D5C" w:rsidRPr="008B5D5C">
        <w:t>Subsequently, entry strategy in Brazil would likely require greater local executive autonomy in a strict risk management structure, as opposed to a strictly centralized UK decision control (HSBC Holdings plc, 2025; Habib et al., 2025).</w:t>
      </w:r>
    </w:p>
    <w:p w14:paraId="3BC80D9B" w14:textId="77777777" w:rsidR="00636C09" w:rsidRPr="00A867B5" w:rsidRDefault="00636C09" w:rsidP="00A867B5"/>
    <w:p w14:paraId="1EFA0B7E" w14:textId="77777777" w:rsidR="00A867B5" w:rsidRDefault="00A867B5" w:rsidP="00AD02BB">
      <w:pPr>
        <w:pStyle w:val="Heading3"/>
      </w:pPr>
      <w:bookmarkStart w:id="61" w:name="_Toc216685945"/>
      <w:r w:rsidRPr="00A867B5">
        <w:t>4.3.3 Relationship-based market development</w:t>
      </w:r>
      <w:bookmarkEnd w:id="61"/>
    </w:p>
    <w:p w14:paraId="47E9BDE9" w14:textId="008A83DE" w:rsidR="009A2C51" w:rsidRPr="009A2C51" w:rsidRDefault="009A2C51" w:rsidP="009A2C51">
      <w:pPr>
        <w:jc w:val="center"/>
      </w:pPr>
      <w:r>
        <w:rPr>
          <w:noProof/>
        </w:rPr>
        <w:drawing>
          <wp:inline distT="0" distB="0" distL="0" distR="0" wp14:anchorId="5CF198A3" wp14:editId="63639773">
            <wp:extent cx="4705350" cy="3705966"/>
            <wp:effectExtent l="0" t="0" r="0" b="8890"/>
            <wp:docPr id="111335227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52275" name="Picture 1" descr="A screenshot of a website&#10;&#10;AI-generated content may be incorrect."/>
                    <pic:cNvPicPr/>
                  </pic:nvPicPr>
                  <pic:blipFill>
                    <a:blip r:embed="rId39"/>
                    <a:stretch>
                      <a:fillRect/>
                    </a:stretch>
                  </pic:blipFill>
                  <pic:spPr>
                    <a:xfrm>
                      <a:off x="0" y="0"/>
                      <a:ext cx="4706312" cy="3706724"/>
                    </a:xfrm>
                    <a:prstGeom prst="rect">
                      <a:avLst/>
                    </a:prstGeom>
                  </pic:spPr>
                </pic:pic>
              </a:graphicData>
            </a:graphic>
          </wp:inline>
        </w:drawing>
      </w:r>
    </w:p>
    <w:p w14:paraId="2E109CF9" w14:textId="4E3A7571" w:rsidR="009A2C51" w:rsidRPr="009A2C51" w:rsidRDefault="009A2C51" w:rsidP="009A2C51">
      <w:pPr>
        <w:pStyle w:val="Caption"/>
      </w:pPr>
      <w:bookmarkStart w:id="62" w:name="_Toc216685993"/>
      <w:r>
        <w:t xml:space="preserve">Figure </w:t>
      </w:r>
      <w:r w:rsidR="00C3617A">
        <w:fldChar w:fldCharType="begin"/>
      </w:r>
      <w:r w:rsidR="00C3617A">
        <w:instrText xml:space="preserve"> SEQ Figure \* ARABIC </w:instrText>
      </w:r>
      <w:r w:rsidR="00C3617A">
        <w:fldChar w:fldCharType="separate"/>
      </w:r>
      <w:r w:rsidR="00C3617A">
        <w:rPr>
          <w:noProof/>
        </w:rPr>
        <w:t>30</w:t>
      </w:r>
      <w:r w:rsidR="00C3617A">
        <w:rPr>
          <w:noProof/>
        </w:rPr>
        <w:fldChar w:fldCharType="end"/>
      </w:r>
      <w:r>
        <w:t xml:space="preserve">: </w:t>
      </w:r>
      <w:r w:rsidRPr="009673DF">
        <w:t>HSBC Brazil Export Finance</w:t>
      </w:r>
      <w:bookmarkEnd w:id="62"/>
    </w:p>
    <w:p w14:paraId="7997A3D5" w14:textId="4F984960" w:rsidR="00A867B5" w:rsidRPr="00A867B5" w:rsidRDefault="00BF4EB7" w:rsidP="00A867B5">
      <w:r w:rsidRPr="00BF4EB7">
        <w:t>Within more collectivist environments, it is often true that the survival of business then depends on networks, trust, and strategic investments in long-term relationships.</w:t>
      </w:r>
      <w:r w:rsidR="00A867B5" w:rsidRPr="00A867B5">
        <w:t xml:space="preserve"> </w:t>
      </w:r>
      <w:r w:rsidR="008554C3" w:rsidRPr="008554C3">
        <w:t xml:space="preserve">This dynamic affects the way banks win over corporate customers and support SME export chains makes relationships managers and local credibility essential to the successful implementation of the market entry (Alegbeleye, 2025; HSBC, 2025). </w:t>
      </w:r>
      <w:r w:rsidR="008554C3">
        <w:t xml:space="preserve"> </w:t>
      </w:r>
      <w:r w:rsidR="0091414F" w:rsidRPr="0091414F">
        <w:t>HSBC's Brazil-focused export financing proposition is an entry logic that leverages relationship-based trade flows as opposed to direct competition among all retail segments (HSBC, 2025).</w:t>
      </w:r>
      <w:r w:rsidR="00A867B5" w:rsidRPr="00A867B5">
        <w:t xml:space="preserve"> </w:t>
      </w:r>
      <w:r w:rsidR="009A2C51" w:rsidRPr="009A2C51">
        <w:t xml:space="preserve">This strategy is also consistent with </w:t>
      </w:r>
      <w:r w:rsidR="00137141" w:rsidRPr="009A2C51">
        <w:t>empirical</w:t>
      </w:r>
      <w:r w:rsidR="009A2C51" w:rsidRPr="009A2C51">
        <w:t xml:space="preserve"> evidence, showing that foreign banks do better when focusing on market segments that have unique cross-border advantages (Bouzidi et al., 2024; HSBC Global Banking and Markets, 2025).</w:t>
      </w:r>
    </w:p>
    <w:p w14:paraId="49751206" w14:textId="33D7E761" w:rsidR="00A867B5" w:rsidRPr="00A867B5" w:rsidRDefault="00A867B5" w:rsidP="00A867B5"/>
    <w:p w14:paraId="2B413C89" w14:textId="77777777" w:rsidR="00A867B5" w:rsidRPr="00A867B5" w:rsidRDefault="00A867B5" w:rsidP="00AD02BB">
      <w:pPr>
        <w:pStyle w:val="Heading2"/>
      </w:pPr>
      <w:bookmarkStart w:id="63" w:name="_Toc216685946"/>
      <w:r w:rsidRPr="00A867B5">
        <w:t>4.4 Implications for success in Brazil after entry</w:t>
      </w:r>
      <w:bookmarkEnd w:id="63"/>
    </w:p>
    <w:p w14:paraId="00BC0AC5" w14:textId="77777777" w:rsidR="00A867B5" w:rsidRDefault="00A867B5" w:rsidP="00AD02BB">
      <w:pPr>
        <w:pStyle w:val="Heading3"/>
      </w:pPr>
      <w:bookmarkStart w:id="64" w:name="_Toc216685947"/>
      <w:r w:rsidRPr="00A867B5">
        <w:t>4.4.1 Service expectations, SOP discipline, and trust</w:t>
      </w:r>
      <w:bookmarkEnd w:id="64"/>
    </w:p>
    <w:p w14:paraId="67787716" w14:textId="11BBC2AC" w:rsidR="00D14064" w:rsidRDefault="00D14064" w:rsidP="00D14064">
      <w:r>
        <w:rPr>
          <w:noProof/>
        </w:rPr>
        <w:drawing>
          <wp:inline distT="0" distB="0" distL="0" distR="0" wp14:anchorId="7FF9746D" wp14:editId="31B89869">
            <wp:extent cx="5815965" cy="3218815"/>
            <wp:effectExtent l="0" t="0" r="0" b="635"/>
            <wp:docPr id="12090526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15965" cy="3218815"/>
                    </a:xfrm>
                    <a:prstGeom prst="rect">
                      <a:avLst/>
                    </a:prstGeom>
                    <a:noFill/>
                  </pic:spPr>
                </pic:pic>
              </a:graphicData>
            </a:graphic>
          </wp:inline>
        </w:drawing>
      </w:r>
    </w:p>
    <w:p w14:paraId="78D7DE3D" w14:textId="755D9E0C" w:rsidR="00D14064" w:rsidRPr="00D14064" w:rsidRDefault="00D14064" w:rsidP="00D14064">
      <w:pPr>
        <w:pStyle w:val="Caption"/>
      </w:pPr>
      <w:bookmarkStart w:id="65" w:name="_Toc216685994"/>
      <w:r>
        <w:t xml:space="preserve">Figure </w:t>
      </w:r>
      <w:r w:rsidR="00C3617A">
        <w:fldChar w:fldCharType="begin"/>
      </w:r>
      <w:r w:rsidR="00C3617A">
        <w:instrText xml:space="preserve"> SEQ Figure \* ARABIC </w:instrText>
      </w:r>
      <w:r w:rsidR="00C3617A">
        <w:fldChar w:fldCharType="separate"/>
      </w:r>
      <w:r w:rsidR="00C3617A">
        <w:rPr>
          <w:noProof/>
        </w:rPr>
        <w:t>31</w:t>
      </w:r>
      <w:r w:rsidR="00C3617A">
        <w:rPr>
          <w:noProof/>
        </w:rPr>
        <w:fldChar w:fldCharType="end"/>
      </w:r>
      <w:r>
        <w:t xml:space="preserve">: </w:t>
      </w:r>
      <w:r w:rsidRPr="00BE2D93">
        <w:t>Service expectations, SOP discipline, and trust</w:t>
      </w:r>
      <w:bookmarkEnd w:id="65"/>
    </w:p>
    <w:p w14:paraId="48F5E77B" w14:textId="4ACD25BD" w:rsidR="00A867B5" w:rsidRDefault="008F434F" w:rsidP="00A867B5">
      <w:r w:rsidRPr="008F434F">
        <w:t>High uncertainty avoidance is likely to add to the demand for predictably structured services, documented procedural frameworks and articulated mechanisms for dispute resolution.</w:t>
      </w:r>
      <w:r w:rsidR="00A867B5" w:rsidRPr="00A867B5">
        <w:t xml:space="preserve"> </w:t>
      </w:r>
      <w:r w:rsidR="00F7219A" w:rsidRPr="00F7219A">
        <w:t>As a large corporation, adapting its standard operating procedures (SOPs) and customer journeys to the local expectations of linguistic preferences, interactions speed, and the current documentation norms could reduce customer satisfaction and retention (Rukmana, 2023; Rahareng, 2021).</w:t>
      </w:r>
      <w:r w:rsidR="00A867B5" w:rsidRPr="00A867B5">
        <w:t xml:space="preserve"> </w:t>
      </w:r>
      <w:r w:rsidR="00C630E0" w:rsidRPr="00C630E0">
        <w:t>In banking institutions efficacy of SOPs depends upon systematic supervision and employee endorsement of cultural incongruity may affect and reduce the adhering protocols and reliability of services (Rahareng, 2021; Habib et al., 2025).</w:t>
      </w:r>
      <w:r w:rsidR="00A867B5" w:rsidRPr="00A867B5">
        <w:t xml:space="preserve"> </w:t>
      </w:r>
      <w:r w:rsidR="00635CF9" w:rsidRPr="00635CF9">
        <w:t>This especially serves the very competitive banking industry in Brazil whereby customer experience and confidence are essential points of differentiation (Unlock LatAm, 2025; Chambers et al., 2025).</w:t>
      </w:r>
    </w:p>
    <w:p w14:paraId="60B94EAE" w14:textId="77777777" w:rsidR="00137141" w:rsidRPr="00A867B5" w:rsidRDefault="00137141" w:rsidP="00A867B5"/>
    <w:p w14:paraId="1CBE3134" w14:textId="77777777" w:rsidR="00A867B5" w:rsidRDefault="00A867B5" w:rsidP="00AD02BB">
      <w:pPr>
        <w:pStyle w:val="Heading3"/>
      </w:pPr>
      <w:bookmarkStart w:id="66" w:name="_Toc216685948"/>
      <w:r w:rsidRPr="00A867B5">
        <w:t>4.4.2 Risk culture and compliance effectiveness</w:t>
      </w:r>
      <w:bookmarkEnd w:id="66"/>
    </w:p>
    <w:p w14:paraId="5BF8E1B7" w14:textId="7734C5C8" w:rsidR="00D14064" w:rsidRDefault="00D14064" w:rsidP="00D14064">
      <w:r>
        <w:rPr>
          <w:noProof/>
        </w:rPr>
        <w:drawing>
          <wp:inline distT="0" distB="0" distL="0" distR="0" wp14:anchorId="3E949373" wp14:editId="76DC8FF0">
            <wp:extent cx="5943600" cy="3197225"/>
            <wp:effectExtent l="0" t="0" r="0" b="3175"/>
            <wp:docPr id="110784628" name="Picture 1" descr="A blue and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84628" name="Picture 1" descr="A blue and white text on a blue background&#10;&#10;AI-generated content may be incorrect."/>
                    <pic:cNvPicPr/>
                  </pic:nvPicPr>
                  <pic:blipFill>
                    <a:blip r:embed="rId41"/>
                    <a:stretch>
                      <a:fillRect/>
                    </a:stretch>
                  </pic:blipFill>
                  <pic:spPr>
                    <a:xfrm>
                      <a:off x="0" y="0"/>
                      <a:ext cx="5943600" cy="3197225"/>
                    </a:xfrm>
                    <a:prstGeom prst="rect">
                      <a:avLst/>
                    </a:prstGeom>
                  </pic:spPr>
                </pic:pic>
              </a:graphicData>
            </a:graphic>
          </wp:inline>
        </w:drawing>
      </w:r>
    </w:p>
    <w:p w14:paraId="464F9A3A" w14:textId="289A06B1" w:rsidR="00D14064" w:rsidRPr="00D14064" w:rsidRDefault="00D14064" w:rsidP="00D14064">
      <w:pPr>
        <w:pStyle w:val="Caption"/>
      </w:pPr>
      <w:bookmarkStart w:id="67" w:name="_Toc216685995"/>
      <w:r>
        <w:t xml:space="preserve">Figure </w:t>
      </w:r>
      <w:r w:rsidR="00C3617A">
        <w:fldChar w:fldCharType="begin"/>
      </w:r>
      <w:r w:rsidR="00C3617A">
        <w:instrText xml:space="preserve"> SEQ Figure \* ARABIC </w:instrText>
      </w:r>
      <w:r w:rsidR="00C3617A">
        <w:fldChar w:fldCharType="separate"/>
      </w:r>
      <w:r w:rsidR="00C3617A">
        <w:rPr>
          <w:noProof/>
        </w:rPr>
        <w:t>32</w:t>
      </w:r>
      <w:r w:rsidR="00C3617A">
        <w:rPr>
          <w:noProof/>
        </w:rPr>
        <w:fldChar w:fldCharType="end"/>
      </w:r>
      <w:r>
        <w:t xml:space="preserve">: </w:t>
      </w:r>
      <w:r w:rsidRPr="00C905ED">
        <w:t>Risk culture and compliance effectiveness</w:t>
      </w:r>
      <w:bookmarkEnd w:id="67"/>
    </w:p>
    <w:p w14:paraId="47725CD3" w14:textId="33037049" w:rsidR="00A867B5" w:rsidRDefault="007815E8" w:rsidP="00A867B5">
      <w:r w:rsidRPr="007815E8">
        <w:t>Cultural dissimilarities in interpretation of regulatory frameworks, protocols for escalation and accountability influence operational risks outcomes directly (Habib et al., 2025; Hadi et al., 2025).</w:t>
      </w:r>
      <w:r w:rsidR="00A867B5" w:rsidRPr="00A867B5">
        <w:t xml:space="preserve"> </w:t>
      </w:r>
      <w:r w:rsidR="000E1C9D" w:rsidRPr="000E1C9D">
        <w:t>Local teams can also develop controls perceived as a foreign bureaucracy, leading to performance that is not inherent but instead due to performance pressure, as a result, increasing the conduct and operational risks in a highly regulated system (Saleh and Al Tuwaijri, 2022; Habib et al., 2025).</w:t>
      </w:r>
      <w:r w:rsidR="00A867B5" w:rsidRPr="00A867B5">
        <w:t xml:space="preserve"> </w:t>
      </w:r>
      <w:r w:rsidR="009E7164" w:rsidRPr="009E7164">
        <w:t>HSBC in business practices and its expectations of suppliers emphasises the need of having partners and business operations aligned with standards of the group and maintaining the local legitimacy (HSBC Holdings plc, 2025).</w:t>
      </w:r>
    </w:p>
    <w:p w14:paraId="1222B0DE" w14:textId="77777777" w:rsidR="000E1C9D" w:rsidRPr="00A867B5" w:rsidRDefault="000E1C9D" w:rsidP="00A867B5"/>
    <w:p w14:paraId="095FE8B1" w14:textId="77777777" w:rsidR="00A867B5" w:rsidRDefault="00A867B5" w:rsidP="00AD02BB">
      <w:pPr>
        <w:pStyle w:val="Heading3"/>
      </w:pPr>
      <w:bookmarkStart w:id="68" w:name="_Toc216685949"/>
      <w:r w:rsidRPr="00A867B5">
        <w:t>4.4.3 Strategic sustainability and the risk of misfit</w:t>
      </w:r>
      <w:bookmarkEnd w:id="68"/>
    </w:p>
    <w:p w14:paraId="12F7E444" w14:textId="13AAEAB2" w:rsidR="00D14064" w:rsidRDefault="00B743A6" w:rsidP="00D14064">
      <w:r>
        <w:rPr>
          <w:noProof/>
        </w:rPr>
        <w:drawing>
          <wp:inline distT="0" distB="0" distL="0" distR="0" wp14:anchorId="329DED4D" wp14:editId="7253CB4B">
            <wp:extent cx="5937885" cy="3200400"/>
            <wp:effectExtent l="0" t="0" r="5715" b="0"/>
            <wp:docPr id="15407529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37885" cy="3200400"/>
                    </a:xfrm>
                    <a:prstGeom prst="rect">
                      <a:avLst/>
                    </a:prstGeom>
                    <a:noFill/>
                  </pic:spPr>
                </pic:pic>
              </a:graphicData>
            </a:graphic>
          </wp:inline>
        </w:drawing>
      </w:r>
    </w:p>
    <w:p w14:paraId="051861D3" w14:textId="00D83C30" w:rsidR="00B743A6" w:rsidRPr="00D14064" w:rsidRDefault="00B743A6" w:rsidP="00B743A6">
      <w:pPr>
        <w:pStyle w:val="Caption"/>
      </w:pPr>
      <w:bookmarkStart w:id="69" w:name="_Toc216685996"/>
      <w:r>
        <w:t xml:space="preserve">Figure </w:t>
      </w:r>
      <w:r w:rsidR="00C3617A">
        <w:fldChar w:fldCharType="begin"/>
      </w:r>
      <w:r w:rsidR="00C3617A">
        <w:instrText xml:space="preserve"> SEQ Figure \* ARABIC </w:instrText>
      </w:r>
      <w:r w:rsidR="00C3617A">
        <w:fldChar w:fldCharType="separate"/>
      </w:r>
      <w:r w:rsidR="00C3617A">
        <w:rPr>
          <w:noProof/>
        </w:rPr>
        <w:t>33</w:t>
      </w:r>
      <w:r w:rsidR="00C3617A">
        <w:rPr>
          <w:noProof/>
        </w:rPr>
        <w:fldChar w:fldCharType="end"/>
      </w:r>
      <w:r>
        <w:t xml:space="preserve">: </w:t>
      </w:r>
      <w:r w:rsidRPr="006C7B46">
        <w:t>Strategic sustainability and the risk of misfit</w:t>
      </w:r>
      <w:bookmarkEnd w:id="69"/>
    </w:p>
    <w:p w14:paraId="3F6E8034" w14:textId="0D0F0EF7" w:rsidR="00A867B5" w:rsidRPr="00A867B5" w:rsidRDefault="00916A59" w:rsidP="00A867B5">
      <w:r w:rsidRPr="00916A59">
        <w:t>The historical experience of HSBC in Brazil, which resulted in the decision to pull out of the country, is an exemplary case of how cultural and institutional malady can trigger strategic retrenchment when profitability or strategic integrity poses a challenge (The Asian Banker, 2016; Marcopolis, 2012).</w:t>
      </w:r>
      <w:r w:rsidR="00A867B5" w:rsidRPr="00A867B5">
        <w:t xml:space="preserve"> </w:t>
      </w:r>
      <w:r w:rsidR="00682909" w:rsidRPr="00682909">
        <w:t xml:space="preserve">More generally, empirical research on overseas risk shows that inadequate adaptation and complexity of governance are likely to increase the likelihood of failure in foreign markets (Saleh </w:t>
      </w:r>
      <w:r w:rsidR="00827191">
        <w:t>et al.</w:t>
      </w:r>
      <w:r w:rsidR="00682909" w:rsidRPr="00682909">
        <w:t>, 2022).</w:t>
      </w:r>
      <w:r w:rsidR="00A867B5" w:rsidRPr="00A867B5">
        <w:t xml:space="preserve"> </w:t>
      </w:r>
      <w:r w:rsidR="003A4A22" w:rsidRPr="003A4A22">
        <w:t>Therefore, it has larger opportunities to succeed in Brazil when the bank is focused on globally interconnected niche markets, i.e. trade, corporate banking, and global markets, instead of trying to implement a universal banking model in the whole country (HSBC, 2025; HSBC Global Banking and Markets, 2025; Bouzidi et al., 2024).</w:t>
      </w:r>
    </w:p>
    <w:p w14:paraId="5B78E151" w14:textId="77777777" w:rsidR="0059676F" w:rsidRDefault="0059676F" w:rsidP="0071109B"/>
    <w:p w14:paraId="49C5A292" w14:textId="77777777" w:rsidR="003666EB" w:rsidRPr="003666EB" w:rsidRDefault="003666EB" w:rsidP="00AD02BB">
      <w:pPr>
        <w:pStyle w:val="Heading1"/>
      </w:pPr>
      <w:bookmarkStart w:id="70" w:name="_Toc216685950"/>
      <w:r w:rsidRPr="003666EB">
        <w:t>5. Strategic SOP Adjustments Required for HSBC’s Success in Brazil</w:t>
      </w:r>
      <w:bookmarkEnd w:id="70"/>
    </w:p>
    <w:p w14:paraId="3DFA98A0" w14:textId="77777777" w:rsidR="003666EB" w:rsidRDefault="003666EB" w:rsidP="00AD02BB">
      <w:pPr>
        <w:pStyle w:val="Heading2"/>
      </w:pPr>
      <w:bookmarkStart w:id="71" w:name="_Toc216685951"/>
      <w:r w:rsidRPr="003666EB">
        <w:t>5.1 Rationale for SOP Adaptation in an Emerging Economy Context</w:t>
      </w:r>
      <w:bookmarkEnd w:id="71"/>
    </w:p>
    <w:p w14:paraId="42CB76B9" w14:textId="0FDEB0FE" w:rsidR="00EC19CC" w:rsidRPr="00EC19CC" w:rsidRDefault="00EC19CC" w:rsidP="00EC19CC">
      <w:r>
        <w:rPr>
          <w:noProof/>
        </w:rPr>
        <w:drawing>
          <wp:inline distT="0" distB="0" distL="0" distR="0" wp14:anchorId="49A3140D" wp14:editId="16A5809D">
            <wp:extent cx="5915025" cy="3325048"/>
            <wp:effectExtent l="0" t="0" r="0" b="8890"/>
            <wp:docPr id="971619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26249" cy="3331357"/>
                    </a:xfrm>
                    <a:prstGeom prst="rect">
                      <a:avLst/>
                    </a:prstGeom>
                    <a:noFill/>
                  </pic:spPr>
                </pic:pic>
              </a:graphicData>
            </a:graphic>
          </wp:inline>
        </w:drawing>
      </w:r>
    </w:p>
    <w:p w14:paraId="227F9703" w14:textId="06FA1A01" w:rsidR="00EC19CC" w:rsidRPr="00EC19CC" w:rsidRDefault="00EC19CC" w:rsidP="00EC19CC">
      <w:pPr>
        <w:pStyle w:val="Caption"/>
      </w:pPr>
      <w:bookmarkStart w:id="72" w:name="_Toc216685997"/>
      <w:r>
        <w:t xml:space="preserve">Figure </w:t>
      </w:r>
      <w:r w:rsidR="00C3617A">
        <w:fldChar w:fldCharType="begin"/>
      </w:r>
      <w:r w:rsidR="00C3617A">
        <w:instrText xml:space="preserve"> SEQ Figure \* ARABIC </w:instrText>
      </w:r>
      <w:r w:rsidR="00C3617A">
        <w:fldChar w:fldCharType="separate"/>
      </w:r>
      <w:r w:rsidR="00C3617A">
        <w:rPr>
          <w:noProof/>
        </w:rPr>
        <w:t>34</w:t>
      </w:r>
      <w:r w:rsidR="00C3617A">
        <w:rPr>
          <w:noProof/>
        </w:rPr>
        <w:fldChar w:fldCharType="end"/>
      </w:r>
      <w:r>
        <w:t xml:space="preserve">: </w:t>
      </w:r>
      <w:r w:rsidRPr="00D32D37">
        <w:t>SOP Localisation and Governance</w:t>
      </w:r>
      <w:bookmarkEnd w:id="72"/>
    </w:p>
    <w:p w14:paraId="51BE06F1" w14:textId="252CD1E2" w:rsidR="003666EB" w:rsidRPr="003666EB" w:rsidRDefault="002555BF" w:rsidP="003666EB">
      <w:r w:rsidRPr="002555BF">
        <w:t>Standard Operating Procedures (SOPs): SOPs form part of the pillars for service consistency, risk reduction and regulatory compliance in the context of Multinational Banking.</w:t>
      </w:r>
      <w:r w:rsidR="003666EB" w:rsidRPr="003666EB">
        <w:t xml:space="preserve"> </w:t>
      </w:r>
      <w:r w:rsidR="00A8387F" w:rsidRPr="00A8387F">
        <w:t>Nonetheless, HSBC operates under the assumptions of weak power distance, weak uncertainty avoidance, and strong individual accountability that are not fully similar to the cultural and institutional contexts of Brazil, hinging on the standard operating procedures that are developed within the domestic setting of HSBC in the United Kingdom (Khan et, al, 2021; Alegbeleye, 2025).</w:t>
      </w:r>
      <w:r w:rsidR="003666EB" w:rsidRPr="003666EB">
        <w:t xml:space="preserve"> </w:t>
      </w:r>
      <w:r w:rsidR="00D76E0A" w:rsidRPr="00D76E0A">
        <w:t>According to the OLI framework, if institutional and cultural variables vary significantly from the home market, companies will find themselves having to adjust their internal governance mechanisms and operating processes in order to maintain the benefits of internalisation (Kocúrek, 2024).</w:t>
      </w:r>
      <w:r w:rsidR="003666EB" w:rsidRPr="003666EB">
        <w:t xml:space="preserve"> </w:t>
      </w:r>
      <w:r w:rsidR="00FC6861" w:rsidRPr="00FC6861">
        <w:t>It has been revealed that inability to localise standard operating procedures is among the key reasons why the performance is sub-optimal, and withdrawal happens in foreign banking markets (Saleh et al., 2022).</w:t>
      </w:r>
    </w:p>
    <w:p w14:paraId="021D3D12" w14:textId="46FF95ED" w:rsidR="003666EB" w:rsidRPr="003666EB" w:rsidRDefault="00EC19CC" w:rsidP="003666EB">
      <w:r w:rsidRPr="00EC19CC">
        <w:t>Utilizing HSBC's historical experience, the complexity of the regulation within Brazil and the cultural distance, three major Standard Operating Procedure (SOP) modifications are critically recommended.</w:t>
      </w:r>
    </w:p>
    <w:p w14:paraId="36BC9622" w14:textId="49D01DC6" w:rsidR="003666EB" w:rsidRPr="003666EB" w:rsidRDefault="003666EB" w:rsidP="003666EB"/>
    <w:p w14:paraId="7BD871D7" w14:textId="77777777" w:rsidR="003666EB" w:rsidRPr="003666EB" w:rsidRDefault="003666EB" w:rsidP="00AD02BB">
      <w:pPr>
        <w:pStyle w:val="Heading2"/>
      </w:pPr>
      <w:bookmarkStart w:id="73" w:name="_Toc216685952"/>
      <w:r w:rsidRPr="003666EB">
        <w:t>5.2 SOP Adjustment 1: Governance, Decision-Making and Accountability Structures</w:t>
      </w:r>
      <w:bookmarkEnd w:id="73"/>
    </w:p>
    <w:p w14:paraId="39942DA2" w14:textId="77777777" w:rsidR="003666EB" w:rsidRDefault="003666EB" w:rsidP="00AD02BB">
      <w:pPr>
        <w:pStyle w:val="Heading3"/>
      </w:pPr>
      <w:bookmarkStart w:id="74" w:name="_Toc216685953"/>
      <w:r w:rsidRPr="003666EB">
        <w:t>5.2.1 Need for hierarchical clarity and local authority</w:t>
      </w:r>
      <w:bookmarkEnd w:id="74"/>
    </w:p>
    <w:p w14:paraId="36DF84FA" w14:textId="1FB7F946" w:rsidR="00E30834" w:rsidRDefault="00E30834" w:rsidP="00E30834">
      <w:r>
        <w:rPr>
          <w:noProof/>
        </w:rPr>
        <w:drawing>
          <wp:inline distT="0" distB="0" distL="0" distR="0" wp14:anchorId="15CCA60F" wp14:editId="0194B461">
            <wp:extent cx="5943600" cy="3343275"/>
            <wp:effectExtent l="0" t="0" r="0" b="9525"/>
            <wp:docPr id="2120092734" name="Picture 7" descr="Decision Making Governance Structure Requirements PPT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cision Making Governance Structure Requirements PPT PowerPoin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37788AF" w14:textId="0D71A6A8" w:rsidR="00E30834" w:rsidRPr="00E30834" w:rsidRDefault="00E30834" w:rsidP="00E30834">
      <w:pPr>
        <w:pStyle w:val="Caption"/>
      </w:pPr>
      <w:bookmarkStart w:id="75" w:name="_Toc216685998"/>
      <w:r>
        <w:t xml:space="preserve">Figure </w:t>
      </w:r>
      <w:r w:rsidR="00C3617A">
        <w:fldChar w:fldCharType="begin"/>
      </w:r>
      <w:r w:rsidR="00C3617A">
        <w:instrText xml:space="preserve"> SEQ Figure \* ARABIC </w:instrText>
      </w:r>
      <w:r w:rsidR="00C3617A">
        <w:fldChar w:fldCharType="separate"/>
      </w:r>
      <w:r w:rsidR="00C3617A">
        <w:rPr>
          <w:noProof/>
        </w:rPr>
        <w:t>35</w:t>
      </w:r>
      <w:r w:rsidR="00C3617A">
        <w:rPr>
          <w:noProof/>
        </w:rPr>
        <w:fldChar w:fldCharType="end"/>
      </w:r>
      <w:r>
        <w:t xml:space="preserve">: </w:t>
      </w:r>
      <w:r w:rsidRPr="00372115">
        <w:t>Hierarchical Governance and Accountability</w:t>
      </w:r>
      <w:bookmarkEnd w:id="75"/>
    </w:p>
    <w:p w14:paraId="04A76251" w14:textId="2281CE22" w:rsidR="003666EB" w:rsidRPr="003666EB" w:rsidRDefault="00621C86" w:rsidP="003666EB">
      <w:r w:rsidRPr="00621C86">
        <w:t>The scores of power distance are much higher in Brazil than in the United Kingdom, which indicates a greater acceptance of the hierarchical system, formal authority, and clear reporting relationships (Khan et al., 2021; Korzeb et al., 2022).</w:t>
      </w:r>
      <w:r w:rsidR="003666EB" w:rsidRPr="003666EB">
        <w:t xml:space="preserve"> </w:t>
      </w:r>
      <w:r w:rsidR="00860ED2" w:rsidRPr="00860ED2">
        <w:t>Standard operating procedures (SOPs) developed in the United Kingdom, emphasizing on flatter organisational structures, informal pathways for escalation, and consensus driven decision-making, may engender ambiguity and impede execution in the Brazilian context (Alegbeleye 2025).</w:t>
      </w:r>
      <w:r w:rsidR="003666EB" w:rsidRPr="003666EB">
        <w:t xml:space="preserve"> </w:t>
      </w:r>
      <w:r w:rsidR="00555F8B" w:rsidRPr="00555F8B">
        <w:t>Through the OLI lens, this type of misalignment dilutes the rewards of internationalisation by increasing the costs of coordination and the cost of operation (Kocúrek, 2024).</w:t>
      </w:r>
    </w:p>
    <w:p w14:paraId="24737553" w14:textId="6BF677F4" w:rsidR="003666EB" w:rsidRDefault="00652E2E" w:rsidP="003666EB">
      <w:r w:rsidRPr="00652E2E">
        <w:t>HSBC should therefore amend its governance standard operating procedures to ensure that decision rights are formalized, managerial authority is clarified at national and business line levels and overlapping accountability is reduced.</w:t>
      </w:r>
      <w:r w:rsidR="003666EB" w:rsidRPr="003666EB">
        <w:t xml:space="preserve"> </w:t>
      </w:r>
      <w:r w:rsidR="00E8121C" w:rsidRPr="00E8121C">
        <w:t>This observation is in line with the recent group-wide restructuring of HSBC that should simplify the structures and single-point accountability (Brooks, 2025; HSBC Holdings plc, 2025).</w:t>
      </w:r>
    </w:p>
    <w:p w14:paraId="56696334" w14:textId="77777777" w:rsidR="00E8121C" w:rsidRPr="003666EB" w:rsidRDefault="00E8121C" w:rsidP="003666EB"/>
    <w:p w14:paraId="7C68B7F5" w14:textId="77777777" w:rsidR="003666EB" w:rsidRDefault="003666EB" w:rsidP="00AD02BB">
      <w:pPr>
        <w:pStyle w:val="Heading3"/>
      </w:pPr>
      <w:bookmarkStart w:id="76" w:name="_Toc216685954"/>
      <w:r w:rsidRPr="003666EB">
        <w:t>5.2.2 Balancing global control with local legitimacy</w:t>
      </w:r>
      <w:bookmarkEnd w:id="76"/>
    </w:p>
    <w:p w14:paraId="346DE506" w14:textId="42DAF9BF" w:rsidR="00F00E10" w:rsidRDefault="00F00E10" w:rsidP="00F00E10">
      <w:r>
        <w:rPr>
          <w:noProof/>
        </w:rPr>
        <w:drawing>
          <wp:inline distT="0" distB="0" distL="0" distR="0" wp14:anchorId="3B567403" wp14:editId="413C56CE">
            <wp:extent cx="5907405" cy="3213100"/>
            <wp:effectExtent l="0" t="0" r="0" b="6350"/>
            <wp:docPr id="17610833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07405" cy="3213100"/>
                    </a:xfrm>
                    <a:prstGeom prst="rect">
                      <a:avLst/>
                    </a:prstGeom>
                    <a:noFill/>
                  </pic:spPr>
                </pic:pic>
              </a:graphicData>
            </a:graphic>
          </wp:inline>
        </w:drawing>
      </w:r>
    </w:p>
    <w:p w14:paraId="4239CB11" w14:textId="4F6AA0AC" w:rsidR="00F00E10" w:rsidRPr="00F00E10" w:rsidRDefault="00F00E10" w:rsidP="00F00E10">
      <w:pPr>
        <w:pStyle w:val="Caption"/>
      </w:pPr>
      <w:bookmarkStart w:id="77" w:name="_Toc216685999"/>
      <w:r>
        <w:t xml:space="preserve">Figure </w:t>
      </w:r>
      <w:r w:rsidR="00C3617A">
        <w:fldChar w:fldCharType="begin"/>
      </w:r>
      <w:r w:rsidR="00C3617A">
        <w:instrText xml:space="preserve"> SEQ Figure \* ARABIC </w:instrText>
      </w:r>
      <w:r w:rsidR="00C3617A">
        <w:fldChar w:fldCharType="separate"/>
      </w:r>
      <w:r w:rsidR="00C3617A">
        <w:rPr>
          <w:noProof/>
        </w:rPr>
        <w:t>36</w:t>
      </w:r>
      <w:r w:rsidR="00C3617A">
        <w:rPr>
          <w:noProof/>
        </w:rPr>
        <w:fldChar w:fldCharType="end"/>
      </w:r>
      <w:r>
        <w:t xml:space="preserve">: </w:t>
      </w:r>
      <w:r w:rsidRPr="00495E6F">
        <w:t>Balancing global control with local legitimacy</w:t>
      </w:r>
      <w:bookmarkEnd w:id="77"/>
    </w:p>
    <w:p w14:paraId="586624CB" w14:textId="2695A26F" w:rsidR="003666EB" w:rsidRPr="003666EB" w:rsidRDefault="00984489" w:rsidP="003666EB">
      <w:r w:rsidRPr="00984489">
        <w:t>Although global risk oversight must always remain centralized, policies and procedures should explicitly provide greater local discretion on client onboarding practices, relationship management, and operational prioritization where this discretion still works within pre-approved risk thresholds.</w:t>
      </w:r>
      <w:r w:rsidR="003666EB" w:rsidRPr="003666EB">
        <w:t xml:space="preserve"> </w:t>
      </w:r>
      <w:r w:rsidR="0089010A" w:rsidRPr="0089010A">
        <w:t>Literature on the topic of foreign banks in emerging economies suggests that the performance and legitimacy of these institutions gets strengthened when local leadership is inspired using a strong global control apparatus (Abdelaziz et al., 2025; Bouzidi et al., 2024).</w:t>
      </w:r>
      <w:r w:rsidR="003666EB" w:rsidRPr="003666EB">
        <w:t xml:space="preserve"> </w:t>
      </w:r>
      <w:r w:rsidR="00592B59" w:rsidRPr="00592B59">
        <w:t>Absent the presence of such balance, foreign banking institutions risk being viewed as externally imposed ones, thereby undermining the engagement of employees and the level of trust from the customers (Saleh et al., 2022).</w:t>
      </w:r>
    </w:p>
    <w:p w14:paraId="619E6413" w14:textId="232B387D" w:rsidR="003666EB" w:rsidRPr="003666EB" w:rsidRDefault="003666EB" w:rsidP="003666EB"/>
    <w:p w14:paraId="14720F10" w14:textId="77777777" w:rsidR="003666EB" w:rsidRPr="003666EB" w:rsidRDefault="003666EB" w:rsidP="00AD02BB">
      <w:pPr>
        <w:pStyle w:val="Heading2"/>
      </w:pPr>
      <w:bookmarkStart w:id="78" w:name="_Toc216685955"/>
      <w:r w:rsidRPr="003666EB">
        <w:t>5.3 SOP Adjustment 2: Risk Management, Compliance and Process Formalisation</w:t>
      </w:r>
      <w:bookmarkEnd w:id="78"/>
    </w:p>
    <w:p w14:paraId="76B88A56" w14:textId="77777777" w:rsidR="003666EB" w:rsidRDefault="003666EB" w:rsidP="00AD02BB">
      <w:pPr>
        <w:pStyle w:val="Heading3"/>
      </w:pPr>
      <w:bookmarkStart w:id="79" w:name="_Toc216685956"/>
      <w:r w:rsidRPr="003666EB">
        <w:t>5.3.1 Responding to high uncertainty avoidance</w:t>
      </w:r>
      <w:bookmarkEnd w:id="79"/>
    </w:p>
    <w:p w14:paraId="4A9FA49D" w14:textId="5090F5F3" w:rsidR="00F2377A" w:rsidRDefault="00F2377A" w:rsidP="00F2377A">
      <w:r>
        <w:rPr>
          <w:noProof/>
        </w:rPr>
        <w:drawing>
          <wp:inline distT="0" distB="0" distL="0" distR="0" wp14:anchorId="4DA19867" wp14:editId="40ACA4E0">
            <wp:extent cx="5943600" cy="4498340"/>
            <wp:effectExtent l="0" t="0" r="0" b="0"/>
            <wp:docPr id="537437201" name="Picture 10" descr="Compliance and Risk Management: Why Integrating Them Is Key to Protecting  Your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ompliance and Risk Management: Why Integrating Them Is Key to Protecting  Your Organization"/>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43600" cy="4498340"/>
                    </a:xfrm>
                    <a:prstGeom prst="rect">
                      <a:avLst/>
                    </a:prstGeom>
                    <a:noFill/>
                    <a:ln>
                      <a:noFill/>
                    </a:ln>
                  </pic:spPr>
                </pic:pic>
              </a:graphicData>
            </a:graphic>
          </wp:inline>
        </w:drawing>
      </w:r>
    </w:p>
    <w:p w14:paraId="33D72884" w14:textId="3FFC4374" w:rsidR="00F2377A" w:rsidRPr="00F2377A" w:rsidRDefault="00F2377A" w:rsidP="00F2377A">
      <w:pPr>
        <w:pStyle w:val="Caption"/>
      </w:pPr>
      <w:bookmarkStart w:id="80" w:name="_Toc216686000"/>
      <w:r>
        <w:t xml:space="preserve">Figure </w:t>
      </w:r>
      <w:r w:rsidR="00C3617A">
        <w:fldChar w:fldCharType="begin"/>
      </w:r>
      <w:r w:rsidR="00C3617A">
        <w:instrText xml:space="preserve"> SEQ Figure \* ARABIC </w:instrText>
      </w:r>
      <w:r w:rsidR="00C3617A">
        <w:fldChar w:fldCharType="separate"/>
      </w:r>
      <w:r w:rsidR="00C3617A">
        <w:rPr>
          <w:noProof/>
        </w:rPr>
        <w:t>37</w:t>
      </w:r>
      <w:r w:rsidR="00C3617A">
        <w:rPr>
          <w:noProof/>
        </w:rPr>
        <w:fldChar w:fldCharType="end"/>
      </w:r>
      <w:r>
        <w:t xml:space="preserve">: </w:t>
      </w:r>
      <w:r w:rsidRPr="00B108F7">
        <w:t>Compliance Versus Risk Control</w:t>
      </w:r>
      <w:bookmarkEnd w:id="80"/>
    </w:p>
    <w:p w14:paraId="20A007EB" w14:textId="71456AEC" w:rsidR="003666EB" w:rsidRPr="003666EB" w:rsidRDefault="00697B55" w:rsidP="003666EB">
      <w:r w:rsidRPr="00697B55">
        <w:t>The increased uncertainty avoidance in Brazil creates increased concerns that a high level of expectations ensures attention to procedural instructions, documentation, and retrospective results (Khan et al., 2021).</w:t>
      </w:r>
      <w:r w:rsidR="003666EB" w:rsidRPr="003666EB">
        <w:t xml:space="preserve"> </w:t>
      </w:r>
      <w:r w:rsidR="0080066E" w:rsidRPr="0080066E">
        <w:t>SOPs that put a lot of emphasis on professional judgement and flexible interpretation, which are characteristics of UK banking culture, may increase perceived risk and loss of confidence on the part of Brazilian employees, clients and regulators (Korzeb et al., 2022).</w:t>
      </w:r>
    </w:p>
    <w:p w14:paraId="365C93D2" w14:textId="5F27F74B" w:rsidR="003666EB" w:rsidRDefault="009D3BBA" w:rsidP="003666EB">
      <w:r w:rsidRPr="009D3BBA">
        <w:t xml:space="preserve">Therefore, HSBC should </w:t>
      </w:r>
      <w:r w:rsidR="00D46B1E" w:rsidRPr="009D3BBA">
        <w:t>adjust</w:t>
      </w:r>
      <w:r w:rsidRPr="009D3BBA">
        <w:t xml:space="preserve"> its SOPs, such as improving the granularity of processes, encompassing thorough compliance checklists, defining the triggers of the escalation and increasing the internal controls frequency.</w:t>
      </w:r>
      <w:r>
        <w:t xml:space="preserve"> </w:t>
      </w:r>
      <w:r w:rsidR="00D46B1E" w:rsidRPr="00D46B1E">
        <w:t>Empirical evidence finds that having thorough standard operating procedures boosts service reliability and reduces the risk of operation in the emerging market banking environment (Rukmana, 2023; Hadi et al., 2025).</w:t>
      </w:r>
    </w:p>
    <w:p w14:paraId="0B7CD38D" w14:textId="77777777" w:rsidR="00D46B1E" w:rsidRPr="003666EB" w:rsidRDefault="00D46B1E" w:rsidP="003666EB"/>
    <w:p w14:paraId="189FA3C7" w14:textId="77777777" w:rsidR="003666EB" w:rsidRDefault="003666EB" w:rsidP="00AD02BB">
      <w:pPr>
        <w:pStyle w:val="Heading3"/>
      </w:pPr>
      <w:bookmarkStart w:id="81" w:name="_Toc216685957"/>
      <w:r w:rsidRPr="003666EB">
        <w:t>5.3.2 Embedding compliance through supervision and training</w:t>
      </w:r>
      <w:bookmarkEnd w:id="81"/>
    </w:p>
    <w:p w14:paraId="20E4749D" w14:textId="57CD940F" w:rsidR="00F2377A" w:rsidRDefault="00F2377A" w:rsidP="00F2377A">
      <w:r>
        <w:rPr>
          <w:noProof/>
        </w:rPr>
        <w:drawing>
          <wp:inline distT="0" distB="0" distL="0" distR="0" wp14:anchorId="04B5F173" wp14:editId="4C691B80">
            <wp:extent cx="5943600" cy="2821305"/>
            <wp:effectExtent l="0" t="0" r="0" b="0"/>
            <wp:docPr id="1228733933" name="Picture 1"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733933" name="Picture 1" descr="A white text on a white background&#10;&#10;AI-generated content may be incorrect."/>
                    <pic:cNvPicPr/>
                  </pic:nvPicPr>
                  <pic:blipFill>
                    <a:blip r:embed="rId47"/>
                    <a:stretch>
                      <a:fillRect/>
                    </a:stretch>
                  </pic:blipFill>
                  <pic:spPr>
                    <a:xfrm>
                      <a:off x="0" y="0"/>
                      <a:ext cx="5943600" cy="2821305"/>
                    </a:xfrm>
                    <a:prstGeom prst="rect">
                      <a:avLst/>
                    </a:prstGeom>
                  </pic:spPr>
                </pic:pic>
              </a:graphicData>
            </a:graphic>
          </wp:inline>
        </w:drawing>
      </w:r>
    </w:p>
    <w:p w14:paraId="585730A6" w14:textId="571993AE" w:rsidR="00392F4E" w:rsidRPr="00F2377A" w:rsidRDefault="00392F4E" w:rsidP="00392F4E">
      <w:pPr>
        <w:pStyle w:val="Caption"/>
      </w:pPr>
      <w:bookmarkStart w:id="82" w:name="_Toc216686001"/>
      <w:r>
        <w:t xml:space="preserve">Figure </w:t>
      </w:r>
      <w:r w:rsidR="00C3617A">
        <w:fldChar w:fldCharType="begin"/>
      </w:r>
      <w:r w:rsidR="00C3617A">
        <w:instrText xml:space="preserve"> SEQ Figure \* ARABIC </w:instrText>
      </w:r>
      <w:r w:rsidR="00C3617A">
        <w:fldChar w:fldCharType="separate"/>
      </w:r>
      <w:r w:rsidR="00C3617A">
        <w:rPr>
          <w:noProof/>
        </w:rPr>
        <w:t>38</w:t>
      </w:r>
      <w:r w:rsidR="00C3617A">
        <w:rPr>
          <w:noProof/>
        </w:rPr>
        <w:fldChar w:fldCharType="end"/>
      </w:r>
      <w:r>
        <w:t xml:space="preserve">: </w:t>
      </w:r>
      <w:r w:rsidRPr="00111946">
        <w:t>Embedding compliance through supervision and training</w:t>
      </w:r>
      <w:bookmarkEnd w:id="82"/>
    </w:p>
    <w:p w14:paraId="3F5ABD85" w14:textId="5B724D69" w:rsidR="003666EB" w:rsidRPr="003666EB" w:rsidRDefault="00FB7959" w:rsidP="003666EB">
      <w:r w:rsidRPr="00FB7959">
        <w:t>The literature regarding the operational risk highlights that the effectiveness of standard operating procedures depends on how they are designed as well as on the processes of supervision and reinforcement (Rahareng, 2021; Habib et al., 2025).</w:t>
      </w:r>
      <w:r w:rsidR="003666EB" w:rsidRPr="003666EB">
        <w:t xml:space="preserve"> </w:t>
      </w:r>
      <w:r w:rsidR="00BB2374" w:rsidRPr="00BB2374">
        <w:t>In Brazil's complex regulatory environment, HSBC is recommended to enhance standard operating procedure aligned training, certification, and supervisory mechanisms to ensure that employees internalise compliance norms instead of seeing them as externally imposed direction.</w:t>
      </w:r>
    </w:p>
    <w:p w14:paraId="172561F3" w14:textId="7F53E6B8" w:rsidR="003666EB" w:rsidRPr="003666EB" w:rsidRDefault="00A70082" w:rsidP="003666EB">
      <w:r w:rsidRPr="00A70082">
        <w:t>In the lens of internalisation, this would reduce the conduct risk and protect the ownership benefits of HSBC in the governance, reputation, and regulatory credibility (Kocúrek, 2024; Hadi et al., 2025).</w:t>
      </w:r>
      <w:r w:rsidR="003666EB" w:rsidRPr="003666EB">
        <w:t xml:space="preserve"> </w:t>
      </w:r>
      <w:r w:rsidR="00A13889" w:rsidRPr="00A13889">
        <w:t>In addition, the framework supports HSBC's Environmental, Social and Governance (HSBC ESG) goals and commitments to responsible business practices by ensuring that suppliers and partners follow standardised procedural norms (HSBC Holdings plc, 2025).</w:t>
      </w:r>
    </w:p>
    <w:p w14:paraId="102B5776" w14:textId="410AE2C4" w:rsidR="003666EB" w:rsidRPr="003666EB" w:rsidRDefault="003666EB" w:rsidP="003666EB"/>
    <w:p w14:paraId="69C6F579" w14:textId="77777777" w:rsidR="003666EB" w:rsidRPr="003666EB" w:rsidRDefault="003666EB" w:rsidP="00AD02BB">
      <w:pPr>
        <w:pStyle w:val="Heading2"/>
      </w:pPr>
      <w:bookmarkStart w:id="83" w:name="_Toc216685958"/>
      <w:r w:rsidRPr="003666EB">
        <w:t>5.4 SOP Adjustment 3: Relationship Management, Client Engagement and Cultural Embeddedness</w:t>
      </w:r>
      <w:bookmarkEnd w:id="83"/>
    </w:p>
    <w:p w14:paraId="10C41839" w14:textId="77777777" w:rsidR="003666EB" w:rsidRDefault="003666EB" w:rsidP="00AD02BB">
      <w:pPr>
        <w:pStyle w:val="Heading3"/>
      </w:pPr>
      <w:bookmarkStart w:id="84" w:name="_Toc216685959"/>
      <w:r w:rsidRPr="003666EB">
        <w:t>5.4.1 Shifting from transaction-driven to relationship-driven SOPs</w:t>
      </w:r>
      <w:bookmarkEnd w:id="84"/>
    </w:p>
    <w:p w14:paraId="261BA3C4" w14:textId="6A170DDF" w:rsidR="00F2377A" w:rsidRPr="00F2377A" w:rsidRDefault="00F2377A" w:rsidP="00F2377A">
      <w:r>
        <w:rPr>
          <w:noProof/>
        </w:rPr>
        <w:drawing>
          <wp:inline distT="0" distB="0" distL="0" distR="0" wp14:anchorId="6210BBF8" wp14:editId="672CE727">
            <wp:extent cx="5953125" cy="3346979"/>
            <wp:effectExtent l="0" t="0" r="0" b="6350"/>
            <wp:docPr id="9609657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64914" cy="3353607"/>
                    </a:xfrm>
                    <a:prstGeom prst="rect">
                      <a:avLst/>
                    </a:prstGeom>
                    <a:noFill/>
                  </pic:spPr>
                </pic:pic>
              </a:graphicData>
            </a:graphic>
          </wp:inline>
        </w:drawing>
      </w:r>
    </w:p>
    <w:p w14:paraId="574A6460" w14:textId="684D04AF" w:rsidR="00F2377A" w:rsidRPr="00F2377A" w:rsidRDefault="00F2377A" w:rsidP="00F2377A">
      <w:pPr>
        <w:pStyle w:val="Caption"/>
      </w:pPr>
      <w:bookmarkStart w:id="85" w:name="_Toc216686002"/>
      <w:r>
        <w:t xml:space="preserve">Figure </w:t>
      </w:r>
      <w:r w:rsidR="00C3617A">
        <w:fldChar w:fldCharType="begin"/>
      </w:r>
      <w:r w:rsidR="00C3617A">
        <w:instrText xml:space="preserve"> SEQ Figure \* ARABIC </w:instrText>
      </w:r>
      <w:r w:rsidR="00C3617A">
        <w:fldChar w:fldCharType="separate"/>
      </w:r>
      <w:r w:rsidR="00C3617A">
        <w:rPr>
          <w:noProof/>
        </w:rPr>
        <w:t>39</w:t>
      </w:r>
      <w:r w:rsidR="00C3617A">
        <w:rPr>
          <w:noProof/>
        </w:rPr>
        <w:fldChar w:fldCharType="end"/>
      </w:r>
      <w:r>
        <w:t xml:space="preserve">: </w:t>
      </w:r>
      <w:r w:rsidRPr="00132072">
        <w:t>Cultural Impact on Customer Engagement</w:t>
      </w:r>
      <w:bookmarkEnd w:id="85"/>
    </w:p>
    <w:p w14:paraId="4DE20073" w14:textId="59DC498C" w:rsidR="003666EB" w:rsidRPr="003666EB" w:rsidRDefault="00866842" w:rsidP="003666EB">
      <w:r w:rsidRPr="00866842">
        <w:t>In Brazil, a relatively low individualism rate and a relatively high relational orientation mean that long-term trust, personal relations, and network-based interaction are key factors of business success (Alegbeleye, 2025).</w:t>
      </w:r>
      <w:r w:rsidR="003666EB" w:rsidRPr="003666EB">
        <w:t xml:space="preserve"> </w:t>
      </w:r>
      <w:r w:rsidR="0033396A" w:rsidRPr="0033396A">
        <w:t>Standard operating procedures imported from the United Kingdom, which are focused on efficiency, automation, and speed of transactions, may deactivate relationships between depth and reduce customer loyalty in Brazil (Khan et al., 2021).</w:t>
      </w:r>
    </w:p>
    <w:p w14:paraId="72380907" w14:textId="11C619F7" w:rsidR="003666EB" w:rsidRDefault="004A2D0D" w:rsidP="003666EB">
      <w:r w:rsidRPr="004A2D0D">
        <w:t xml:space="preserve">HSBC should, therefore, restructure their client facing standard operating procedures especially in areas of corporate banking, export financing as well as in global markets to allow the relationship managers more flexibility, shortening of engagement, and customize </w:t>
      </w:r>
      <w:r w:rsidR="00665807" w:rsidRPr="004A2D0D">
        <w:t>clients’</w:t>
      </w:r>
      <w:r w:rsidRPr="004A2D0D">
        <w:t xml:space="preserve"> solutions.</w:t>
      </w:r>
      <w:r w:rsidR="003666EB" w:rsidRPr="003666EB">
        <w:t xml:space="preserve"> </w:t>
      </w:r>
      <w:r w:rsidR="00665807" w:rsidRPr="00665807">
        <w:t>The presented approach is in line with HSBC's strategic focus on trade finance and its international clientele with distinguishable from the mass retail banking in Brazil (HSBC, 2025; HSBC Global Banking and Markets, 2025).</w:t>
      </w:r>
    </w:p>
    <w:p w14:paraId="3453B292" w14:textId="77777777" w:rsidR="00665807" w:rsidRPr="003666EB" w:rsidRDefault="00665807" w:rsidP="003666EB"/>
    <w:p w14:paraId="6ABF35CB" w14:textId="77777777" w:rsidR="003666EB" w:rsidRDefault="003666EB" w:rsidP="00AD02BB">
      <w:pPr>
        <w:pStyle w:val="Heading3"/>
      </w:pPr>
      <w:bookmarkStart w:id="86" w:name="_Toc216685960"/>
      <w:r w:rsidRPr="003666EB">
        <w:t>5.4.2 Aligning SOPs with glocalisation strategy</w:t>
      </w:r>
      <w:bookmarkEnd w:id="86"/>
    </w:p>
    <w:p w14:paraId="053B36A5" w14:textId="17DCE01D" w:rsidR="000940A6" w:rsidRDefault="000940A6" w:rsidP="000940A6">
      <w:r>
        <w:rPr>
          <w:noProof/>
        </w:rPr>
        <w:drawing>
          <wp:inline distT="0" distB="0" distL="0" distR="0" wp14:anchorId="28C1C8FB" wp14:editId="6F61D95E">
            <wp:extent cx="6017260" cy="3627120"/>
            <wp:effectExtent l="0" t="0" r="2540" b="0"/>
            <wp:docPr id="78126810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017260" cy="3627120"/>
                    </a:xfrm>
                    <a:prstGeom prst="rect">
                      <a:avLst/>
                    </a:prstGeom>
                    <a:noFill/>
                  </pic:spPr>
                </pic:pic>
              </a:graphicData>
            </a:graphic>
          </wp:inline>
        </w:drawing>
      </w:r>
    </w:p>
    <w:p w14:paraId="68F19CCF" w14:textId="1F4A7A26" w:rsidR="000940A6" w:rsidRPr="000940A6" w:rsidRDefault="000940A6" w:rsidP="000940A6">
      <w:pPr>
        <w:pStyle w:val="Caption"/>
      </w:pPr>
      <w:bookmarkStart w:id="87" w:name="_Toc216686003"/>
      <w:r>
        <w:t xml:space="preserve">Figure </w:t>
      </w:r>
      <w:r w:rsidR="00C3617A">
        <w:fldChar w:fldCharType="begin"/>
      </w:r>
      <w:r w:rsidR="00C3617A">
        <w:instrText xml:space="preserve"> SEQ Figure \* ARABIC </w:instrText>
      </w:r>
      <w:r w:rsidR="00C3617A">
        <w:fldChar w:fldCharType="separate"/>
      </w:r>
      <w:r w:rsidR="00C3617A">
        <w:rPr>
          <w:noProof/>
        </w:rPr>
        <w:t>40</w:t>
      </w:r>
      <w:r w:rsidR="00C3617A">
        <w:rPr>
          <w:noProof/>
        </w:rPr>
        <w:fldChar w:fldCharType="end"/>
      </w:r>
      <w:r>
        <w:t xml:space="preserve">: </w:t>
      </w:r>
      <w:r w:rsidRPr="00AE2587">
        <w:t>Aligning SOPs with glocalisation strategy</w:t>
      </w:r>
      <w:bookmarkEnd w:id="87"/>
    </w:p>
    <w:p w14:paraId="447FAE72" w14:textId="106DC8F4" w:rsidR="003666EB" w:rsidRPr="003666EB" w:rsidRDefault="00D672EF" w:rsidP="003666EB">
      <w:r w:rsidRPr="00D672EF">
        <w:t>The recent experiences of HSBC highlight the principle of glocalisation, which blends international integration with domestic adaptation to the changing international business trends (HSBC, 2024).</w:t>
      </w:r>
      <w:r w:rsidR="003666EB" w:rsidRPr="003666EB">
        <w:t xml:space="preserve"> </w:t>
      </w:r>
      <w:r w:rsidR="00E44F53" w:rsidRPr="00E44F53">
        <w:t>Standard Operating Procedures should contain market intelligence and linguistic modification at a local level, as well as cultural communication protocols, while simultaneously maintaining global service standards.</w:t>
      </w:r>
    </w:p>
    <w:p w14:paraId="7154355C" w14:textId="45251E81" w:rsidR="003666EB" w:rsidRPr="003666EB" w:rsidRDefault="00681EE4" w:rsidP="003666EB">
      <w:r>
        <w:t>Financial</w:t>
      </w:r>
      <w:r w:rsidR="0057592B" w:rsidRPr="0057592B">
        <w:t xml:space="preserve"> institutions that utilize culturally adaptive relationship practices is </w:t>
      </w:r>
      <w:r w:rsidR="00274BBB" w:rsidRPr="0057592B">
        <w:t>better</w:t>
      </w:r>
      <w:r w:rsidR="0057592B" w:rsidRPr="0057592B">
        <w:t xml:space="preserve"> performance and sustainability in the emerging markets as compared to the institutions that solely rely on standardized global models (Hendriks et al. 2023; Bouzidi and Arbi Nefzi 2024).</w:t>
      </w:r>
      <w:r w:rsidR="003666EB" w:rsidRPr="003666EB">
        <w:t xml:space="preserve"> </w:t>
      </w:r>
      <w:r w:rsidR="00274BBB" w:rsidRPr="00274BBB">
        <w:t>This adjustment is another step forward to mitigate the risks of cultural misfit that compared to the past have contributed to HSBC's withdrawal from Brazilian retail banking business (The Asian Banker, 2016; Marcopolis, 2012).</w:t>
      </w:r>
    </w:p>
    <w:p w14:paraId="4690047B" w14:textId="6DB3D2E9" w:rsidR="003666EB" w:rsidRPr="003666EB" w:rsidRDefault="003666EB" w:rsidP="003666EB"/>
    <w:p w14:paraId="1E08B87B" w14:textId="77777777" w:rsidR="003666EB" w:rsidRDefault="003666EB" w:rsidP="00AD02BB">
      <w:pPr>
        <w:pStyle w:val="Heading2"/>
      </w:pPr>
      <w:bookmarkStart w:id="88" w:name="_Toc216685961"/>
      <w:r w:rsidRPr="003666EB">
        <w:t>5.5 Integration with OLI and Strategic Implications</w:t>
      </w:r>
      <w:bookmarkEnd w:id="88"/>
    </w:p>
    <w:p w14:paraId="721D6212" w14:textId="6C0E6A8E" w:rsidR="00C3617A" w:rsidRDefault="00C3617A" w:rsidP="00C3617A">
      <w:r>
        <w:rPr>
          <w:noProof/>
        </w:rPr>
        <w:drawing>
          <wp:inline distT="0" distB="0" distL="0" distR="0" wp14:anchorId="3EFA2FAB" wp14:editId="15A1678E">
            <wp:extent cx="5895340" cy="3200400"/>
            <wp:effectExtent l="0" t="0" r="0" b="0"/>
            <wp:docPr id="4623049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895340" cy="3200400"/>
                    </a:xfrm>
                    <a:prstGeom prst="rect">
                      <a:avLst/>
                    </a:prstGeom>
                    <a:noFill/>
                  </pic:spPr>
                </pic:pic>
              </a:graphicData>
            </a:graphic>
          </wp:inline>
        </w:drawing>
      </w:r>
    </w:p>
    <w:p w14:paraId="1CED5107" w14:textId="62331F78" w:rsidR="00C3617A" w:rsidRPr="00C3617A" w:rsidRDefault="00C3617A" w:rsidP="00C3617A">
      <w:pPr>
        <w:pStyle w:val="Caption"/>
      </w:pPr>
      <w:bookmarkStart w:id="89" w:name="_Toc216686004"/>
      <w:r>
        <w:t xml:space="preserve">Figure </w:t>
      </w:r>
      <w:r>
        <w:fldChar w:fldCharType="begin"/>
      </w:r>
      <w:r>
        <w:instrText xml:space="preserve"> SEQ Figure \* ARABIC </w:instrText>
      </w:r>
      <w:r>
        <w:fldChar w:fldCharType="separate"/>
      </w:r>
      <w:r>
        <w:rPr>
          <w:noProof/>
        </w:rPr>
        <w:t>41</w:t>
      </w:r>
      <w:r>
        <w:rPr>
          <w:noProof/>
        </w:rPr>
        <w:fldChar w:fldCharType="end"/>
      </w:r>
      <w:r>
        <w:t xml:space="preserve">: </w:t>
      </w:r>
      <w:r w:rsidRPr="003D20CA">
        <w:t>Integration with OLI and Strategic Implications</w:t>
      </w:r>
      <w:bookmarkEnd w:id="89"/>
    </w:p>
    <w:p w14:paraId="4F99F956" w14:textId="2C08C417" w:rsidR="003666EB" w:rsidRPr="003666EB" w:rsidRDefault="002847DC" w:rsidP="003666EB">
      <w:r w:rsidRPr="002847DC">
        <w:t>Together, these SOP modifications cement the ownership advantages of HSBC, which is its risk expertise and governance systems, and which are also consistent with the culturally and institutionally specific realities of Brazil, and the benefits of internationalisation through coexisting cost of coordination and the bridging of legitimacy gaps (Kocúrek, 2024; Abdelaziz et al., 2025).</w:t>
      </w:r>
      <w:r w:rsidR="003666EB" w:rsidRPr="003666EB">
        <w:t xml:space="preserve"> </w:t>
      </w:r>
      <w:r w:rsidR="00D27503" w:rsidRPr="00D27503">
        <w:t>In the absence of such adaptations, the rigidity of Standard Operating Procedures might erode HSBC's competitive(bank) position and facilitate recurrence of underperformance patterns observed in previous international operations (Saleh et al., 2022).</w:t>
      </w:r>
    </w:p>
    <w:p w14:paraId="27318BAB" w14:textId="77777777" w:rsidR="00B3178F" w:rsidRPr="0071109B" w:rsidRDefault="00B3178F" w:rsidP="0071109B"/>
    <w:p w14:paraId="487D20CF" w14:textId="77777777" w:rsidR="003666EB" w:rsidRPr="003666EB" w:rsidRDefault="003666EB" w:rsidP="00AD02BB">
      <w:pPr>
        <w:pStyle w:val="Heading1"/>
      </w:pPr>
      <w:bookmarkStart w:id="90" w:name="_Toc216685962"/>
      <w:r w:rsidRPr="003666EB">
        <w:t>6. Conclusion</w:t>
      </w:r>
      <w:bookmarkEnd w:id="90"/>
    </w:p>
    <w:p w14:paraId="300AB8E4" w14:textId="2007E7E0" w:rsidR="00B24B16" w:rsidRDefault="007F315C" w:rsidP="003666EB">
      <w:r w:rsidRPr="007F315C">
        <w:t>The report was a critical examination of the global operations at HSBC with special reference to the role of the company in doing business with Brazil as an emerging country based on the multinational enterprise theory, OLI paradigm, and cross-cultural analysis.</w:t>
      </w:r>
      <w:r w:rsidR="003666EB" w:rsidRPr="003666EB">
        <w:t xml:space="preserve"> </w:t>
      </w:r>
      <w:r w:rsidR="00F77B2C" w:rsidRPr="00F77B2C">
        <w:t>The analysis of the discourse confirmed the status of HSBC as a multinational and transnational enterprise, and this is a global integrated, yet local, responsive model of operation.</w:t>
      </w:r>
      <w:r w:rsidR="003666EB" w:rsidRPr="003666EB">
        <w:t xml:space="preserve"> </w:t>
      </w:r>
      <w:r w:rsidR="00350B32" w:rsidRPr="00350B32">
        <w:t>The value chain analysis and entry mode analysis of the HSBC shows that ownership benefits in dealing with risks, with the international market, and trade finance lead to the internationalisation, and the institutional and cultural distance (specific to Brazil) do not allow a total internalisation.</w:t>
      </w:r>
      <w:r w:rsidR="003666EB" w:rsidRPr="003666EB">
        <w:t xml:space="preserve"> </w:t>
      </w:r>
    </w:p>
    <w:p w14:paraId="03608A5B" w14:textId="30AE6967" w:rsidR="003666EB" w:rsidRPr="003666EB" w:rsidRDefault="00067FE2" w:rsidP="003666EB">
      <w:r w:rsidRPr="00067FE2">
        <w:t>The application of the OLI framework shows that the strategic retrenchment of HSBC from retail banking in Brazil is a dynamic reassessment of ownership, location and internalisation advantages, rather than inherent failure of the process of internationalisation for the firm.</w:t>
      </w:r>
      <w:r w:rsidR="003666EB" w:rsidRPr="003666EB">
        <w:t xml:space="preserve"> </w:t>
      </w:r>
      <w:r w:rsidR="002829E6" w:rsidRPr="002829E6">
        <w:t>In addition, the comparative cultural evaluation of the two countries United Kingdom and Brazil showed that the difference in power distance, uncertainty avoidance as well as relational orientation made a considerable impact on the governance, compliance and customer involvement results.</w:t>
      </w:r>
      <w:r w:rsidR="003666EB" w:rsidRPr="003666EB">
        <w:t xml:space="preserve"> </w:t>
      </w:r>
      <w:r w:rsidR="00FC2982" w:rsidRPr="00FC2982">
        <w:t>Finally, the suggested changes to the SOPs respect the importance of harmonization of international standards with the cultural and institutional realities of each country.</w:t>
      </w:r>
      <w:r w:rsidR="003666EB" w:rsidRPr="003666EB">
        <w:t xml:space="preserve"> </w:t>
      </w:r>
      <w:r w:rsidR="005F31D1" w:rsidRPr="005F31D1">
        <w:t>Through aggregate evaluation, it can be statistically seen that the ongoing achievements of HSBC in emerging markets such as Brazil are subject to conditional operational closeness, culturally sensitive changes and reliance on continual re-establishment of global strategic context.</w:t>
      </w:r>
    </w:p>
    <w:p w14:paraId="2AD9DF2B" w14:textId="77777777" w:rsidR="00CB00CD" w:rsidRDefault="00CB00CD"/>
    <w:p w14:paraId="6E431FC3" w14:textId="77777777" w:rsidR="000940A6" w:rsidRDefault="000940A6"/>
    <w:p w14:paraId="635A8A0C" w14:textId="77777777" w:rsidR="000940A6" w:rsidRDefault="000940A6"/>
    <w:p w14:paraId="55F219B5" w14:textId="20267141" w:rsidR="000940A6" w:rsidRPr="00CE7878" w:rsidRDefault="002A12C6" w:rsidP="000940A6">
      <w:pPr>
        <w:pStyle w:val="Heading1"/>
      </w:pPr>
      <w:bookmarkStart w:id="91" w:name="_Toc216685963"/>
      <w:r>
        <w:t>References</w:t>
      </w:r>
      <w:bookmarkEnd w:id="91"/>
    </w:p>
    <w:p w14:paraId="43D12812" w14:textId="77777777" w:rsidR="000940A6" w:rsidRPr="00EA5ADE" w:rsidRDefault="000940A6" w:rsidP="00EA5ADE">
      <w:r w:rsidRPr="00EA5ADE">
        <w:t xml:space="preserve">Abdelaziz, H. and Al-Tabbaa, O. (2025) ‘Institutional conditions and foreign banks’ entry into a developing economy’s banking sector: A longitudinal case study analysis’, </w:t>
      </w:r>
      <w:r w:rsidRPr="00EA5ADE">
        <w:rPr>
          <w:i/>
          <w:iCs/>
        </w:rPr>
        <w:t>European Journal of International Management</w:t>
      </w:r>
      <w:r w:rsidRPr="00EA5ADE">
        <w:t xml:space="preserve"> (in press). Available at: </w:t>
      </w:r>
      <w:hyperlink r:id="rId51" w:tgtFrame="_new" w:history="1">
        <w:r w:rsidRPr="00EA5ADE">
          <w:rPr>
            <w:rStyle w:val="Hyperlink"/>
          </w:rPr>
          <w:t>https://eprints.whiterose.ac.uk/id/eprint/232442/</w:t>
        </w:r>
      </w:hyperlink>
    </w:p>
    <w:p w14:paraId="49FB02EB" w14:textId="77777777" w:rsidR="000940A6" w:rsidRPr="00EA5ADE" w:rsidRDefault="000940A6" w:rsidP="00EA5ADE">
      <w:r w:rsidRPr="00EA5ADE">
        <w:t xml:space="preserve">Abou Saleh, N. and Al Tuwaijri, N. (2022) ‘Overseas risks leading to business failure in foreign markets: Study case of HSBC in France’, </w:t>
      </w:r>
      <w:r w:rsidRPr="00EA5ADE">
        <w:rPr>
          <w:i/>
          <w:iCs/>
        </w:rPr>
        <w:t>Open Journal of Business and Management</w:t>
      </w:r>
      <w:r w:rsidRPr="00EA5ADE">
        <w:t xml:space="preserve">, 10(5), pp. 2209–2241. Available at: </w:t>
      </w:r>
      <w:hyperlink r:id="rId52" w:history="1">
        <w:r w:rsidRPr="00EA5ADE">
          <w:rPr>
            <w:rStyle w:val="Hyperlink"/>
          </w:rPr>
          <w:t>https://doi.org/10.4236/ojbm.2022.105112</w:t>
        </w:r>
      </w:hyperlink>
    </w:p>
    <w:p w14:paraId="3DABDD0B" w14:textId="77777777" w:rsidR="000940A6" w:rsidRPr="00EA5ADE" w:rsidRDefault="000940A6" w:rsidP="00EA5ADE">
      <w:r w:rsidRPr="00EA5ADE">
        <w:t xml:space="preserve">Alegbeleye, E.O. (2025) ‘Cultural dynamics and business strategies in international markets’, </w:t>
      </w:r>
      <w:r w:rsidRPr="00EA5ADE">
        <w:rPr>
          <w:i/>
          <w:iCs/>
        </w:rPr>
        <w:t>Journal of Management and Business Education</w:t>
      </w:r>
      <w:r w:rsidRPr="00EA5ADE">
        <w:t xml:space="preserve">, 8(2), pp. 344–362. Available at: </w:t>
      </w:r>
      <w:hyperlink r:id="rId53" w:history="1">
        <w:r w:rsidRPr="00EA5ADE">
          <w:rPr>
            <w:rStyle w:val="Hyperlink"/>
          </w:rPr>
          <w:t>https://doi.org/10.35564/jmbe.2025.0019</w:t>
        </w:r>
      </w:hyperlink>
    </w:p>
    <w:p w14:paraId="054BC983" w14:textId="77777777" w:rsidR="000940A6" w:rsidRPr="00EA5ADE" w:rsidRDefault="000940A6" w:rsidP="00EA5ADE">
      <w:r w:rsidRPr="00EA5ADE">
        <w:t xml:space="preserve">Belaounia, S., Chtioui, T. and Nekhili, M. (2016) ‘The determinants of foreign location and market-entry mode by multinational banks: A simultaneous approach’, </w:t>
      </w:r>
      <w:r w:rsidRPr="00EA5ADE">
        <w:rPr>
          <w:i/>
          <w:iCs/>
        </w:rPr>
        <w:t>Journal of Applied Business Research</w:t>
      </w:r>
      <w:r w:rsidRPr="00EA5ADE">
        <w:t xml:space="preserve">, 32(3), pp. 883–900. Available at: </w:t>
      </w:r>
      <w:hyperlink r:id="rId54" w:history="1">
        <w:r w:rsidRPr="00EA5ADE">
          <w:rPr>
            <w:rStyle w:val="Hyperlink"/>
          </w:rPr>
          <w:t>https://doi.org/10.19030/jabr.v32i3.9671</w:t>
        </w:r>
      </w:hyperlink>
    </w:p>
    <w:p w14:paraId="477E6A40" w14:textId="77777777" w:rsidR="000940A6" w:rsidRPr="00EA5ADE" w:rsidRDefault="000940A6" w:rsidP="00EA5ADE">
      <w:r w:rsidRPr="00EA5ADE">
        <w:t xml:space="preserve">Bouzidi, F.M. and Arbi Nefzi, A. (2024) ‘The impact of foreign bank entry on the efficiency and sustainability of domestic banks in developing countries: A meta-frontier approach’, </w:t>
      </w:r>
      <w:r w:rsidRPr="00EA5ADE">
        <w:rPr>
          <w:i/>
          <w:iCs/>
        </w:rPr>
        <w:t>Sustainability</w:t>
      </w:r>
      <w:r w:rsidRPr="00EA5ADE">
        <w:t xml:space="preserve">, 16(24), p. 10932. Available at: </w:t>
      </w:r>
      <w:hyperlink r:id="rId55" w:tgtFrame="_new" w:history="1">
        <w:r w:rsidRPr="00EA5ADE">
          <w:rPr>
            <w:rStyle w:val="Hyperlink"/>
          </w:rPr>
          <w:t>https://doi.org/10.3390/su162410932</w:t>
        </w:r>
      </w:hyperlink>
    </w:p>
    <w:p w14:paraId="57BEF3EA" w14:textId="77777777" w:rsidR="000940A6" w:rsidRPr="00EA5ADE" w:rsidRDefault="000940A6" w:rsidP="00EA5ADE">
      <w:r w:rsidRPr="00EA5ADE">
        <w:t xml:space="preserve">Brooks, S. (2025) ‘Does HSBC’s restructure signal a change in banking culture?’, </w:t>
      </w:r>
      <w:r w:rsidRPr="00EA5ADE">
        <w:rPr>
          <w:i/>
          <w:iCs/>
        </w:rPr>
        <w:t>FinTech Magazine</w:t>
      </w:r>
      <w:r w:rsidRPr="00EA5ADE">
        <w:t xml:space="preserve">, 13 December. Available at: </w:t>
      </w:r>
      <w:hyperlink r:id="rId56" w:tgtFrame="_new" w:history="1">
        <w:r w:rsidRPr="00EA5ADE">
          <w:rPr>
            <w:rStyle w:val="Hyperlink"/>
          </w:rPr>
          <w:t>https://fintechmagazine.com/news/hsbcs-restructure-signals-a-change-in-banking-culture</w:t>
        </w:r>
      </w:hyperlink>
    </w:p>
    <w:p w14:paraId="53A0299B" w14:textId="77777777" w:rsidR="000940A6" w:rsidRPr="00EA5ADE" w:rsidRDefault="000940A6" w:rsidP="00EA5ADE">
      <w:r w:rsidRPr="00EA5ADE">
        <w:t xml:space="preserve">Chambers and Partners (2025) </w:t>
      </w:r>
      <w:r w:rsidRPr="00EA5ADE">
        <w:rPr>
          <w:i/>
          <w:iCs/>
        </w:rPr>
        <w:t>Banking &amp; finance 2025: Brazil – trends and developments</w:t>
      </w:r>
      <w:r w:rsidRPr="00EA5ADE">
        <w:t xml:space="preserve">. Available at: </w:t>
      </w:r>
      <w:hyperlink r:id="rId57" w:tgtFrame="_new" w:history="1">
        <w:r w:rsidRPr="00EA5ADE">
          <w:rPr>
            <w:rStyle w:val="Hyperlink"/>
          </w:rPr>
          <w:t>https://practiceguides.chambers.com/practice-guides/banking-finance-2025/brazil/trends-and-developments</w:t>
        </w:r>
      </w:hyperlink>
    </w:p>
    <w:p w14:paraId="4268F1BB" w14:textId="77777777" w:rsidR="000940A6" w:rsidRPr="00EA5ADE" w:rsidRDefault="000940A6" w:rsidP="00EA5ADE">
      <w:r w:rsidRPr="00EA5ADE">
        <w:t xml:space="preserve">Freedom24 (2023) ‘HSBC: Europe’s largest bank with 28.2% upside and 9.4% dividend yield’, </w:t>
      </w:r>
      <w:r w:rsidRPr="00EA5ADE">
        <w:rPr>
          <w:i/>
          <w:iCs/>
        </w:rPr>
        <w:t>Freedom24 Ideas</w:t>
      </w:r>
      <w:r w:rsidRPr="00EA5ADE">
        <w:t xml:space="preserve">, 12 December. Available at: </w:t>
      </w:r>
      <w:hyperlink r:id="rId58" w:tgtFrame="_new" w:history="1">
        <w:r w:rsidRPr="00EA5ADE">
          <w:rPr>
            <w:rStyle w:val="Hyperlink"/>
          </w:rPr>
          <w:t>https://freedom24.com/ideas/details/14220</w:t>
        </w:r>
      </w:hyperlink>
      <w:r w:rsidRPr="00EA5ADE">
        <w:t xml:space="preserve"> </w:t>
      </w:r>
    </w:p>
    <w:p w14:paraId="4F0E6547" w14:textId="77777777" w:rsidR="000940A6" w:rsidRPr="00EA5ADE" w:rsidRDefault="000940A6" w:rsidP="00EA5ADE">
      <w:r w:rsidRPr="00EA5ADE">
        <w:t xml:space="preserve">Gratton, P. (2025) ‘Multinational corporation: history, characteristics, and types’, </w:t>
      </w:r>
      <w:r w:rsidRPr="00EA5ADE">
        <w:rPr>
          <w:i/>
          <w:iCs/>
        </w:rPr>
        <w:t>Investopedia</w:t>
      </w:r>
      <w:r w:rsidRPr="00EA5ADE">
        <w:t xml:space="preserve">, 5 May. Available at: </w:t>
      </w:r>
      <w:hyperlink r:id="rId59" w:tgtFrame="_new" w:history="1">
        <w:r w:rsidRPr="00EA5ADE">
          <w:rPr>
            <w:rStyle w:val="Hyperlink"/>
          </w:rPr>
          <w:t>https://www.investopedia.com/terms/m/multinationalcorporation.asp</w:t>
        </w:r>
      </w:hyperlink>
    </w:p>
    <w:p w14:paraId="76504688" w14:textId="77777777" w:rsidR="000940A6" w:rsidRPr="00EA5ADE" w:rsidRDefault="000940A6" w:rsidP="00EA5ADE">
      <w:r w:rsidRPr="00EA5ADE">
        <w:t xml:space="preserve">Habib, A., Hossain, M.M., Yesmin, R. and Arefin, M.E. (2025) </w:t>
      </w:r>
      <w:r w:rsidRPr="00EA5ADE">
        <w:rPr>
          <w:i/>
          <w:iCs/>
        </w:rPr>
        <w:t>Governance and practices of operational risk management in banks</w:t>
      </w:r>
      <w:r w:rsidRPr="00EA5ADE">
        <w:t xml:space="preserve">. </w:t>
      </w:r>
      <w:r w:rsidRPr="00EA5ADE">
        <w:rPr>
          <w:i/>
          <w:iCs/>
        </w:rPr>
        <w:t>Banking Research Series-2025</w:t>
      </w:r>
      <w:r w:rsidRPr="00EA5ADE">
        <w:t>. Dhaka: Bangladesh Institute of Bank Management.</w:t>
      </w:r>
    </w:p>
    <w:p w14:paraId="00AEC546" w14:textId="77777777" w:rsidR="000940A6" w:rsidRPr="00EA5ADE" w:rsidRDefault="000940A6" w:rsidP="00EA5ADE">
      <w:r w:rsidRPr="00EA5ADE">
        <w:t xml:space="preserve">Hadi, M.H., Abdulzahra, A.K. and Hazen, M.A. (2025) ‘The effectiveness of internal control standards in enhancing financial risk management efficiency in the banking sector’, </w:t>
      </w:r>
      <w:r w:rsidRPr="00EA5ADE">
        <w:rPr>
          <w:i/>
          <w:iCs/>
        </w:rPr>
        <w:t>European Journal of Management Economics and Business</w:t>
      </w:r>
      <w:r w:rsidRPr="00EA5ADE">
        <w:t xml:space="preserve">, 2(5), pp. 66–83. Available at: </w:t>
      </w:r>
      <w:hyperlink r:id="rId60" w:history="1">
        <w:r w:rsidRPr="00EA5ADE">
          <w:rPr>
            <w:rStyle w:val="Hyperlink"/>
          </w:rPr>
          <w:t>https://doi.org/10.59324/ejmeb.2025.2(5).06</w:t>
        </w:r>
      </w:hyperlink>
    </w:p>
    <w:p w14:paraId="4BD2B744" w14:textId="77777777" w:rsidR="000940A6" w:rsidRPr="00EA5ADE" w:rsidRDefault="000940A6" w:rsidP="00EA5ADE">
      <w:r w:rsidRPr="00EA5ADE">
        <w:t xml:space="preserve">Hendriks, G., Slangen, A.H.L. and Heugens, P.P.M.A.R. (2023) ‘How cross-cultural experience shapes emerging-market multinationals’ domestic performance after a cross-border acquisition’, </w:t>
      </w:r>
      <w:r w:rsidRPr="00EA5ADE">
        <w:rPr>
          <w:i/>
          <w:iCs/>
        </w:rPr>
        <w:t>Long Range Planning</w:t>
      </w:r>
      <w:r w:rsidRPr="00EA5ADE">
        <w:t xml:space="preserve">, 56(4), p. 102342. Available at: </w:t>
      </w:r>
      <w:hyperlink r:id="rId61" w:tgtFrame="_new" w:history="1">
        <w:r w:rsidRPr="00EA5ADE">
          <w:rPr>
            <w:rStyle w:val="Hyperlink"/>
          </w:rPr>
          <w:t>https://doi.org/10.1016/j.lrp.2023.102342</w:t>
        </w:r>
      </w:hyperlink>
    </w:p>
    <w:p w14:paraId="6DCD8551" w14:textId="77777777" w:rsidR="000940A6" w:rsidRPr="00EA5ADE" w:rsidRDefault="000940A6" w:rsidP="00EA5ADE">
      <w:r w:rsidRPr="00EA5ADE">
        <w:t xml:space="preserve">HSBC (2024) ‘How companies are getting with the glocalisation programme’, </w:t>
      </w:r>
      <w:r w:rsidRPr="00EA5ADE">
        <w:rPr>
          <w:i/>
          <w:iCs/>
        </w:rPr>
        <w:t>HSBC Business Insights</w:t>
      </w:r>
      <w:r w:rsidRPr="00EA5ADE">
        <w:t xml:space="preserve">, 28 April. Available at: </w:t>
      </w:r>
      <w:hyperlink r:id="rId62" w:tgtFrame="_new" w:history="1">
        <w:r w:rsidRPr="00EA5ADE">
          <w:rPr>
            <w:rStyle w:val="Hyperlink"/>
          </w:rPr>
          <w:t>https://www.business.hsbc.lk/en-gb/insights/growing-my-business/how-companies-are-getting-with-the-glocalisation-programme</w:t>
        </w:r>
      </w:hyperlink>
    </w:p>
    <w:p w14:paraId="00806306" w14:textId="77777777" w:rsidR="000940A6" w:rsidRPr="00EA5ADE" w:rsidRDefault="000940A6" w:rsidP="00EA5ADE">
      <w:r w:rsidRPr="00EA5ADE">
        <w:t xml:space="preserve">HSBC (2025) </w:t>
      </w:r>
      <w:r w:rsidRPr="00EA5ADE">
        <w:rPr>
          <w:i/>
          <w:iCs/>
        </w:rPr>
        <w:t>Exports</w:t>
      </w:r>
      <w:r w:rsidRPr="00EA5ADE">
        <w:t xml:space="preserve">. Available at: </w:t>
      </w:r>
      <w:hyperlink r:id="rId63" w:tgtFrame="_new" w:history="1">
        <w:r w:rsidRPr="00EA5ADE">
          <w:rPr>
            <w:rStyle w:val="Hyperlink"/>
          </w:rPr>
          <w:t>https://www.business.hsbc.com.br/en-gb/solutions/exports</w:t>
        </w:r>
      </w:hyperlink>
    </w:p>
    <w:p w14:paraId="5863948D" w14:textId="77777777" w:rsidR="000940A6" w:rsidRPr="00EA5ADE" w:rsidRDefault="000940A6" w:rsidP="00EA5ADE">
      <w:r w:rsidRPr="00EA5ADE">
        <w:t xml:space="preserve">HSBC (2025) </w:t>
      </w:r>
      <w:r w:rsidRPr="00EA5ADE">
        <w:rPr>
          <w:i/>
          <w:iCs/>
        </w:rPr>
        <w:t>Global markets</w:t>
      </w:r>
      <w:r w:rsidRPr="00EA5ADE">
        <w:t xml:space="preserve">. Available at: </w:t>
      </w:r>
      <w:hyperlink r:id="rId64" w:tgtFrame="_new" w:history="1">
        <w:r w:rsidRPr="00EA5ADE">
          <w:rPr>
            <w:rStyle w:val="Hyperlink"/>
          </w:rPr>
          <w:t>https://www.business.hsbc.com.br/en-gb/solutions/global-markets</w:t>
        </w:r>
      </w:hyperlink>
    </w:p>
    <w:p w14:paraId="7F46C7FA" w14:textId="77777777" w:rsidR="000940A6" w:rsidRPr="00EA5ADE" w:rsidRDefault="000940A6" w:rsidP="00EA5ADE">
      <w:r w:rsidRPr="00EA5ADE">
        <w:t xml:space="preserve">HSBC Global Banking and Markets (2025) </w:t>
      </w:r>
      <w:r w:rsidRPr="00EA5ADE">
        <w:rPr>
          <w:i/>
          <w:iCs/>
        </w:rPr>
        <w:t>Global research</w:t>
      </w:r>
      <w:r w:rsidRPr="00EA5ADE">
        <w:t xml:space="preserve">. Available at: </w:t>
      </w:r>
      <w:hyperlink r:id="rId65" w:tgtFrame="_new" w:history="1">
        <w:r w:rsidRPr="00EA5ADE">
          <w:rPr>
            <w:rStyle w:val="Hyperlink"/>
          </w:rPr>
          <w:t>https://www.gbm.hsbc.com/en-gb/campaigns/global-research</w:t>
        </w:r>
      </w:hyperlink>
    </w:p>
    <w:p w14:paraId="5972B68F" w14:textId="77777777" w:rsidR="000940A6" w:rsidRPr="00EA5ADE" w:rsidRDefault="000940A6" w:rsidP="00EA5ADE">
      <w:r w:rsidRPr="00EA5ADE">
        <w:t xml:space="preserve">HSBC Holdings plc (2025) </w:t>
      </w:r>
      <w:r w:rsidRPr="00EA5ADE">
        <w:rPr>
          <w:i/>
          <w:iCs/>
        </w:rPr>
        <w:t>Group infrastructure: Global functions</w:t>
      </w:r>
      <w:r w:rsidRPr="00EA5ADE">
        <w:t xml:space="preserve">. Available at: </w:t>
      </w:r>
      <w:hyperlink r:id="rId66" w:tgtFrame="_new" w:history="1">
        <w:r w:rsidRPr="00EA5ADE">
          <w:rPr>
            <w:rStyle w:val="Hyperlink"/>
          </w:rPr>
          <w:t>https://www.hsbc.com/careers/our-business-areas-and-teams/group-infrastructure/global-functions</w:t>
        </w:r>
      </w:hyperlink>
      <w:r w:rsidRPr="00EA5ADE">
        <w:t xml:space="preserve"> (Accessed: 14 December 2025). DOI: </w:t>
      </w:r>
      <w:hyperlink r:id="rId67" w:tgtFrame="_new" w:history="1">
        <w:r w:rsidRPr="00EA5ADE">
          <w:rPr>
            <w:rStyle w:val="Hyperlink"/>
          </w:rPr>
          <w:t>https://www.hsbc.com/careers/our-business-areas-and-teams/group-infrastructure/global-functions</w:t>
        </w:r>
      </w:hyperlink>
    </w:p>
    <w:p w14:paraId="20D265CA" w14:textId="77777777" w:rsidR="000940A6" w:rsidRPr="00EA5ADE" w:rsidRDefault="000940A6" w:rsidP="00EA5ADE">
      <w:r w:rsidRPr="00EA5ADE">
        <w:t xml:space="preserve">HSBC Holdings plc (2025) </w:t>
      </w:r>
      <w:r w:rsidRPr="00EA5ADE">
        <w:rPr>
          <w:i/>
          <w:iCs/>
        </w:rPr>
        <w:t>HSBC summit explores global opportunities and challenges</w:t>
      </w:r>
      <w:r w:rsidRPr="00EA5ADE">
        <w:t xml:space="preserve">. Available at: </w:t>
      </w:r>
      <w:hyperlink r:id="rId68" w:tgtFrame="_new" w:history="1">
        <w:r w:rsidRPr="00EA5ADE">
          <w:rPr>
            <w:rStyle w:val="Hyperlink"/>
          </w:rPr>
          <w:t>https://www.hsbc.com/news-and-views/news/hsbc-news-archive/hsbc-summit-explores-global-opportunities-and-challenges</w:t>
        </w:r>
      </w:hyperlink>
    </w:p>
    <w:p w14:paraId="4297C80E" w14:textId="77777777" w:rsidR="000940A6" w:rsidRPr="00EA5ADE" w:rsidRDefault="000940A6" w:rsidP="00EA5ADE">
      <w:r w:rsidRPr="00EA5ADE">
        <w:t xml:space="preserve">HSBC Holdings plc (2025) </w:t>
      </w:r>
      <w:r w:rsidRPr="00EA5ADE">
        <w:rPr>
          <w:i/>
          <w:iCs/>
        </w:rPr>
        <w:t>Our business areas and teams</w:t>
      </w:r>
      <w:r w:rsidRPr="00EA5ADE">
        <w:t xml:space="preserve">. Available at: </w:t>
      </w:r>
      <w:hyperlink r:id="rId69" w:tgtFrame="_new" w:history="1">
        <w:r w:rsidRPr="00EA5ADE">
          <w:rPr>
            <w:rStyle w:val="Hyperlink"/>
          </w:rPr>
          <w:t>https://www.hsbc.com/careers/our-business-areas-and-teams</w:t>
        </w:r>
      </w:hyperlink>
    </w:p>
    <w:p w14:paraId="53E29A79" w14:textId="77777777" w:rsidR="000940A6" w:rsidRPr="00EA5ADE" w:rsidRDefault="000940A6" w:rsidP="00EA5ADE">
      <w:r w:rsidRPr="00EA5ADE">
        <w:t xml:space="preserve">HSBC Holdings plc (2025) </w:t>
      </w:r>
      <w:r w:rsidRPr="00EA5ADE">
        <w:rPr>
          <w:i/>
          <w:iCs/>
        </w:rPr>
        <w:t>Our history</w:t>
      </w:r>
      <w:r w:rsidRPr="00EA5ADE">
        <w:t xml:space="preserve">. Available at: </w:t>
      </w:r>
      <w:hyperlink r:id="rId70" w:tgtFrame="_new" w:history="1">
        <w:r w:rsidRPr="00EA5ADE">
          <w:rPr>
            <w:rStyle w:val="Hyperlink"/>
          </w:rPr>
          <w:t>https://www.hsbc.com/who-we-are/our-strategy-and-values/our-history</w:t>
        </w:r>
      </w:hyperlink>
    </w:p>
    <w:p w14:paraId="374D088C" w14:textId="77777777" w:rsidR="000940A6" w:rsidRPr="00EA5ADE" w:rsidRDefault="000940A6" w:rsidP="00EA5ADE">
      <w:r w:rsidRPr="00EA5ADE">
        <w:t xml:space="preserve">HSBC Holdings plc (2025) </w:t>
      </w:r>
      <w:r w:rsidRPr="00EA5ADE">
        <w:rPr>
          <w:i/>
          <w:iCs/>
        </w:rPr>
        <w:t>Sales and investments</w:t>
      </w:r>
      <w:r w:rsidRPr="00EA5ADE">
        <w:t xml:space="preserve">. Available at: </w:t>
      </w:r>
      <w:hyperlink r:id="rId71" w:tgtFrame="_new" w:history="1">
        <w:r w:rsidRPr="00EA5ADE">
          <w:rPr>
            <w:rStyle w:val="Hyperlink"/>
          </w:rPr>
          <w:t>https://www.hsbc.com/careers/students-and-graduates/university-students-and-graduates/sales-and-investments</w:t>
        </w:r>
      </w:hyperlink>
    </w:p>
    <w:p w14:paraId="214DAE9D" w14:textId="77777777" w:rsidR="000940A6" w:rsidRPr="00EA5ADE" w:rsidRDefault="000940A6" w:rsidP="00EA5ADE">
      <w:r w:rsidRPr="00EA5ADE">
        <w:t xml:space="preserve">HSBC Holdings plc (2025) </w:t>
      </w:r>
      <w:r w:rsidRPr="00EA5ADE">
        <w:rPr>
          <w:i/>
          <w:iCs/>
        </w:rPr>
        <w:t>Working with suppliers</w:t>
      </w:r>
      <w:r w:rsidRPr="00EA5ADE">
        <w:t xml:space="preserve">. Available at: </w:t>
      </w:r>
      <w:hyperlink r:id="rId72" w:tgtFrame="_new" w:history="1">
        <w:r w:rsidRPr="00EA5ADE">
          <w:rPr>
            <w:rStyle w:val="Hyperlink"/>
          </w:rPr>
          <w:t>https://www.hsbc.com/who-we-are/esg-and-responsible-business/working-with-suppliers</w:t>
        </w:r>
      </w:hyperlink>
    </w:p>
    <w:p w14:paraId="3C308903" w14:textId="77777777" w:rsidR="000940A6" w:rsidRPr="00EA5ADE" w:rsidRDefault="000940A6" w:rsidP="00EA5ADE">
      <w:r w:rsidRPr="00EA5ADE">
        <w:t xml:space="preserve">HSBC Innovation Banking (2025) </w:t>
      </w:r>
      <w:r w:rsidRPr="00EA5ADE">
        <w:rPr>
          <w:i/>
          <w:iCs/>
        </w:rPr>
        <w:t>In-space manufacturing</w:t>
      </w:r>
      <w:r w:rsidRPr="00EA5ADE">
        <w:t xml:space="preserve">. Available at: </w:t>
      </w:r>
      <w:hyperlink r:id="rId73" w:tgtFrame="_new" w:history="1">
        <w:r w:rsidRPr="00EA5ADE">
          <w:rPr>
            <w:rStyle w:val="Hyperlink"/>
          </w:rPr>
          <w:t>http://hsbcinnovationbanking.com/gb/en/resources/in-space-manufacturing</w:t>
        </w:r>
      </w:hyperlink>
    </w:p>
    <w:p w14:paraId="2D0518F9" w14:textId="77777777" w:rsidR="000940A6" w:rsidRPr="00EA5ADE" w:rsidRDefault="000940A6" w:rsidP="00EA5ADE">
      <w:r w:rsidRPr="00EA5ADE">
        <w:t xml:space="preserve">HSBC Innovation Banking (2025) </w:t>
      </w:r>
      <w:r w:rsidRPr="00EA5ADE">
        <w:rPr>
          <w:i/>
          <w:iCs/>
        </w:rPr>
        <w:t>Understanding R&amp;D tax credits</w:t>
      </w:r>
      <w:r w:rsidRPr="00EA5ADE">
        <w:t xml:space="preserve">. Available at: </w:t>
      </w:r>
      <w:hyperlink r:id="rId74" w:tgtFrame="_new" w:history="1">
        <w:r w:rsidRPr="00EA5ADE">
          <w:rPr>
            <w:rStyle w:val="Hyperlink"/>
          </w:rPr>
          <w:t>https://www.hsbcinnovationbanking.com/gb/en/resources/understanding-r-and-d-tax-credits</w:t>
        </w:r>
      </w:hyperlink>
    </w:p>
    <w:p w14:paraId="379BDCFA" w14:textId="77777777" w:rsidR="000940A6" w:rsidRPr="00EA5ADE" w:rsidRDefault="000940A6" w:rsidP="00EA5ADE">
      <w:r w:rsidRPr="00EA5ADE">
        <w:t xml:space="preserve">IMARC Group (2025) </w:t>
      </w:r>
      <w:r w:rsidRPr="00EA5ADE">
        <w:rPr>
          <w:i/>
          <w:iCs/>
        </w:rPr>
        <w:t>Brazil investment banking market size, share, trends and forecast by service type, end user, and region, 2026–2034</w:t>
      </w:r>
      <w:r w:rsidRPr="00EA5ADE">
        <w:t xml:space="preserve">. Available at: </w:t>
      </w:r>
      <w:hyperlink r:id="rId75" w:tgtFrame="_new" w:history="1">
        <w:r w:rsidRPr="00EA5ADE">
          <w:rPr>
            <w:rStyle w:val="Hyperlink"/>
          </w:rPr>
          <w:t>https://www.imarcgroup.com/brazil-investment-banking-market</w:t>
        </w:r>
      </w:hyperlink>
    </w:p>
    <w:p w14:paraId="71793876" w14:textId="77777777" w:rsidR="000940A6" w:rsidRPr="00EA5ADE" w:rsidRDefault="000940A6" w:rsidP="00EA5ADE">
      <w:r w:rsidRPr="00EA5ADE">
        <w:t xml:space="preserve">Khan, M.A., Gu, L., Khan, M.A. and Meyer, N. (2021) ‘The effects of national culture on financial sector development: Evidence from emerging and developing economies’, </w:t>
      </w:r>
      <w:r w:rsidRPr="00EA5ADE">
        <w:rPr>
          <w:i/>
          <w:iCs/>
        </w:rPr>
        <w:t>Borsa Istanbul Review</w:t>
      </w:r>
      <w:r w:rsidRPr="00EA5ADE">
        <w:t xml:space="preserve">, 22(5), pp. 1029–1041. Available at: </w:t>
      </w:r>
      <w:hyperlink r:id="rId76" w:history="1">
        <w:r w:rsidRPr="00EA5ADE">
          <w:rPr>
            <w:rStyle w:val="Hyperlink"/>
          </w:rPr>
          <w:t>https://doi.org/10.1016/j.bir.2021.02.003</w:t>
        </w:r>
      </w:hyperlink>
    </w:p>
    <w:p w14:paraId="5277F84F" w14:textId="77777777" w:rsidR="000940A6" w:rsidRPr="00EA5ADE" w:rsidRDefault="000940A6" w:rsidP="00EA5ADE">
      <w:r w:rsidRPr="00EA5ADE">
        <w:t xml:space="preserve">Ko, S.J. (2019) ‘The differing foreign entry mode choices for sales and production subsidiaries of multinational corporations in the manufacturing industry’, </w:t>
      </w:r>
      <w:r w:rsidRPr="00EA5ADE">
        <w:rPr>
          <w:i/>
          <w:iCs/>
        </w:rPr>
        <w:t>Sustainability</w:t>
      </w:r>
      <w:r w:rsidRPr="00EA5ADE">
        <w:t xml:space="preserve">, 11(15), p. 4089. Available at: </w:t>
      </w:r>
      <w:hyperlink r:id="rId77" w:tgtFrame="_new" w:history="1">
        <w:r w:rsidRPr="00EA5ADE">
          <w:rPr>
            <w:rStyle w:val="Hyperlink"/>
          </w:rPr>
          <w:t>https://doi.org/10.3390/su11154089</w:t>
        </w:r>
      </w:hyperlink>
    </w:p>
    <w:p w14:paraId="5F7DC8D6" w14:textId="77777777" w:rsidR="000940A6" w:rsidRPr="00EA5ADE" w:rsidRDefault="000940A6" w:rsidP="00EA5ADE">
      <w:r w:rsidRPr="00EA5ADE">
        <w:t xml:space="preserve">Kocúrek, M. (2024) ‘Impact of ownership–location–internalization (OLI) paradigm and investment development path (IDP) on gravity model of foreign direct investments in Eastern Europe and Central Asia (EECA) region’, </w:t>
      </w:r>
      <w:r w:rsidRPr="00EA5ADE">
        <w:rPr>
          <w:i/>
          <w:iCs/>
        </w:rPr>
        <w:t>Ekonomické rozhľady – Economic Review</w:t>
      </w:r>
      <w:r w:rsidRPr="00EA5ADE">
        <w:t xml:space="preserve">, 53(2), pp. 109–130. Available at: </w:t>
      </w:r>
      <w:hyperlink r:id="rId78" w:history="1">
        <w:r w:rsidRPr="00EA5ADE">
          <w:rPr>
            <w:rStyle w:val="Hyperlink"/>
          </w:rPr>
          <w:t>https://doi.org/10.53465/ER.2644-7185.2024.2.109-130</w:t>
        </w:r>
      </w:hyperlink>
    </w:p>
    <w:p w14:paraId="778EA749" w14:textId="77777777" w:rsidR="000940A6" w:rsidRPr="00EA5ADE" w:rsidRDefault="000940A6" w:rsidP="00EA5ADE">
      <w:r w:rsidRPr="00EA5ADE">
        <w:t xml:space="preserve">Korzeb, Z., Samaniego Medina, R. and Giráldez, P. (2022) ‘Cultural differences and cross-border investment project performance: An analysis of the Polish banking sector’, </w:t>
      </w:r>
      <w:r w:rsidRPr="00EA5ADE">
        <w:rPr>
          <w:i/>
          <w:iCs/>
        </w:rPr>
        <w:t>Economic Research – Ekonomska Istraživanja</w:t>
      </w:r>
      <w:r w:rsidRPr="00EA5ADE">
        <w:t xml:space="preserve">, 35(3), pp. 1–22. Available at: </w:t>
      </w:r>
      <w:hyperlink r:id="rId79" w:history="1">
        <w:r w:rsidRPr="00EA5ADE">
          <w:rPr>
            <w:rStyle w:val="Hyperlink"/>
          </w:rPr>
          <w:t>https://doi.org/10.1080/1331677X.2022.2052332</w:t>
        </w:r>
      </w:hyperlink>
    </w:p>
    <w:p w14:paraId="36B48ACA" w14:textId="77777777" w:rsidR="000940A6" w:rsidRPr="00EA5ADE" w:rsidRDefault="000940A6" w:rsidP="00EA5ADE">
      <w:r w:rsidRPr="00EA5ADE">
        <w:t xml:space="preserve">Marcopolis (2012) ‘HSBC Brazil: global strategy and strategy of HSBC Brazil’, </w:t>
      </w:r>
      <w:r w:rsidRPr="00EA5ADE">
        <w:rPr>
          <w:i/>
          <w:iCs/>
        </w:rPr>
        <w:t>Marcopolis</w:t>
      </w:r>
      <w:r w:rsidRPr="00EA5ADE">
        <w:t xml:space="preserve">, 28 February. Available at: </w:t>
      </w:r>
      <w:hyperlink r:id="rId80" w:tgtFrame="_new" w:history="1">
        <w:r w:rsidRPr="00EA5ADE">
          <w:rPr>
            <w:rStyle w:val="Hyperlink"/>
          </w:rPr>
          <w:t>https://marcopolis.net/hsbc-brazil-global-strategy-and-strategy-of-hsbc-brazil.htm</w:t>
        </w:r>
      </w:hyperlink>
    </w:p>
    <w:p w14:paraId="473D372E" w14:textId="77777777" w:rsidR="000940A6" w:rsidRPr="00EA5ADE" w:rsidRDefault="000940A6" w:rsidP="00EA5ADE">
      <w:r w:rsidRPr="00EA5ADE">
        <w:t xml:space="preserve">Rahareng, S. (2021) ‘The impact of implementing standard operating procedures and supervision on employee performance’, </w:t>
      </w:r>
      <w:r w:rsidRPr="00EA5ADE">
        <w:rPr>
          <w:i/>
          <w:iCs/>
        </w:rPr>
        <w:t>Bongaya Journal for Research in Management</w:t>
      </w:r>
      <w:r w:rsidRPr="00EA5ADE">
        <w:t xml:space="preserve">, 4(1), pp. 26–33. Available at: </w:t>
      </w:r>
      <w:hyperlink r:id="rId81" w:history="1">
        <w:r w:rsidRPr="00EA5ADE">
          <w:rPr>
            <w:rStyle w:val="Hyperlink"/>
          </w:rPr>
          <w:t>https://doi.org/10.37888/bjrm.v4i1.252</w:t>
        </w:r>
      </w:hyperlink>
    </w:p>
    <w:p w14:paraId="127ACAB6" w14:textId="77777777" w:rsidR="000940A6" w:rsidRPr="00EA5ADE" w:rsidRDefault="000940A6" w:rsidP="00EA5ADE">
      <w:r w:rsidRPr="00EA5ADE">
        <w:t xml:space="preserve">Rukmana, F.I. (2023) ‘Implementation of standard operational procedure (SOP) in improving service efficiency in the banking industry’, </w:t>
      </w:r>
      <w:r w:rsidRPr="00EA5ADE">
        <w:rPr>
          <w:i/>
          <w:iCs/>
        </w:rPr>
        <w:t>Journal of Law and Social Policy</w:t>
      </w:r>
      <w:r w:rsidRPr="00EA5ADE">
        <w:t xml:space="preserve">, 1(2). Available at: </w:t>
      </w:r>
      <w:hyperlink r:id="rId82" w:history="1">
        <w:r w:rsidRPr="00EA5ADE">
          <w:rPr>
            <w:rStyle w:val="Hyperlink"/>
          </w:rPr>
          <w:t>https://doi.org/10.46799/jlsp.v1i2.15</w:t>
        </w:r>
      </w:hyperlink>
    </w:p>
    <w:p w14:paraId="0BBF6A48" w14:textId="77777777" w:rsidR="000940A6" w:rsidRPr="00EA5ADE" w:rsidRDefault="000940A6" w:rsidP="00EA5ADE">
      <w:r w:rsidRPr="00EA5ADE">
        <w:t xml:space="preserve">Saleh, N.A. and Al Tuwaijri, N. (2022) ‘Overseas risks leading to business failure in foreign markets: Study case of HSBC in France’, </w:t>
      </w:r>
      <w:r w:rsidRPr="00EA5ADE">
        <w:rPr>
          <w:i/>
          <w:iCs/>
        </w:rPr>
        <w:t>Open Journal of Business and Management</w:t>
      </w:r>
      <w:r w:rsidRPr="00EA5ADE">
        <w:t xml:space="preserve">, 10(5), pp. 2209–2241. Available at: </w:t>
      </w:r>
      <w:hyperlink r:id="rId83" w:history="1">
        <w:r w:rsidRPr="00EA5ADE">
          <w:rPr>
            <w:rStyle w:val="Hyperlink"/>
          </w:rPr>
          <w:t>https://doi.org/10.4236/ojbm.2022.105112</w:t>
        </w:r>
      </w:hyperlink>
    </w:p>
    <w:p w14:paraId="495D0E8B" w14:textId="77777777" w:rsidR="000940A6" w:rsidRPr="00EA5ADE" w:rsidRDefault="000940A6" w:rsidP="00EA5ADE">
      <w:r w:rsidRPr="00EA5ADE">
        <w:t xml:space="preserve">Sulthan, N.S., Jaswadi, J. and Sulistiono, S. (2021) ‘Designing debt payment standard operating procedures in the SMEs retail industry using business process modeling and notation (BPMN): A case study of a retailer in East Java, Indonesia’, </w:t>
      </w:r>
      <w:r w:rsidRPr="00EA5ADE">
        <w:rPr>
          <w:i/>
          <w:iCs/>
        </w:rPr>
        <w:t>Dinasti International Journal of Economics, Finance &amp; Accounting</w:t>
      </w:r>
      <w:r w:rsidRPr="00EA5ADE">
        <w:t xml:space="preserve">, 2(4), pp. 378–386. Available at: </w:t>
      </w:r>
      <w:hyperlink r:id="rId84" w:history="1">
        <w:r w:rsidRPr="00EA5ADE">
          <w:rPr>
            <w:rStyle w:val="Hyperlink"/>
          </w:rPr>
          <w:t>https://doi.org/10.38035/dijefa.v2i4.992</w:t>
        </w:r>
      </w:hyperlink>
    </w:p>
    <w:p w14:paraId="1203C1CA" w14:textId="77777777" w:rsidR="000940A6" w:rsidRPr="00EA5ADE" w:rsidRDefault="000940A6" w:rsidP="00EA5ADE">
      <w:r w:rsidRPr="00EA5ADE">
        <w:t xml:space="preserve">The Asian Banker (2016) ‘HSBC announces completion of sale of its Brazil business’, </w:t>
      </w:r>
      <w:r w:rsidRPr="00EA5ADE">
        <w:rPr>
          <w:i/>
          <w:iCs/>
        </w:rPr>
        <w:t>The Asian Banker</w:t>
      </w:r>
      <w:r w:rsidRPr="00EA5ADE">
        <w:t xml:space="preserve">, 1 July. Available at: </w:t>
      </w:r>
      <w:hyperlink r:id="rId85" w:tgtFrame="_new" w:history="1">
        <w:r w:rsidRPr="00EA5ADE">
          <w:rPr>
            <w:rStyle w:val="Hyperlink"/>
          </w:rPr>
          <w:t>https://www.theasianbanker.com/press-releases/hsbc-announces-completion-of-sale-of-its-brazil-business</w:t>
        </w:r>
      </w:hyperlink>
    </w:p>
    <w:p w14:paraId="352E2D50" w14:textId="77777777" w:rsidR="000940A6" w:rsidRPr="00EA5ADE" w:rsidRDefault="000940A6" w:rsidP="00EA5ADE">
      <w:r w:rsidRPr="00EA5ADE">
        <w:t xml:space="preserve">Unlock LatAm (2025) ‘Navigating the vast Brazilian banking system’, </w:t>
      </w:r>
      <w:r w:rsidRPr="00EA5ADE">
        <w:rPr>
          <w:i/>
          <w:iCs/>
        </w:rPr>
        <w:t>Unlock LatAm</w:t>
      </w:r>
      <w:r w:rsidRPr="00EA5ADE">
        <w:t xml:space="preserve">. Available at: </w:t>
      </w:r>
      <w:hyperlink r:id="rId86" w:tgtFrame="_new" w:history="1">
        <w:r w:rsidRPr="00EA5ADE">
          <w:rPr>
            <w:rStyle w:val="Hyperlink"/>
          </w:rPr>
          <w:t>https://unlocklat.am/blog/navigating-brazilian-banking-system/</w:t>
        </w:r>
      </w:hyperlink>
    </w:p>
    <w:p w14:paraId="478D221D" w14:textId="77777777" w:rsidR="000940A6" w:rsidRPr="00EA5ADE" w:rsidRDefault="000940A6" w:rsidP="00EA5ADE">
      <w:r w:rsidRPr="00EA5ADE">
        <w:t xml:space="preserve">Zhou, Y., Gomes, E. and Vendrell-Herrero, F. (2025) ‘Optimizing international market selection: A dynamic approach integrating export and FDI entry modes’, </w:t>
      </w:r>
      <w:r w:rsidRPr="00EA5ADE">
        <w:rPr>
          <w:i/>
          <w:iCs/>
        </w:rPr>
        <w:t>Thunderbird International Business Review</w:t>
      </w:r>
      <w:r w:rsidRPr="00EA5ADE">
        <w:t xml:space="preserve">. Available at: </w:t>
      </w:r>
      <w:hyperlink r:id="rId87" w:tgtFrame="_new" w:history="1">
        <w:r w:rsidRPr="00EA5ADE">
          <w:rPr>
            <w:rStyle w:val="Hyperlink"/>
          </w:rPr>
          <w:t>https://doi.org/10.1002/tie.70007</w:t>
        </w:r>
      </w:hyperlink>
    </w:p>
    <w:sectPr w:rsidR="000940A6" w:rsidRPr="00EA5ADE">
      <w:footerReference w:type="default" r:id="rId8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ACD19" w14:textId="77777777" w:rsidR="0025275F" w:rsidRDefault="0025275F" w:rsidP="004546CC">
      <w:pPr>
        <w:spacing w:after="0" w:line="240" w:lineRule="auto"/>
      </w:pPr>
      <w:r>
        <w:separator/>
      </w:r>
    </w:p>
  </w:endnote>
  <w:endnote w:type="continuationSeparator" w:id="0">
    <w:p w14:paraId="732E16EA" w14:textId="77777777" w:rsidR="0025275F" w:rsidRDefault="0025275F" w:rsidP="00454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564608"/>
      <w:docPartObj>
        <w:docPartGallery w:val="Page Numbers (Bottom of Page)"/>
        <w:docPartUnique/>
      </w:docPartObj>
    </w:sdtPr>
    <w:sdtEndPr>
      <w:rPr>
        <w:noProof/>
      </w:rPr>
    </w:sdtEndPr>
    <w:sdtContent>
      <w:p w14:paraId="37CB9AF6" w14:textId="625ACDBE" w:rsidR="004546CC" w:rsidRDefault="004546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B2DEC2" w14:textId="77777777" w:rsidR="004546CC" w:rsidRDefault="00454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4565B" w14:textId="77777777" w:rsidR="0025275F" w:rsidRDefault="0025275F" w:rsidP="004546CC">
      <w:pPr>
        <w:spacing w:after="0" w:line="240" w:lineRule="auto"/>
      </w:pPr>
      <w:r>
        <w:separator/>
      </w:r>
    </w:p>
  </w:footnote>
  <w:footnote w:type="continuationSeparator" w:id="0">
    <w:p w14:paraId="5C1145D9" w14:textId="77777777" w:rsidR="0025275F" w:rsidRDefault="0025275F" w:rsidP="004546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AB7A67"/>
    <w:multiLevelType w:val="hybridMultilevel"/>
    <w:tmpl w:val="0A6297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76603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0A6"/>
    <w:rsid w:val="0001785E"/>
    <w:rsid w:val="0004155F"/>
    <w:rsid w:val="00042324"/>
    <w:rsid w:val="00044C24"/>
    <w:rsid w:val="000507E4"/>
    <w:rsid w:val="00051F20"/>
    <w:rsid w:val="000524E1"/>
    <w:rsid w:val="00052563"/>
    <w:rsid w:val="000567D6"/>
    <w:rsid w:val="000602C5"/>
    <w:rsid w:val="00060620"/>
    <w:rsid w:val="0006346B"/>
    <w:rsid w:val="0006425E"/>
    <w:rsid w:val="00067977"/>
    <w:rsid w:val="00067FE2"/>
    <w:rsid w:val="00070DB1"/>
    <w:rsid w:val="00074B61"/>
    <w:rsid w:val="000775E6"/>
    <w:rsid w:val="00077E7D"/>
    <w:rsid w:val="00077EC7"/>
    <w:rsid w:val="000814E6"/>
    <w:rsid w:val="00081B42"/>
    <w:rsid w:val="00083533"/>
    <w:rsid w:val="000940A6"/>
    <w:rsid w:val="000B11B4"/>
    <w:rsid w:val="000B3EBE"/>
    <w:rsid w:val="000B4DFB"/>
    <w:rsid w:val="000C3295"/>
    <w:rsid w:val="000C5369"/>
    <w:rsid w:val="000C594F"/>
    <w:rsid w:val="000C6101"/>
    <w:rsid w:val="000C6AC4"/>
    <w:rsid w:val="000C76AD"/>
    <w:rsid w:val="000D0F97"/>
    <w:rsid w:val="000D545B"/>
    <w:rsid w:val="000E1C9D"/>
    <w:rsid w:val="000E733C"/>
    <w:rsid w:val="001000F0"/>
    <w:rsid w:val="00101ADB"/>
    <w:rsid w:val="00103F3A"/>
    <w:rsid w:val="0010577F"/>
    <w:rsid w:val="001068F3"/>
    <w:rsid w:val="001141F2"/>
    <w:rsid w:val="001154D8"/>
    <w:rsid w:val="00116182"/>
    <w:rsid w:val="0011640B"/>
    <w:rsid w:val="00116C20"/>
    <w:rsid w:val="0012679B"/>
    <w:rsid w:val="0012767A"/>
    <w:rsid w:val="00127E2C"/>
    <w:rsid w:val="00135A3F"/>
    <w:rsid w:val="00135F64"/>
    <w:rsid w:val="00137141"/>
    <w:rsid w:val="00145027"/>
    <w:rsid w:val="001463B0"/>
    <w:rsid w:val="00151644"/>
    <w:rsid w:val="00153E3A"/>
    <w:rsid w:val="00155A3E"/>
    <w:rsid w:val="00175F8C"/>
    <w:rsid w:val="0019164D"/>
    <w:rsid w:val="0019428E"/>
    <w:rsid w:val="00197EAF"/>
    <w:rsid w:val="001A45F2"/>
    <w:rsid w:val="001A6377"/>
    <w:rsid w:val="001B06B6"/>
    <w:rsid w:val="001B737A"/>
    <w:rsid w:val="001B7A79"/>
    <w:rsid w:val="001B7C89"/>
    <w:rsid w:val="001C2132"/>
    <w:rsid w:val="001C2BB1"/>
    <w:rsid w:val="001C45D2"/>
    <w:rsid w:val="001D10F0"/>
    <w:rsid w:val="001D3D77"/>
    <w:rsid w:val="001D7052"/>
    <w:rsid w:val="001D74C6"/>
    <w:rsid w:val="001E2DFC"/>
    <w:rsid w:val="001E493A"/>
    <w:rsid w:val="001E5FBA"/>
    <w:rsid w:val="001E6AF0"/>
    <w:rsid w:val="001F502D"/>
    <w:rsid w:val="00201C44"/>
    <w:rsid w:val="00203F9C"/>
    <w:rsid w:val="002136AF"/>
    <w:rsid w:val="00236A11"/>
    <w:rsid w:val="00237698"/>
    <w:rsid w:val="00250292"/>
    <w:rsid w:val="0025275F"/>
    <w:rsid w:val="002555BF"/>
    <w:rsid w:val="002574A3"/>
    <w:rsid w:val="00262616"/>
    <w:rsid w:val="00263DE2"/>
    <w:rsid w:val="00273471"/>
    <w:rsid w:val="00274BBB"/>
    <w:rsid w:val="0027625E"/>
    <w:rsid w:val="002802EB"/>
    <w:rsid w:val="00280FAC"/>
    <w:rsid w:val="002829E6"/>
    <w:rsid w:val="002830AF"/>
    <w:rsid w:val="002847DC"/>
    <w:rsid w:val="00285D05"/>
    <w:rsid w:val="00285F51"/>
    <w:rsid w:val="0029353C"/>
    <w:rsid w:val="002A0112"/>
    <w:rsid w:val="002A12C6"/>
    <w:rsid w:val="002A3FF2"/>
    <w:rsid w:val="002A7BAE"/>
    <w:rsid w:val="002B0387"/>
    <w:rsid w:val="002B4EDC"/>
    <w:rsid w:val="002B5CBD"/>
    <w:rsid w:val="002D0442"/>
    <w:rsid w:val="002D3164"/>
    <w:rsid w:val="002D5614"/>
    <w:rsid w:val="002E0616"/>
    <w:rsid w:val="002E64C9"/>
    <w:rsid w:val="002F43DE"/>
    <w:rsid w:val="00306ECE"/>
    <w:rsid w:val="00311325"/>
    <w:rsid w:val="003147CA"/>
    <w:rsid w:val="00316D75"/>
    <w:rsid w:val="00321690"/>
    <w:rsid w:val="0032179F"/>
    <w:rsid w:val="00325CA3"/>
    <w:rsid w:val="00331C8B"/>
    <w:rsid w:val="0033396A"/>
    <w:rsid w:val="003349B9"/>
    <w:rsid w:val="003357D3"/>
    <w:rsid w:val="003402D1"/>
    <w:rsid w:val="00343A37"/>
    <w:rsid w:val="00347D92"/>
    <w:rsid w:val="00350B32"/>
    <w:rsid w:val="00360375"/>
    <w:rsid w:val="003666EB"/>
    <w:rsid w:val="003716AB"/>
    <w:rsid w:val="00372AC2"/>
    <w:rsid w:val="00374872"/>
    <w:rsid w:val="00376BD0"/>
    <w:rsid w:val="003772DE"/>
    <w:rsid w:val="003900E1"/>
    <w:rsid w:val="00392F4E"/>
    <w:rsid w:val="00394057"/>
    <w:rsid w:val="00395054"/>
    <w:rsid w:val="00396D18"/>
    <w:rsid w:val="003A073D"/>
    <w:rsid w:val="003A1364"/>
    <w:rsid w:val="003A2D74"/>
    <w:rsid w:val="003A4A22"/>
    <w:rsid w:val="003A4F3C"/>
    <w:rsid w:val="003B0390"/>
    <w:rsid w:val="003B2AD3"/>
    <w:rsid w:val="003C3598"/>
    <w:rsid w:val="003D2E7B"/>
    <w:rsid w:val="003D53A0"/>
    <w:rsid w:val="003D73FC"/>
    <w:rsid w:val="003F2998"/>
    <w:rsid w:val="003F6407"/>
    <w:rsid w:val="003F77CB"/>
    <w:rsid w:val="003F79A3"/>
    <w:rsid w:val="00401DF2"/>
    <w:rsid w:val="004024F7"/>
    <w:rsid w:val="004039F8"/>
    <w:rsid w:val="004126C2"/>
    <w:rsid w:val="00415381"/>
    <w:rsid w:val="004164E8"/>
    <w:rsid w:val="00420141"/>
    <w:rsid w:val="004202C3"/>
    <w:rsid w:val="0042343B"/>
    <w:rsid w:val="004323BE"/>
    <w:rsid w:val="00441FBE"/>
    <w:rsid w:val="00453394"/>
    <w:rsid w:val="004546CC"/>
    <w:rsid w:val="004578A6"/>
    <w:rsid w:val="00485A44"/>
    <w:rsid w:val="0049178E"/>
    <w:rsid w:val="004A0E86"/>
    <w:rsid w:val="004A177B"/>
    <w:rsid w:val="004A2D0D"/>
    <w:rsid w:val="004A6DBA"/>
    <w:rsid w:val="004B6865"/>
    <w:rsid w:val="004C3751"/>
    <w:rsid w:val="004C6B02"/>
    <w:rsid w:val="004C6FC6"/>
    <w:rsid w:val="004D1F88"/>
    <w:rsid w:val="004D2CB0"/>
    <w:rsid w:val="004D7780"/>
    <w:rsid w:val="004E0D72"/>
    <w:rsid w:val="004E1C56"/>
    <w:rsid w:val="004E2EA5"/>
    <w:rsid w:val="004E6156"/>
    <w:rsid w:val="004F344A"/>
    <w:rsid w:val="004F604E"/>
    <w:rsid w:val="005031F2"/>
    <w:rsid w:val="005143AB"/>
    <w:rsid w:val="0051551D"/>
    <w:rsid w:val="00517808"/>
    <w:rsid w:val="005228AC"/>
    <w:rsid w:val="0052379B"/>
    <w:rsid w:val="00523BFA"/>
    <w:rsid w:val="0052410B"/>
    <w:rsid w:val="00524886"/>
    <w:rsid w:val="00525B18"/>
    <w:rsid w:val="005320F5"/>
    <w:rsid w:val="00532A76"/>
    <w:rsid w:val="00536B72"/>
    <w:rsid w:val="00536F00"/>
    <w:rsid w:val="00542373"/>
    <w:rsid w:val="0055063D"/>
    <w:rsid w:val="00553D10"/>
    <w:rsid w:val="00555F8B"/>
    <w:rsid w:val="005616E9"/>
    <w:rsid w:val="0056555E"/>
    <w:rsid w:val="00567831"/>
    <w:rsid w:val="00572E9A"/>
    <w:rsid w:val="0057592B"/>
    <w:rsid w:val="00583A2F"/>
    <w:rsid w:val="00584A53"/>
    <w:rsid w:val="0058623D"/>
    <w:rsid w:val="00586BA8"/>
    <w:rsid w:val="00587A79"/>
    <w:rsid w:val="00587DE9"/>
    <w:rsid w:val="00592B59"/>
    <w:rsid w:val="00592EB5"/>
    <w:rsid w:val="0059676F"/>
    <w:rsid w:val="005A1DE4"/>
    <w:rsid w:val="005A24B7"/>
    <w:rsid w:val="005A2FD7"/>
    <w:rsid w:val="005A6738"/>
    <w:rsid w:val="005B12C1"/>
    <w:rsid w:val="005B6D13"/>
    <w:rsid w:val="005B7B3B"/>
    <w:rsid w:val="005C42C7"/>
    <w:rsid w:val="005C5970"/>
    <w:rsid w:val="005C7BEC"/>
    <w:rsid w:val="005D51F9"/>
    <w:rsid w:val="005D6289"/>
    <w:rsid w:val="005E1361"/>
    <w:rsid w:val="005E5770"/>
    <w:rsid w:val="005E761B"/>
    <w:rsid w:val="005F2A8B"/>
    <w:rsid w:val="005F31D1"/>
    <w:rsid w:val="005F50DA"/>
    <w:rsid w:val="005F641D"/>
    <w:rsid w:val="00601210"/>
    <w:rsid w:val="006027E9"/>
    <w:rsid w:val="00602813"/>
    <w:rsid w:val="006100C4"/>
    <w:rsid w:val="006121E1"/>
    <w:rsid w:val="0061321C"/>
    <w:rsid w:val="00615015"/>
    <w:rsid w:val="0061788C"/>
    <w:rsid w:val="00617ECE"/>
    <w:rsid w:val="00621C86"/>
    <w:rsid w:val="00623042"/>
    <w:rsid w:val="00633399"/>
    <w:rsid w:val="00635CF9"/>
    <w:rsid w:val="00636C09"/>
    <w:rsid w:val="00644AF2"/>
    <w:rsid w:val="00646EF2"/>
    <w:rsid w:val="00652E2E"/>
    <w:rsid w:val="0065695A"/>
    <w:rsid w:val="006605D5"/>
    <w:rsid w:val="00665807"/>
    <w:rsid w:val="00665DAB"/>
    <w:rsid w:val="006671C9"/>
    <w:rsid w:val="006720FE"/>
    <w:rsid w:val="00672692"/>
    <w:rsid w:val="00681EE4"/>
    <w:rsid w:val="00682909"/>
    <w:rsid w:val="00695399"/>
    <w:rsid w:val="00696F6B"/>
    <w:rsid w:val="00697B55"/>
    <w:rsid w:val="006A29D5"/>
    <w:rsid w:val="006A404F"/>
    <w:rsid w:val="006A48BE"/>
    <w:rsid w:val="006A4E45"/>
    <w:rsid w:val="006C28D6"/>
    <w:rsid w:val="006C7E23"/>
    <w:rsid w:val="006D203D"/>
    <w:rsid w:val="006E09BD"/>
    <w:rsid w:val="006E7979"/>
    <w:rsid w:val="006F140B"/>
    <w:rsid w:val="00700631"/>
    <w:rsid w:val="00702AB9"/>
    <w:rsid w:val="00706D00"/>
    <w:rsid w:val="0071109B"/>
    <w:rsid w:val="00716936"/>
    <w:rsid w:val="00731044"/>
    <w:rsid w:val="00736E62"/>
    <w:rsid w:val="00742035"/>
    <w:rsid w:val="00743215"/>
    <w:rsid w:val="00743E98"/>
    <w:rsid w:val="00744452"/>
    <w:rsid w:val="00747742"/>
    <w:rsid w:val="007503D1"/>
    <w:rsid w:val="0075057B"/>
    <w:rsid w:val="00752F59"/>
    <w:rsid w:val="00760463"/>
    <w:rsid w:val="00763CE2"/>
    <w:rsid w:val="00771BEA"/>
    <w:rsid w:val="00773796"/>
    <w:rsid w:val="00774504"/>
    <w:rsid w:val="00775A84"/>
    <w:rsid w:val="0078026F"/>
    <w:rsid w:val="007815E8"/>
    <w:rsid w:val="00784A63"/>
    <w:rsid w:val="00790819"/>
    <w:rsid w:val="007918D2"/>
    <w:rsid w:val="0079261D"/>
    <w:rsid w:val="007A08AF"/>
    <w:rsid w:val="007A521B"/>
    <w:rsid w:val="007A632C"/>
    <w:rsid w:val="007A6D83"/>
    <w:rsid w:val="007A7E1C"/>
    <w:rsid w:val="007B1BDD"/>
    <w:rsid w:val="007B2183"/>
    <w:rsid w:val="007B3502"/>
    <w:rsid w:val="007B4D3E"/>
    <w:rsid w:val="007C2881"/>
    <w:rsid w:val="007D2A7B"/>
    <w:rsid w:val="007D5F65"/>
    <w:rsid w:val="007E0DA7"/>
    <w:rsid w:val="007E1E5C"/>
    <w:rsid w:val="007E313C"/>
    <w:rsid w:val="007E69E8"/>
    <w:rsid w:val="007E6D3B"/>
    <w:rsid w:val="007F1880"/>
    <w:rsid w:val="007F315C"/>
    <w:rsid w:val="007F4369"/>
    <w:rsid w:val="007F571C"/>
    <w:rsid w:val="007F5842"/>
    <w:rsid w:val="0080066E"/>
    <w:rsid w:val="008030E7"/>
    <w:rsid w:val="00804A5C"/>
    <w:rsid w:val="008077F9"/>
    <w:rsid w:val="00811710"/>
    <w:rsid w:val="00817B7D"/>
    <w:rsid w:val="008224A3"/>
    <w:rsid w:val="00823ADE"/>
    <w:rsid w:val="00827191"/>
    <w:rsid w:val="008273D1"/>
    <w:rsid w:val="0083335F"/>
    <w:rsid w:val="00841FB9"/>
    <w:rsid w:val="008437C1"/>
    <w:rsid w:val="00846493"/>
    <w:rsid w:val="00847A62"/>
    <w:rsid w:val="008506BF"/>
    <w:rsid w:val="00854D3B"/>
    <w:rsid w:val="00854DA4"/>
    <w:rsid w:val="008554C3"/>
    <w:rsid w:val="00860ED2"/>
    <w:rsid w:val="00861BE1"/>
    <w:rsid w:val="00866827"/>
    <w:rsid w:val="00866842"/>
    <w:rsid w:val="008677BC"/>
    <w:rsid w:val="00872419"/>
    <w:rsid w:val="008736FF"/>
    <w:rsid w:val="008751C4"/>
    <w:rsid w:val="00875331"/>
    <w:rsid w:val="00887AF3"/>
    <w:rsid w:val="0089010A"/>
    <w:rsid w:val="0089143F"/>
    <w:rsid w:val="00893C2E"/>
    <w:rsid w:val="00895F2B"/>
    <w:rsid w:val="008A1B09"/>
    <w:rsid w:val="008A2AE9"/>
    <w:rsid w:val="008A4418"/>
    <w:rsid w:val="008A5B4B"/>
    <w:rsid w:val="008A7DB9"/>
    <w:rsid w:val="008B065F"/>
    <w:rsid w:val="008B0998"/>
    <w:rsid w:val="008B1907"/>
    <w:rsid w:val="008B5D5C"/>
    <w:rsid w:val="008C7508"/>
    <w:rsid w:val="008D0DED"/>
    <w:rsid w:val="008D427B"/>
    <w:rsid w:val="008D668B"/>
    <w:rsid w:val="008E5E0F"/>
    <w:rsid w:val="008E6142"/>
    <w:rsid w:val="008E6168"/>
    <w:rsid w:val="008F03F6"/>
    <w:rsid w:val="008F121C"/>
    <w:rsid w:val="008F434F"/>
    <w:rsid w:val="008F462A"/>
    <w:rsid w:val="0090069C"/>
    <w:rsid w:val="00901507"/>
    <w:rsid w:val="00902D4A"/>
    <w:rsid w:val="0090382D"/>
    <w:rsid w:val="00904187"/>
    <w:rsid w:val="009054BC"/>
    <w:rsid w:val="00906551"/>
    <w:rsid w:val="00907AF0"/>
    <w:rsid w:val="00907DD8"/>
    <w:rsid w:val="00911E3D"/>
    <w:rsid w:val="0091414F"/>
    <w:rsid w:val="0091428C"/>
    <w:rsid w:val="009145AB"/>
    <w:rsid w:val="00916A59"/>
    <w:rsid w:val="00917476"/>
    <w:rsid w:val="00920A7B"/>
    <w:rsid w:val="00920D42"/>
    <w:rsid w:val="00923D00"/>
    <w:rsid w:val="00925C0F"/>
    <w:rsid w:val="009261D6"/>
    <w:rsid w:val="00927E5F"/>
    <w:rsid w:val="00931222"/>
    <w:rsid w:val="009313FF"/>
    <w:rsid w:val="00933C45"/>
    <w:rsid w:val="009409F6"/>
    <w:rsid w:val="009413E9"/>
    <w:rsid w:val="00945BF5"/>
    <w:rsid w:val="00947331"/>
    <w:rsid w:val="00953837"/>
    <w:rsid w:val="00954D1D"/>
    <w:rsid w:val="00955C89"/>
    <w:rsid w:val="00960B45"/>
    <w:rsid w:val="00961059"/>
    <w:rsid w:val="00961EC2"/>
    <w:rsid w:val="00963FF7"/>
    <w:rsid w:val="0096496A"/>
    <w:rsid w:val="009762D3"/>
    <w:rsid w:val="00984489"/>
    <w:rsid w:val="009854BD"/>
    <w:rsid w:val="00987D2F"/>
    <w:rsid w:val="009950AF"/>
    <w:rsid w:val="009A2C51"/>
    <w:rsid w:val="009A6150"/>
    <w:rsid w:val="009A72B9"/>
    <w:rsid w:val="009B5C0B"/>
    <w:rsid w:val="009C7DA1"/>
    <w:rsid w:val="009D3BBA"/>
    <w:rsid w:val="009E2761"/>
    <w:rsid w:val="009E680D"/>
    <w:rsid w:val="009E6C17"/>
    <w:rsid w:val="009E7164"/>
    <w:rsid w:val="009F4890"/>
    <w:rsid w:val="00A00848"/>
    <w:rsid w:val="00A04428"/>
    <w:rsid w:val="00A102B6"/>
    <w:rsid w:val="00A12C30"/>
    <w:rsid w:val="00A13889"/>
    <w:rsid w:val="00A226B1"/>
    <w:rsid w:val="00A244B1"/>
    <w:rsid w:val="00A305A9"/>
    <w:rsid w:val="00A30F86"/>
    <w:rsid w:val="00A36E16"/>
    <w:rsid w:val="00A37C9F"/>
    <w:rsid w:val="00A42D65"/>
    <w:rsid w:val="00A507D1"/>
    <w:rsid w:val="00A5142D"/>
    <w:rsid w:val="00A5420B"/>
    <w:rsid w:val="00A60688"/>
    <w:rsid w:val="00A61E85"/>
    <w:rsid w:val="00A62F74"/>
    <w:rsid w:val="00A655F2"/>
    <w:rsid w:val="00A70082"/>
    <w:rsid w:val="00A8387F"/>
    <w:rsid w:val="00A85479"/>
    <w:rsid w:val="00A867B5"/>
    <w:rsid w:val="00A90580"/>
    <w:rsid w:val="00A90730"/>
    <w:rsid w:val="00A908D8"/>
    <w:rsid w:val="00A90EC3"/>
    <w:rsid w:val="00A9301E"/>
    <w:rsid w:val="00AA27D6"/>
    <w:rsid w:val="00AA50E0"/>
    <w:rsid w:val="00AA6CD1"/>
    <w:rsid w:val="00AB1C76"/>
    <w:rsid w:val="00AB6EDB"/>
    <w:rsid w:val="00AD02BB"/>
    <w:rsid w:val="00AD0F02"/>
    <w:rsid w:val="00AD5E9F"/>
    <w:rsid w:val="00AE70EF"/>
    <w:rsid w:val="00AF2BC3"/>
    <w:rsid w:val="00AF64BB"/>
    <w:rsid w:val="00B018CC"/>
    <w:rsid w:val="00B035D1"/>
    <w:rsid w:val="00B03FF0"/>
    <w:rsid w:val="00B10BA2"/>
    <w:rsid w:val="00B15306"/>
    <w:rsid w:val="00B230D4"/>
    <w:rsid w:val="00B24B16"/>
    <w:rsid w:val="00B3178F"/>
    <w:rsid w:val="00B31EC4"/>
    <w:rsid w:val="00B341FD"/>
    <w:rsid w:val="00B345BD"/>
    <w:rsid w:val="00B36943"/>
    <w:rsid w:val="00B36D52"/>
    <w:rsid w:val="00B52016"/>
    <w:rsid w:val="00B55055"/>
    <w:rsid w:val="00B64C25"/>
    <w:rsid w:val="00B7135A"/>
    <w:rsid w:val="00B729D2"/>
    <w:rsid w:val="00B743A6"/>
    <w:rsid w:val="00B770AB"/>
    <w:rsid w:val="00B830A7"/>
    <w:rsid w:val="00B91618"/>
    <w:rsid w:val="00B92B9E"/>
    <w:rsid w:val="00B94013"/>
    <w:rsid w:val="00B94B21"/>
    <w:rsid w:val="00B974A5"/>
    <w:rsid w:val="00BA5509"/>
    <w:rsid w:val="00BB2374"/>
    <w:rsid w:val="00BB5574"/>
    <w:rsid w:val="00BC07D3"/>
    <w:rsid w:val="00BC3C92"/>
    <w:rsid w:val="00BC4536"/>
    <w:rsid w:val="00BC47F3"/>
    <w:rsid w:val="00BD63C2"/>
    <w:rsid w:val="00BD7171"/>
    <w:rsid w:val="00BE7C53"/>
    <w:rsid w:val="00BF3FFE"/>
    <w:rsid w:val="00BF4EB7"/>
    <w:rsid w:val="00BF4FAE"/>
    <w:rsid w:val="00BF72EE"/>
    <w:rsid w:val="00C01094"/>
    <w:rsid w:val="00C0516F"/>
    <w:rsid w:val="00C11570"/>
    <w:rsid w:val="00C17FAB"/>
    <w:rsid w:val="00C26D89"/>
    <w:rsid w:val="00C30167"/>
    <w:rsid w:val="00C30BCC"/>
    <w:rsid w:val="00C34988"/>
    <w:rsid w:val="00C35E70"/>
    <w:rsid w:val="00C3617A"/>
    <w:rsid w:val="00C4365E"/>
    <w:rsid w:val="00C43F6B"/>
    <w:rsid w:val="00C45339"/>
    <w:rsid w:val="00C45F96"/>
    <w:rsid w:val="00C51795"/>
    <w:rsid w:val="00C521ED"/>
    <w:rsid w:val="00C56FE2"/>
    <w:rsid w:val="00C62C0E"/>
    <w:rsid w:val="00C630E0"/>
    <w:rsid w:val="00C643AA"/>
    <w:rsid w:val="00C64B2B"/>
    <w:rsid w:val="00C65687"/>
    <w:rsid w:val="00C66B31"/>
    <w:rsid w:val="00C674EB"/>
    <w:rsid w:val="00C71C76"/>
    <w:rsid w:val="00C739C4"/>
    <w:rsid w:val="00C75C8C"/>
    <w:rsid w:val="00C82845"/>
    <w:rsid w:val="00CA3E1F"/>
    <w:rsid w:val="00CA43BE"/>
    <w:rsid w:val="00CB00CD"/>
    <w:rsid w:val="00CB187D"/>
    <w:rsid w:val="00CB63E0"/>
    <w:rsid w:val="00CC1A9C"/>
    <w:rsid w:val="00CC41B2"/>
    <w:rsid w:val="00CD4060"/>
    <w:rsid w:val="00CD6A6C"/>
    <w:rsid w:val="00CE0266"/>
    <w:rsid w:val="00CE3355"/>
    <w:rsid w:val="00CE7878"/>
    <w:rsid w:val="00CF1C17"/>
    <w:rsid w:val="00CF7C32"/>
    <w:rsid w:val="00D00FFD"/>
    <w:rsid w:val="00D02FA0"/>
    <w:rsid w:val="00D038D8"/>
    <w:rsid w:val="00D041F2"/>
    <w:rsid w:val="00D050EB"/>
    <w:rsid w:val="00D067E2"/>
    <w:rsid w:val="00D110C3"/>
    <w:rsid w:val="00D14064"/>
    <w:rsid w:val="00D27503"/>
    <w:rsid w:val="00D32791"/>
    <w:rsid w:val="00D3445E"/>
    <w:rsid w:val="00D35C91"/>
    <w:rsid w:val="00D36816"/>
    <w:rsid w:val="00D40978"/>
    <w:rsid w:val="00D432B6"/>
    <w:rsid w:val="00D4416F"/>
    <w:rsid w:val="00D45578"/>
    <w:rsid w:val="00D46B1E"/>
    <w:rsid w:val="00D5420B"/>
    <w:rsid w:val="00D543EC"/>
    <w:rsid w:val="00D54784"/>
    <w:rsid w:val="00D57CA4"/>
    <w:rsid w:val="00D64273"/>
    <w:rsid w:val="00D672EF"/>
    <w:rsid w:val="00D70A27"/>
    <w:rsid w:val="00D75DF3"/>
    <w:rsid w:val="00D76857"/>
    <w:rsid w:val="00D76E0A"/>
    <w:rsid w:val="00D811CC"/>
    <w:rsid w:val="00D815C8"/>
    <w:rsid w:val="00D948B3"/>
    <w:rsid w:val="00D950A6"/>
    <w:rsid w:val="00D95B19"/>
    <w:rsid w:val="00DA0080"/>
    <w:rsid w:val="00DA1A19"/>
    <w:rsid w:val="00DB1260"/>
    <w:rsid w:val="00DB13CC"/>
    <w:rsid w:val="00DB1774"/>
    <w:rsid w:val="00DB596B"/>
    <w:rsid w:val="00DC0096"/>
    <w:rsid w:val="00DC133A"/>
    <w:rsid w:val="00DC1590"/>
    <w:rsid w:val="00DC59FA"/>
    <w:rsid w:val="00DD0358"/>
    <w:rsid w:val="00DD03DC"/>
    <w:rsid w:val="00DD0F7C"/>
    <w:rsid w:val="00DD3F55"/>
    <w:rsid w:val="00DD78CA"/>
    <w:rsid w:val="00DE2002"/>
    <w:rsid w:val="00DE2873"/>
    <w:rsid w:val="00DE3A8F"/>
    <w:rsid w:val="00DE729B"/>
    <w:rsid w:val="00DF4FC0"/>
    <w:rsid w:val="00E028F5"/>
    <w:rsid w:val="00E07445"/>
    <w:rsid w:val="00E101BF"/>
    <w:rsid w:val="00E11186"/>
    <w:rsid w:val="00E15154"/>
    <w:rsid w:val="00E21F18"/>
    <w:rsid w:val="00E25A60"/>
    <w:rsid w:val="00E27A45"/>
    <w:rsid w:val="00E30834"/>
    <w:rsid w:val="00E335D6"/>
    <w:rsid w:val="00E36FA0"/>
    <w:rsid w:val="00E4068F"/>
    <w:rsid w:val="00E44F53"/>
    <w:rsid w:val="00E4550A"/>
    <w:rsid w:val="00E501D3"/>
    <w:rsid w:val="00E620DA"/>
    <w:rsid w:val="00E63F14"/>
    <w:rsid w:val="00E64A4B"/>
    <w:rsid w:val="00E6584F"/>
    <w:rsid w:val="00E6618A"/>
    <w:rsid w:val="00E6721E"/>
    <w:rsid w:val="00E71495"/>
    <w:rsid w:val="00E75004"/>
    <w:rsid w:val="00E75143"/>
    <w:rsid w:val="00E8121C"/>
    <w:rsid w:val="00E8771E"/>
    <w:rsid w:val="00EA4121"/>
    <w:rsid w:val="00EA5ADE"/>
    <w:rsid w:val="00EA72A5"/>
    <w:rsid w:val="00EB1EE1"/>
    <w:rsid w:val="00EB240A"/>
    <w:rsid w:val="00EB36D3"/>
    <w:rsid w:val="00EC19CC"/>
    <w:rsid w:val="00EC5430"/>
    <w:rsid w:val="00EE32B4"/>
    <w:rsid w:val="00EE4400"/>
    <w:rsid w:val="00EE648B"/>
    <w:rsid w:val="00F00E10"/>
    <w:rsid w:val="00F1310F"/>
    <w:rsid w:val="00F2284C"/>
    <w:rsid w:val="00F2377A"/>
    <w:rsid w:val="00F30E35"/>
    <w:rsid w:val="00F3150E"/>
    <w:rsid w:val="00F31A7B"/>
    <w:rsid w:val="00F4117A"/>
    <w:rsid w:val="00F41949"/>
    <w:rsid w:val="00F46CE0"/>
    <w:rsid w:val="00F47B57"/>
    <w:rsid w:val="00F51480"/>
    <w:rsid w:val="00F55B4A"/>
    <w:rsid w:val="00F663DA"/>
    <w:rsid w:val="00F67672"/>
    <w:rsid w:val="00F7219A"/>
    <w:rsid w:val="00F74767"/>
    <w:rsid w:val="00F77B2C"/>
    <w:rsid w:val="00F81D4C"/>
    <w:rsid w:val="00F91AF7"/>
    <w:rsid w:val="00F95D7C"/>
    <w:rsid w:val="00F96D85"/>
    <w:rsid w:val="00FA24B9"/>
    <w:rsid w:val="00FB579B"/>
    <w:rsid w:val="00FB7959"/>
    <w:rsid w:val="00FB7FDD"/>
    <w:rsid w:val="00FC0CBD"/>
    <w:rsid w:val="00FC2982"/>
    <w:rsid w:val="00FC5C14"/>
    <w:rsid w:val="00FC5ECF"/>
    <w:rsid w:val="00FC6861"/>
    <w:rsid w:val="00FC7FFE"/>
    <w:rsid w:val="00FD06C9"/>
    <w:rsid w:val="00FD0932"/>
    <w:rsid w:val="00FD22B3"/>
    <w:rsid w:val="00FE4417"/>
    <w:rsid w:val="00FF0A75"/>
    <w:rsid w:val="00FF13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5779"/>
  <w15:chartTrackingRefBased/>
  <w15:docId w15:val="{4152ACC0-B014-48FC-AC14-F8DCE7E87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DE2"/>
    <w:pPr>
      <w:spacing w:line="360" w:lineRule="auto"/>
      <w:jc w:val="both"/>
    </w:pPr>
    <w:rPr>
      <w:rFonts w:ascii="Arial" w:hAnsi="Arial"/>
    </w:rPr>
  </w:style>
  <w:style w:type="paragraph" w:styleId="Heading1">
    <w:name w:val="heading 1"/>
    <w:basedOn w:val="Normal"/>
    <w:next w:val="Normal"/>
    <w:link w:val="Heading1Char"/>
    <w:uiPriority w:val="9"/>
    <w:qFormat/>
    <w:rsid w:val="00263DE2"/>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63DE2"/>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546CC"/>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D950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50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5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DE2"/>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63DE2"/>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4546CC"/>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D950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50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5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0A6"/>
    <w:rPr>
      <w:rFonts w:eastAsiaTheme="majorEastAsia" w:cstheme="majorBidi"/>
      <w:color w:val="272727" w:themeColor="text1" w:themeTint="D8"/>
    </w:rPr>
  </w:style>
  <w:style w:type="paragraph" w:styleId="Title">
    <w:name w:val="Title"/>
    <w:basedOn w:val="Normal"/>
    <w:next w:val="Normal"/>
    <w:link w:val="TitleChar"/>
    <w:uiPriority w:val="10"/>
    <w:qFormat/>
    <w:rsid w:val="00D95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0A6"/>
    <w:pPr>
      <w:spacing w:before="160"/>
      <w:jc w:val="center"/>
    </w:pPr>
    <w:rPr>
      <w:i/>
      <w:iCs/>
      <w:color w:val="404040" w:themeColor="text1" w:themeTint="BF"/>
    </w:rPr>
  </w:style>
  <w:style w:type="character" w:customStyle="1" w:styleId="QuoteChar">
    <w:name w:val="Quote Char"/>
    <w:basedOn w:val="DefaultParagraphFont"/>
    <w:link w:val="Quote"/>
    <w:uiPriority w:val="29"/>
    <w:rsid w:val="00D950A6"/>
    <w:rPr>
      <w:i/>
      <w:iCs/>
      <w:color w:val="404040" w:themeColor="text1" w:themeTint="BF"/>
    </w:rPr>
  </w:style>
  <w:style w:type="paragraph" w:styleId="ListParagraph">
    <w:name w:val="List Paragraph"/>
    <w:basedOn w:val="Normal"/>
    <w:uiPriority w:val="34"/>
    <w:qFormat/>
    <w:rsid w:val="00D950A6"/>
    <w:pPr>
      <w:ind w:left="720"/>
      <w:contextualSpacing/>
    </w:pPr>
  </w:style>
  <w:style w:type="character" w:styleId="IntenseEmphasis">
    <w:name w:val="Intense Emphasis"/>
    <w:basedOn w:val="DefaultParagraphFont"/>
    <w:uiPriority w:val="21"/>
    <w:qFormat/>
    <w:rsid w:val="00D950A6"/>
    <w:rPr>
      <w:i/>
      <w:iCs/>
      <w:color w:val="2F5496" w:themeColor="accent1" w:themeShade="BF"/>
    </w:rPr>
  </w:style>
  <w:style w:type="paragraph" w:styleId="IntenseQuote">
    <w:name w:val="Intense Quote"/>
    <w:basedOn w:val="Normal"/>
    <w:next w:val="Normal"/>
    <w:link w:val="IntenseQuoteChar"/>
    <w:uiPriority w:val="30"/>
    <w:qFormat/>
    <w:rsid w:val="00D950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50A6"/>
    <w:rPr>
      <w:i/>
      <w:iCs/>
      <w:color w:val="2F5496" w:themeColor="accent1" w:themeShade="BF"/>
    </w:rPr>
  </w:style>
  <w:style w:type="character" w:styleId="IntenseReference">
    <w:name w:val="Intense Reference"/>
    <w:basedOn w:val="DefaultParagraphFont"/>
    <w:uiPriority w:val="32"/>
    <w:qFormat/>
    <w:rsid w:val="00D950A6"/>
    <w:rPr>
      <w:b/>
      <w:bCs/>
      <w:smallCaps/>
      <w:color w:val="2F5496" w:themeColor="accent1" w:themeShade="BF"/>
      <w:spacing w:val="5"/>
    </w:rPr>
  </w:style>
  <w:style w:type="character" w:styleId="Hyperlink">
    <w:name w:val="Hyperlink"/>
    <w:basedOn w:val="DefaultParagraphFont"/>
    <w:uiPriority w:val="99"/>
    <w:unhideWhenUsed/>
    <w:rsid w:val="00587DE9"/>
    <w:rPr>
      <w:color w:val="0563C1" w:themeColor="hyperlink"/>
      <w:u w:val="single"/>
    </w:rPr>
  </w:style>
  <w:style w:type="character" w:styleId="UnresolvedMention">
    <w:name w:val="Unresolved Mention"/>
    <w:basedOn w:val="DefaultParagraphFont"/>
    <w:uiPriority w:val="99"/>
    <w:semiHidden/>
    <w:unhideWhenUsed/>
    <w:rsid w:val="00587DE9"/>
    <w:rPr>
      <w:color w:val="605E5C"/>
      <w:shd w:val="clear" w:color="auto" w:fill="E1DFDD"/>
    </w:rPr>
  </w:style>
  <w:style w:type="paragraph" w:styleId="Caption">
    <w:name w:val="caption"/>
    <w:basedOn w:val="Normal"/>
    <w:next w:val="Normal"/>
    <w:uiPriority w:val="35"/>
    <w:unhideWhenUsed/>
    <w:qFormat/>
    <w:rsid w:val="0032169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546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6CC"/>
    <w:rPr>
      <w:rFonts w:ascii="Arial" w:hAnsi="Arial"/>
    </w:rPr>
  </w:style>
  <w:style w:type="paragraph" w:styleId="Footer">
    <w:name w:val="footer"/>
    <w:basedOn w:val="Normal"/>
    <w:link w:val="FooterChar"/>
    <w:uiPriority w:val="99"/>
    <w:unhideWhenUsed/>
    <w:rsid w:val="004546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6CC"/>
    <w:rPr>
      <w:rFonts w:ascii="Arial" w:hAnsi="Arial"/>
    </w:rPr>
  </w:style>
  <w:style w:type="paragraph" w:styleId="TOC1">
    <w:name w:val="toc 1"/>
    <w:basedOn w:val="Normal"/>
    <w:next w:val="Normal"/>
    <w:autoRedefine/>
    <w:uiPriority w:val="39"/>
    <w:unhideWhenUsed/>
    <w:rsid w:val="004546CC"/>
    <w:pPr>
      <w:spacing w:after="100"/>
    </w:pPr>
  </w:style>
  <w:style w:type="paragraph" w:styleId="TOC2">
    <w:name w:val="toc 2"/>
    <w:basedOn w:val="Normal"/>
    <w:next w:val="Normal"/>
    <w:autoRedefine/>
    <w:uiPriority w:val="39"/>
    <w:unhideWhenUsed/>
    <w:rsid w:val="005C42C7"/>
    <w:pPr>
      <w:spacing w:after="100"/>
      <w:ind w:left="240"/>
    </w:pPr>
  </w:style>
  <w:style w:type="paragraph" w:styleId="TOC3">
    <w:name w:val="toc 3"/>
    <w:basedOn w:val="Normal"/>
    <w:next w:val="Normal"/>
    <w:autoRedefine/>
    <w:uiPriority w:val="39"/>
    <w:unhideWhenUsed/>
    <w:rsid w:val="005C42C7"/>
    <w:pPr>
      <w:spacing w:after="100"/>
      <w:ind w:left="480"/>
    </w:pPr>
  </w:style>
  <w:style w:type="paragraph" w:styleId="TableofFigures">
    <w:name w:val="table of figures"/>
    <w:basedOn w:val="Normal"/>
    <w:next w:val="Normal"/>
    <w:uiPriority w:val="99"/>
    <w:unhideWhenUsed/>
    <w:rsid w:val="005C42C7"/>
    <w:pPr>
      <w:spacing w:after="0"/>
    </w:pPr>
  </w:style>
  <w:style w:type="table" w:styleId="GridTable4-Accent5">
    <w:name w:val="Grid Table 4 Accent 5"/>
    <w:basedOn w:val="TableNormal"/>
    <w:uiPriority w:val="49"/>
    <w:rsid w:val="002E64C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C30BCC"/>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
    <w:name w:val="Table Grid"/>
    <w:basedOn w:val="TableNormal"/>
    <w:uiPriority w:val="39"/>
    <w:rsid w:val="00D14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jpeg" /><Relationship Id="rId26" Type="http://schemas.openxmlformats.org/officeDocument/2006/relationships/image" Target="media/image19.jpeg" /><Relationship Id="rId39" Type="http://schemas.openxmlformats.org/officeDocument/2006/relationships/image" Target="media/image31.png" /><Relationship Id="rId21" Type="http://schemas.openxmlformats.org/officeDocument/2006/relationships/image" Target="media/image14.png" /><Relationship Id="rId34" Type="http://schemas.openxmlformats.org/officeDocument/2006/relationships/image" Target="media/image26.jpeg" /><Relationship Id="rId42" Type="http://schemas.openxmlformats.org/officeDocument/2006/relationships/image" Target="media/image34.png" /><Relationship Id="rId47" Type="http://schemas.openxmlformats.org/officeDocument/2006/relationships/image" Target="media/image39.png" /><Relationship Id="rId50" Type="http://schemas.openxmlformats.org/officeDocument/2006/relationships/image" Target="media/image42.png" /><Relationship Id="rId55" Type="http://schemas.openxmlformats.org/officeDocument/2006/relationships/hyperlink" Target="https://doi.org/10.3390/su162410932" TargetMode="External" /><Relationship Id="rId63" Type="http://schemas.openxmlformats.org/officeDocument/2006/relationships/hyperlink" Target="https://www.business.hsbc.com.br/en-gb/solutions/exports" TargetMode="External" /><Relationship Id="rId68" Type="http://schemas.openxmlformats.org/officeDocument/2006/relationships/hyperlink" Target="https://www.hsbc.com/news-and-views/news/hsbc-news-archive/hsbc-summit-explores-global-opportunities-and-challenges?utm_source=chatgpt.com" TargetMode="External" /><Relationship Id="rId76" Type="http://schemas.openxmlformats.org/officeDocument/2006/relationships/hyperlink" Target="https://doi.org/10.1016/j.bir.2021.02.003" TargetMode="External" /><Relationship Id="rId84" Type="http://schemas.openxmlformats.org/officeDocument/2006/relationships/hyperlink" Target="https://doi.org/10.38035/dijefa.v2i4.992" TargetMode="External" /><Relationship Id="rId89" Type="http://schemas.openxmlformats.org/officeDocument/2006/relationships/fontTable" Target="fontTable.xml" /><Relationship Id="rId7" Type="http://schemas.openxmlformats.org/officeDocument/2006/relationships/endnotes" Target="endnotes.xml" /><Relationship Id="rId71" Type="http://schemas.openxmlformats.org/officeDocument/2006/relationships/hyperlink" Target="https://www.hsbc.com/careers/students-and-graduates/university-students-and-graduates/sales-and-investments" TargetMode="External" /><Relationship Id="rId2" Type="http://schemas.openxmlformats.org/officeDocument/2006/relationships/numbering" Target="numbering.xml" /><Relationship Id="rId16" Type="http://schemas.openxmlformats.org/officeDocument/2006/relationships/image" Target="media/image9.png" /><Relationship Id="rId29" Type="http://schemas.openxmlformats.org/officeDocument/2006/relationships/image" Target="media/image22.png" /><Relationship Id="rId11" Type="http://schemas.openxmlformats.org/officeDocument/2006/relationships/image" Target="media/image4.png" /><Relationship Id="rId24" Type="http://schemas.openxmlformats.org/officeDocument/2006/relationships/image" Target="media/image17.jpeg" /><Relationship Id="rId32" Type="http://schemas.microsoft.com/office/2007/relationships/hdphoto" Target="media/hdphoto1.wdp" /><Relationship Id="rId37" Type="http://schemas.openxmlformats.org/officeDocument/2006/relationships/image" Target="media/image29.jpeg" /><Relationship Id="rId40" Type="http://schemas.openxmlformats.org/officeDocument/2006/relationships/image" Target="media/image32.png" /><Relationship Id="rId45" Type="http://schemas.openxmlformats.org/officeDocument/2006/relationships/image" Target="media/image37.png" /><Relationship Id="rId53" Type="http://schemas.openxmlformats.org/officeDocument/2006/relationships/hyperlink" Target="https://doi.org/10.35564/jmbe.2025.0019" TargetMode="External" /><Relationship Id="rId58" Type="http://schemas.openxmlformats.org/officeDocument/2006/relationships/hyperlink" Target="https://freedom24.com/ideas/details/14220" TargetMode="External" /><Relationship Id="rId66" Type="http://schemas.openxmlformats.org/officeDocument/2006/relationships/hyperlink" Target="https://www.hsbc.com/careers/our-business-areas-and-teams/group-infrastructure/global-functions" TargetMode="External" /><Relationship Id="rId74" Type="http://schemas.openxmlformats.org/officeDocument/2006/relationships/hyperlink" Target="https://www.hsbcinnovationbanking.com/gb/en/resources/understanding-r-and-d-tax-credits" TargetMode="External" /><Relationship Id="rId79" Type="http://schemas.openxmlformats.org/officeDocument/2006/relationships/hyperlink" Target="https://doi.org/10.1080/1331677X.2022.2052332" TargetMode="External" /><Relationship Id="rId87" Type="http://schemas.openxmlformats.org/officeDocument/2006/relationships/hyperlink" Target="https://doi.org/10.1002/tie.70007" TargetMode="External" /><Relationship Id="rId5" Type="http://schemas.openxmlformats.org/officeDocument/2006/relationships/webSettings" Target="webSettings.xml" /><Relationship Id="rId61" Type="http://schemas.openxmlformats.org/officeDocument/2006/relationships/hyperlink" Target="https://doi.org/10.1016/j.lrp.2023.102342" TargetMode="External" /><Relationship Id="rId82" Type="http://schemas.openxmlformats.org/officeDocument/2006/relationships/hyperlink" Target="https://doi.org/10.46799/jlsp.v1i2.15" TargetMode="External" /><Relationship Id="rId90" Type="http://schemas.openxmlformats.org/officeDocument/2006/relationships/theme" Target="theme/theme1.xml" /><Relationship Id="rId19" Type="http://schemas.openxmlformats.org/officeDocument/2006/relationships/image" Target="media/image12.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jpe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7.png" /><Relationship Id="rId43" Type="http://schemas.openxmlformats.org/officeDocument/2006/relationships/image" Target="media/image35.png" /><Relationship Id="rId48" Type="http://schemas.openxmlformats.org/officeDocument/2006/relationships/image" Target="media/image40.png" /><Relationship Id="rId56" Type="http://schemas.openxmlformats.org/officeDocument/2006/relationships/hyperlink" Target="https://fintechmagazine.com/news/hsbcs-restructure-signals-a-change-in-banking-culture" TargetMode="External" /><Relationship Id="rId64" Type="http://schemas.openxmlformats.org/officeDocument/2006/relationships/hyperlink" Target="https://www.business.hsbc.com.br/en-gb/solutions/global-markets" TargetMode="External" /><Relationship Id="rId69" Type="http://schemas.openxmlformats.org/officeDocument/2006/relationships/hyperlink" Target="https://www.hsbc.com/careers/our-business-areas-and-teams" TargetMode="External" /><Relationship Id="rId77" Type="http://schemas.openxmlformats.org/officeDocument/2006/relationships/hyperlink" Target="https://doi.org/10.3390/su11154089" TargetMode="External" /><Relationship Id="rId8" Type="http://schemas.openxmlformats.org/officeDocument/2006/relationships/image" Target="media/image1.png" /><Relationship Id="rId51" Type="http://schemas.openxmlformats.org/officeDocument/2006/relationships/hyperlink" Target="https://eprints.whiterose.ac.uk/id/eprint/232442/" TargetMode="External" /><Relationship Id="rId72" Type="http://schemas.openxmlformats.org/officeDocument/2006/relationships/hyperlink" Target="https://www.hsbc.com/who-we-are/esg-and-responsible-business/working-with-suppliers" TargetMode="External" /><Relationship Id="rId80" Type="http://schemas.openxmlformats.org/officeDocument/2006/relationships/hyperlink" Target="https://marcopolis.net/hsbc-brazil-global-strategy-and-strategy-of-hsbc-brazil.htm" TargetMode="External" /><Relationship Id="rId85" Type="http://schemas.openxmlformats.org/officeDocument/2006/relationships/hyperlink" Target="https://www.theasianbanker.com/press-releases/hsbc-announces-completion-of-sale-of-its-brazil-business" TargetMode="External" /><Relationship Id="rId3" Type="http://schemas.openxmlformats.org/officeDocument/2006/relationships/styles" Target="styles.xml" /><Relationship Id="rId12" Type="http://schemas.openxmlformats.org/officeDocument/2006/relationships/image" Target="media/image5.jpeg" /><Relationship Id="rId17" Type="http://schemas.openxmlformats.org/officeDocument/2006/relationships/image" Target="media/image10.png" /><Relationship Id="rId25" Type="http://schemas.openxmlformats.org/officeDocument/2006/relationships/image" Target="media/image18.jpeg" /><Relationship Id="rId33" Type="http://schemas.openxmlformats.org/officeDocument/2006/relationships/image" Target="media/image25.png" /><Relationship Id="rId38" Type="http://schemas.openxmlformats.org/officeDocument/2006/relationships/image" Target="media/image30.jpeg" /><Relationship Id="rId46" Type="http://schemas.openxmlformats.org/officeDocument/2006/relationships/image" Target="media/image38.jpeg" /><Relationship Id="rId59" Type="http://schemas.openxmlformats.org/officeDocument/2006/relationships/hyperlink" Target="https://www.investopedia.com/terms/m/multinationalcorporation.asp" TargetMode="External" /><Relationship Id="rId67" Type="http://schemas.openxmlformats.org/officeDocument/2006/relationships/hyperlink" Target="https://www.hsbc.com/careers/our-business-areas-and-teams/group-infrastructure/global-functions" TargetMode="External" /><Relationship Id="rId20" Type="http://schemas.openxmlformats.org/officeDocument/2006/relationships/image" Target="media/image13.png" /><Relationship Id="rId41" Type="http://schemas.openxmlformats.org/officeDocument/2006/relationships/image" Target="media/image33.png" /><Relationship Id="rId54" Type="http://schemas.openxmlformats.org/officeDocument/2006/relationships/hyperlink" Target="https://doi.org/10.19030/jabr.v32i3.9671" TargetMode="External" /><Relationship Id="rId62" Type="http://schemas.openxmlformats.org/officeDocument/2006/relationships/hyperlink" Target="https://www.business.hsbc.lk/en-gb/insights/growing-my-business/how-companies-are-getting-with-the-glocalisation-programme" TargetMode="External" /><Relationship Id="rId70" Type="http://schemas.openxmlformats.org/officeDocument/2006/relationships/hyperlink" Target="https://www.hsbc.com/who-we-are/our-strategy-and-values/our-history?utm_source=chatgpt.com" TargetMode="External" /><Relationship Id="rId75" Type="http://schemas.openxmlformats.org/officeDocument/2006/relationships/hyperlink" Target="https://www.imarcgroup.com/brazil-investment-banking-market" TargetMode="External" /><Relationship Id="rId83" Type="http://schemas.openxmlformats.org/officeDocument/2006/relationships/hyperlink" Target="https://doi.org/10.4236/ojbm.2022.105112" TargetMode="External" /><Relationship Id="rId88"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image" Target="media/image16.gif" /><Relationship Id="rId28" Type="http://schemas.openxmlformats.org/officeDocument/2006/relationships/image" Target="media/image21.jpeg" /><Relationship Id="rId36" Type="http://schemas.openxmlformats.org/officeDocument/2006/relationships/image" Target="media/image28.png" /><Relationship Id="rId49" Type="http://schemas.openxmlformats.org/officeDocument/2006/relationships/image" Target="media/image41.png" /><Relationship Id="rId57" Type="http://schemas.openxmlformats.org/officeDocument/2006/relationships/hyperlink" Target="https://practiceguides.chambers.com/practice-guides/banking-finance-2025/brazil/trends-and-developments" TargetMode="External" /><Relationship Id="rId10" Type="http://schemas.openxmlformats.org/officeDocument/2006/relationships/image" Target="media/image3.png" /><Relationship Id="rId31" Type="http://schemas.openxmlformats.org/officeDocument/2006/relationships/image" Target="media/image24.png" /><Relationship Id="rId44" Type="http://schemas.openxmlformats.org/officeDocument/2006/relationships/image" Target="media/image36.jpeg" /><Relationship Id="rId52" Type="http://schemas.openxmlformats.org/officeDocument/2006/relationships/hyperlink" Target="https://doi.org/10.4236/ojbm.2022.105112" TargetMode="External" /><Relationship Id="rId60" Type="http://schemas.openxmlformats.org/officeDocument/2006/relationships/hyperlink" Target="https://doi.org/10.59324/ejmeb.2025.2(5).06" TargetMode="External" /><Relationship Id="rId65" Type="http://schemas.openxmlformats.org/officeDocument/2006/relationships/hyperlink" Target="https://www.gbm.hsbc.com/en-gb/campaigns/global-research" TargetMode="External" /><Relationship Id="rId73" Type="http://schemas.openxmlformats.org/officeDocument/2006/relationships/hyperlink" Target="http://hsbcinnovationbanking.com/gb/en/resources/in-space-manufacturing" TargetMode="External" /><Relationship Id="rId78" Type="http://schemas.openxmlformats.org/officeDocument/2006/relationships/hyperlink" Target="https://doi.org/10.53465/ER.2644-7185.2024.2.109-130" TargetMode="External" /><Relationship Id="rId81" Type="http://schemas.openxmlformats.org/officeDocument/2006/relationships/hyperlink" Target="https://doi.org/10.37888/bjrm.v4i1.252" TargetMode="External" /><Relationship Id="rId86" Type="http://schemas.openxmlformats.org/officeDocument/2006/relationships/hyperlink" Target="https://unlocklat.am/blog/navigating-brazilian-banking-syste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B71F0A-6953-4F75-B459-FA5BBBA888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9019</Words>
  <Characters>51410</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nidhiradadiya118@gmail.com</cp:lastModifiedBy>
  <cp:revision>2</cp:revision>
  <dcterms:created xsi:type="dcterms:W3CDTF">2025-12-15T06:12:00Z</dcterms:created>
  <dcterms:modified xsi:type="dcterms:W3CDTF">2025-12-15T06:12:00Z</dcterms:modified>
</cp:coreProperties>
</file>