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EFF214" w14:textId="77777777" w:rsidR="0069764F" w:rsidRDefault="0069764F">
      <w:pPr>
        <w:spacing w:after="1200"/>
      </w:pPr>
    </w:p>
    <w:p w14:paraId="1126DE62" w14:textId="77777777" w:rsidR="0069764F" w:rsidRDefault="004664F9">
      <w:pPr>
        <w:spacing w:after="200"/>
        <w:jc w:val="center"/>
      </w:pPr>
      <w:r>
        <w:rPr>
          <w:b/>
          <w:bCs/>
          <w:sz w:val="28"/>
          <w:szCs w:val="28"/>
        </w:rPr>
        <w:t>Barriers and Motivators to Undertaking Physical Activity in Adults Over 70</w:t>
      </w:r>
    </w:p>
    <w:p w14:paraId="1B2E057C" w14:textId="77777777" w:rsidR="0069764F" w:rsidRDefault="004664F9">
      <w:pPr>
        <w:spacing w:after="1200"/>
        <w:jc w:val="center"/>
        <w:rPr>
          <w:i/>
          <w:iCs/>
          <w:sz w:val="24"/>
          <w:szCs w:val="24"/>
        </w:rPr>
      </w:pPr>
      <w:r>
        <w:rPr>
          <w:i/>
          <w:iCs/>
          <w:sz w:val="24"/>
          <w:szCs w:val="24"/>
        </w:rPr>
        <w:t>Individual Report (Component 2)</w:t>
      </w:r>
    </w:p>
    <w:p w14:paraId="123C9CD7" w14:textId="2150FC54" w:rsidR="00740E4D" w:rsidRDefault="00740E4D">
      <w:pPr>
        <w:spacing w:after="1200"/>
        <w:jc w:val="center"/>
      </w:pPr>
      <w:r>
        <w:rPr>
          <w:i/>
          <w:iCs/>
          <w:sz w:val="24"/>
          <w:szCs w:val="24"/>
        </w:rPr>
        <w:t xml:space="preserve">Student Name: </w:t>
      </w:r>
      <w:hyperlink r:id="rId7" w:history="1">
        <w:proofErr w:type="spellStart"/>
        <w:r w:rsidRPr="00740E4D">
          <w:rPr>
            <w:rStyle w:val="Hyperlink"/>
            <w:i/>
            <w:iCs/>
            <w:color w:val="auto"/>
            <w:sz w:val="24"/>
            <w:szCs w:val="24"/>
            <w:u w:val="none"/>
          </w:rPr>
          <w:t>Sofiyka</w:t>
        </w:r>
        <w:proofErr w:type="spellEnd"/>
        <w:r w:rsidRPr="00740E4D">
          <w:rPr>
            <w:rStyle w:val="Hyperlink"/>
            <w:i/>
            <w:iCs/>
            <w:color w:val="auto"/>
            <w:sz w:val="24"/>
            <w:szCs w:val="24"/>
            <w:u w:val="none"/>
          </w:rPr>
          <w:t xml:space="preserve"> Stefanova Ilieva</w:t>
        </w:r>
      </w:hyperlink>
      <w:r>
        <w:rPr>
          <w:i/>
          <w:iCs/>
          <w:sz w:val="24"/>
          <w:szCs w:val="24"/>
        </w:rPr>
        <w:t xml:space="preserve"> - 2526082</w:t>
      </w:r>
    </w:p>
    <w:p w14:paraId="4F951C25" w14:textId="77777777" w:rsidR="0069764F" w:rsidRDefault="004664F9">
      <w:r>
        <w:br w:type="page"/>
      </w:r>
    </w:p>
    <w:p w14:paraId="266596D4" w14:textId="77777777" w:rsidR="0069764F" w:rsidRDefault="004664F9">
      <w:pPr>
        <w:pStyle w:val="Heading1"/>
        <w:spacing w:before="320" w:after="160"/>
      </w:pPr>
      <w:r>
        <w:lastRenderedPageBreak/>
        <w:t>Section 1: Introducing the Research Paper and Topic Development</w:t>
      </w:r>
    </w:p>
    <w:p w14:paraId="2257FF43" w14:textId="77777777" w:rsidR="0069764F" w:rsidRDefault="004664F9">
      <w:pPr>
        <w:pStyle w:val="Heading2"/>
        <w:spacing w:before="240" w:after="120"/>
      </w:pPr>
      <w:r>
        <w:t>1.1 Paper Details (Title, Author(s) and Year of Publication)</w:t>
      </w:r>
    </w:p>
    <w:p w14:paraId="24E86251" w14:textId="56A8BB54" w:rsidR="0069764F" w:rsidRDefault="004664F9">
      <w:pPr>
        <w:spacing w:after="200" w:line="360" w:lineRule="auto"/>
      </w:pPr>
      <w:r>
        <w:t xml:space="preserve">This report examines a paper entitled 'Barriers and Motivators to Undertaking Physical Activity in Adults Over 70 </w:t>
      </w:r>
      <w:r w:rsidR="00740E4D">
        <w:t xml:space="preserve">- </w:t>
      </w:r>
      <w:r>
        <w:t xml:space="preserve">A Systematic Review of the Quantitative Literature', written by Kilgour, Rutherford, Higson, Meredith, McNiff, Mitchell, </w:t>
      </w:r>
      <w:proofErr w:type="spellStart"/>
      <w:r>
        <w:t>Wijayendran</w:t>
      </w:r>
      <w:proofErr w:type="spellEnd"/>
      <w:r>
        <w:t>, Lim and Shenkin, published in 2024 in Age and Ageing.</w:t>
      </w:r>
    </w:p>
    <w:p w14:paraId="02108104" w14:textId="77777777" w:rsidR="0069764F" w:rsidRDefault="004664F9">
      <w:pPr>
        <w:pStyle w:val="Heading2"/>
        <w:spacing w:before="240" w:after="120"/>
      </w:pPr>
      <w:r>
        <w:t>1.2 Main Topic or Problem Explored in the Paper</w:t>
      </w:r>
    </w:p>
    <w:p w14:paraId="4E3223C9" w14:textId="77777777" w:rsidR="0069764F" w:rsidRDefault="004664F9">
      <w:pPr>
        <w:spacing w:after="200" w:line="360" w:lineRule="auto"/>
      </w:pPr>
      <w:r>
        <w:t xml:space="preserve">The paper brings together and reviews existing quantitative research on what stops, and what encourages, adults aged 70 and over from taking part in physical activity. Although physical activity is known to reduce falls, frailty, cardiovascular disease and hospital admissions in older people, most older adults do not meet recommended activity guidelines. Rather than collecting brand-new data from participants, the researchers systematically searched and combined the findings of 37 previously published quantitative studies, using a recognised framework – the socioecological model – to organise barriers and motivators into individual, social and environmental categories. Their aim was to build a clearer, more complete picture of the evidence than any single study could provide, </w:t>
      </w:r>
      <w:proofErr w:type="gramStart"/>
      <w:r>
        <w:t>in order to</w:t>
      </w:r>
      <w:proofErr w:type="gramEnd"/>
      <w:r>
        <w:t xml:space="preserve"> inform future policy and practice.</w:t>
      </w:r>
    </w:p>
    <w:p w14:paraId="7493ABBD" w14:textId="77777777" w:rsidR="0069764F" w:rsidRDefault="004664F9">
      <w:pPr>
        <w:pStyle w:val="Heading2"/>
        <w:spacing w:before="240" w:after="120"/>
      </w:pPr>
      <w:r>
        <w:t>1.3 Who Is the Research About?</w:t>
      </w:r>
    </w:p>
    <w:p w14:paraId="60305AB5" w14:textId="77777777" w:rsidR="0069764F" w:rsidRDefault="004664F9">
      <w:pPr>
        <w:spacing w:after="200" w:line="360" w:lineRule="auto"/>
      </w:pPr>
      <w:r>
        <w:t>The research is about community-dwelling adults aged 70 and over, drawn from 37 combined studies conducted across several countries, including the UK, Finland, the USA and Australia, totalling over 26,000 participants. Studies of care home residents, people with cognitive impairment, or those with a specific disease group were excluded, so that the review focused specifically on generally healthy, independently living older adults. The researchers focused on this age group because inactivity and its associated health risks become increasingly common in the over-70 population.</w:t>
      </w:r>
    </w:p>
    <w:p w14:paraId="3A14C512" w14:textId="77777777" w:rsidR="0069764F" w:rsidRDefault="004664F9">
      <w:pPr>
        <w:pStyle w:val="Heading2"/>
        <w:spacing w:before="240" w:after="120"/>
      </w:pPr>
      <w:r>
        <w:t>1.4 Why Is This Topic Important in UK Health and Social Care?</w:t>
      </w:r>
    </w:p>
    <w:p w14:paraId="49D90BEB" w14:textId="77777777" w:rsidR="0069764F" w:rsidRDefault="004664F9">
      <w:pPr>
        <w:spacing w:after="200" w:line="360" w:lineRule="auto"/>
      </w:pPr>
      <w:r>
        <w:t xml:space="preserve">This topic is important in the UK health and social care context because the population aged over 70 is growing substantially, and physical inactivity places a considerable burden on both the NHS and social care services through increased falls, frailty and long-term conditions. The Department of Health and Social Care (2019) recommends that older adults undertake at least 150 minutes of moderate activity per week, alongside strength and balance exercises, yet uptake remains low. Understanding the specific barriers and </w:t>
      </w:r>
      <w:r>
        <w:lastRenderedPageBreak/>
        <w:t>motivators affecting this age group can help health and social care services design more effective, targeted approaches to promoting activity and independence in later life.</w:t>
      </w:r>
    </w:p>
    <w:p w14:paraId="26AB220B" w14:textId="77777777" w:rsidR="0069764F" w:rsidRDefault="004664F9">
      <w:pPr>
        <w:pStyle w:val="Heading1"/>
        <w:spacing w:before="320" w:after="160"/>
      </w:pPr>
      <w:r>
        <w:t>Section 2: Understanding the Purpose and Research Question</w:t>
      </w:r>
    </w:p>
    <w:p w14:paraId="0E45DA83" w14:textId="77777777" w:rsidR="0069764F" w:rsidRDefault="004664F9">
      <w:pPr>
        <w:pStyle w:val="Heading2"/>
        <w:spacing w:before="240" w:after="120"/>
      </w:pPr>
      <w:r>
        <w:t>2.1 Research Question(s) or Objectives</w:t>
      </w:r>
    </w:p>
    <w:p w14:paraId="28DC9740" w14:textId="77777777" w:rsidR="0069764F" w:rsidRDefault="004664F9">
      <w:pPr>
        <w:spacing w:after="200" w:line="360" w:lineRule="auto"/>
      </w:pPr>
      <w:r>
        <w:t xml:space="preserve">The researchers aimed to examine the quantitative literature on barriers and motivators to physical activity specifically in adults aged 70 and over, a group that had previously been under-represented in earlier reviews, which often combined younger and older adults or focused on specific diseases. Using a systematic review methodology, they sought to identify the </w:t>
      </w:r>
      <w:proofErr w:type="gramStart"/>
      <w:r>
        <w:t>most commonly reported</w:t>
      </w:r>
      <w:proofErr w:type="gramEnd"/>
      <w:r>
        <w:t xml:space="preserve"> barriers, such as poor health or fear of falling, and motivators, such as social support or access to facilities, and to explore how these varied by gender, age, functional ability and geographical location.</w:t>
      </w:r>
    </w:p>
    <w:p w14:paraId="31A34CEA" w14:textId="77777777" w:rsidR="0069764F" w:rsidRDefault="004664F9">
      <w:pPr>
        <w:pStyle w:val="Heading1"/>
        <w:spacing w:before="320" w:after="160"/>
      </w:pPr>
      <w:r>
        <w:t>Section 3: Understanding the Research Methods</w:t>
      </w:r>
    </w:p>
    <w:p w14:paraId="60CA7E9A" w14:textId="77777777" w:rsidR="0069764F" w:rsidRDefault="004664F9">
      <w:pPr>
        <w:pStyle w:val="Heading2"/>
        <w:spacing w:before="240" w:after="120"/>
      </w:pPr>
      <w:r>
        <w:t>3.1 Overview of Quantitative, Qualitative, and Mixed-Methods Research</w:t>
      </w:r>
    </w:p>
    <w:p w14:paraId="5367D2BB" w14:textId="77777777" w:rsidR="0069764F" w:rsidRDefault="004664F9">
      <w:pPr>
        <w:spacing w:after="200" w:line="360" w:lineRule="auto"/>
      </w:pPr>
      <w:r>
        <w:t xml:space="preserve">Research is commonly categorised as quantitative, qualitative, or </w:t>
      </w:r>
      <w:proofErr w:type="gramStart"/>
      <w:r>
        <w:t>mixed-methods</w:t>
      </w:r>
      <w:proofErr w:type="gramEnd"/>
      <w:r>
        <w:t xml:space="preserve">. Quantitative research gathers numerical data, for example through surveys, physical measurements or existing statistics, and uses statistical analysis to test relationships or compare groups (Bryman, 2016). It is well suited to questions about how frequently something occurs or whether </w:t>
      </w:r>
      <w:proofErr w:type="gramStart"/>
      <w:r>
        <w:t>particular factors</w:t>
      </w:r>
      <w:proofErr w:type="gramEnd"/>
      <w:r>
        <w:t xml:space="preserve"> are measurably linked to an outcome, such as how many older adults report a particular barrier to exercise.</w:t>
      </w:r>
    </w:p>
    <w:p w14:paraId="510C2247" w14:textId="77777777" w:rsidR="0069764F" w:rsidRDefault="004664F9">
      <w:pPr>
        <w:spacing w:after="200" w:line="360" w:lineRule="auto"/>
      </w:pPr>
      <w:r>
        <w:t>Qualitative research instead explores people's experiences, views and the meaning they attach to events, typically through interviews, focus groups or observation, with data analysed thematically rather than numerically (Creswell and Creswell, 2018). It is useful for understanding the reasons behind behaviour in greater depth, such as how an older adult personally experiences fear of falling.</w:t>
      </w:r>
    </w:p>
    <w:p w14:paraId="598BEF88" w14:textId="77777777" w:rsidR="0069764F" w:rsidRDefault="004664F9">
      <w:pPr>
        <w:spacing w:after="200" w:line="360" w:lineRule="auto"/>
      </w:pPr>
      <w:r>
        <w:t>Mixed-methods research combines both approaches, gathering and analysing numerical and narrative data within the same study to give a fuller picture of a topic (Creswell and Creswell, 2018); for example, combining survey data on activity levels with interviews exploring personal motivations. In addition to these three primary research designs, a systematic review is a form of secondary research that synthesises the findings of multiple existing primary studies on a topic, rather than collecting new data directly from participants (Polit and Beck, 2017).</w:t>
      </w:r>
    </w:p>
    <w:p w14:paraId="5F4D8C04" w14:textId="77777777" w:rsidR="00740E4D" w:rsidRDefault="00740E4D">
      <w:pPr>
        <w:spacing w:after="200" w:line="360" w:lineRule="auto"/>
      </w:pPr>
    </w:p>
    <w:p w14:paraId="68712A44" w14:textId="77777777" w:rsidR="0069764F" w:rsidRDefault="004664F9">
      <w:pPr>
        <w:pStyle w:val="Heading2"/>
        <w:spacing w:before="240" w:after="120"/>
      </w:pPr>
      <w:r>
        <w:lastRenderedPageBreak/>
        <w:t>3.2 Research Methodology Used in Your Chosen Paper and Why</w:t>
      </w:r>
    </w:p>
    <w:p w14:paraId="586F6831" w14:textId="77777777" w:rsidR="0069764F" w:rsidRDefault="004664F9">
      <w:pPr>
        <w:spacing w:after="200" w:line="360" w:lineRule="auto"/>
      </w:pPr>
      <w:r>
        <w:t>The chosen paper used a quantitative systematic review methodology. Rather than collecting new data from participants, the authors systematically searched six academic databases for existing observational studies and baseline data from randomised controlled trials examining barriers and motivators to physical activity in adults aged 70 and over, following PRISMA reporting guidelines (Kilgour et al., 2024). From an initial 18,358 records, 37 studies were selected for inclusion after screening and full-text review. Because the included studies used different measures and reporting formats, a statistical meta-analysis was not possible; instead, the authors conducted a narrative synthesis, organising findings using the socioecological model to distinguish intrapersonal, interpersonal and environmental barriers and motivators.</w:t>
      </w:r>
    </w:p>
    <w:p w14:paraId="44FCF272" w14:textId="77777777" w:rsidR="0069764F" w:rsidRDefault="004664F9">
      <w:pPr>
        <w:spacing w:after="200" w:line="360" w:lineRule="auto"/>
      </w:pPr>
      <w:r>
        <w:t xml:space="preserve">This approach suited the research well because the aim was to build a comprehensive, higher-level picture of the evidence across many different studies and countries, rather than to explore one specific population in depth. A systematic review allowed the researchers to identify which barriers and motivators were most consistently reported across a </w:t>
      </w:r>
      <w:proofErr w:type="gramStart"/>
      <w:r>
        <w:t>large combined</w:t>
      </w:r>
      <w:proofErr w:type="gramEnd"/>
      <w:r>
        <w:t xml:space="preserve"> sample of over 26,000 participants, giving more confidence in the findings than any single quantitative study could provide, while a formal quality (risk of bias) assessment using the ROBANS tool helped ensure the included studies were sufficiently reliable (Kilgour et al., 2024).</w:t>
      </w:r>
    </w:p>
    <w:p w14:paraId="36EDE6AB" w14:textId="77777777" w:rsidR="0069764F" w:rsidRDefault="004664F9">
      <w:pPr>
        <w:pStyle w:val="Heading2"/>
        <w:spacing w:before="240" w:after="120"/>
      </w:pPr>
      <w:r>
        <w:t>3.3 Primary and Secondary Data: Definitions, Differences, and Application to Your Paper</w:t>
      </w:r>
    </w:p>
    <w:p w14:paraId="5FB6ED22" w14:textId="77777777" w:rsidR="0069764F" w:rsidRDefault="004664F9">
      <w:pPr>
        <w:spacing w:after="200" w:line="360" w:lineRule="auto"/>
      </w:pPr>
      <w:r>
        <w:t>Primary data is new information collected directly by researchers for a specific study, such as through surveys or physical measurements taken from participants, whereas secondary data is existing information, originally collected by someone else, often for a different purpose, which is reused by later researchers (Polit and Beck, 2017).</w:t>
      </w:r>
    </w:p>
    <w:p w14:paraId="07B42857" w14:textId="77777777" w:rsidR="0069764F" w:rsidRDefault="004664F9">
      <w:pPr>
        <w:spacing w:after="200" w:line="360" w:lineRule="auto"/>
      </w:pPr>
      <w:r>
        <w:t xml:space="preserve">Within the 37 individual studies included in this review, the original researchers collected primary data directly from older-adult participants, mainly through self-report questionnaires, but also through accelerometers and physical performance tests such as the Short Physical Performance Battery (Kilgour et al., 2024). However, from the perspective of this specific paper, </w:t>
      </w:r>
      <w:proofErr w:type="gramStart"/>
      <w:r>
        <w:t>all of</w:t>
      </w:r>
      <w:proofErr w:type="gramEnd"/>
      <w:r>
        <w:t xml:space="preserve"> the data used were secondary: the review authors did not collect any new data themselves, but instead systematically identified, extracted and synthesised results that had already been published by other research teams. Data extraction was carried out independently by two of four reviewers per study, with disagreements resolved by a senior author, and the extracted results were then organised thematically using the socioecological </w:t>
      </w:r>
      <w:r>
        <w:lastRenderedPageBreak/>
        <w:t>model and summarised narratively, since the studies were too varied in design and measures to be statistically combined (Kilgour et al., 2024).</w:t>
      </w:r>
    </w:p>
    <w:p w14:paraId="257C562B" w14:textId="77777777" w:rsidR="0069764F" w:rsidRDefault="004664F9">
      <w:pPr>
        <w:pStyle w:val="Heading1"/>
        <w:spacing w:before="320" w:after="160"/>
      </w:pPr>
      <w:r>
        <w:t>Section 4: Conclusion</w:t>
      </w:r>
    </w:p>
    <w:p w14:paraId="2E026AD1" w14:textId="77777777" w:rsidR="0069764F" w:rsidRDefault="004664F9">
      <w:pPr>
        <w:spacing w:after="200" w:line="360" w:lineRule="auto"/>
      </w:pPr>
      <w:r>
        <w:t xml:space="preserve">This report has examined Kilgour et al.'s (2024) systematic review of quantitative literature on barriers and motivators to physical activity in adults aged 70 and over. The paper synthesised findings from 37 existing studies, identifying concerns about health and fitness, fear of falling, lack of motivation, and environmental barriers as the </w:t>
      </w:r>
      <w:proofErr w:type="gramStart"/>
      <w:r>
        <w:t>most commonly reported</w:t>
      </w:r>
      <w:proofErr w:type="gramEnd"/>
      <w:r>
        <w:t xml:space="preserve"> obstacles, alongside motivators such as family and social support, and access to outdoor facilities. This topic matters in UK health and social care because physical inactivity in later life places significant pressure on NHS and social care services through falls, frailty and long-term conditions (Department of Health and Social Care, 2019). The researchers aimed to build a more complete picture of this evidence than any single study could provide, using a systematic review methodology and narrative synthesis rather than new data collection. This meant the data used in the paper were entirely secondary, drawn from previously published primary research. Working through this report has helped me understand how systematic reviews differ from primary research studies, and why researchers might choose to synthesise existing evidence rather than collect new data, particularly when the aim is to identify patterns across a large and varied body of literature. It has also deepened my understanding of the distinction between primary and secondary data, and how quantitative approaches can be used at different scales, from a single questionnaire to a review combining tens of thousands of participants. These skills will support my ability to critically appraise evidence in future studies and practice.</w:t>
      </w:r>
    </w:p>
    <w:p w14:paraId="67B466B3" w14:textId="0ED4DC36" w:rsidR="00740E4D" w:rsidRDefault="00740E4D" w:rsidP="00740E4D">
      <w:r>
        <w:br w:type="page"/>
      </w:r>
    </w:p>
    <w:p w14:paraId="2DC89A6F" w14:textId="77777777" w:rsidR="0069764F" w:rsidRDefault="004664F9">
      <w:pPr>
        <w:pStyle w:val="Heading1"/>
        <w:spacing w:before="320" w:after="160"/>
      </w:pPr>
      <w:r>
        <w:lastRenderedPageBreak/>
        <w:t>References</w:t>
      </w:r>
    </w:p>
    <w:p w14:paraId="03D96B3F" w14:textId="77777777" w:rsidR="0069764F" w:rsidRDefault="004664F9">
      <w:pPr>
        <w:spacing w:after="160" w:line="360" w:lineRule="auto"/>
        <w:ind w:left="720" w:hanging="720"/>
      </w:pPr>
      <w:r>
        <w:t xml:space="preserve">Bryman, A. (2016) Social Research Methods. 5th </w:t>
      </w:r>
      <w:proofErr w:type="spellStart"/>
      <w:r>
        <w:t>edn</w:t>
      </w:r>
      <w:proofErr w:type="spellEnd"/>
      <w:r>
        <w:t>. Oxford: Oxford University Press.</w:t>
      </w:r>
    </w:p>
    <w:p w14:paraId="46F3F7F9" w14:textId="77777777" w:rsidR="0069764F" w:rsidRDefault="004664F9">
      <w:pPr>
        <w:spacing w:after="160" w:line="360" w:lineRule="auto"/>
        <w:ind w:left="720" w:hanging="720"/>
      </w:pPr>
      <w:r>
        <w:t xml:space="preserve">Creswell, J.W. and Creswell, J.D. (2018) Research Design: Qualitative, Quantitative, and Mixed Methods Approaches. 5th </w:t>
      </w:r>
      <w:proofErr w:type="spellStart"/>
      <w:r>
        <w:t>edn</w:t>
      </w:r>
      <w:proofErr w:type="spellEnd"/>
      <w:r>
        <w:t>. Thousand Oaks, CA: Sage.</w:t>
      </w:r>
    </w:p>
    <w:p w14:paraId="187CEC1E" w14:textId="77777777" w:rsidR="0069764F" w:rsidRDefault="004664F9">
      <w:pPr>
        <w:spacing w:after="160" w:line="360" w:lineRule="auto"/>
        <w:ind w:left="720" w:hanging="720"/>
      </w:pPr>
      <w:r>
        <w:t>Department of Health and Social Care (2019) UK Chief Medical Officers' Physical Activity Guidelines. London: Department of Health and Social Care.</w:t>
      </w:r>
    </w:p>
    <w:p w14:paraId="0B7AFA84" w14:textId="77777777" w:rsidR="0069764F" w:rsidRDefault="004664F9">
      <w:pPr>
        <w:spacing w:after="160" w:line="360" w:lineRule="auto"/>
        <w:ind w:left="720" w:hanging="720"/>
      </w:pPr>
      <w:r>
        <w:t xml:space="preserve">Kilgour, A.H.M., Rutherford, M., Higson, J., Meredith, S.J., McNiff, J., Mitchell, S., </w:t>
      </w:r>
      <w:proofErr w:type="spellStart"/>
      <w:r>
        <w:t>Wijayendran</w:t>
      </w:r>
      <w:proofErr w:type="spellEnd"/>
      <w:r>
        <w:t>, A., Lim, S.E.R. and Shenkin, S.D. (2024) 'Barriers and motivators to undertaking physical activity in adults over 70 – a systematic review of the quantitative literature', Age and Ageing, 53(4), afae080.</w:t>
      </w:r>
    </w:p>
    <w:p w14:paraId="07E9559A" w14:textId="77777777" w:rsidR="0069764F" w:rsidRDefault="004664F9">
      <w:pPr>
        <w:spacing w:after="160" w:line="360" w:lineRule="auto"/>
        <w:ind w:left="720" w:hanging="720"/>
      </w:pPr>
      <w:r>
        <w:t xml:space="preserve">Polit, D.F. and Beck, C.T. (2017) Nursing Research: Generating and Assessing Evidence for Nursing Practice. 10th </w:t>
      </w:r>
      <w:proofErr w:type="spellStart"/>
      <w:r>
        <w:t>edn</w:t>
      </w:r>
      <w:proofErr w:type="spellEnd"/>
      <w:r>
        <w:t>. Philadelphia: Wolters Kluwer.</w:t>
      </w:r>
    </w:p>
    <w:p w14:paraId="1D85988A" w14:textId="77777777" w:rsidR="0069764F" w:rsidRDefault="004664F9">
      <w:pPr>
        <w:spacing w:after="160" w:line="360" w:lineRule="auto"/>
        <w:ind w:left="720" w:hanging="720"/>
      </w:pPr>
      <w:r>
        <w:t xml:space="preserve">Sherrington, C., </w:t>
      </w:r>
      <w:proofErr w:type="spellStart"/>
      <w:r>
        <w:t>Fairhall</w:t>
      </w:r>
      <w:proofErr w:type="spellEnd"/>
      <w:r>
        <w:t xml:space="preserve">, N., Kwok, W., Wallbank, G., Tiedemann, A., Michaleff, Z.A., Ng, C.A.C.M. and Bauman, A. (2020) 'Evidence on physical activity and falls prevention for people aged 65+ years: systematic review to inform the WHO guidelines on physical activity and sedentary behaviour', International Journal of </w:t>
      </w:r>
      <w:proofErr w:type="spellStart"/>
      <w:r>
        <w:t>Behavioral</w:t>
      </w:r>
      <w:proofErr w:type="spellEnd"/>
      <w:r>
        <w:t xml:space="preserve"> Nutrition and Physical Activity, 17, p. 144.</w:t>
      </w:r>
    </w:p>
    <w:sectPr w:rsidR="0069764F">
      <w:footerReference w:type="default" r:id="rId8"/>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02E482" w14:textId="77777777" w:rsidR="007665BD" w:rsidRDefault="007665BD">
      <w:r>
        <w:separator/>
      </w:r>
    </w:p>
  </w:endnote>
  <w:endnote w:type="continuationSeparator" w:id="0">
    <w:p w14:paraId="63FCA33C" w14:textId="77777777" w:rsidR="007665BD" w:rsidRDefault="007665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5470BD" w14:textId="77777777" w:rsidR="0069764F" w:rsidRDefault="004664F9">
    <w:pPr>
      <w:jc w:val="center"/>
    </w:pPr>
    <w:r>
      <w:fldChar w:fldCharType="begin"/>
    </w:r>
    <w:r>
      <w:instrText>PAGE</w:instrText>
    </w:r>
    <w:r>
      <w:fldChar w:fldCharType="separate"/>
    </w:r>
    <w:r w:rsidR="00A171FB">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9A597B" w14:textId="77777777" w:rsidR="007665BD" w:rsidRDefault="007665BD">
      <w:r>
        <w:separator/>
      </w:r>
    </w:p>
  </w:footnote>
  <w:footnote w:type="continuationSeparator" w:id="0">
    <w:p w14:paraId="0940C1C7" w14:textId="77777777" w:rsidR="007665BD" w:rsidRDefault="007665B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A817B1B"/>
    <w:multiLevelType w:val="hybridMultilevel"/>
    <w:tmpl w:val="116005AE"/>
    <w:lvl w:ilvl="0" w:tplc="561286BE">
      <w:start w:val="1"/>
      <w:numFmt w:val="bullet"/>
      <w:lvlText w:val="●"/>
      <w:lvlJc w:val="left"/>
      <w:pPr>
        <w:ind w:left="720" w:hanging="360"/>
      </w:pPr>
    </w:lvl>
    <w:lvl w:ilvl="1" w:tplc="91E237EA">
      <w:start w:val="1"/>
      <w:numFmt w:val="bullet"/>
      <w:lvlText w:val="○"/>
      <w:lvlJc w:val="left"/>
      <w:pPr>
        <w:ind w:left="1440" w:hanging="360"/>
      </w:pPr>
    </w:lvl>
    <w:lvl w:ilvl="2" w:tplc="925AF142">
      <w:start w:val="1"/>
      <w:numFmt w:val="bullet"/>
      <w:lvlText w:val="■"/>
      <w:lvlJc w:val="left"/>
      <w:pPr>
        <w:ind w:left="2160" w:hanging="360"/>
      </w:pPr>
    </w:lvl>
    <w:lvl w:ilvl="3" w:tplc="05CE1002">
      <w:start w:val="1"/>
      <w:numFmt w:val="bullet"/>
      <w:lvlText w:val="●"/>
      <w:lvlJc w:val="left"/>
      <w:pPr>
        <w:ind w:left="2880" w:hanging="360"/>
      </w:pPr>
    </w:lvl>
    <w:lvl w:ilvl="4" w:tplc="63FAC9AE">
      <w:start w:val="1"/>
      <w:numFmt w:val="bullet"/>
      <w:lvlText w:val="○"/>
      <w:lvlJc w:val="left"/>
      <w:pPr>
        <w:ind w:left="3600" w:hanging="360"/>
      </w:pPr>
    </w:lvl>
    <w:lvl w:ilvl="5" w:tplc="CE4E43C0">
      <w:start w:val="1"/>
      <w:numFmt w:val="bullet"/>
      <w:lvlText w:val="■"/>
      <w:lvlJc w:val="left"/>
      <w:pPr>
        <w:ind w:left="4320" w:hanging="360"/>
      </w:pPr>
    </w:lvl>
    <w:lvl w:ilvl="6" w:tplc="8E4EAF2E">
      <w:start w:val="1"/>
      <w:numFmt w:val="bullet"/>
      <w:lvlText w:val="●"/>
      <w:lvlJc w:val="left"/>
      <w:pPr>
        <w:ind w:left="5040" w:hanging="360"/>
      </w:pPr>
    </w:lvl>
    <w:lvl w:ilvl="7" w:tplc="18FCC3DA">
      <w:start w:val="1"/>
      <w:numFmt w:val="bullet"/>
      <w:lvlText w:val="●"/>
      <w:lvlJc w:val="left"/>
      <w:pPr>
        <w:ind w:left="5760" w:hanging="360"/>
      </w:pPr>
    </w:lvl>
    <w:lvl w:ilvl="8" w:tplc="2B56E4E6">
      <w:start w:val="1"/>
      <w:numFmt w:val="bullet"/>
      <w:lvlText w:val="●"/>
      <w:lvlJc w:val="left"/>
      <w:pPr>
        <w:ind w:left="6480" w:hanging="360"/>
      </w:pPr>
    </w:lvl>
  </w:abstractNum>
  <w:num w:numId="1" w16cid:durableId="445469175">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764F"/>
    <w:rsid w:val="004664F9"/>
    <w:rsid w:val="0069764F"/>
    <w:rsid w:val="00740E4D"/>
    <w:rsid w:val="007665BD"/>
    <w:rsid w:val="00A171FB"/>
    <w:rsid w:val="00CE6E3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C31D88"/>
  <w15:docId w15:val="{2FAD8130-D948-44BC-A94F-AF50214CC4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qFormat/>
    <w:pPr>
      <w:outlineLvl w:val="0"/>
    </w:pPr>
    <w:rPr>
      <w:color w:val="2E74B5"/>
      <w:sz w:val="32"/>
      <w:szCs w:val="32"/>
    </w:rPr>
  </w:style>
  <w:style w:type="paragraph" w:styleId="Heading2">
    <w:name w:val="heading 2"/>
    <w:qFormat/>
    <w:pPr>
      <w:outlineLvl w:val="1"/>
    </w:pPr>
    <w:rPr>
      <w:color w:val="2E74B5"/>
      <w:sz w:val="26"/>
      <w:szCs w:val="26"/>
    </w:rPr>
  </w:style>
  <w:style w:type="paragraph" w:styleId="Heading3">
    <w:name w:val="heading 3"/>
    <w:qFormat/>
    <w:pPr>
      <w:outlineLvl w:val="2"/>
    </w:pPr>
    <w:rPr>
      <w:color w:val="1F4D78"/>
      <w:sz w:val="24"/>
      <w:szCs w:val="24"/>
    </w:rPr>
  </w:style>
  <w:style w:type="paragraph" w:styleId="Heading4">
    <w:name w:val="heading 4"/>
    <w:qFormat/>
    <w:pPr>
      <w:outlineLvl w:val="3"/>
    </w:pPr>
    <w:rPr>
      <w:i/>
      <w:iCs/>
      <w:color w:val="2E74B5"/>
    </w:rPr>
  </w:style>
  <w:style w:type="paragraph" w:styleId="Heading5">
    <w:name w:val="heading 5"/>
    <w:qFormat/>
    <w:pPr>
      <w:outlineLvl w:val="4"/>
    </w:pPr>
    <w:rPr>
      <w:color w:val="2E74B5"/>
    </w:rPr>
  </w:style>
  <w:style w:type="paragraph" w:styleId="Heading6">
    <w:name w:val="heading 6"/>
    <w:qFormat/>
    <w:pPr>
      <w:outlineLvl w:val="5"/>
    </w:pPr>
    <w:rPr>
      <w:color w:val="1F4D7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character" w:styleId="UnresolvedMention">
    <w:name w:val="Unresolved Mention"/>
    <w:basedOn w:val="DefaultParagraphFont"/>
    <w:uiPriority w:val="99"/>
    <w:semiHidden/>
    <w:unhideWhenUsed/>
    <w:rsid w:val="00740E4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moodle.uwtsd.ac.uk/user/view.php?id=72149&amp;course=1182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1648</Words>
  <Characters>9394</Characters>
  <Application>Microsoft Office Word</Application>
  <DocSecurity>0</DocSecurity>
  <Lines>78</Lines>
  <Paragraphs>22</Paragraphs>
  <ScaleCrop>false</ScaleCrop>
  <Company/>
  <LinksUpToDate>false</LinksUpToDate>
  <CharactersWithSpaces>11020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Kwame Assa-Agyei</cp:lastModifiedBy>
  <cp:revision>2</cp:revision>
  <dcterms:created xsi:type="dcterms:W3CDTF">2026-08-10T08:49:00Z</dcterms:created>
  <dcterms:modified xsi:type="dcterms:W3CDTF">2026-08-10T08:49:00Z</dcterms:modified>
</cp:coreProperties>
</file>