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4EE4632F" w14:textId="77777777" w:rsidR="00186DAF" w:rsidRDefault="00186DAF">
      <w:pPr>
        <w:spacing w:after="80"/>
        <w:jc w:val="center"/>
        <w:rPr>
          <w:rFonts w:asciiTheme="minorHAnsi" w:hAnsiTheme="minorHAnsi"/>
          <w:b/>
          <w:bCs/>
        </w:rPr>
      </w:pPr>
    </w:p>
    <w:p w14:paraId="62D3821B" w14:textId="77777777" w:rsidR="00186DAF" w:rsidRDefault="00186DAF">
      <w:pPr>
        <w:spacing w:after="80"/>
        <w:jc w:val="center"/>
        <w:rPr>
          <w:rFonts w:asciiTheme="minorHAnsi" w:hAnsiTheme="minorHAnsi"/>
          <w:b/>
          <w:bCs/>
        </w:rPr>
      </w:pPr>
    </w:p>
    <w:p w14:paraId="31433E9B" w14:textId="77777777" w:rsidR="00186DAF" w:rsidRDefault="00186DAF">
      <w:pPr>
        <w:spacing w:after="80"/>
        <w:jc w:val="center"/>
        <w:rPr>
          <w:rFonts w:asciiTheme="minorHAnsi" w:hAnsiTheme="minorHAnsi"/>
          <w:b/>
          <w:bCs/>
        </w:rPr>
      </w:pPr>
    </w:p>
    <w:p w14:paraId="634ABCEB" w14:textId="77777777" w:rsidR="00186DAF" w:rsidRDefault="00186DAF">
      <w:pPr>
        <w:spacing w:after="80"/>
        <w:jc w:val="center"/>
        <w:rPr>
          <w:rFonts w:asciiTheme="minorHAnsi" w:hAnsiTheme="minorHAnsi"/>
          <w:b/>
          <w:bCs/>
        </w:rPr>
      </w:pPr>
    </w:p>
    <w:p w14:paraId="08E0405F" w14:textId="77777777" w:rsidR="00186DAF" w:rsidRDefault="00186DAF">
      <w:pPr>
        <w:spacing w:after="80"/>
        <w:jc w:val="center"/>
        <w:rPr>
          <w:rFonts w:asciiTheme="minorHAnsi" w:hAnsiTheme="minorHAnsi"/>
          <w:b/>
          <w:bCs/>
        </w:rPr>
      </w:pPr>
    </w:p>
    <w:p w14:paraId="3DCA2BEC" w14:textId="77777777" w:rsidR="00186DAF" w:rsidRDefault="00186DAF">
      <w:pPr>
        <w:spacing w:after="80"/>
        <w:jc w:val="center"/>
        <w:rPr>
          <w:rFonts w:asciiTheme="minorHAnsi" w:hAnsiTheme="minorHAnsi"/>
          <w:b/>
          <w:bCs/>
        </w:rPr>
      </w:pPr>
    </w:p>
    <w:p w14:paraId="7F70C9E1" w14:textId="77777777" w:rsidR="00186DAF" w:rsidRDefault="00186DAF">
      <w:pPr>
        <w:spacing w:after="80"/>
        <w:jc w:val="center"/>
        <w:rPr>
          <w:rFonts w:asciiTheme="minorHAnsi" w:hAnsiTheme="minorHAnsi"/>
          <w:b/>
          <w:bCs/>
        </w:rPr>
      </w:pPr>
    </w:p>
    <w:p w14:paraId="3574393B" w14:textId="77777777" w:rsidR="00186DAF" w:rsidRDefault="00186DAF">
      <w:pPr>
        <w:spacing w:after="80"/>
        <w:jc w:val="center"/>
        <w:rPr>
          <w:rFonts w:asciiTheme="minorHAnsi" w:hAnsiTheme="minorHAnsi"/>
          <w:b/>
          <w:bCs/>
        </w:rPr>
      </w:pPr>
    </w:p>
    <w:p w14:paraId="746CA170" w14:textId="77777777" w:rsidR="00186DAF" w:rsidRDefault="00186DAF">
      <w:pPr>
        <w:spacing w:after="80"/>
        <w:jc w:val="center"/>
        <w:rPr>
          <w:rFonts w:asciiTheme="minorHAnsi" w:hAnsiTheme="minorHAnsi"/>
          <w:b/>
          <w:bCs/>
        </w:rPr>
      </w:pPr>
    </w:p>
    <w:p w14:paraId="1CD7E1FE" w14:textId="77777777" w:rsidR="00186DAF" w:rsidRDefault="00186DAF">
      <w:pPr>
        <w:spacing w:after="80"/>
        <w:jc w:val="center"/>
        <w:rPr>
          <w:rFonts w:asciiTheme="minorHAnsi" w:hAnsiTheme="minorHAnsi"/>
          <w:b/>
          <w:bCs/>
        </w:rPr>
      </w:pPr>
    </w:p>
    <w:p w14:paraId="6D9E9B19" w14:textId="77777777" w:rsidR="00186DAF" w:rsidRDefault="00186DAF">
      <w:pPr>
        <w:spacing w:after="80"/>
        <w:jc w:val="center"/>
        <w:rPr>
          <w:rFonts w:asciiTheme="minorHAnsi" w:hAnsiTheme="minorHAnsi"/>
          <w:b/>
          <w:bCs/>
        </w:rPr>
      </w:pPr>
    </w:p>
    <w:p w14:paraId="38675BC2" w14:textId="77777777" w:rsidR="00186DAF" w:rsidRDefault="00186DAF">
      <w:pPr>
        <w:spacing w:after="80"/>
        <w:jc w:val="center"/>
        <w:rPr>
          <w:rFonts w:asciiTheme="minorHAnsi" w:hAnsiTheme="minorHAnsi"/>
          <w:b/>
          <w:bCs/>
        </w:rPr>
      </w:pPr>
    </w:p>
    <w:p w14:paraId="21EAFCF8" w14:textId="78B0F9AD" w:rsidR="00493F67" w:rsidRPr="00186DAF" w:rsidRDefault="00000000">
      <w:pPr>
        <w:spacing w:after="80"/>
        <w:jc w:val="center"/>
        <w:rPr>
          <w:rFonts w:asciiTheme="minorHAnsi" w:hAnsiTheme="minorHAnsi"/>
          <w:sz w:val="32"/>
          <w:szCs w:val="32"/>
        </w:rPr>
      </w:pPr>
      <w:r w:rsidRPr="00186DAF">
        <w:rPr>
          <w:rFonts w:asciiTheme="minorHAnsi" w:hAnsiTheme="minorHAnsi"/>
          <w:b/>
          <w:bCs/>
          <w:sz w:val="32"/>
          <w:szCs w:val="32"/>
        </w:rPr>
        <w:t>Diabetes Case Study</w:t>
      </w:r>
    </w:p>
    <w:p w14:paraId="4EF76BF7" w14:textId="77777777" w:rsidR="00493F67" w:rsidRPr="00186DAF" w:rsidRDefault="00000000">
      <w:pPr>
        <w:spacing w:after="80"/>
        <w:jc w:val="center"/>
        <w:rPr>
          <w:rFonts w:asciiTheme="minorHAnsi" w:hAnsiTheme="minorHAnsi"/>
          <w:sz w:val="32"/>
          <w:szCs w:val="32"/>
        </w:rPr>
      </w:pPr>
      <w:r w:rsidRPr="00186DAF">
        <w:rPr>
          <w:rFonts w:asciiTheme="minorHAnsi" w:hAnsiTheme="minorHAnsi"/>
          <w:b/>
          <w:bCs/>
          <w:sz w:val="32"/>
          <w:szCs w:val="32"/>
        </w:rPr>
        <w:t>Nazish Zeb</w:t>
      </w:r>
    </w:p>
    <w:p w14:paraId="04F5D394" w14:textId="77777777" w:rsidR="00493F67" w:rsidRPr="00186DAF" w:rsidRDefault="00000000">
      <w:pPr>
        <w:spacing w:after="80"/>
        <w:jc w:val="center"/>
        <w:rPr>
          <w:rFonts w:asciiTheme="minorHAnsi" w:hAnsiTheme="minorHAnsi"/>
          <w:sz w:val="32"/>
          <w:szCs w:val="32"/>
        </w:rPr>
      </w:pPr>
      <w:r w:rsidRPr="00186DAF">
        <w:rPr>
          <w:rFonts w:asciiTheme="minorHAnsi" w:hAnsiTheme="minorHAnsi"/>
          <w:b/>
          <w:bCs/>
          <w:sz w:val="32"/>
          <w:szCs w:val="32"/>
        </w:rPr>
        <w:t>2427071</w:t>
      </w:r>
    </w:p>
    <w:p w14:paraId="65C27702" w14:textId="77777777" w:rsidR="00493F67" w:rsidRPr="00186DAF" w:rsidRDefault="00000000">
      <w:pPr>
        <w:spacing w:after="80"/>
        <w:jc w:val="center"/>
        <w:rPr>
          <w:rFonts w:asciiTheme="minorHAnsi" w:hAnsiTheme="minorHAnsi"/>
          <w:sz w:val="32"/>
          <w:szCs w:val="32"/>
        </w:rPr>
      </w:pPr>
      <w:r w:rsidRPr="00186DAF">
        <w:rPr>
          <w:rFonts w:asciiTheme="minorHAnsi" w:hAnsiTheme="minorHAnsi"/>
          <w:b/>
          <w:bCs/>
          <w:sz w:val="32"/>
          <w:szCs w:val="32"/>
        </w:rPr>
        <w:t>Introduction to Physiology</w:t>
      </w:r>
    </w:p>
    <w:p w14:paraId="705C61F0" w14:textId="77777777" w:rsidR="00493F67" w:rsidRPr="00186DAF" w:rsidRDefault="00000000">
      <w:pPr>
        <w:spacing w:after="80"/>
        <w:jc w:val="center"/>
        <w:rPr>
          <w:rFonts w:asciiTheme="minorHAnsi" w:hAnsiTheme="minorHAnsi"/>
          <w:sz w:val="32"/>
          <w:szCs w:val="32"/>
        </w:rPr>
      </w:pPr>
      <w:r w:rsidRPr="00186DAF">
        <w:rPr>
          <w:rFonts w:asciiTheme="minorHAnsi" w:hAnsiTheme="minorHAnsi"/>
          <w:b/>
          <w:bCs/>
          <w:sz w:val="32"/>
          <w:szCs w:val="32"/>
        </w:rPr>
        <w:t>BMHP5023</w:t>
      </w:r>
    </w:p>
    <w:p w14:paraId="232628B4" w14:textId="77777777" w:rsidR="00493F67" w:rsidRPr="00186DAF" w:rsidRDefault="00000000">
      <w:pPr>
        <w:spacing w:after="240"/>
        <w:jc w:val="center"/>
        <w:rPr>
          <w:rFonts w:asciiTheme="minorHAnsi" w:hAnsiTheme="minorHAnsi"/>
          <w:sz w:val="32"/>
          <w:szCs w:val="32"/>
        </w:rPr>
      </w:pPr>
      <w:r w:rsidRPr="00186DAF">
        <w:rPr>
          <w:rFonts w:asciiTheme="minorHAnsi" w:hAnsiTheme="minorHAnsi"/>
          <w:b/>
          <w:bCs/>
          <w:sz w:val="32"/>
          <w:szCs w:val="32"/>
        </w:rPr>
        <w:t>28 June 2026</w:t>
      </w:r>
    </w:p>
    <w:p w14:paraId="09F44641" w14:textId="75CB773F" w:rsidR="00493F67" w:rsidRPr="00186DAF" w:rsidRDefault="00000000">
      <w:pPr>
        <w:spacing w:after="360"/>
        <w:jc w:val="center"/>
        <w:rPr>
          <w:rFonts w:asciiTheme="minorHAnsi" w:hAnsiTheme="minorHAnsi"/>
          <w:b/>
          <w:bCs/>
          <w:sz w:val="32"/>
          <w:szCs w:val="32"/>
        </w:rPr>
      </w:pPr>
      <w:r w:rsidRPr="00186DAF">
        <w:rPr>
          <w:rFonts w:asciiTheme="minorHAnsi" w:hAnsiTheme="minorHAnsi"/>
          <w:b/>
          <w:bCs/>
          <w:sz w:val="32"/>
          <w:szCs w:val="32"/>
        </w:rPr>
        <w:t xml:space="preserve">Word Count: </w:t>
      </w:r>
      <w:r w:rsidR="00186DAF">
        <w:rPr>
          <w:rFonts w:asciiTheme="minorHAnsi" w:hAnsiTheme="minorHAnsi"/>
          <w:b/>
          <w:bCs/>
          <w:sz w:val="32"/>
          <w:szCs w:val="32"/>
        </w:rPr>
        <w:t>1984</w:t>
      </w:r>
    </w:p>
    <w:p w14:paraId="59E8D905" w14:textId="77777777" w:rsidR="00186DAF" w:rsidRDefault="00186DAF">
      <w:pPr>
        <w:spacing w:after="360"/>
        <w:jc w:val="center"/>
        <w:rPr>
          <w:rFonts w:asciiTheme="minorHAnsi" w:hAnsiTheme="minorHAnsi"/>
          <w:b/>
          <w:bCs/>
        </w:rPr>
      </w:pPr>
    </w:p>
    <w:p w14:paraId="5931D35E" w14:textId="77777777" w:rsidR="00186DAF" w:rsidRDefault="00186DAF">
      <w:pPr>
        <w:spacing w:after="360"/>
        <w:jc w:val="center"/>
        <w:rPr>
          <w:rFonts w:asciiTheme="minorHAnsi" w:hAnsiTheme="minorHAnsi"/>
          <w:b/>
          <w:bCs/>
        </w:rPr>
      </w:pPr>
    </w:p>
    <w:p w14:paraId="30BD20B2" w14:textId="77777777" w:rsidR="00186DAF" w:rsidRDefault="00186DAF">
      <w:pPr>
        <w:spacing w:after="360"/>
        <w:jc w:val="center"/>
        <w:rPr>
          <w:rFonts w:asciiTheme="minorHAnsi" w:hAnsiTheme="minorHAnsi"/>
          <w:b/>
          <w:bCs/>
        </w:rPr>
      </w:pPr>
    </w:p>
    <w:p w14:paraId="1AE59B64" w14:textId="77777777" w:rsidR="00186DAF" w:rsidRDefault="00186DAF">
      <w:pPr>
        <w:spacing w:after="360"/>
        <w:jc w:val="center"/>
        <w:rPr>
          <w:rFonts w:asciiTheme="minorHAnsi" w:hAnsiTheme="minorHAnsi"/>
          <w:b/>
          <w:bCs/>
        </w:rPr>
      </w:pPr>
    </w:p>
    <w:p w14:paraId="5AD5295F" w14:textId="77777777" w:rsidR="00186DAF" w:rsidRDefault="00186DAF">
      <w:pPr>
        <w:spacing w:after="360"/>
        <w:jc w:val="center"/>
        <w:rPr>
          <w:rFonts w:asciiTheme="minorHAnsi" w:hAnsiTheme="minorHAnsi"/>
          <w:b/>
          <w:bCs/>
        </w:rPr>
      </w:pPr>
    </w:p>
    <w:p w14:paraId="21C53E40" w14:textId="77777777" w:rsidR="00186DAF" w:rsidRDefault="00186DAF">
      <w:pPr>
        <w:spacing w:after="360"/>
        <w:jc w:val="center"/>
        <w:rPr>
          <w:rFonts w:asciiTheme="minorHAnsi" w:hAnsiTheme="minorHAnsi"/>
          <w:b/>
          <w:bCs/>
        </w:rPr>
      </w:pPr>
    </w:p>
    <w:p w14:paraId="541DDCFD" w14:textId="77777777" w:rsidR="00186DAF" w:rsidRDefault="00186DAF">
      <w:pPr>
        <w:spacing w:after="360"/>
        <w:jc w:val="center"/>
        <w:rPr>
          <w:rFonts w:asciiTheme="minorHAnsi" w:hAnsiTheme="minorHAnsi"/>
          <w:b/>
          <w:bCs/>
        </w:rPr>
      </w:pPr>
    </w:p>
    <w:p w14:paraId="26B8D78B" w14:textId="77777777" w:rsidR="00186DAF" w:rsidRDefault="00186DAF">
      <w:pPr>
        <w:spacing w:after="360"/>
        <w:jc w:val="center"/>
        <w:rPr>
          <w:rFonts w:asciiTheme="minorHAnsi" w:hAnsiTheme="minorHAnsi"/>
          <w:b/>
          <w:bCs/>
        </w:rPr>
      </w:pPr>
    </w:p>
    <w:p w14:paraId="3CA11E71" w14:textId="77777777" w:rsidR="00186DAF" w:rsidRPr="00186DAF" w:rsidRDefault="00186DAF">
      <w:pPr>
        <w:spacing w:after="360"/>
        <w:jc w:val="center"/>
        <w:rPr>
          <w:rFonts w:asciiTheme="minorHAnsi" w:hAnsiTheme="minorHAnsi"/>
        </w:rPr>
      </w:pPr>
    </w:p>
    <w:p w14:paraId="7B37DC50" w14:textId="77777777" w:rsidR="00493F67" w:rsidRPr="00186DAF" w:rsidRDefault="00000000">
      <w:pPr>
        <w:pStyle w:val="Heading1"/>
        <w:rPr>
          <w:rFonts w:asciiTheme="minorHAnsi" w:hAnsiTheme="minorHAnsi"/>
          <w:sz w:val="28"/>
          <w:szCs w:val="28"/>
        </w:rPr>
      </w:pPr>
      <w:r w:rsidRPr="00186DAF">
        <w:rPr>
          <w:rFonts w:asciiTheme="minorHAnsi" w:hAnsiTheme="minorHAnsi"/>
          <w:sz w:val="28"/>
          <w:szCs w:val="28"/>
        </w:rPr>
        <w:lastRenderedPageBreak/>
        <w:t>Introduction- What is Diabetes and What are the Risk Factors?</w:t>
      </w:r>
    </w:p>
    <w:p w14:paraId="290BEBD0" w14:textId="77777777" w:rsidR="00493F67" w:rsidRPr="00186DAF" w:rsidRDefault="00000000">
      <w:pPr>
        <w:spacing w:after="160"/>
        <w:jc w:val="both"/>
        <w:rPr>
          <w:rFonts w:asciiTheme="minorHAnsi" w:hAnsiTheme="minorHAnsi"/>
        </w:rPr>
      </w:pPr>
      <w:r w:rsidRPr="00186DAF">
        <w:rPr>
          <w:rFonts w:asciiTheme="minorHAnsi" w:hAnsiTheme="minorHAnsi"/>
        </w:rPr>
        <w:t>Diabetes mellitus is a chronic condition in which the body struggles to maintain safe blood glucose levels, either because insulin production is impaired, because the body cannot use insulin properly, or both. Insulin itself is produced by beta cells in the pancreas and is what allows the body’s cells to take glucose from the blood and convert it into energy. When that system fails, glucose builds up and, over time, causes serious harm (Diabetes UK, 2023).</w:t>
      </w:r>
    </w:p>
    <w:p w14:paraId="4962630D" w14:textId="77777777" w:rsidR="00493F67" w:rsidRPr="00186DAF" w:rsidRDefault="00000000">
      <w:pPr>
        <w:spacing w:after="160"/>
        <w:jc w:val="both"/>
        <w:rPr>
          <w:rFonts w:asciiTheme="minorHAnsi" w:hAnsiTheme="minorHAnsi"/>
        </w:rPr>
      </w:pPr>
      <w:r w:rsidRPr="00186DAF">
        <w:rPr>
          <w:rFonts w:asciiTheme="minorHAnsi" w:hAnsiTheme="minorHAnsi"/>
        </w:rPr>
        <w:t>Diabetes presents in two main forms, each with a distinct underlying mechanism. Type 1 diabetes is an autoimmune condition in which the body’s immune system attacks and destroys the insulin-producing beta cells of the pancreas, leaving the individual unable to produce insulin independently. It most commonly emerges in childhood or early adulthood and requires insulin therapy throughout life. Type 2 diabetes accounts for around 90% of all diabetes diagnoses in the UK and develops when the body’s cells become resistant to insulin, or when the pancreas can no longer produce enough to meet demand. Unlike Type 1, it tends to develop gradually and is closely linked to lifestyle and environmental factors (NHS, 2023).</w:t>
      </w:r>
    </w:p>
    <w:p w14:paraId="5E7ED76B" w14:textId="77777777" w:rsidR="00493F67" w:rsidRPr="00186DAF" w:rsidRDefault="00000000">
      <w:pPr>
        <w:spacing w:after="80"/>
        <w:rPr>
          <w:rFonts w:asciiTheme="minorHAnsi" w:hAnsiTheme="minorHAnsi"/>
        </w:rPr>
      </w:pPr>
      <w:r w:rsidRPr="00186DAF">
        <w:rPr>
          <w:rFonts w:asciiTheme="minorHAnsi" w:hAnsiTheme="minorHAnsi"/>
          <w:b/>
          <w:bCs/>
        </w:rPr>
        <w:t>Risk factors for Type 2 diabetes include:</w:t>
      </w:r>
    </w:p>
    <w:p w14:paraId="431AFAB7" w14:textId="77777777" w:rsidR="00493F67" w:rsidRPr="00186DAF" w:rsidRDefault="00000000">
      <w:pPr>
        <w:pStyle w:val="ListParagraph"/>
        <w:numPr>
          <w:ilvl w:val="0"/>
          <w:numId w:val="2"/>
        </w:numPr>
        <w:spacing w:after="80"/>
        <w:rPr>
          <w:rFonts w:asciiTheme="minorHAnsi" w:hAnsiTheme="minorHAnsi"/>
        </w:rPr>
      </w:pPr>
      <w:r w:rsidRPr="00186DAF">
        <w:rPr>
          <w:rFonts w:asciiTheme="minorHAnsi" w:hAnsiTheme="minorHAnsi"/>
        </w:rPr>
        <w:t>Being overweight or obese, particularly carrying excess weight around the abdomen</w:t>
      </w:r>
    </w:p>
    <w:p w14:paraId="7D1105F5" w14:textId="77777777" w:rsidR="00493F67" w:rsidRPr="00186DAF" w:rsidRDefault="00000000">
      <w:pPr>
        <w:pStyle w:val="ListParagraph"/>
        <w:numPr>
          <w:ilvl w:val="0"/>
          <w:numId w:val="2"/>
        </w:numPr>
        <w:spacing w:after="80"/>
        <w:rPr>
          <w:rFonts w:asciiTheme="minorHAnsi" w:hAnsiTheme="minorHAnsi"/>
        </w:rPr>
      </w:pPr>
      <w:r w:rsidRPr="00186DAF">
        <w:rPr>
          <w:rFonts w:asciiTheme="minorHAnsi" w:hAnsiTheme="minorHAnsi"/>
        </w:rPr>
        <w:t>Physical inactivity and a sedentary lifestyle</w:t>
      </w:r>
    </w:p>
    <w:p w14:paraId="111E9326" w14:textId="77777777" w:rsidR="00493F67" w:rsidRPr="00186DAF" w:rsidRDefault="00000000">
      <w:pPr>
        <w:pStyle w:val="ListParagraph"/>
        <w:numPr>
          <w:ilvl w:val="0"/>
          <w:numId w:val="2"/>
        </w:numPr>
        <w:spacing w:after="80"/>
        <w:rPr>
          <w:rFonts w:asciiTheme="minorHAnsi" w:hAnsiTheme="minorHAnsi"/>
        </w:rPr>
      </w:pPr>
      <w:r w:rsidRPr="00186DAF">
        <w:rPr>
          <w:rFonts w:asciiTheme="minorHAnsi" w:hAnsiTheme="minorHAnsi"/>
        </w:rPr>
        <w:t>An unhealthy diet high in refined carbohydrates, saturated fats, and sugar</w:t>
      </w:r>
    </w:p>
    <w:p w14:paraId="5CFFD81E" w14:textId="77777777" w:rsidR="00493F67" w:rsidRPr="00186DAF" w:rsidRDefault="00000000">
      <w:pPr>
        <w:pStyle w:val="ListParagraph"/>
        <w:numPr>
          <w:ilvl w:val="0"/>
          <w:numId w:val="2"/>
        </w:numPr>
        <w:spacing w:after="80"/>
        <w:rPr>
          <w:rFonts w:asciiTheme="minorHAnsi" w:hAnsiTheme="minorHAnsi"/>
        </w:rPr>
      </w:pPr>
      <w:r w:rsidRPr="00186DAF">
        <w:rPr>
          <w:rFonts w:asciiTheme="minorHAnsi" w:hAnsiTheme="minorHAnsi"/>
        </w:rPr>
        <w:t>A family history of diabetes (genetic predisposition)</w:t>
      </w:r>
    </w:p>
    <w:p w14:paraId="5E12E365" w14:textId="77777777" w:rsidR="00493F67" w:rsidRPr="00186DAF" w:rsidRDefault="00000000">
      <w:pPr>
        <w:pStyle w:val="ListParagraph"/>
        <w:numPr>
          <w:ilvl w:val="0"/>
          <w:numId w:val="2"/>
        </w:numPr>
        <w:spacing w:after="80"/>
        <w:rPr>
          <w:rFonts w:asciiTheme="minorHAnsi" w:hAnsiTheme="minorHAnsi"/>
        </w:rPr>
      </w:pPr>
      <w:r w:rsidRPr="00186DAF">
        <w:rPr>
          <w:rFonts w:asciiTheme="minorHAnsi" w:hAnsiTheme="minorHAnsi"/>
        </w:rPr>
        <w:t>Age, with risk increasing significantly after the age of 45</w:t>
      </w:r>
    </w:p>
    <w:p w14:paraId="15AA7422" w14:textId="77777777" w:rsidR="00493F67" w:rsidRPr="00186DAF" w:rsidRDefault="00000000">
      <w:pPr>
        <w:pStyle w:val="ListParagraph"/>
        <w:numPr>
          <w:ilvl w:val="0"/>
          <w:numId w:val="2"/>
        </w:numPr>
        <w:spacing w:after="80"/>
        <w:rPr>
          <w:rFonts w:asciiTheme="minorHAnsi" w:hAnsiTheme="minorHAnsi"/>
        </w:rPr>
      </w:pPr>
      <w:r w:rsidRPr="00186DAF">
        <w:rPr>
          <w:rFonts w:asciiTheme="minorHAnsi" w:hAnsiTheme="minorHAnsi"/>
        </w:rPr>
        <w:t>Ethnicity, with people of South Asian, African-Caribbean, or Black African descent at higher risk</w:t>
      </w:r>
    </w:p>
    <w:p w14:paraId="4735F90B" w14:textId="77777777" w:rsidR="00493F67" w:rsidRPr="00186DAF" w:rsidRDefault="00000000">
      <w:pPr>
        <w:pStyle w:val="ListParagraph"/>
        <w:numPr>
          <w:ilvl w:val="0"/>
          <w:numId w:val="2"/>
        </w:numPr>
        <w:spacing w:after="80"/>
        <w:rPr>
          <w:rFonts w:asciiTheme="minorHAnsi" w:hAnsiTheme="minorHAnsi"/>
        </w:rPr>
      </w:pPr>
      <w:r w:rsidRPr="00186DAF">
        <w:rPr>
          <w:rFonts w:asciiTheme="minorHAnsi" w:hAnsiTheme="minorHAnsi"/>
        </w:rPr>
        <w:t>A previous diagnosis of gestational diabetes</w:t>
      </w:r>
    </w:p>
    <w:p w14:paraId="7C9FF9C7" w14:textId="77777777" w:rsidR="00493F67" w:rsidRPr="00186DAF" w:rsidRDefault="00000000">
      <w:pPr>
        <w:pStyle w:val="ListParagraph"/>
        <w:numPr>
          <w:ilvl w:val="0"/>
          <w:numId w:val="2"/>
        </w:numPr>
        <w:spacing w:after="80"/>
        <w:rPr>
          <w:rFonts w:asciiTheme="minorHAnsi" w:hAnsiTheme="minorHAnsi"/>
        </w:rPr>
      </w:pPr>
      <w:r w:rsidRPr="00186DAF">
        <w:rPr>
          <w:rFonts w:asciiTheme="minorHAnsi" w:hAnsiTheme="minorHAnsi"/>
        </w:rPr>
        <w:t>Smoking and excessive alcohol consumption</w:t>
      </w:r>
    </w:p>
    <w:p w14:paraId="203E3EE1" w14:textId="77777777" w:rsidR="00493F67" w:rsidRPr="00186DAF" w:rsidRDefault="00000000">
      <w:pPr>
        <w:pStyle w:val="ListParagraph"/>
        <w:numPr>
          <w:ilvl w:val="0"/>
          <w:numId w:val="2"/>
        </w:numPr>
        <w:spacing w:after="80"/>
        <w:rPr>
          <w:rFonts w:asciiTheme="minorHAnsi" w:hAnsiTheme="minorHAnsi"/>
        </w:rPr>
      </w:pPr>
      <w:r w:rsidRPr="00186DAF">
        <w:rPr>
          <w:rFonts w:asciiTheme="minorHAnsi" w:hAnsiTheme="minorHAnsi"/>
        </w:rPr>
        <w:t>High blood pressure or cardiovascular disease</w:t>
      </w:r>
    </w:p>
    <w:p w14:paraId="0EFF13AF" w14:textId="77777777" w:rsidR="00493F67" w:rsidRPr="00186DAF" w:rsidRDefault="00000000">
      <w:pPr>
        <w:spacing w:after="160"/>
        <w:jc w:val="both"/>
        <w:rPr>
          <w:rFonts w:asciiTheme="minorHAnsi" w:hAnsiTheme="minorHAnsi"/>
        </w:rPr>
      </w:pPr>
      <w:r w:rsidRPr="00186DAF">
        <w:rPr>
          <w:rFonts w:asciiTheme="minorHAnsi" w:hAnsiTheme="minorHAnsi"/>
        </w:rPr>
        <w:t>Recognising these risk factors early is a central part of the practice nurse role. Without timely intervention, the condition can give rise to cardiovascular disease, kidney failure, neuropathy, and sight loss — complications that are largely avoidable with the right support (NICE, 2022).</w:t>
      </w:r>
    </w:p>
    <w:p w14:paraId="6AA2E129" w14:textId="77777777" w:rsidR="00493F67" w:rsidRPr="00186DAF" w:rsidRDefault="00000000">
      <w:pPr>
        <w:pStyle w:val="Heading1"/>
        <w:rPr>
          <w:rFonts w:asciiTheme="minorHAnsi" w:hAnsiTheme="minorHAnsi"/>
          <w:sz w:val="28"/>
          <w:szCs w:val="28"/>
        </w:rPr>
      </w:pPr>
      <w:r w:rsidRPr="00186DAF">
        <w:rPr>
          <w:rFonts w:asciiTheme="minorHAnsi" w:hAnsiTheme="minorHAnsi"/>
          <w:sz w:val="28"/>
          <w:szCs w:val="28"/>
        </w:rPr>
        <w:t>How Blood Sugar Levels are Maintained at a Safe and Effective Level</w:t>
      </w:r>
    </w:p>
    <w:p w14:paraId="05A4D1C4" w14:textId="77777777" w:rsidR="00493F67" w:rsidRPr="00186DAF" w:rsidRDefault="00000000">
      <w:pPr>
        <w:spacing w:after="160"/>
        <w:jc w:val="both"/>
        <w:rPr>
          <w:rFonts w:asciiTheme="minorHAnsi" w:hAnsiTheme="minorHAnsi"/>
        </w:rPr>
      </w:pPr>
      <w:r w:rsidRPr="00186DAF">
        <w:rPr>
          <w:rFonts w:asciiTheme="minorHAnsi" w:hAnsiTheme="minorHAnsi"/>
        </w:rPr>
        <w:t>The human body keeps blood glucose within a narrow physiological range, typically between 4.0 and 7.0 mmol/L in the fasting state, through a process known as glucose homeostasis. This is regulated primarily by two hormones produced in the islets of Langerhans in the pancreas: insulin and glucagon (Tortora and Derrickson, 2017).</w:t>
      </w:r>
    </w:p>
    <w:p w14:paraId="1F1006F3" w14:textId="77777777" w:rsidR="00493F67" w:rsidRPr="00186DAF" w:rsidRDefault="00000000">
      <w:pPr>
        <w:spacing w:after="160"/>
        <w:jc w:val="both"/>
        <w:rPr>
          <w:rFonts w:asciiTheme="minorHAnsi" w:hAnsiTheme="minorHAnsi"/>
        </w:rPr>
      </w:pPr>
      <w:r w:rsidRPr="00186DAF">
        <w:rPr>
          <w:rFonts w:asciiTheme="minorHAnsi" w:hAnsiTheme="minorHAnsi"/>
        </w:rPr>
        <w:t xml:space="preserve">A meal triggers a rise in blood glucose that the body moves quickly to address. Beta cells in the pancreas sense the change and begin releasing insulin, which travels through the blood to act on tissues around the body. In muscle and fat cells, this means insulin latching onto surface receptors, a step that has to happen before GLUT4 proteins will </w:t>
      </w:r>
      <w:r w:rsidRPr="00186DAF">
        <w:rPr>
          <w:rFonts w:asciiTheme="minorHAnsi" w:hAnsiTheme="minorHAnsi"/>
        </w:rPr>
        <w:lastRenderedPageBreak/>
        <w:t>move to the membrane and let glucose through. The liver handles things differently, pulling excess glucose out of circulation and packing it away as glycogen. Once levels have come down sufficiently, insulin output scales back, the body having done what it needed to do.</w:t>
      </w:r>
    </w:p>
    <w:p w14:paraId="44E75B57" w14:textId="77777777" w:rsidR="00493F67" w:rsidRPr="00186DAF" w:rsidRDefault="00000000">
      <w:pPr>
        <w:spacing w:after="160"/>
        <w:jc w:val="both"/>
        <w:rPr>
          <w:rFonts w:asciiTheme="minorHAnsi" w:hAnsiTheme="minorHAnsi"/>
        </w:rPr>
      </w:pPr>
      <w:r w:rsidRPr="00186DAF">
        <w:rPr>
          <w:rFonts w:asciiTheme="minorHAnsi" w:hAnsiTheme="minorHAnsi"/>
        </w:rPr>
        <w:t>When blood glucose levels drop too low (hypoglycaemia), alpha cells in the pancreas secrete glucagon. Glucagon acts on the liver to induce glycogenolysis, the breakdown of stored glycogen into glucose, which is then released into the bloodstream to restore normal glucose levels. In addition, the liver can create new glucose from non-carbohydrate sources using a process known as gluconeogenesis.</w:t>
      </w:r>
    </w:p>
    <w:p w14:paraId="7AA7E1E2" w14:textId="77777777" w:rsidR="00493F67" w:rsidRPr="00186DAF" w:rsidRDefault="00000000">
      <w:pPr>
        <w:spacing w:after="160"/>
        <w:jc w:val="both"/>
        <w:rPr>
          <w:rFonts w:asciiTheme="minorHAnsi" w:hAnsiTheme="minorHAnsi"/>
        </w:rPr>
      </w:pPr>
      <w:r w:rsidRPr="00186DAF">
        <w:rPr>
          <w:rFonts w:asciiTheme="minorHAnsi" w:hAnsiTheme="minorHAnsi"/>
        </w:rPr>
        <w:t>Type 2 diabetes tends to creep up rather than strike suddenly. Cells gradually lose their sensitivity to insulin, and for a while the pancreas manages to compensate by simply making more. But that cannot go on indefinitely. Eventually output falls short, and glucose starts building up in the blood. No single moment causes this — it is more of a slow drift in the wrong direction that, left unchecked, begins to take a toll on blood vessels and nerves throughout the body, contributing to the serious and wide-ranging complications that make the condition so difficult to live with long term (American Diabetes Association, 2023).</w:t>
      </w:r>
    </w:p>
    <w:p w14:paraId="15918DAB" w14:textId="77777777" w:rsidR="00493F67" w:rsidRPr="00186DAF" w:rsidRDefault="00000000">
      <w:pPr>
        <w:pStyle w:val="Heading1"/>
        <w:rPr>
          <w:rFonts w:asciiTheme="minorHAnsi" w:hAnsiTheme="minorHAnsi"/>
          <w:sz w:val="28"/>
          <w:szCs w:val="28"/>
        </w:rPr>
      </w:pPr>
      <w:r w:rsidRPr="00186DAF">
        <w:rPr>
          <w:rFonts w:asciiTheme="minorHAnsi" w:hAnsiTheme="minorHAnsi"/>
          <w:sz w:val="28"/>
          <w:szCs w:val="28"/>
        </w:rPr>
        <w:t>How Oxygen and Glucose are Used to Produce Energy Through Cell Metabolism</w:t>
      </w:r>
    </w:p>
    <w:p w14:paraId="0BF4A8A0" w14:textId="77777777" w:rsidR="00493F67" w:rsidRPr="00186DAF" w:rsidRDefault="00000000">
      <w:pPr>
        <w:spacing w:after="160"/>
        <w:jc w:val="both"/>
        <w:rPr>
          <w:rFonts w:asciiTheme="minorHAnsi" w:hAnsiTheme="minorHAnsi"/>
        </w:rPr>
      </w:pPr>
      <w:r w:rsidRPr="00186DAF">
        <w:rPr>
          <w:rFonts w:asciiTheme="minorHAnsi" w:hAnsiTheme="minorHAnsi"/>
        </w:rPr>
        <w:t>The body’s primary fuel is glucose, which is converted into usable energy through cellular respiration. When oxygen is available, the body uses aerobic respiration, the most efficient mode of energy production. This process has three stages: glycolysis, the Krebs cycle, and oxidative phosphorylation (Berg, Tymoczko, &amp; Stryer, 2015).</w:t>
      </w:r>
    </w:p>
    <w:p w14:paraId="43F5AAE3" w14:textId="77777777" w:rsidR="00493F67" w:rsidRPr="00186DAF" w:rsidRDefault="00000000">
      <w:pPr>
        <w:spacing w:after="160"/>
        <w:jc w:val="both"/>
        <w:rPr>
          <w:rFonts w:asciiTheme="minorHAnsi" w:hAnsiTheme="minorHAnsi"/>
        </w:rPr>
      </w:pPr>
      <w:r w:rsidRPr="00186DAF">
        <w:rPr>
          <w:rFonts w:asciiTheme="minorHAnsi" w:hAnsiTheme="minorHAnsi"/>
        </w:rPr>
        <w:t>Glycolysis, which occurs in the cell’s cytoplasm, converts one molecule of glucose into two molecules of pyruvate. This stage produces only two molecules of ATP (adenosine triphosphate), which is the cell’s energy currency. Pyruvate is then transported to the mitochondria and converted into acetyl-CoA, which is ultimately fed into the Krebs cycle. The Krebs cycle produces electron carriers (NADH and FADH₂) and releases CO2 as a waste product.</w:t>
      </w:r>
    </w:p>
    <w:p w14:paraId="42A9991C" w14:textId="77777777" w:rsidR="00493F67" w:rsidRPr="00186DAF" w:rsidRDefault="00000000">
      <w:pPr>
        <w:spacing w:after="160"/>
        <w:jc w:val="both"/>
        <w:rPr>
          <w:rFonts w:asciiTheme="minorHAnsi" w:hAnsiTheme="minorHAnsi"/>
        </w:rPr>
      </w:pPr>
      <w:r w:rsidRPr="00186DAF">
        <w:rPr>
          <w:rFonts w:asciiTheme="minorHAnsi" w:hAnsiTheme="minorHAnsi"/>
        </w:rPr>
        <w:t>The electron carriers created in the Krebs cycle subsequently move their electrons via the electron transport chain on the inner mitochondrial membrane, resulting in oxidative phosphorylation. Here, oxygen plays an important role as the final electron acceptor, combining with hydrogen ions to form water. This mechanism causes the creation of around 32-34 ATP molecules per glucose molecule. The general equation for aerobic respiration can be summarised as follows: C₆H₁₂O₆ + 6O₂ yields 6CO₂ + 6H₂O + ATP.</w:t>
      </w:r>
    </w:p>
    <w:p w14:paraId="7F63AE6B" w14:textId="77777777" w:rsidR="00493F67" w:rsidRPr="00186DAF" w:rsidRDefault="00000000">
      <w:pPr>
        <w:spacing w:after="160"/>
        <w:jc w:val="both"/>
        <w:rPr>
          <w:rFonts w:asciiTheme="minorHAnsi" w:hAnsiTheme="minorHAnsi"/>
        </w:rPr>
      </w:pPr>
      <w:r w:rsidRPr="00186DAF">
        <w:rPr>
          <w:rFonts w:asciiTheme="minorHAnsi" w:hAnsiTheme="minorHAnsi"/>
        </w:rPr>
        <w:t>In the context of diabetes, poor glucose uptake into cells means that, despite high blood glucose levels, cells may be effectively starved for survival. Without insulin, cells in Type 1 diabetes cannot absorb glucose. They may instead burn down fats and proteins for energy, producing acidic ketone bodies that can lead to the potentially fatal condition diabetic ketoacidosis (DKA). In Type 2 diabetes, impaired glucose uptake affects energy metabolism, resulting in fatigue and reduced cellular performance (Tortora and Derrickson, 2017).</w:t>
      </w:r>
    </w:p>
    <w:p w14:paraId="2E274A9D" w14:textId="77777777" w:rsidR="00493F67" w:rsidRPr="00186DAF" w:rsidRDefault="00000000">
      <w:pPr>
        <w:pStyle w:val="Heading1"/>
        <w:rPr>
          <w:rFonts w:asciiTheme="minorHAnsi" w:hAnsiTheme="minorHAnsi"/>
          <w:sz w:val="28"/>
          <w:szCs w:val="28"/>
        </w:rPr>
      </w:pPr>
      <w:r w:rsidRPr="00186DAF">
        <w:rPr>
          <w:rFonts w:asciiTheme="minorHAnsi" w:hAnsiTheme="minorHAnsi"/>
          <w:sz w:val="28"/>
          <w:szCs w:val="28"/>
        </w:rPr>
        <w:lastRenderedPageBreak/>
        <w:t>How Recording and Tracking Blood Sugar Levels Helps Manage Type 2 Diabetes</w:t>
      </w:r>
    </w:p>
    <w:p w14:paraId="346639BC" w14:textId="77777777" w:rsidR="00493F67" w:rsidRPr="00186DAF" w:rsidRDefault="00000000">
      <w:pPr>
        <w:spacing w:after="160"/>
        <w:jc w:val="both"/>
        <w:rPr>
          <w:rFonts w:asciiTheme="minorHAnsi" w:hAnsiTheme="minorHAnsi"/>
        </w:rPr>
      </w:pPr>
      <w:r w:rsidRPr="00186DAF">
        <w:rPr>
          <w:rFonts w:asciiTheme="minorHAnsi" w:hAnsiTheme="minorHAnsi"/>
        </w:rPr>
        <w:t xml:space="preserve">Knowing what blood glucose is doing on a </w:t>
      </w:r>
      <w:proofErr w:type="gramStart"/>
      <w:r w:rsidRPr="00186DAF">
        <w:rPr>
          <w:rFonts w:asciiTheme="minorHAnsi" w:hAnsiTheme="minorHAnsi"/>
        </w:rPr>
        <w:t>day to day</w:t>
      </w:r>
      <w:proofErr w:type="gramEnd"/>
      <w:r w:rsidRPr="00186DAF">
        <w:rPr>
          <w:rFonts w:asciiTheme="minorHAnsi" w:hAnsiTheme="minorHAnsi"/>
        </w:rPr>
        <w:t xml:space="preserve"> basis changes what is possible in diabetes care. Patterns that might otherwise go unnoticed, a consistent rise after certain meals or a dip at a particular time of day, become visible and actionable. For people managing Type 2 diabetes with insulin or other medications, this kind of ongoing monitoring is especially important, since small shifts in readings can signal that something in the treatment plan needs revisiting. HbA1c testing sits alongside this, not as a replacement but as a way of stepping back and assessing how things have been going over a longer stretch of time (NICE, 2022).</w:t>
      </w:r>
    </w:p>
    <w:p w14:paraId="50C1ACD3" w14:textId="77777777" w:rsidR="00493F67" w:rsidRPr="00186DAF" w:rsidRDefault="00000000">
      <w:pPr>
        <w:spacing w:after="160"/>
        <w:jc w:val="both"/>
        <w:rPr>
          <w:rFonts w:asciiTheme="minorHAnsi" w:hAnsiTheme="minorHAnsi"/>
        </w:rPr>
      </w:pPr>
      <w:r w:rsidRPr="00186DAF">
        <w:rPr>
          <w:rFonts w:asciiTheme="minorHAnsi" w:hAnsiTheme="minorHAnsi"/>
        </w:rPr>
        <w:t>Unlike a routine glucose reading, which only captures what is happening at one moment, the HbA1c test gives a much broader view by measuring glycated haemoglobin across the previous two to three months. That longer window makes it genuinely useful, both for understanding how well the condition is being managed day to day and for deciding whether any changes to treatment are needed. For most people with Type 2 diabetes a result of 48 mmol/mol (6.5%) or below is what is being aimed for, though that figure is not rigid and clinical judgement will always need to factor in what is realistic and appropriate for the individual patient (NICE, 2022).</w:t>
      </w:r>
    </w:p>
    <w:p w14:paraId="310FF817" w14:textId="77777777" w:rsidR="00493F67" w:rsidRPr="00186DAF" w:rsidRDefault="00000000">
      <w:pPr>
        <w:spacing w:after="160"/>
        <w:jc w:val="both"/>
        <w:rPr>
          <w:rFonts w:asciiTheme="minorHAnsi" w:hAnsiTheme="minorHAnsi"/>
        </w:rPr>
      </w:pPr>
      <w:r w:rsidRPr="00186DAF">
        <w:rPr>
          <w:rFonts w:asciiTheme="minorHAnsi" w:hAnsiTheme="minorHAnsi"/>
        </w:rPr>
        <w:t>Patients can use a glucometer at home to take finger-prick blood samples and get quick results. This allows people to detect patterns in their blood sugar levels, such as rises after specific meals or reductions during periods of increased physical activity. Recognising these trends allows patients to make more informed decisions about their diet, exercise, and medication schedules. Structured self-monitoring has been shown to significantly improve HbA1c levels in patients with non-insulin-treated Type 2 diabetes compared with standard care (Malanda et al., 2012).</w:t>
      </w:r>
    </w:p>
    <w:p w14:paraId="4CAD513D" w14:textId="77777777" w:rsidR="00493F67" w:rsidRPr="00186DAF" w:rsidRDefault="00000000">
      <w:pPr>
        <w:spacing w:after="160"/>
        <w:jc w:val="both"/>
        <w:rPr>
          <w:rFonts w:asciiTheme="minorHAnsi" w:hAnsiTheme="minorHAnsi"/>
        </w:rPr>
      </w:pPr>
      <w:r w:rsidRPr="00186DAF">
        <w:rPr>
          <w:rFonts w:asciiTheme="minorHAnsi" w:hAnsiTheme="minorHAnsi"/>
        </w:rPr>
        <w:t>Continuous glucose monitoring has grown in availability in recent years and represents a meaningful step forward in how blood glucose can be tracked. Rather than relying on snapshots taken at fixed points in the day, CGM devices capture what is happening around the clock, giving both the patient and the clinical team a far richer picture of how levels move in response to food, activity, and medication. When that information is brought into consultations, it opens up more targeted conversations about what adjustments might be needed and why.</w:t>
      </w:r>
    </w:p>
    <w:p w14:paraId="3012648F" w14:textId="77777777" w:rsidR="00493F67" w:rsidRPr="00186DAF" w:rsidRDefault="00000000">
      <w:pPr>
        <w:pStyle w:val="Heading1"/>
        <w:rPr>
          <w:rFonts w:asciiTheme="minorHAnsi" w:hAnsiTheme="minorHAnsi"/>
          <w:sz w:val="28"/>
          <w:szCs w:val="28"/>
        </w:rPr>
      </w:pPr>
      <w:r w:rsidRPr="00186DAF">
        <w:rPr>
          <w:rFonts w:asciiTheme="minorHAnsi" w:hAnsiTheme="minorHAnsi"/>
          <w:sz w:val="28"/>
          <w:szCs w:val="28"/>
        </w:rPr>
        <w:t>Evidence-Based Lifestyle Recommendations to Improve the Condition</w:t>
      </w:r>
    </w:p>
    <w:p w14:paraId="4CA87BCB" w14:textId="77777777" w:rsidR="00493F67" w:rsidRPr="00186DAF" w:rsidRDefault="00000000">
      <w:pPr>
        <w:spacing w:after="160"/>
        <w:jc w:val="both"/>
        <w:rPr>
          <w:rFonts w:asciiTheme="minorHAnsi" w:hAnsiTheme="minorHAnsi"/>
        </w:rPr>
      </w:pPr>
      <w:r w:rsidRPr="00186DAF">
        <w:rPr>
          <w:rFonts w:asciiTheme="minorHAnsi" w:hAnsiTheme="minorHAnsi"/>
        </w:rPr>
        <w:t>Lifestyle modification sits at the centre of Type 2 diabetes management and, where it is sustained, can bring about considerable improvements in blood glucose control or even full remission of the condition. The recommendations below are grounded in clinical evidence.</w:t>
      </w:r>
    </w:p>
    <w:p w14:paraId="76A1FD46" w14:textId="77777777" w:rsidR="00493F67" w:rsidRPr="00186DAF" w:rsidRDefault="00000000">
      <w:pPr>
        <w:pStyle w:val="Heading2"/>
        <w:rPr>
          <w:rFonts w:asciiTheme="minorHAnsi" w:hAnsiTheme="minorHAnsi"/>
        </w:rPr>
      </w:pPr>
      <w:r w:rsidRPr="00186DAF">
        <w:rPr>
          <w:rFonts w:asciiTheme="minorHAnsi" w:hAnsiTheme="minorHAnsi"/>
        </w:rPr>
        <w:t>Diet and Nutrition</w:t>
      </w:r>
    </w:p>
    <w:p w14:paraId="3F7E612A" w14:textId="77777777" w:rsidR="00493F67" w:rsidRPr="00186DAF" w:rsidRDefault="00000000">
      <w:pPr>
        <w:spacing w:after="160"/>
        <w:jc w:val="both"/>
        <w:rPr>
          <w:rFonts w:asciiTheme="minorHAnsi" w:hAnsiTheme="minorHAnsi"/>
        </w:rPr>
      </w:pPr>
      <w:r w:rsidRPr="00186DAF">
        <w:rPr>
          <w:rFonts w:asciiTheme="minorHAnsi" w:hAnsiTheme="minorHAnsi"/>
        </w:rPr>
        <w:t xml:space="preserve">A healthy, balanced diet is essential for maintaining blood glucose levels. A low-calorie, total diet replacement programme has been shown to lead to remission of Type 2 diabetes in 46% of participants at 12 months (Lean et al., 2018). Key dietary suggestions include avoiding refined carbohydrates and added sugars, eating more fibre-rich foods </w:t>
      </w:r>
      <w:r w:rsidRPr="00186DAF">
        <w:rPr>
          <w:rFonts w:asciiTheme="minorHAnsi" w:hAnsiTheme="minorHAnsi"/>
        </w:rPr>
        <w:lastRenderedPageBreak/>
        <w:t>including whole grains, vegetables, and legumes, minimising saturated and trans fats, and following a Mediterranean-style or low-glycaemic-index diet. Patients should be encouraged to consult with a registered dietitian to create a tailored dietary plan.</w:t>
      </w:r>
    </w:p>
    <w:p w14:paraId="6E624FF6" w14:textId="77777777" w:rsidR="00493F67" w:rsidRPr="00186DAF" w:rsidRDefault="00000000">
      <w:pPr>
        <w:pStyle w:val="Heading2"/>
        <w:rPr>
          <w:rFonts w:asciiTheme="minorHAnsi" w:hAnsiTheme="minorHAnsi"/>
        </w:rPr>
      </w:pPr>
      <w:r w:rsidRPr="00186DAF">
        <w:rPr>
          <w:rFonts w:asciiTheme="minorHAnsi" w:hAnsiTheme="minorHAnsi"/>
        </w:rPr>
        <w:t>Physical Activity</w:t>
      </w:r>
    </w:p>
    <w:p w14:paraId="4CA28A0D" w14:textId="77777777" w:rsidR="00493F67" w:rsidRPr="00186DAF" w:rsidRDefault="00000000">
      <w:pPr>
        <w:spacing w:after="160"/>
        <w:jc w:val="both"/>
        <w:rPr>
          <w:rFonts w:asciiTheme="minorHAnsi" w:hAnsiTheme="minorHAnsi"/>
        </w:rPr>
      </w:pPr>
      <w:r w:rsidRPr="00186DAF">
        <w:rPr>
          <w:rFonts w:asciiTheme="minorHAnsi" w:hAnsiTheme="minorHAnsi"/>
        </w:rPr>
        <w:t>The relationship between physical activity and glycaemic control is well established. Regular moderate exercise improves the body’s sensitivity to insulin and contributes to lower blood glucose levels over time. Current guidance recommends that adults with Type 2 diabetes aim for a minimum of 150 minutes of aerobic activity per week, incorporating muscle-strengthening work on at least two days (NHS, 2023). Evidence also suggests that structured exercise interventions can produce significant reductions in HbA1c, particularly where aerobic and resistance training are combined (Umpierre et al., 2011).</w:t>
      </w:r>
    </w:p>
    <w:p w14:paraId="1296EDF7" w14:textId="77777777" w:rsidR="00493F67" w:rsidRPr="00186DAF" w:rsidRDefault="00000000">
      <w:pPr>
        <w:pStyle w:val="Heading2"/>
        <w:rPr>
          <w:rFonts w:asciiTheme="minorHAnsi" w:hAnsiTheme="minorHAnsi"/>
        </w:rPr>
      </w:pPr>
      <w:r w:rsidRPr="00186DAF">
        <w:rPr>
          <w:rFonts w:asciiTheme="minorHAnsi" w:hAnsiTheme="minorHAnsi"/>
        </w:rPr>
        <w:t>Stopping Smoking</w:t>
      </w:r>
    </w:p>
    <w:p w14:paraId="4333DD05" w14:textId="77777777" w:rsidR="00493F67" w:rsidRPr="00186DAF" w:rsidRDefault="00000000">
      <w:pPr>
        <w:spacing w:after="160"/>
        <w:jc w:val="both"/>
        <w:rPr>
          <w:rFonts w:asciiTheme="minorHAnsi" w:hAnsiTheme="minorHAnsi"/>
        </w:rPr>
      </w:pPr>
      <w:r w:rsidRPr="00186DAF">
        <w:rPr>
          <w:rFonts w:asciiTheme="minorHAnsi" w:hAnsiTheme="minorHAnsi"/>
        </w:rPr>
        <w:t>Smoking is linked to increased insulin resistance and a substantially higher risk of cardiovascular problems in people with diabetes. Those who smoke should be strongly encouraged to quit and given access to the NHS Stop Smoking Services. Evidence suggests that stopping smoking improves insulin sensitivity and reduces the risk of complications including nephropathy and cardiovascular disease (Willi et al., 2007).</w:t>
      </w:r>
    </w:p>
    <w:p w14:paraId="37B2DCD0" w14:textId="77777777" w:rsidR="00493F67" w:rsidRPr="00186DAF" w:rsidRDefault="00000000">
      <w:pPr>
        <w:pStyle w:val="Heading2"/>
        <w:rPr>
          <w:rFonts w:asciiTheme="minorHAnsi" w:hAnsiTheme="minorHAnsi"/>
        </w:rPr>
      </w:pPr>
      <w:r w:rsidRPr="00186DAF">
        <w:rPr>
          <w:rFonts w:asciiTheme="minorHAnsi" w:hAnsiTheme="minorHAnsi"/>
        </w:rPr>
        <w:t>Weight Management</w:t>
      </w:r>
    </w:p>
    <w:p w14:paraId="63CDE2CA" w14:textId="77777777" w:rsidR="00493F67" w:rsidRPr="00186DAF" w:rsidRDefault="00000000">
      <w:pPr>
        <w:spacing w:after="160"/>
        <w:jc w:val="both"/>
        <w:rPr>
          <w:rFonts w:asciiTheme="minorHAnsi" w:hAnsiTheme="minorHAnsi"/>
        </w:rPr>
      </w:pPr>
      <w:r w:rsidRPr="00186DAF">
        <w:rPr>
          <w:rFonts w:asciiTheme="minorHAnsi" w:hAnsiTheme="minorHAnsi"/>
        </w:rPr>
        <w:t>In overweight people with Type 2 diabetes, even a moderate weight loss of 5-10% of body weight can bring about considerable improvements in blood glucose control, blood pressure, and lipid profiles. Patients should be supported to achieve and maintain a healthier weight through a combination of dietary changes and increased physical activity, with referrals to formal weight management programmes where appropriate.</w:t>
      </w:r>
    </w:p>
    <w:p w14:paraId="6C82474E" w14:textId="77777777" w:rsidR="00493F67" w:rsidRPr="00186DAF" w:rsidRDefault="00000000">
      <w:pPr>
        <w:pStyle w:val="Heading2"/>
        <w:rPr>
          <w:rFonts w:asciiTheme="minorHAnsi" w:hAnsiTheme="minorHAnsi"/>
        </w:rPr>
      </w:pPr>
      <w:r w:rsidRPr="00186DAF">
        <w:rPr>
          <w:rFonts w:asciiTheme="minorHAnsi" w:hAnsiTheme="minorHAnsi"/>
        </w:rPr>
        <w:t>Alcohol Reduction</w:t>
      </w:r>
    </w:p>
    <w:p w14:paraId="5CF67910" w14:textId="77777777" w:rsidR="00493F67" w:rsidRPr="00186DAF" w:rsidRDefault="00000000">
      <w:pPr>
        <w:spacing w:after="160"/>
        <w:jc w:val="both"/>
        <w:rPr>
          <w:rFonts w:asciiTheme="minorHAnsi" w:hAnsiTheme="minorHAnsi"/>
        </w:rPr>
      </w:pPr>
      <w:r w:rsidRPr="00186DAF">
        <w:rPr>
          <w:rFonts w:asciiTheme="minorHAnsi" w:hAnsiTheme="minorHAnsi"/>
        </w:rPr>
        <w:t>Alcohol is another factor that can make blood glucose levels harder to manage. Drinking too much, or drinking in an unpredictable pattern, can push levels either too high or too low, making hypoglycaemia a particular concern, especially for those on insulin where symptoms can be delayed by several hours and are sometimes confused with the effects of drinking itself. UK guidance recommends no more than 14 units per week distributed across at least three days, and part of the practice nurse’s role is helping patients understand why the pattern of drinking matters just as much as the total amount consumed (Diabetes UK, 2023).</w:t>
      </w:r>
    </w:p>
    <w:p w14:paraId="768F5312" w14:textId="77777777" w:rsidR="00493F67" w:rsidRPr="00186DAF" w:rsidRDefault="00000000">
      <w:pPr>
        <w:pStyle w:val="Heading1"/>
        <w:rPr>
          <w:rFonts w:asciiTheme="minorHAnsi" w:hAnsiTheme="minorHAnsi"/>
        </w:rPr>
      </w:pPr>
      <w:r w:rsidRPr="00186DAF">
        <w:rPr>
          <w:rFonts w:asciiTheme="minorHAnsi" w:hAnsiTheme="minorHAnsi"/>
        </w:rPr>
        <w:t>Conclusion</w:t>
      </w:r>
    </w:p>
    <w:p w14:paraId="7372C7D5" w14:textId="77777777" w:rsidR="00493F67" w:rsidRPr="00186DAF" w:rsidRDefault="00000000">
      <w:pPr>
        <w:spacing w:after="160"/>
        <w:jc w:val="both"/>
        <w:rPr>
          <w:rFonts w:asciiTheme="minorHAnsi" w:hAnsiTheme="minorHAnsi"/>
        </w:rPr>
      </w:pPr>
      <w:r w:rsidRPr="00186DAF">
        <w:rPr>
          <w:rFonts w:asciiTheme="minorHAnsi" w:hAnsiTheme="minorHAnsi"/>
        </w:rPr>
        <w:t>Diabetes mellitus, and Type 2 in particular, presents a significant and growing challenge for the NHS. Yet it is also a condition where informed, supported patients can make a genuine difference to their own outcomes. This paper has explored the nature of diabetes and its risk factors, the physiological mechanisms that regulate blood glucose and drive cellular energy production, and the role that consistent monitoring plays in keeping the condition in check.</w:t>
      </w:r>
    </w:p>
    <w:p w14:paraId="15691E9B" w14:textId="77777777" w:rsidR="00493F67" w:rsidRPr="00186DAF" w:rsidRDefault="00000000">
      <w:pPr>
        <w:spacing w:after="160"/>
        <w:jc w:val="both"/>
        <w:rPr>
          <w:rFonts w:asciiTheme="minorHAnsi" w:hAnsiTheme="minorHAnsi"/>
        </w:rPr>
      </w:pPr>
      <w:r w:rsidRPr="00186DAF">
        <w:rPr>
          <w:rFonts w:asciiTheme="minorHAnsi" w:hAnsiTheme="minorHAnsi"/>
        </w:rPr>
        <w:lastRenderedPageBreak/>
        <w:t>The evidence for lifestyle intervention is compelling. Better nutrition, regular physical activity, smoking cessation, and weight management can each contribute to improved glycaemic control and, in some cases, to full remission. People are more likely to make and sustain these changes when they feel they understand why those changes matter and when they feel genuinely supported in making them.</w:t>
      </w:r>
    </w:p>
    <w:p w14:paraId="7CC7ED42" w14:textId="77777777" w:rsidR="00493F67" w:rsidRDefault="00000000">
      <w:pPr>
        <w:spacing w:after="160"/>
        <w:jc w:val="both"/>
        <w:rPr>
          <w:rFonts w:asciiTheme="minorHAnsi" w:hAnsiTheme="minorHAnsi"/>
        </w:rPr>
      </w:pPr>
      <w:r w:rsidRPr="00186DAF">
        <w:rPr>
          <w:rFonts w:asciiTheme="minorHAnsi" w:hAnsiTheme="minorHAnsi"/>
        </w:rPr>
        <w:t>This is where the practice nurse’s role becomes most meaningful. Through honest, person-centred conversations and ongoing education, nurses can help patients move from passive recipients of a diagnosis to active participants in their own care. With the right support, people living with Type 2 diabetes can achieve significantly better health outcomes than the condition’s reputation might suggest.</w:t>
      </w:r>
    </w:p>
    <w:p w14:paraId="55F380E1" w14:textId="77777777" w:rsidR="00186DAF" w:rsidRDefault="00186DAF">
      <w:pPr>
        <w:spacing w:after="160"/>
        <w:jc w:val="both"/>
        <w:rPr>
          <w:rFonts w:asciiTheme="minorHAnsi" w:hAnsiTheme="minorHAnsi"/>
        </w:rPr>
      </w:pPr>
    </w:p>
    <w:p w14:paraId="27937D4F" w14:textId="77777777" w:rsidR="00186DAF" w:rsidRDefault="00186DAF">
      <w:pPr>
        <w:spacing w:after="160"/>
        <w:jc w:val="both"/>
        <w:rPr>
          <w:rFonts w:asciiTheme="minorHAnsi" w:hAnsiTheme="minorHAnsi"/>
        </w:rPr>
      </w:pPr>
    </w:p>
    <w:p w14:paraId="52FCBB16" w14:textId="77777777" w:rsidR="00186DAF" w:rsidRDefault="00186DAF">
      <w:pPr>
        <w:spacing w:after="160"/>
        <w:jc w:val="both"/>
        <w:rPr>
          <w:rFonts w:asciiTheme="minorHAnsi" w:hAnsiTheme="minorHAnsi"/>
        </w:rPr>
      </w:pPr>
    </w:p>
    <w:p w14:paraId="17C9CF48" w14:textId="77777777" w:rsidR="00186DAF" w:rsidRDefault="00186DAF">
      <w:pPr>
        <w:spacing w:after="160"/>
        <w:jc w:val="both"/>
        <w:rPr>
          <w:rFonts w:asciiTheme="minorHAnsi" w:hAnsiTheme="minorHAnsi"/>
        </w:rPr>
      </w:pPr>
    </w:p>
    <w:p w14:paraId="0A629576" w14:textId="77777777" w:rsidR="00186DAF" w:rsidRDefault="00186DAF">
      <w:pPr>
        <w:spacing w:after="160"/>
        <w:jc w:val="both"/>
        <w:rPr>
          <w:rFonts w:asciiTheme="minorHAnsi" w:hAnsiTheme="minorHAnsi"/>
        </w:rPr>
      </w:pPr>
    </w:p>
    <w:p w14:paraId="108AEA7E" w14:textId="77777777" w:rsidR="00186DAF" w:rsidRDefault="00186DAF">
      <w:pPr>
        <w:spacing w:after="160"/>
        <w:jc w:val="both"/>
        <w:rPr>
          <w:rFonts w:asciiTheme="minorHAnsi" w:hAnsiTheme="minorHAnsi"/>
        </w:rPr>
      </w:pPr>
    </w:p>
    <w:p w14:paraId="466D6757" w14:textId="77777777" w:rsidR="00186DAF" w:rsidRDefault="00186DAF">
      <w:pPr>
        <w:spacing w:after="160"/>
        <w:jc w:val="both"/>
        <w:rPr>
          <w:rFonts w:asciiTheme="minorHAnsi" w:hAnsiTheme="minorHAnsi"/>
        </w:rPr>
      </w:pPr>
    </w:p>
    <w:p w14:paraId="358718D2" w14:textId="77777777" w:rsidR="00186DAF" w:rsidRDefault="00186DAF">
      <w:pPr>
        <w:spacing w:after="160"/>
        <w:jc w:val="both"/>
        <w:rPr>
          <w:rFonts w:asciiTheme="minorHAnsi" w:hAnsiTheme="minorHAnsi"/>
        </w:rPr>
      </w:pPr>
    </w:p>
    <w:p w14:paraId="36F10A64" w14:textId="77777777" w:rsidR="00186DAF" w:rsidRDefault="00186DAF">
      <w:pPr>
        <w:spacing w:after="160"/>
        <w:jc w:val="both"/>
        <w:rPr>
          <w:rFonts w:asciiTheme="minorHAnsi" w:hAnsiTheme="minorHAnsi"/>
        </w:rPr>
      </w:pPr>
    </w:p>
    <w:p w14:paraId="20B13CA9" w14:textId="77777777" w:rsidR="00186DAF" w:rsidRDefault="00186DAF">
      <w:pPr>
        <w:spacing w:after="160"/>
        <w:jc w:val="both"/>
        <w:rPr>
          <w:rFonts w:asciiTheme="minorHAnsi" w:hAnsiTheme="minorHAnsi"/>
        </w:rPr>
      </w:pPr>
    </w:p>
    <w:p w14:paraId="69615820" w14:textId="77777777" w:rsidR="00186DAF" w:rsidRDefault="00186DAF">
      <w:pPr>
        <w:spacing w:after="160"/>
        <w:jc w:val="both"/>
        <w:rPr>
          <w:rFonts w:asciiTheme="minorHAnsi" w:hAnsiTheme="minorHAnsi"/>
        </w:rPr>
      </w:pPr>
    </w:p>
    <w:p w14:paraId="543D5AF3" w14:textId="77777777" w:rsidR="00186DAF" w:rsidRDefault="00186DAF">
      <w:pPr>
        <w:spacing w:after="160"/>
        <w:jc w:val="both"/>
        <w:rPr>
          <w:rFonts w:asciiTheme="minorHAnsi" w:hAnsiTheme="minorHAnsi"/>
        </w:rPr>
      </w:pPr>
    </w:p>
    <w:p w14:paraId="650B07C5" w14:textId="77777777" w:rsidR="00186DAF" w:rsidRDefault="00186DAF">
      <w:pPr>
        <w:spacing w:after="160"/>
        <w:jc w:val="both"/>
        <w:rPr>
          <w:rFonts w:asciiTheme="minorHAnsi" w:hAnsiTheme="minorHAnsi"/>
        </w:rPr>
      </w:pPr>
    </w:p>
    <w:p w14:paraId="7ACF7703" w14:textId="77777777" w:rsidR="00186DAF" w:rsidRDefault="00186DAF">
      <w:pPr>
        <w:spacing w:after="160"/>
        <w:jc w:val="both"/>
        <w:rPr>
          <w:rFonts w:asciiTheme="minorHAnsi" w:hAnsiTheme="minorHAnsi"/>
        </w:rPr>
      </w:pPr>
    </w:p>
    <w:p w14:paraId="4F563EC9" w14:textId="77777777" w:rsidR="00186DAF" w:rsidRDefault="00186DAF">
      <w:pPr>
        <w:spacing w:after="160"/>
        <w:jc w:val="both"/>
        <w:rPr>
          <w:rFonts w:asciiTheme="minorHAnsi" w:hAnsiTheme="minorHAnsi"/>
        </w:rPr>
      </w:pPr>
    </w:p>
    <w:p w14:paraId="132AAEB1" w14:textId="77777777" w:rsidR="00186DAF" w:rsidRDefault="00186DAF">
      <w:pPr>
        <w:spacing w:after="160"/>
        <w:jc w:val="both"/>
        <w:rPr>
          <w:rFonts w:asciiTheme="minorHAnsi" w:hAnsiTheme="minorHAnsi"/>
        </w:rPr>
      </w:pPr>
    </w:p>
    <w:p w14:paraId="2D34C751" w14:textId="77777777" w:rsidR="00186DAF" w:rsidRDefault="00186DAF">
      <w:pPr>
        <w:spacing w:after="160"/>
        <w:jc w:val="both"/>
        <w:rPr>
          <w:rFonts w:asciiTheme="minorHAnsi" w:hAnsiTheme="minorHAnsi"/>
        </w:rPr>
      </w:pPr>
    </w:p>
    <w:p w14:paraId="1705CB06" w14:textId="77777777" w:rsidR="00186DAF" w:rsidRDefault="00186DAF">
      <w:pPr>
        <w:spacing w:after="160"/>
        <w:jc w:val="both"/>
        <w:rPr>
          <w:rFonts w:asciiTheme="minorHAnsi" w:hAnsiTheme="minorHAnsi"/>
        </w:rPr>
      </w:pPr>
    </w:p>
    <w:p w14:paraId="463D33EA" w14:textId="77777777" w:rsidR="00186DAF" w:rsidRDefault="00186DAF">
      <w:pPr>
        <w:spacing w:after="160"/>
        <w:jc w:val="both"/>
        <w:rPr>
          <w:rFonts w:asciiTheme="minorHAnsi" w:hAnsiTheme="minorHAnsi"/>
        </w:rPr>
      </w:pPr>
    </w:p>
    <w:p w14:paraId="7A8C7D6C" w14:textId="77777777" w:rsidR="00186DAF" w:rsidRDefault="00186DAF">
      <w:pPr>
        <w:spacing w:after="160"/>
        <w:jc w:val="both"/>
        <w:rPr>
          <w:rFonts w:asciiTheme="minorHAnsi" w:hAnsiTheme="minorHAnsi"/>
        </w:rPr>
      </w:pPr>
    </w:p>
    <w:p w14:paraId="7CEFB65D" w14:textId="77777777" w:rsidR="00186DAF" w:rsidRDefault="00186DAF">
      <w:pPr>
        <w:spacing w:after="160"/>
        <w:jc w:val="both"/>
        <w:rPr>
          <w:rFonts w:asciiTheme="minorHAnsi" w:hAnsiTheme="minorHAnsi"/>
        </w:rPr>
      </w:pPr>
    </w:p>
    <w:p w14:paraId="50E0DF72" w14:textId="77777777" w:rsidR="00186DAF" w:rsidRDefault="00186DAF">
      <w:pPr>
        <w:spacing w:after="160"/>
        <w:jc w:val="both"/>
        <w:rPr>
          <w:rFonts w:asciiTheme="minorHAnsi" w:hAnsiTheme="minorHAnsi"/>
        </w:rPr>
      </w:pPr>
    </w:p>
    <w:p w14:paraId="4FCFF4AF" w14:textId="77777777" w:rsidR="00186DAF" w:rsidRPr="00186DAF" w:rsidRDefault="00186DAF">
      <w:pPr>
        <w:spacing w:after="160"/>
        <w:jc w:val="both"/>
        <w:rPr>
          <w:rFonts w:asciiTheme="minorHAnsi" w:hAnsiTheme="minorHAnsi"/>
        </w:rPr>
      </w:pPr>
    </w:p>
    <w:p w14:paraId="1CE5EBB9" w14:textId="77777777" w:rsidR="00493F67" w:rsidRPr="00186DAF" w:rsidRDefault="00000000">
      <w:pPr>
        <w:pStyle w:val="Heading1"/>
        <w:rPr>
          <w:rFonts w:asciiTheme="minorHAnsi" w:hAnsiTheme="minorHAnsi"/>
          <w:sz w:val="28"/>
          <w:szCs w:val="28"/>
        </w:rPr>
      </w:pPr>
      <w:r w:rsidRPr="00186DAF">
        <w:rPr>
          <w:rFonts w:asciiTheme="minorHAnsi" w:hAnsiTheme="minorHAnsi"/>
          <w:sz w:val="28"/>
          <w:szCs w:val="28"/>
        </w:rPr>
        <w:lastRenderedPageBreak/>
        <w:t>References</w:t>
      </w:r>
    </w:p>
    <w:p w14:paraId="3B90DD84" w14:textId="77777777" w:rsidR="00493F67" w:rsidRPr="00186DAF" w:rsidRDefault="00000000">
      <w:pPr>
        <w:spacing w:after="120"/>
        <w:ind w:left="720" w:hanging="720"/>
        <w:rPr>
          <w:rFonts w:asciiTheme="minorHAnsi" w:hAnsiTheme="minorHAnsi"/>
        </w:rPr>
      </w:pPr>
      <w:r w:rsidRPr="00186DAF">
        <w:rPr>
          <w:rFonts w:asciiTheme="minorHAnsi" w:hAnsiTheme="minorHAnsi"/>
        </w:rPr>
        <w:t>American Diabetes Association (2023) ‘Standards of Medical Care in Diabetes’, Diabetes Care, 46(Suppl. 1), pp. S1–S291.</w:t>
      </w:r>
    </w:p>
    <w:p w14:paraId="3F8EEB78" w14:textId="77777777" w:rsidR="00493F67" w:rsidRPr="00186DAF" w:rsidRDefault="00000000">
      <w:pPr>
        <w:spacing w:after="120"/>
        <w:ind w:left="720" w:hanging="720"/>
        <w:rPr>
          <w:rFonts w:asciiTheme="minorHAnsi" w:hAnsiTheme="minorHAnsi"/>
        </w:rPr>
      </w:pPr>
      <w:r w:rsidRPr="00186DAF">
        <w:rPr>
          <w:rFonts w:asciiTheme="minorHAnsi" w:hAnsiTheme="minorHAnsi"/>
        </w:rPr>
        <w:t xml:space="preserve">Berg, J.M., Tymoczko, J.L. and Stryer, L. (2015) Biochemistry. 8th </w:t>
      </w:r>
      <w:proofErr w:type="spellStart"/>
      <w:r w:rsidRPr="00186DAF">
        <w:rPr>
          <w:rFonts w:asciiTheme="minorHAnsi" w:hAnsiTheme="minorHAnsi"/>
        </w:rPr>
        <w:t>edn</w:t>
      </w:r>
      <w:proofErr w:type="spellEnd"/>
      <w:r w:rsidRPr="00186DAF">
        <w:rPr>
          <w:rFonts w:asciiTheme="minorHAnsi" w:hAnsiTheme="minorHAnsi"/>
        </w:rPr>
        <w:t>. New York: W.H. Freeman.</w:t>
      </w:r>
    </w:p>
    <w:p w14:paraId="68EC1E40" w14:textId="77777777" w:rsidR="00493F67" w:rsidRPr="00186DAF" w:rsidRDefault="00000000">
      <w:pPr>
        <w:spacing w:after="120"/>
        <w:ind w:left="720" w:hanging="720"/>
        <w:rPr>
          <w:rFonts w:asciiTheme="minorHAnsi" w:hAnsiTheme="minorHAnsi"/>
        </w:rPr>
      </w:pPr>
      <w:r w:rsidRPr="00186DAF">
        <w:rPr>
          <w:rFonts w:asciiTheme="minorHAnsi" w:hAnsiTheme="minorHAnsi"/>
        </w:rPr>
        <w:t>Diabetes UK (2023) Diabetes: the basics. Available at: https://www.diabetes.org.uk (Accessed: 18 June 2026).</w:t>
      </w:r>
    </w:p>
    <w:p w14:paraId="45517E47" w14:textId="77777777" w:rsidR="00493F67" w:rsidRPr="00186DAF" w:rsidRDefault="00000000">
      <w:pPr>
        <w:spacing w:after="120"/>
        <w:ind w:left="720" w:hanging="720"/>
        <w:rPr>
          <w:rFonts w:asciiTheme="minorHAnsi" w:hAnsiTheme="minorHAnsi"/>
        </w:rPr>
      </w:pPr>
      <w:r w:rsidRPr="00186DAF">
        <w:rPr>
          <w:rFonts w:asciiTheme="minorHAnsi" w:hAnsiTheme="minorHAnsi"/>
        </w:rPr>
        <w:t>Lean, M.E.J., Leslie, W.S., Barnes, A.C. et al. (2018) ‘Primary care-led weight management for remission of type 2 diabetes (</w:t>
      </w:r>
      <w:proofErr w:type="spellStart"/>
      <w:r w:rsidRPr="00186DAF">
        <w:rPr>
          <w:rFonts w:asciiTheme="minorHAnsi" w:hAnsiTheme="minorHAnsi"/>
        </w:rPr>
        <w:t>DiRECT</w:t>
      </w:r>
      <w:proofErr w:type="spellEnd"/>
      <w:r w:rsidRPr="00186DAF">
        <w:rPr>
          <w:rFonts w:asciiTheme="minorHAnsi" w:hAnsiTheme="minorHAnsi"/>
        </w:rPr>
        <w:t>): an open-label, cluster-randomised trial’, The Lancet, 391(10120), pp. 541–551.</w:t>
      </w:r>
    </w:p>
    <w:p w14:paraId="62663B63" w14:textId="77777777" w:rsidR="00493F67" w:rsidRPr="00186DAF" w:rsidRDefault="00000000">
      <w:pPr>
        <w:spacing w:after="120"/>
        <w:ind w:left="720" w:hanging="720"/>
        <w:rPr>
          <w:rFonts w:asciiTheme="minorHAnsi" w:hAnsiTheme="minorHAnsi"/>
        </w:rPr>
      </w:pPr>
      <w:r w:rsidRPr="00186DAF">
        <w:rPr>
          <w:rFonts w:asciiTheme="minorHAnsi" w:hAnsiTheme="minorHAnsi"/>
        </w:rPr>
        <w:t xml:space="preserve">Malanda, U.L., </w:t>
      </w:r>
      <w:proofErr w:type="spellStart"/>
      <w:r w:rsidRPr="00186DAF">
        <w:rPr>
          <w:rFonts w:asciiTheme="minorHAnsi" w:hAnsiTheme="minorHAnsi"/>
        </w:rPr>
        <w:t>Welschen</w:t>
      </w:r>
      <w:proofErr w:type="spellEnd"/>
      <w:r w:rsidRPr="00186DAF">
        <w:rPr>
          <w:rFonts w:asciiTheme="minorHAnsi" w:hAnsiTheme="minorHAnsi"/>
        </w:rPr>
        <w:t xml:space="preserve">, L.M.C., </w:t>
      </w:r>
      <w:proofErr w:type="spellStart"/>
      <w:r w:rsidRPr="00186DAF">
        <w:rPr>
          <w:rFonts w:asciiTheme="minorHAnsi" w:hAnsiTheme="minorHAnsi"/>
        </w:rPr>
        <w:t>Riphagen</w:t>
      </w:r>
      <w:proofErr w:type="spellEnd"/>
      <w:r w:rsidRPr="00186DAF">
        <w:rPr>
          <w:rFonts w:asciiTheme="minorHAnsi" w:hAnsiTheme="minorHAnsi"/>
        </w:rPr>
        <w:t xml:space="preserve">, I.I., Dekker, J.M., </w:t>
      </w:r>
      <w:proofErr w:type="spellStart"/>
      <w:r w:rsidRPr="00186DAF">
        <w:rPr>
          <w:rFonts w:asciiTheme="minorHAnsi" w:hAnsiTheme="minorHAnsi"/>
        </w:rPr>
        <w:t>Nijpels</w:t>
      </w:r>
      <w:proofErr w:type="spellEnd"/>
      <w:r w:rsidRPr="00186DAF">
        <w:rPr>
          <w:rFonts w:asciiTheme="minorHAnsi" w:hAnsiTheme="minorHAnsi"/>
        </w:rPr>
        <w:t>, G. and Bot, S.D.M. (2012) ‘Self-monitoring of blood glucose in patients with type 2 diabetes mellitus who are not using insulin’, Cochrane Database of Systematic Reviews, Issue 1.</w:t>
      </w:r>
    </w:p>
    <w:p w14:paraId="07013DC1" w14:textId="77777777" w:rsidR="00493F67" w:rsidRPr="00186DAF" w:rsidRDefault="00000000">
      <w:pPr>
        <w:spacing w:after="120"/>
        <w:ind w:left="720" w:hanging="720"/>
        <w:rPr>
          <w:rFonts w:asciiTheme="minorHAnsi" w:hAnsiTheme="minorHAnsi"/>
        </w:rPr>
      </w:pPr>
      <w:r w:rsidRPr="00186DAF">
        <w:rPr>
          <w:rFonts w:asciiTheme="minorHAnsi" w:hAnsiTheme="minorHAnsi"/>
        </w:rPr>
        <w:t>National Health Service (2023) Type 2 diabetes. Available at: https://www.nhs.uk/conditions/type-2-diabetes (Accessed: 18 June 2026).</w:t>
      </w:r>
    </w:p>
    <w:p w14:paraId="55AAC118" w14:textId="77777777" w:rsidR="00493F67" w:rsidRPr="00186DAF" w:rsidRDefault="00000000">
      <w:pPr>
        <w:spacing w:after="120"/>
        <w:ind w:left="720" w:hanging="720"/>
        <w:rPr>
          <w:rFonts w:asciiTheme="minorHAnsi" w:hAnsiTheme="minorHAnsi"/>
        </w:rPr>
      </w:pPr>
      <w:r w:rsidRPr="00186DAF">
        <w:rPr>
          <w:rFonts w:asciiTheme="minorHAnsi" w:hAnsiTheme="minorHAnsi"/>
        </w:rPr>
        <w:t>National Institute for Health and Care Excellence (2022) Type 2 diabetes in adults: management (NG28). London: NICE.</w:t>
      </w:r>
    </w:p>
    <w:p w14:paraId="12BEA777" w14:textId="77777777" w:rsidR="00493F67" w:rsidRPr="00186DAF" w:rsidRDefault="00000000">
      <w:pPr>
        <w:spacing w:after="120"/>
        <w:ind w:left="720" w:hanging="720"/>
        <w:rPr>
          <w:rFonts w:asciiTheme="minorHAnsi" w:hAnsiTheme="minorHAnsi"/>
        </w:rPr>
      </w:pPr>
      <w:r w:rsidRPr="00186DAF">
        <w:rPr>
          <w:rFonts w:asciiTheme="minorHAnsi" w:hAnsiTheme="minorHAnsi"/>
        </w:rPr>
        <w:t xml:space="preserve">Tortora, G.J. and Derrickson, B. (2017) Principles of anatomy and physiology. 15th </w:t>
      </w:r>
      <w:proofErr w:type="spellStart"/>
      <w:r w:rsidRPr="00186DAF">
        <w:rPr>
          <w:rFonts w:asciiTheme="minorHAnsi" w:hAnsiTheme="minorHAnsi"/>
        </w:rPr>
        <w:t>edn</w:t>
      </w:r>
      <w:proofErr w:type="spellEnd"/>
      <w:r w:rsidRPr="00186DAF">
        <w:rPr>
          <w:rFonts w:asciiTheme="minorHAnsi" w:hAnsiTheme="minorHAnsi"/>
        </w:rPr>
        <w:t>. New Jersey: Wiley.</w:t>
      </w:r>
    </w:p>
    <w:p w14:paraId="372B295E" w14:textId="77777777" w:rsidR="00493F67" w:rsidRPr="00186DAF" w:rsidRDefault="00000000">
      <w:pPr>
        <w:spacing w:after="120"/>
        <w:ind w:left="720" w:hanging="720"/>
        <w:rPr>
          <w:rFonts w:asciiTheme="minorHAnsi" w:hAnsiTheme="minorHAnsi"/>
        </w:rPr>
      </w:pPr>
      <w:r w:rsidRPr="00186DAF">
        <w:rPr>
          <w:rFonts w:asciiTheme="minorHAnsi" w:hAnsiTheme="minorHAnsi"/>
        </w:rPr>
        <w:t>Umpierre, D., Ribeiro, P.A.B., Kramer, C.K. et al. (2011) ‘Physical activity advice only or structured exercise training and association with HbA1c levels in type 2 diabetes’, JAMA, 305(17), pp. 1790–1799.</w:t>
      </w:r>
    </w:p>
    <w:p w14:paraId="0DDECA47" w14:textId="77777777" w:rsidR="00493F67" w:rsidRPr="00186DAF" w:rsidRDefault="00000000">
      <w:pPr>
        <w:spacing w:after="120"/>
        <w:ind w:left="720" w:hanging="720"/>
        <w:rPr>
          <w:rFonts w:asciiTheme="minorHAnsi" w:hAnsiTheme="minorHAnsi"/>
        </w:rPr>
      </w:pPr>
      <w:r w:rsidRPr="00186DAF">
        <w:rPr>
          <w:rFonts w:asciiTheme="minorHAnsi" w:hAnsiTheme="minorHAnsi"/>
        </w:rPr>
        <w:t xml:space="preserve">Willi, C., Bodenmann, P., Ghali, W.A., Faris, P.D. and </w:t>
      </w:r>
      <w:proofErr w:type="spellStart"/>
      <w:r w:rsidRPr="00186DAF">
        <w:rPr>
          <w:rFonts w:asciiTheme="minorHAnsi" w:hAnsiTheme="minorHAnsi"/>
        </w:rPr>
        <w:t>Cornuz</w:t>
      </w:r>
      <w:proofErr w:type="spellEnd"/>
      <w:r w:rsidRPr="00186DAF">
        <w:rPr>
          <w:rFonts w:asciiTheme="minorHAnsi" w:hAnsiTheme="minorHAnsi"/>
        </w:rPr>
        <w:t>, J. (2007) ‘Active smoking and the risk of type 2 diabetes: a systematic review and meta-analysis’, JAMA, 298(22), pp. 2654–2664.</w:t>
      </w:r>
    </w:p>
    <w:sectPr w:rsidR="00493F67" w:rsidRPr="00186DAF">
      <w:pgSz w:w="11906" w:h="16838"/>
      <w:pgMar w:top="1440" w:right="1440" w:bottom="1440" w:left="1440" w:header="708" w:footer="708"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03810D7"/>
    <w:multiLevelType w:val="hybridMultilevel"/>
    <w:tmpl w:val="8710D5CC"/>
    <w:lvl w:ilvl="0" w:tplc="71542C00">
      <w:start w:val="1"/>
      <w:numFmt w:val="bullet"/>
      <w:lvlText w:val="●"/>
      <w:lvlJc w:val="left"/>
      <w:pPr>
        <w:ind w:left="720" w:hanging="360"/>
      </w:pPr>
    </w:lvl>
    <w:lvl w:ilvl="1" w:tplc="864442C0">
      <w:start w:val="1"/>
      <w:numFmt w:val="bullet"/>
      <w:lvlText w:val="○"/>
      <w:lvlJc w:val="left"/>
      <w:pPr>
        <w:ind w:left="1440" w:hanging="360"/>
      </w:pPr>
    </w:lvl>
    <w:lvl w:ilvl="2" w:tplc="2090833C">
      <w:start w:val="1"/>
      <w:numFmt w:val="bullet"/>
      <w:lvlText w:val="■"/>
      <w:lvlJc w:val="left"/>
      <w:pPr>
        <w:ind w:left="2160" w:hanging="360"/>
      </w:pPr>
    </w:lvl>
    <w:lvl w:ilvl="3" w:tplc="10F27434">
      <w:start w:val="1"/>
      <w:numFmt w:val="bullet"/>
      <w:lvlText w:val="●"/>
      <w:lvlJc w:val="left"/>
      <w:pPr>
        <w:ind w:left="2880" w:hanging="360"/>
      </w:pPr>
    </w:lvl>
    <w:lvl w:ilvl="4" w:tplc="72D610BC">
      <w:start w:val="1"/>
      <w:numFmt w:val="bullet"/>
      <w:lvlText w:val="○"/>
      <w:lvlJc w:val="left"/>
      <w:pPr>
        <w:ind w:left="3600" w:hanging="360"/>
      </w:pPr>
    </w:lvl>
    <w:lvl w:ilvl="5" w:tplc="81DC755C">
      <w:start w:val="1"/>
      <w:numFmt w:val="bullet"/>
      <w:lvlText w:val="■"/>
      <w:lvlJc w:val="left"/>
      <w:pPr>
        <w:ind w:left="4320" w:hanging="360"/>
      </w:pPr>
    </w:lvl>
    <w:lvl w:ilvl="6" w:tplc="E03608DC">
      <w:start w:val="1"/>
      <w:numFmt w:val="bullet"/>
      <w:lvlText w:val="●"/>
      <w:lvlJc w:val="left"/>
      <w:pPr>
        <w:ind w:left="5040" w:hanging="360"/>
      </w:pPr>
    </w:lvl>
    <w:lvl w:ilvl="7" w:tplc="3850A858">
      <w:start w:val="1"/>
      <w:numFmt w:val="bullet"/>
      <w:lvlText w:val="●"/>
      <w:lvlJc w:val="left"/>
      <w:pPr>
        <w:ind w:left="5760" w:hanging="360"/>
      </w:pPr>
    </w:lvl>
    <w:lvl w:ilvl="8" w:tplc="BF9C5E5A">
      <w:start w:val="1"/>
      <w:numFmt w:val="bullet"/>
      <w:lvlText w:val="●"/>
      <w:lvlJc w:val="left"/>
      <w:pPr>
        <w:ind w:left="6480" w:hanging="360"/>
      </w:pPr>
    </w:lvl>
  </w:abstractNum>
  <w:abstractNum w:abstractNumId="1" w15:restartNumberingAfterBreak="0">
    <w:nsid w:val="3F0306D1"/>
    <w:multiLevelType w:val="hybridMultilevel"/>
    <w:tmpl w:val="3B1899D0"/>
    <w:lvl w:ilvl="0" w:tplc="2D661482">
      <w:start w:val="1"/>
      <w:numFmt w:val="bullet"/>
      <w:lvlText w:val="•"/>
      <w:lvlJc w:val="left"/>
      <w:pPr>
        <w:ind w:left="720" w:hanging="360"/>
      </w:pPr>
    </w:lvl>
    <w:lvl w:ilvl="1" w:tplc="200E42A4">
      <w:numFmt w:val="decimal"/>
      <w:lvlText w:val=""/>
      <w:lvlJc w:val="left"/>
    </w:lvl>
    <w:lvl w:ilvl="2" w:tplc="F4EE1814">
      <w:numFmt w:val="decimal"/>
      <w:lvlText w:val=""/>
      <w:lvlJc w:val="left"/>
    </w:lvl>
    <w:lvl w:ilvl="3" w:tplc="2684E5AC">
      <w:numFmt w:val="decimal"/>
      <w:lvlText w:val=""/>
      <w:lvlJc w:val="left"/>
    </w:lvl>
    <w:lvl w:ilvl="4" w:tplc="84543386">
      <w:numFmt w:val="decimal"/>
      <w:lvlText w:val=""/>
      <w:lvlJc w:val="left"/>
    </w:lvl>
    <w:lvl w:ilvl="5" w:tplc="0F5455CE">
      <w:numFmt w:val="decimal"/>
      <w:lvlText w:val=""/>
      <w:lvlJc w:val="left"/>
    </w:lvl>
    <w:lvl w:ilvl="6" w:tplc="109A61E0">
      <w:numFmt w:val="decimal"/>
      <w:lvlText w:val=""/>
      <w:lvlJc w:val="left"/>
    </w:lvl>
    <w:lvl w:ilvl="7" w:tplc="2EACCE68">
      <w:numFmt w:val="decimal"/>
      <w:lvlText w:val=""/>
      <w:lvlJc w:val="left"/>
    </w:lvl>
    <w:lvl w:ilvl="8" w:tplc="EF74F90A">
      <w:numFmt w:val="decimal"/>
      <w:lvlText w:val=""/>
      <w:lvlJc w:val="left"/>
    </w:lvl>
  </w:abstractNum>
  <w:num w:numId="1" w16cid:durableId="618268768">
    <w:abstractNumId w:val="0"/>
    <w:lvlOverride w:ilvl="0">
      <w:startOverride w:val="1"/>
    </w:lvlOverride>
  </w:num>
  <w:num w:numId="2" w16cid:durableId="1057633889">
    <w:abstractNumId w:val="1"/>
    <w:lvlOverride w:ilvl="0">
      <w:startOverride w:val="1"/>
    </w:lvlOverride>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14"/>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93F67"/>
    <w:rsid w:val="00113070"/>
    <w:rsid w:val="00186DAF"/>
    <w:rsid w:val="00493F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D39AE8F"/>
  <w15:docId w15:val="{1B654015-255B-2042-BCE8-ED8DFC4B71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imes New Roman" w:eastAsia="Times New Roman" w:hAnsi="Times New Roman" w:cs="Times New Roman"/>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spacing w:before="240" w:after="160"/>
      <w:outlineLvl w:val="0"/>
    </w:pPr>
    <w:rPr>
      <w:b/>
      <w:bCs/>
      <w:color w:val="000000"/>
    </w:rPr>
  </w:style>
  <w:style w:type="paragraph" w:styleId="Heading2">
    <w:name w:val="heading 2"/>
    <w:uiPriority w:val="9"/>
    <w:unhideWhenUsed/>
    <w:qFormat/>
    <w:pPr>
      <w:spacing w:before="200" w:after="120"/>
      <w:outlineLvl w:val="1"/>
    </w:pPr>
    <w:rPr>
      <w:b/>
      <w:bCs/>
      <w:color w:val="000000"/>
    </w:rPr>
  </w:style>
  <w:style w:type="paragraph" w:styleId="Heading3">
    <w:name w:val="heading 3"/>
    <w:uiPriority w:val="9"/>
    <w:semiHidden/>
    <w:unhideWhenUsed/>
    <w:qFormat/>
    <w:pPr>
      <w:outlineLvl w:val="2"/>
    </w:pPr>
    <w:rPr>
      <w:color w:val="1F4D78"/>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2</TotalTime>
  <Pages>7</Pages>
  <Words>2185</Words>
  <Characters>12458</Characters>
  <Application>Microsoft Office Word</Application>
  <DocSecurity>0</DocSecurity>
  <Lines>103</Lines>
  <Paragraphs>29</Paragraphs>
  <ScaleCrop>false</ScaleCrop>
  <Company/>
  <LinksUpToDate>false</LinksUpToDate>
  <CharactersWithSpaces>14614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Rania Zeb</cp:lastModifiedBy>
  <cp:revision>2</cp:revision>
  <dcterms:created xsi:type="dcterms:W3CDTF">2026-06-28T11:03:00Z</dcterms:created>
  <dcterms:modified xsi:type="dcterms:W3CDTF">2026-06-28T11:05:00Z</dcterms:modified>
</cp:coreProperties>
</file>