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5"/>
        <w:gridCol w:w="2698"/>
        <w:gridCol w:w="2541"/>
        <w:gridCol w:w="2136"/>
      </w:tblGrid>
      <w:tr w:rsidR="00F30AB4" w:rsidRPr="007B61C7" w14:paraId="2015F4C3" w14:textId="77777777" w:rsidTr="007B61C7">
        <w:tc>
          <w:tcPr>
            <w:tcW w:w="1056" w:type="pct"/>
            <w:shd w:val="pct15" w:color="auto" w:fill="auto"/>
          </w:tcPr>
          <w:p w14:paraId="087E2895" w14:textId="77777777" w:rsidR="00F30AB4" w:rsidRPr="007B61C7" w:rsidRDefault="00F30AB4" w:rsidP="00F30AB4">
            <w:pPr>
              <w:rPr>
                <w:b/>
                <w:bCs/>
              </w:rPr>
            </w:pPr>
            <w:r w:rsidRPr="007B61C7">
              <w:rPr>
                <w:b/>
                <w:bCs/>
              </w:rPr>
              <w:t>Student name:</w:t>
            </w:r>
          </w:p>
        </w:tc>
        <w:tc>
          <w:tcPr>
            <w:tcW w:w="1443" w:type="pct"/>
          </w:tcPr>
          <w:p w14:paraId="6AE77F1E" w14:textId="7E6CF9D8" w:rsidR="00F30AB4" w:rsidRPr="007B61C7" w:rsidRDefault="007B61C7" w:rsidP="00F30AB4">
            <w:pPr>
              <w:rPr>
                <w:b/>
                <w:bCs/>
              </w:rPr>
            </w:pPr>
            <w:r w:rsidRPr="007B61C7">
              <w:rPr>
                <w:b/>
                <w:bCs/>
              </w:rPr>
              <w:t>SALMA SHAHZAD</w:t>
            </w:r>
          </w:p>
        </w:tc>
        <w:tc>
          <w:tcPr>
            <w:tcW w:w="1359" w:type="pct"/>
            <w:shd w:val="clear" w:color="auto" w:fill="D9D9D9"/>
          </w:tcPr>
          <w:p w14:paraId="4E049B6E" w14:textId="77777777" w:rsidR="00F30AB4" w:rsidRPr="007B61C7" w:rsidRDefault="00F30AB4" w:rsidP="00F30AB4">
            <w:pPr>
              <w:rPr>
                <w:b/>
                <w:bCs/>
              </w:rPr>
            </w:pPr>
            <w:r w:rsidRPr="007B61C7">
              <w:rPr>
                <w:b/>
                <w:bCs/>
              </w:rPr>
              <w:t>Student ID number:</w:t>
            </w:r>
          </w:p>
        </w:tc>
        <w:tc>
          <w:tcPr>
            <w:tcW w:w="1142" w:type="pct"/>
          </w:tcPr>
          <w:p w14:paraId="21CBBCC7" w14:textId="31A29282" w:rsidR="00F30AB4" w:rsidRPr="007B61C7" w:rsidRDefault="007B61C7" w:rsidP="00F30AB4">
            <w:pPr>
              <w:rPr>
                <w:b/>
                <w:bCs/>
              </w:rPr>
            </w:pPr>
            <w:r w:rsidRPr="007B61C7">
              <w:rPr>
                <w:b/>
                <w:bCs/>
              </w:rPr>
              <w:t>2332701</w:t>
            </w:r>
          </w:p>
        </w:tc>
      </w:tr>
      <w:tr w:rsidR="00F30AB4" w:rsidRPr="007B61C7" w14:paraId="28118B24" w14:textId="77777777" w:rsidTr="007B61C7">
        <w:tc>
          <w:tcPr>
            <w:tcW w:w="1056" w:type="pct"/>
            <w:shd w:val="pct15" w:color="auto" w:fill="auto"/>
          </w:tcPr>
          <w:p w14:paraId="055BA7D9" w14:textId="77777777" w:rsidR="00F30AB4" w:rsidRPr="007B61C7" w:rsidRDefault="00F30AB4" w:rsidP="00F30AB4">
            <w:pPr>
              <w:rPr>
                <w:b/>
                <w:bCs/>
              </w:rPr>
            </w:pPr>
            <w:proofErr w:type="spellStart"/>
            <w:r w:rsidRPr="007B61C7">
              <w:rPr>
                <w:b/>
                <w:bCs/>
              </w:rPr>
              <w:t>Programme</w:t>
            </w:r>
            <w:proofErr w:type="spellEnd"/>
            <w:r w:rsidRPr="007B61C7">
              <w:rPr>
                <w:b/>
                <w:bCs/>
              </w:rPr>
              <w:t>:</w:t>
            </w:r>
          </w:p>
        </w:tc>
        <w:tc>
          <w:tcPr>
            <w:tcW w:w="3944" w:type="pct"/>
            <w:gridSpan w:val="3"/>
          </w:tcPr>
          <w:p w14:paraId="2842DC7E" w14:textId="77777777" w:rsidR="00F30AB4" w:rsidRPr="007B61C7" w:rsidRDefault="00F30AB4" w:rsidP="00F30AB4">
            <w:pPr>
              <w:rPr>
                <w:b/>
                <w:bCs/>
              </w:rPr>
            </w:pPr>
            <w:r w:rsidRPr="007B61C7">
              <w:rPr>
                <w:b/>
                <w:bCs/>
              </w:rPr>
              <w:t>Certificate of Higher Education Skills for the Workplace (Health and Social Care)</w:t>
            </w:r>
          </w:p>
        </w:tc>
      </w:tr>
      <w:tr w:rsidR="00F30AB4" w:rsidRPr="007B61C7" w14:paraId="06981C9E" w14:textId="77777777" w:rsidTr="007B61C7">
        <w:tc>
          <w:tcPr>
            <w:tcW w:w="1056" w:type="pct"/>
            <w:shd w:val="pct15" w:color="auto" w:fill="auto"/>
          </w:tcPr>
          <w:p w14:paraId="4413B4DA" w14:textId="77777777" w:rsidR="00F30AB4" w:rsidRPr="007B61C7" w:rsidRDefault="00F30AB4" w:rsidP="00F30AB4">
            <w:pPr>
              <w:rPr>
                <w:b/>
                <w:bCs/>
              </w:rPr>
            </w:pPr>
            <w:r w:rsidRPr="007B61C7">
              <w:rPr>
                <w:b/>
                <w:bCs/>
              </w:rPr>
              <w:t>Module:</w:t>
            </w:r>
          </w:p>
        </w:tc>
        <w:tc>
          <w:tcPr>
            <w:tcW w:w="3944" w:type="pct"/>
            <w:gridSpan w:val="3"/>
          </w:tcPr>
          <w:p w14:paraId="430DE1B1" w14:textId="77777777" w:rsidR="00F30AB4" w:rsidRPr="007B61C7" w:rsidRDefault="00F30AB4" w:rsidP="00F30AB4">
            <w:pPr>
              <w:rPr>
                <w:b/>
                <w:bCs/>
              </w:rPr>
            </w:pPr>
            <w:r w:rsidRPr="007B61C7">
              <w:rPr>
                <w:b/>
                <w:bCs/>
              </w:rPr>
              <w:t>Psychology in Health and Social Care</w:t>
            </w:r>
          </w:p>
        </w:tc>
      </w:tr>
      <w:tr w:rsidR="00F30AB4" w:rsidRPr="007B61C7" w14:paraId="25418AFD" w14:textId="77777777" w:rsidTr="007B61C7">
        <w:tc>
          <w:tcPr>
            <w:tcW w:w="1056" w:type="pct"/>
            <w:shd w:val="pct15" w:color="auto" w:fill="auto"/>
          </w:tcPr>
          <w:p w14:paraId="148EA0A9" w14:textId="77777777" w:rsidR="00F30AB4" w:rsidRPr="007B61C7" w:rsidRDefault="00F30AB4" w:rsidP="00F30AB4">
            <w:pPr>
              <w:rPr>
                <w:b/>
                <w:bCs/>
              </w:rPr>
            </w:pPr>
            <w:r w:rsidRPr="007B61C7">
              <w:rPr>
                <w:b/>
                <w:bCs/>
              </w:rPr>
              <w:t>Module code:</w:t>
            </w:r>
          </w:p>
        </w:tc>
        <w:tc>
          <w:tcPr>
            <w:tcW w:w="1443" w:type="pct"/>
          </w:tcPr>
          <w:p w14:paraId="3EB61CE8" w14:textId="77777777" w:rsidR="00F30AB4" w:rsidRPr="007B61C7" w:rsidRDefault="00F30AB4" w:rsidP="00F30AB4">
            <w:pPr>
              <w:rPr>
                <w:b/>
                <w:bCs/>
              </w:rPr>
            </w:pPr>
            <w:r w:rsidRPr="007B61C7">
              <w:rPr>
                <w:b/>
                <w:bCs/>
              </w:rPr>
              <w:t>LCHS4010</w:t>
            </w:r>
          </w:p>
        </w:tc>
        <w:tc>
          <w:tcPr>
            <w:tcW w:w="1359" w:type="pct"/>
            <w:shd w:val="clear" w:color="auto" w:fill="D9D9D9"/>
          </w:tcPr>
          <w:p w14:paraId="6B7FBBE2" w14:textId="77777777" w:rsidR="00F30AB4" w:rsidRPr="007B61C7" w:rsidRDefault="00F30AB4" w:rsidP="00F30AB4">
            <w:pPr>
              <w:rPr>
                <w:b/>
                <w:bCs/>
                <w:i/>
                <w:iCs/>
              </w:rPr>
            </w:pPr>
            <w:bookmarkStart w:id="0" w:name="_Toc234960720"/>
            <w:r w:rsidRPr="007B61C7">
              <w:rPr>
                <w:b/>
                <w:bCs/>
                <w:i/>
                <w:iCs/>
              </w:rPr>
              <w:t>Contribution to Overall Module Assessment (%):</w:t>
            </w:r>
            <w:bookmarkEnd w:id="0"/>
          </w:p>
        </w:tc>
        <w:tc>
          <w:tcPr>
            <w:tcW w:w="1142" w:type="pct"/>
          </w:tcPr>
          <w:p w14:paraId="1E57B182" w14:textId="77777777" w:rsidR="00F30AB4" w:rsidRPr="007B61C7" w:rsidRDefault="00F30AB4" w:rsidP="00F30AB4">
            <w:pPr>
              <w:rPr>
                <w:b/>
                <w:bCs/>
              </w:rPr>
            </w:pPr>
            <w:r w:rsidRPr="007B61C7">
              <w:rPr>
                <w:b/>
                <w:bCs/>
              </w:rPr>
              <w:t>50%</w:t>
            </w:r>
          </w:p>
        </w:tc>
      </w:tr>
      <w:tr w:rsidR="007B61C7" w:rsidRPr="007B61C7" w14:paraId="6BA8FB8F" w14:textId="77777777" w:rsidTr="007B61C7">
        <w:trPr>
          <w:gridAfter w:val="2"/>
          <w:wAfter w:w="2501" w:type="pct"/>
        </w:trPr>
        <w:tc>
          <w:tcPr>
            <w:tcW w:w="1056" w:type="pct"/>
            <w:shd w:val="pct15" w:color="auto" w:fill="auto"/>
          </w:tcPr>
          <w:p w14:paraId="5E7DDFAE" w14:textId="77777777" w:rsidR="007B61C7" w:rsidRPr="007B61C7" w:rsidRDefault="007B61C7" w:rsidP="00F30AB4">
            <w:pPr>
              <w:rPr>
                <w:b/>
                <w:bCs/>
              </w:rPr>
            </w:pPr>
            <w:r w:rsidRPr="007B61C7">
              <w:rPr>
                <w:b/>
                <w:bCs/>
              </w:rPr>
              <w:t>Lecturer:</w:t>
            </w:r>
          </w:p>
        </w:tc>
        <w:tc>
          <w:tcPr>
            <w:tcW w:w="1443" w:type="pct"/>
          </w:tcPr>
          <w:p w14:paraId="1DFAF2E6" w14:textId="2C3EF209" w:rsidR="007B61C7" w:rsidRPr="007B61C7" w:rsidRDefault="007B61C7" w:rsidP="00F30AB4">
            <w:pPr>
              <w:rPr>
                <w:b/>
                <w:bCs/>
              </w:rPr>
            </w:pPr>
            <w:r w:rsidRPr="007B61C7">
              <w:rPr>
                <w:b/>
                <w:bCs/>
              </w:rPr>
              <w:t>ALICE CLAYTON</w:t>
            </w:r>
          </w:p>
        </w:tc>
      </w:tr>
      <w:tr w:rsidR="00F30AB4" w:rsidRPr="007B61C7" w14:paraId="2C02211F" w14:textId="77777777" w:rsidTr="007B61C7">
        <w:tc>
          <w:tcPr>
            <w:tcW w:w="1056" w:type="pct"/>
            <w:shd w:val="pct15" w:color="auto" w:fill="auto"/>
          </w:tcPr>
          <w:p w14:paraId="4CC77C55" w14:textId="77777777" w:rsidR="00F30AB4" w:rsidRPr="007B61C7" w:rsidRDefault="00F30AB4" w:rsidP="00F30AB4">
            <w:pPr>
              <w:rPr>
                <w:b/>
                <w:bCs/>
              </w:rPr>
            </w:pPr>
            <w:r w:rsidRPr="007B61C7">
              <w:rPr>
                <w:b/>
                <w:bCs/>
              </w:rPr>
              <w:t>Assignment Title:</w:t>
            </w:r>
          </w:p>
        </w:tc>
        <w:tc>
          <w:tcPr>
            <w:tcW w:w="1443" w:type="pct"/>
          </w:tcPr>
          <w:p w14:paraId="1BF9AB90" w14:textId="77777777" w:rsidR="00F30AB4" w:rsidRPr="007B61C7" w:rsidRDefault="00F30AB4" w:rsidP="00F30AB4">
            <w:pPr>
              <w:rPr>
                <w:b/>
                <w:bCs/>
              </w:rPr>
            </w:pPr>
            <w:r w:rsidRPr="007B61C7">
              <w:rPr>
                <w:b/>
                <w:bCs/>
              </w:rPr>
              <w:t>Assessment</w:t>
            </w:r>
            <w:r w:rsidRPr="007B61C7">
              <w:rPr>
                <w:b/>
                <w:bCs/>
                <w:spacing w:val="-16"/>
              </w:rPr>
              <w:t xml:space="preserve"> </w:t>
            </w:r>
            <w:r w:rsidRPr="007B61C7">
              <w:rPr>
                <w:b/>
                <w:bCs/>
              </w:rPr>
              <w:t>2</w:t>
            </w:r>
            <w:r w:rsidRPr="007B61C7">
              <w:rPr>
                <w:rFonts w:ascii="Times New Roman"/>
                <w:b/>
                <w:bCs/>
                <w:sz w:val="20"/>
              </w:rPr>
              <w:t xml:space="preserve">: </w:t>
            </w:r>
            <w:r w:rsidRPr="007B61C7">
              <w:rPr>
                <w:b/>
                <w:bCs/>
              </w:rPr>
              <w:t>Essay</w:t>
            </w:r>
          </w:p>
        </w:tc>
        <w:tc>
          <w:tcPr>
            <w:tcW w:w="1359" w:type="pct"/>
            <w:shd w:val="pct15" w:color="auto" w:fill="auto"/>
          </w:tcPr>
          <w:p w14:paraId="54376F41" w14:textId="77777777" w:rsidR="00F30AB4" w:rsidRPr="007B61C7" w:rsidRDefault="00F30AB4" w:rsidP="00F30AB4">
            <w:pPr>
              <w:rPr>
                <w:b/>
                <w:bCs/>
              </w:rPr>
            </w:pPr>
            <w:r w:rsidRPr="007B61C7">
              <w:rPr>
                <w:b/>
                <w:bCs/>
              </w:rPr>
              <w:t>Word count (or equivalent):</w:t>
            </w:r>
          </w:p>
        </w:tc>
        <w:tc>
          <w:tcPr>
            <w:tcW w:w="1142" w:type="pct"/>
          </w:tcPr>
          <w:p w14:paraId="6DB3F670" w14:textId="77777777" w:rsidR="00F30AB4" w:rsidRPr="007B61C7" w:rsidRDefault="00F30AB4" w:rsidP="00F30AB4">
            <w:pPr>
              <w:rPr>
                <w:b/>
                <w:bCs/>
                <w:lang w:val="fr-FR"/>
              </w:rPr>
            </w:pPr>
            <w:r w:rsidRPr="007B61C7">
              <w:rPr>
                <w:b/>
                <w:bCs/>
                <w:lang w:val="fr-FR"/>
              </w:rPr>
              <w:t>1500 words</w:t>
            </w:r>
          </w:p>
        </w:tc>
      </w:tr>
    </w:tbl>
    <w:p w14:paraId="61156CCD" w14:textId="77777777" w:rsidR="00F30AB4" w:rsidRDefault="00F30AB4" w:rsidP="00096303">
      <w:pPr>
        <w:spacing w:line="278" w:lineRule="auto"/>
        <w:rPr>
          <w:b/>
          <w:bCs/>
        </w:rPr>
      </w:pPr>
    </w:p>
    <w:p w14:paraId="0FF00732" w14:textId="77777777" w:rsidR="00F30AB4" w:rsidRPr="00096303" w:rsidRDefault="00F30AB4" w:rsidP="00096303">
      <w:pPr>
        <w:spacing w:line="278" w:lineRule="auto"/>
        <w:rPr>
          <w:b/>
          <w:bCs/>
        </w:rPr>
      </w:pPr>
    </w:p>
    <w:p w14:paraId="4FA7D53A" w14:textId="77777777" w:rsidR="00F30AB4" w:rsidRDefault="00F30AB4">
      <w:pPr>
        <w:spacing w:line="278" w:lineRule="auto"/>
        <w:jc w:val="left"/>
        <w:rPr>
          <w:rFonts w:eastAsiaTheme="majorEastAsia" w:cstheme="majorBidi"/>
          <w:b/>
          <w:sz w:val="32"/>
          <w:szCs w:val="40"/>
          <w:u w:val="single"/>
        </w:rPr>
      </w:pPr>
      <w:r>
        <w:br w:type="page"/>
      </w:r>
    </w:p>
    <w:sdt>
      <w:sdtPr>
        <w:rPr>
          <w:rFonts w:ascii="Arial" w:eastAsiaTheme="minorHAnsi" w:hAnsi="Arial" w:cstheme="minorBidi"/>
          <w:color w:val="auto"/>
          <w:kern w:val="2"/>
          <w:sz w:val="24"/>
          <w:szCs w:val="24"/>
          <w14:ligatures w14:val="standardContextual"/>
        </w:rPr>
        <w:id w:val="-1637098448"/>
        <w:docPartObj>
          <w:docPartGallery w:val="Table of Contents"/>
          <w:docPartUnique/>
        </w:docPartObj>
      </w:sdtPr>
      <w:sdtEndPr>
        <w:rPr>
          <w:b/>
          <w:bCs/>
          <w:noProof/>
        </w:rPr>
      </w:sdtEndPr>
      <w:sdtContent>
        <w:p w14:paraId="155FB9CD" w14:textId="55378D57" w:rsidR="00F30AB4" w:rsidRDefault="00F30AB4">
          <w:pPr>
            <w:pStyle w:val="TOCHeading"/>
          </w:pPr>
          <w:r>
            <w:t>Table of Contents</w:t>
          </w:r>
        </w:p>
        <w:p w14:paraId="5889BA0A" w14:textId="7D76216D" w:rsidR="00F30AB4" w:rsidRDefault="00F30AB4">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234960739" w:history="1">
            <w:r w:rsidRPr="00AE2E00">
              <w:rPr>
                <w:rStyle w:val="Hyperlink"/>
                <w:noProof/>
              </w:rPr>
              <w:t>Introduction</w:t>
            </w:r>
            <w:r>
              <w:rPr>
                <w:noProof/>
                <w:webHidden/>
              </w:rPr>
              <w:tab/>
            </w:r>
            <w:r>
              <w:rPr>
                <w:noProof/>
                <w:webHidden/>
              </w:rPr>
              <w:fldChar w:fldCharType="begin"/>
            </w:r>
            <w:r>
              <w:rPr>
                <w:noProof/>
                <w:webHidden/>
              </w:rPr>
              <w:instrText xml:space="preserve"> PAGEREF _Toc234960739 \h </w:instrText>
            </w:r>
            <w:r>
              <w:rPr>
                <w:noProof/>
                <w:webHidden/>
              </w:rPr>
            </w:r>
            <w:r>
              <w:rPr>
                <w:noProof/>
                <w:webHidden/>
              </w:rPr>
              <w:fldChar w:fldCharType="separate"/>
            </w:r>
            <w:r>
              <w:rPr>
                <w:noProof/>
                <w:webHidden/>
              </w:rPr>
              <w:t>3</w:t>
            </w:r>
            <w:r>
              <w:rPr>
                <w:noProof/>
                <w:webHidden/>
              </w:rPr>
              <w:fldChar w:fldCharType="end"/>
            </w:r>
          </w:hyperlink>
        </w:p>
        <w:p w14:paraId="36B30493" w14:textId="271E0DC1" w:rsidR="00F30AB4" w:rsidRDefault="00F30AB4">
          <w:pPr>
            <w:pStyle w:val="TOC1"/>
            <w:tabs>
              <w:tab w:val="right" w:leader="dot" w:pos="9350"/>
            </w:tabs>
            <w:rPr>
              <w:rFonts w:asciiTheme="minorHAnsi" w:eastAsiaTheme="minorEastAsia" w:hAnsiTheme="minorHAnsi"/>
              <w:noProof/>
            </w:rPr>
          </w:pPr>
          <w:hyperlink w:anchor="_Toc234960740" w:history="1">
            <w:r w:rsidRPr="00AE2E00">
              <w:rPr>
                <w:rStyle w:val="Hyperlink"/>
                <w:noProof/>
              </w:rPr>
              <w:t>Issues Noted from Social Media Use in Adolescence</w:t>
            </w:r>
            <w:r>
              <w:rPr>
                <w:noProof/>
                <w:webHidden/>
              </w:rPr>
              <w:tab/>
            </w:r>
            <w:r>
              <w:rPr>
                <w:noProof/>
                <w:webHidden/>
              </w:rPr>
              <w:fldChar w:fldCharType="begin"/>
            </w:r>
            <w:r>
              <w:rPr>
                <w:noProof/>
                <w:webHidden/>
              </w:rPr>
              <w:instrText xml:space="preserve"> PAGEREF _Toc234960740 \h </w:instrText>
            </w:r>
            <w:r>
              <w:rPr>
                <w:noProof/>
                <w:webHidden/>
              </w:rPr>
            </w:r>
            <w:r>
              <w:rPr>
                <w:noProof/>
                <w:webHidden/>
              </w:rPr>
              <w:fldChar w:fldCharType="separate"/>
            </w:r>
            <w:r>
              <w:rPr>
                <w:noProof/>
                <w:webHidden/>
              </w:rPr>
              <w:t>3</w:t>
            </w:r>
            <w:r>
              <w:rPr>
                <w:noProof/>
                <w:webHidden/>
              </w:rPr>
              <w:fldChar w:fldCharType="end"/>
            </w:r>
          </w:hyperlink>
        </w:p>
        <w:p w14:paraId="0CC3474F" w14:textId="44A515A2" w:rsidR="00F30AB4" w:rsidRDefault="00F30AB4">
          <w:pPr>
            <w:pStyle w:val="TOC1"/>
            <w:tabs>
              <w:tab w:val="right" w:leader="dot" w:pos="9350"/>
            </w:tabs>
            <w:rPr>
              <w:rFonts w:asciiTheme="minorHAnsi" w:eastAsiaTheme="minorEastAsia" w:hAnsiTheme="minorHAnsi"/>
              <w:noProof/>
            </w:rPr>
          </w:pPr>
          <w:hyperlink w:anchor="_Toc234960741" w:history="1">
            <w:r w:rsidRPr="00AE2E00">
              <w:rPr>
                <w:rStyle w:val="Hyperlink"/>
                <w:noProof/>
              </w:rPr>
              <w:t>Erikson’s Psychosocial Theory: Identity, Comparison and Self-Worth</w:t>
            </w:r>
            <w:r>
              <w:rPr>
                <w:noProof/>
                <w:webHidden/>
              </w:rPr>
              <w:tab/>
            </w:r>
            <w:r>
              <w:rPr>
                <w:noProof/>
                <w:webHidden/>
              </w:rPr>
              <w:fldChar w:fldCharType="begin"/>
            </w:r>
            <w:r>
              <w:rPr>
                <w:noProof/>
                <w:webHidden/>
              </w:rPr>
              <w:instrText xml:space="preserve"> PAGEREF _Toc234960741 \h </w:instrText>
            </w:r>
            <w:r>
              <w:rPr>
                <w:noProof/>
                <w:webHidden/>
              </w:rPr>
            </w:r>
            <w:r>
              <w:rPr>
                <w:noProof/>
                <w:webHidden/>
              </w:rPr>
              <w:fldChar w:fldCharType="separate"/>
            </w:r>
            <w:r>
              <w:rPr>
                <w:noProof/>
                <w:webHidden/>
              </w:rPr>
              <w:t>4</w:t>
            </w:r>
            <w:r>
              <w:rPr>
                <w:noProof/>
                <w:webHidden/>
              </w:rPr>
              <w:fldChar w:fldCharType="end"/>
            </w:r>
          </w:hyperlink>
        </w:p>
        <w:p w14:paraId="3A935540" w14:textId="6BD0117A" w:rsidR="00F30AB4" w:rsidRDefault="00F30AB4">
          <w:pPr>
            <w:pStyle w:val="TOC1"/>
            <w:tabs>
              <w:tab w:val="right" w:leader="dot" w:pos="9350"/>
            </w:tabs>
            <w:rPr>
              <w:rFonts w:asciiTheme="minorHAnsi" w:eastAsiaTheme="minorEastAsia" w:hAnsiTheme="minorHAnsi"/>
              <w:noProof/>
            </w:rPr>
          </w:pPr>
          <w:hyperlink w:anchor="_Toc234960742" w:history="1">
            <w:r w:rsidRPr="00AE2E00">
              <w:rPr>
                <w:rStyle w:val="Hyperlink"/>
                <w:noProof/>
              </w:rPr>
              <w:t>Bowlby’s Attachment Theory: Rejection, Reassurance and Online Support</w:t>
            </w:r>
            <w:r>
              <w:rPr>
                <w:noProof/>
                <w:webHidden/>
              </w:rPr>
              <w:tab/>
            </w:r>
            <w:r>
              <w:rPr>
                <w:noProof/>
                <w:webHidden/>
              </w:rPr>
              <w:fldChar w:fldCharType="begin"/>
            </w:r>
            <w:r>
              <w:rPr>
                <w:noProof/>
                <w:webHidden/>
              </w:rPr>
              <w:instrText xml:space="preserve"> PAGEREF _Toc234960742 \h </w:instrText>
            </w:r>
            <w:r>
              <w:rPr>
                <w:noProof/>
                <w:webHidden/>
              </w:rPr>
            </w:r>
            <w:r>
              <w:rPr>
                <w:noProof/>
                <w:webHidden/>
              </w:rPr>
              <w:fldChar w:fldCharType="separate"/>
            </w:r>
            <w:r>
              <w:rPr>
                <w:noProof/>
                <w:webHidden/>
              </w:rPr>
              <w:t>6</w:t>
            </w:r>
            <w:r>
              <w:rPr>
                <w:noProof/>
                <w:webHidden/>
              </w:rPr>
              <w:fldChar w:fldCharType="end"/>
            </w:r>
          </w:hyperlink>
        </w:p>
        <w:p w14:paraId="413A50E4" w14:textId="0C99C189" w:rsidR="00F30AB4" w:rsidRDefault="00F30AB4">
          <w:pPr>
            <w:pStyle w:val="TOC1"/>
            <w:tabs>
              <w:tab w:val="right" w:leader="dot" w:pos="9350"/>
            </w:tabs>
            <w:rPr>
              <w:rFonts w:asciiTheme="minorHAnsi" w:eastAsiaTheme="minorEastAsia" w:hAnsiTheme="minorHAnsi"/>
              <w:noProof/>
            </w:rPr>
          </w:pPr>
          <w:hyperlink w:anchor="_Toc234960743" w:history="1">
            <w:r w:rsidRPr="00AE2E00">
              <w:rPr>
                <w:rStyle w:val="Hyperlink"/>
                <w:noProof/>
              </w:rPr>
              <w:t>Conclusion</w:t>
            </w:r>
            <w:r>
              <w:rPr>
                <w:noProof/>
                <w:webHidden/>
              </w:rPr>
              <w:tab/>
            </w:r>
            <w:r>
              <w:rPr>
                <w:noProof/>
                <w:webHidden/>
              </w:rPr>
              <w:fldChar w:fldCharType="begin"/>
            </w:r>
            <w:r>
              <w:rPr>
                <w:noProof/>
                <w:webHidden/>
              </w:rPr>
              <w:instrText xml:space="preserve"> PAGEREF _Toc234960743 \h </w:instrText>
            </w:r>
            <w:r>
              <w:rPr>
                <w:noProof/>
                <w:webHidden/>
              </w:rPr>
            </w:r>
            <w:r>
              <w:rPr>
                <w:noProof/>
                <w:webHidden/>
              </w:rPr>
              <w:fldChar w:fldCharType="separate"/>
            </w:r>
            <w:r>
              <w:rPr>
                <w:noProof/>
                <w:webHidden/>
              </w:rPr>
              <w:t>7</w:t>
            </w:r>
            <w:r>
              <w:rPr>
                <w:noProof/>
                <w:webHidden/>
              </w:rPr>
              <w:fldChar w:fldCharType="end"/>
            </w:r>
          </w:hyperlink>
        </w:p>
        <w:p w14:paraId="1467AE24" w14:textId="753E1018" w:rsidR="00F30AB4" w:rsidRDefault="00F30AB4">
          <w:r>
            <w:rPr>
              <w:b/>
              <w:bCs/>
              <w:noProof/>
            </w:rPr>
            <w:fldChar w:fldCharType="end"/>
          </w:r>
        </w:p>
      </w:sdtContent>
    </w:sdt>
    <w:p w14:paraId="342B3908" w14:textId="77777777" w:rsidR="00F30AB4" w:rsidRDefault="00F30AB4" w:rsidP="00F30AB4"/>
    <w:p w14:paraId="70594B85" w14:textId="77777777" w:rsidR="00F30AB4" w:rsidRDefault="00F30AB4">
      <w:pPr>
        <w:spacing w:line="278" w:lineRule="auto"/>
        <w:jc w:val="left"/>
        <w:rPr>
          <w:rFonts w:eastAsiaTheme="majorEastAsia" w:cstheme="majorBidi"/>
          <w:b/>
          <w:sz w:val="32"/>
          <w:szCs w:val="40"/>
          <w:u w:val="single"/>
        </w:rPr>
      </w:pPr>
      <w:bookmarkStart w:id="1" w:name="_Toc234960739"/>
      <w:r>
        <w:br w:type="page"/>
      </w:r>
    </w:p>
    <w:p w14:paraId="73884F73" w14:textId="25B76CDC" w:rsidR="00096303" w:rsidRPr="00096303" w:rsidRDefault="00096303" w:rsidP="00F30AB4">
      <w:pPr>
        <w:pStyle w:val="Heading1"/>
      </w:pPr>
      <w:r w:rsidRPr="00096303">
        <w:lastRenderedPageBreak/>
        <w:t>Introduction</w:t>
      </w:r>
      <w:bookmarkEnd w:id="1"/>
    </w:p>
    <w:p w14:paraId="57B6FDB7" w14:textId="6AE388E5" w:rsidR="00F30AB4" w:rsidRPr="00096303" w:rsidRDefault="00F30AB4" w:rsidP="00F30AB4">
      <w:r w:rsidRPr="00F30AB4">
        <w:t xml:space="preserve">Adolescence is an important stage of development because young people experience major physical, emotional and social changes. Adolescents during this time are using social media </w:t>
      </w:r>
      <w:proofErr w:type="gramStart"/>
      <w:r w:rsidRPr="00F30AB4">
        <w:t>as a way to</w:t>
      </w:r>
      <w:proofErr w:type="gramEnd"/>
      <w:r w:rsidRPr="00F30AB4">
        <w:t xml:space="preserve"> connect, express themselves, and create a sense of belonging. But social media can also lead them to compare their looks to others, cyberbullying, and rejection or pressure to get likes or approval. These experiences have been associated with reduced life satisfaction, and body image, anxiety and depressive symptoms, although the impact is not consistent across all youth (Orben et al., 2022; </w:t>
      </w:r>
      <w:proofErr w:type="spellStart"/>
      <w:r w:rsidRPr="00F30AB4">
        <w:t>Revranche</w:t>
      </w:r>
      <w:proofErr w:type="spellEnd"/>
      <w:r w:rsidRPr="00F30AB4">
        <w:t xml:space="preserve">, </w:t>
      </w:r>
      <w:proofErr w:type="spellStart"/>
      <w:r w:rsidRPr="00F30AB4">
        <w:t>Biscond</w:t>
      </w:r>
      <w:proofErr w:type="spellEnd"/>
      <w:r w:rsidRPr="00F30AB4">
        <w:t xml:space="preserve"> and Husky, 2022). This paper will examine how social media affects the mental health of adolescents by applying Erikson's psychosocial theory and Bowlby's attachment theory. Erikson's theory will discuss identity development, social comparison and self-worth. Online rejection, reassurance seeking and the need for secure and supportive relationships will be explained through Bowlby's theory. Combined, the theories offer varying explanations for these experiences at this life stage.</w:t>
      </w:r>
    </w:p>
    <w:p w14:paraId="4B046500" w14:textId="62EB0170" w:rsidR="00F30AB4" w:rsidRPr="00F30AB4" w:rsidRDefault="00F30AB4" w:rsidP="00F30AB4">
      <w:pPr>
        <w:pStyle w:val="Heading1"/>
      </w:pPr>
      <w:bookmarkStart w:id="2" w:name="_Toc234960740"/>
      <w:r w:rsidRPr="00F30AB4">
        <w:t>Issues Noted from Social Media Use in Adolescence</w:t>
      </w:r>
      <w:bookmarkEnd w:id="2"/>
    </w:p>
    <w:p w14:paraId="240B4E2D" w14:textId="77777777" w:rsidR="00F30AB4" w:rsidRDefault="00F30AB4" w:rsidP="00F30AB4">
      <w:proofErr w:type="spellStart"/>
      <w:r>
        <w:t>Revranche</w:t>
      </w:r>
      <w:proofErr w:type="spellEnd"/>
      <w:r>
        <w:t xml:space="preserve">, </w:t>
      </w:r>
      <w:proofErr w:type="spellStart"/>
      <w:r>
        <w:t>Biscond</w:t>
      </w:r>
      <w:proofErr w:type="spellEnd"/>
      <w:r>
        <w:t xml:space="preserve">, and Husky (2022) have conducted a review of 21 studies and found it was consistently associated with poorer body image among adolescent girls and boys who use social networks frequently. Orben et al., (2022) also reported that higher levels of social media use predicted lower life satisfaction one year later at developmental stages, specifically for females 11 to 13 years and for males 14 to 15 years. The results indicate that constant exposure to idealized images, lifestyles and popularity metrics can lead adolescents to make comparisons between their developing self and specific images found online. This dissatisfaction can therefore not only be in terms of </w:t>
      </w:r>
      <w:proofErr w:type="gramStart"/>
      <w:r>
        <w:t>appearance, but</w:t>
      </w:r>
      <w:proofErr w:type="gramEnd"/>
      <w:r>
        <w:t xml:space="preserve"> can also be in terms of self-assessment and peer assessment.</w:t>
      </w:r>
    </w:p>
    <w:p w14:paraId="60C2CA72" w14:textId="77777777" w:rsidR="00F30AB4" w:rsidRDefault="00F30AB4" w:rsidP="00F30AB4">
      <w:r>
        <w:t xml:space="preserve">Maurya et al., (2022) reported that depressive symptoms and suicidal thoughts were more prevalent among the youth who experienced cyberbullying. This worry was confirmed by Nagata et al. (2025), who observed that an adolescent's elevated social media consumption compared to their typical behavior led to an increase in depressive symptoms one year later. An increase in use can lead to a rise in being </w:t>
      </w:r>
      <w:proofErr w:type="spellStart"/>
      <w:r>
        <w:t>criticised</w:t>
      </w:r>
      <w:proofErr w:type="spellEnd"/>
      <w:r>
        <w:t xml:space="preserve">, </w:t>
      </w:r>
      <w:r>
        <w:lastRenderedPageBreak/>
        <w:t xml:space="preserve">excluded, receiving negative messages and negative overt signs of being ignored. Online rejection can be viewed </w:t>
      </w:r>
      <w:proofErr w:type="gramStart"/>
      <w:r>
        <w:t>again and again</w:t>
      </w:r>
      <w:proofErr w:type="gramEnd"/>
      <w:r>
        <w:t>, and shared, which can compound the shame, insecurity and social isolation and not stop when the adolescent leaves school.</w:t>
      </w:r>
    </w:p>
    <w:p w14:paraId="6DAA8977" w14:textId="6557B2B7" w:rsidR="00F30AB4" w:rsidRPr="00096303" w:rsidRDefault="00F30AB4" w:rsidP="00F30AB4">
      <w:r>
        <w:t xml:space="preserve">Low self-esteem, distorted beliefs about relationships and a need to be liked were considered as mediators between anxious attachment and addictive use of social networking. </w:t>
      </w:r>
      <w:proofErr w:type="spellStart"/>
      <w:r>
        <w:t>Topbaş</w:t>
      </w:r>
      <w:proofErr w:type="spellEnd"/>
      <w:r>
        <w:t xml:space="preserve"> et al. (2025) reported that anxious attachment was related to addictive use of social networking through mediators. Zhou and Cheng (2022) however, identified a moderate positive relationship between online social support and adolescent self-esteem, while the relationship between online social support and reduced depression was small and insignificant. These results combined indicate that online relationships can yield varying results. Frequent checking for reassurance can lead to reliance on likes and comments, while positive interactions with trusted individuals can foster a sense of belonging. Thus, it is possible to discuss these issues in the light of Erikson's theory of identity formation and Bowlby's theory of security/rejection and reassurance-seeking.</w:t>
      </w:r>
    </w:p>
    <w:p w14:paraId="54A2A9A1" w14:textId="77777777" w:rsidR="00F30AB4" w:rsidRPr="00F30AB4" w:rsidRDefault="00F30AB4" w:rsidP="00F30AB4">
      <w:pPr>
        <w:pStyle w:val="Heading1"/>
      </w:pPr>
      <w:bookmarkStart w:id="3" w:name="_Toc234960741"/>
      <w:r w:rsidRPr="00F30AB4">
        <w:t>Erikson’s Psychosocial Theory: Identity, Comparison and Self-Worth</w:t>
      </w:r>
      <w:bookmarkEnd w:id="3"/>
    </w:p>
    <w:p w14:paraId="72F87282" w14:textId="77777777" w:rsidR="00F30AB4" w:rsidRDefault="00F30AB4" w:rsidP="00F30AB4">
      <w:r>
        <w:t xml:space="preserve">Erikson (1968) described the adolescent period as a phase of identity versus role confusion, during which youth experiment with their looks, values, relationships, and future roles. This theory is applicable as </w:t>
      </w:r>
      <w:proofErr w:type="spellStart"/>
      <w:r>
        <w:t>Steinsbekk</w:t>
      </w:r>
      <w:proofErr w:type="spellEnd"/>
      <w:r>
        <w:t xml:space="preserve"> et al. (2021) discovered a negative correlation between viewing and responding to other people's posts and appearance self-esteem from childhood to adolescence. Orben et al. (2022) also showed that high levels of social media consumption were associated with lowered life satisfaction one year later at specific adolescent stages. Overall, these studies indicate that adolescents who repeatedly compare themselves with specific images they see online can impact their body image and self-worth (</w:t>
      </w:r>
      <w:proofErr w:type="spellStart"/>
      <w:r>
        <w:t>Steinsbekk</w:t>
      </w:r>
      <w:proofErr w:type="spellEnd"/>
      <w:r>
        <w:t xml:space="preserve"> et al., 2021; Orben et al., 2022).</w:t>
      </w:r>
    </w:p>
    <w:p w14:paraId="404DD312" w14:textId="77777777" w:rsidR="00F30AB4" w:rsidRDefault="00F30AB4" w:rsidP="00F30AB4">
      <w:r>
        <w:t xml:space="preserve">Erikson </w:t>
      </w:r>
      <w:proofErr w:type="spellStart"/>
      <w:r>
        <w:t>theorised</w:t>
      </w:r>
      <w:proofErr w:type="spellEnd"/>
      <w:r>
        <w:t xml:space="preserve"> that identity is formed in the interaction between the person and the social world (Erikson, 1968). Likes, comments and follower counts are clear indicators of peer approval on social media. Thus, to gain acceptance, adolescents might alter their appearance or </w:t>
      </w:r>
      <w:proofErr w:type="spellStart"/>
      <w:r>
        <w:t>behaviour</w:t>
      </w:r>
      <w:proofErr w:type="spellEnd"/>
      <w:r>
        <w:t xml:space="preserve"> rather than form an identity according to their values. According </w:t>
      </w:r>
      <w:r>
        <w:lastRenderedPageBreak/>
        <w:t xml:space="preserve">to Fassi et al. (2025), </w:t>
      </w:r>
      <w:proofErr w:type="gramStart"/>
      <w:r>
        <w:t>the adolescents</w:t>
      </w:r>
      <w:proofErr w:type="gramEnd"/>
      <w:r>
        <w:t xml:space="preserve"> with </w:t>
      </w:r>
      <w:proofErr w:type="spellStart"/>
      <w:r>
        <w:t>internalising</w:t>
      </w:r>
      <w:proofErr w:type="spellEnd"/>
      <w:r>
        <w:t xml:space="preserve"> conditions were more likely to use social comparison, showed more mood shifts after receiving feedback online, and revealed themselves less than the adolescents without </w:t>
      </w:r>
      <w:proofErr w:type="spellStart"/>
      <w:r>
        <w:t>internalising</w:t>
      </w:r>
      <w:proofErr w:type="spellEnd"/>
      <w:r>
        <w:t xml:space="preserve"> conditions. This suggests that individuals who are already struggling with anxiety or depression could be exhibiting a curated version of themselves and rely on online feedback more to evaluate themselves (Fassi et al., 2025). This can then lead to a greater role confusion (Erikson, 1968) between the approved online self and the private self.</w:t>
      </w:r>
    </w:p>
    <w:p w14:paraId="04A73E79" w14:textId="77777777" w:rsidR="00F30AB4" w:rsidRDefault="00F30AB4" w:rsidP="00F30AB4">
      <w:r>
        <w:t xml:space="preserve">Social media can also be a medium to aid identity development. Zhou and Cheng (2022) discovered that online social support was positively related to self-identity and life satisfaction. Interest and experience-based communities can support adolescents to discover values and be accepted (Zhou and Cheng, 2022). Thus, the impact of social media relies on whether </w:t>
      </w:r>
      <w:proofErr w:type="gramStart"/>
      <w:r>
        <w:t>the online</w:t>
      </w:r>
      <w:proofErr w:type="gramEnd"/>
      <w:r>
        <w:t xml:space="preserve"> behavior leads to authentic expression or on-going comparison and approval seeking (Erikson, 1968; Zhou and Cheng, 2022).</w:t>
      </w:r>
    </w:p>
    <w:p w14:paraId="119CC8E1" w14:textId="1F144EC6" w:rsidR="00F30AB4" w:rsidRPr="00F30AB4" w:rsidRDefault="00F30AB4" w:rsidP="00F30AB4">
      <w:r>
        <w:t xml:space="preserve">The benefit of using Erikson's theory to health and social care is that it focuses on the significance of online experiences, not just screen time. Practitioners can confront unrealistic images, support adolescents in recognizing their strengths and inspire valued roles, through hobbies, education, and face-to-face relationships (Erikson, 1968; </w:t>
      </w:r>
      <w:proofErr w:type="spellStart"/>
      <w:r>
        <w:t>Steinsbekk</w:t>
      </w:r>
      <w:proofErr w:type="spellEnd"/>
      <w:r>
        <w:t xml:space="preserve"> et al., 2021). These activities can help to decrease reliance on online approval while giving them other avenues for success and belonging (</w:t>
      </w:r>
      <w:proofErr w:type="spellStart"/>
      <w:r>
        <w:t>Steinsbekk</w:t>
      </w:r>
      <w:proofErr w:type="spellEnd"/>
      <w:r>
        <w:t xml:space="preserve"> et al., 2021; Zhou and Cheng, 2022). Erikson's general periods, however, may not capture variations in culture, gender, family context or platform design. Orben et al (2022) discovered that the period of social media sensitivity was not the same for males as for females, demonstrating that development does not happen in the same way for everyone. The theory can account for the mechanisms by which comparison and approval can impact </w:t>
      </w:r>
      <w:proofErr w:type="gramStart"/>
      <w:r>
        <w:t>identity</w:t>
      </w:r>
      <w:proofErr w:type="gramEnd"/>
      <w:r>
        <w:t xml:space="preserve"> but it cannot demonstrate that social media use contributes to poor mental health or identify which adolescent will be harmed (Orben et al., 2022).</w:t>
      </w:r>
    </w:p>
    <w:p w14:paraId="20562F8A" w14:textId="77777777" w:rsidR="00F30AB4" w:rsidRPr="00F30AB4" w:rsidRDefault="00F30AB4" w:rsidP="00F30AB4">
      <w:pPr>
        <w:pStyle w:val="Heading1"/>
      </w:pPr>
      <w:bookmarkStart w:id="4" w:name="_Toc234960742"/>
      <w:r w:rsidRPr="00F30AB4">
        <w:lastRenderedPageBreak/>
        <w:t>Bowlby’s Attachment Theory: Rejection, Reassurance and Online Support</w:t>
      </w:r>
      <w:bookmarkEnd w:id="4"/>
    </w:p>
    <w:p w14:paraId="3121EB66" w14:textId="77777777" w:rsidR="00F30AB4" w:rsidRDefault="00F30AB4" w:rsidP="00F30AB4">
      <w:r>
        <w:t>Bowlby (1969) argued that early relationships create internal working models concerning whether other people are dependable and whether the individual is worthy of care. This can help to clarify why cyberbullying and rejection in the online environment may impact adolescents differently. Maurya et al. (2022) reported that there was a higher risk of persistent depressive symptoms and suicidal thoughts among cyberbullying victims. Tan et al. (2023) revealed that greater parent–child attachment correlated with improved mental health through increased self-esteem, self-efficacy and emotional control. These findings indicate that secure family relationships might facilitate adolescents' coping with online rejection, whereas weak relationships may make rejection more difficult to process (Maurya et al., 2022; Tan et al., 2023).</w:t>
      </w:r>
    </w:p>
    <w:p w14:paraId="7D5086B0" w14:textId="77777777" w:rsidR="00F30AB4" w:rsidRDefault="00F30AB4" w:rsidP="00F30AB4">
      <w:r>
        <w:t xml:space="preserve">Bowlby's theory also can account for repeated reassurance-seeking. Anxious attachment was related with addictive social networking use, and low self-esteem, distorted relationship beliefs and desire to be liked explained this relationship, according to </w:t>
      </w:r>
      <w:proofErr w:type="spellStart"/>
      <w:r>
        <w:t>Topbaş</w:t>
      </w:r>
      <w:proofErr w:type="spellEnd"/>
      <w:r>
        <w:t xml:space="preserve"> et al. (2025). An anxiously attached adolescent might noticeably keep checking likes, replies, or “seen” notifications to reassure themselves of the safety of their relationships, even if only for a brief period (Bowlby, 1969; </w:t>
      </w:r>
      <w:proofErr w:type="spellStart"/>
      <w:r>
        <w:t>Topbaş</w:t>
      </w:r>
      <w:proofErr w:type="spellEnd"/>
      <w:r>
        <w:t xml:space="preserve"> et al., 2025). But feedback on the Internet is sometimes late or unreliable. An unanswered message might thus be understood as a rejection, which can lead to more checking and anxiety, and not to an alleviation of insecurity (</w:t>
      </w:r>
      <w:proofErr w:type="spellStart"/>
      <w:r>
        <w:t>Topbaş</w:t>
      </w:r>
      <w:proofErr w:type="spellEnd"/>
      <w:r>
        <w:t xml:space="preserve"> et al., 2025). It is possible to explain this as the reason that online rejection can affect adolescents emotionally more than they are accustomed to, as they already have concerns about the reliability of others (Bowlby, 1969; </w:t>
      </w:r>
      <w:proofErr w:type="spellStart"/>
      <w:r>
        <w:t>Topbaş</w:t>
      </w:r>
      <w:proofErr w:type="spellEnd"/>
      <w:r>
        <w:t xml:space="preserve"> et al., 2025).</w:t>
      </w:r>
    </w:p>
    <w:p w14:paraId="7BD683E4" w14:textId="154BF797" w:rsidR="00F30AB4" w:rsidRDefault="00F30AB4" w:rsidP="00F30AB4">
      <w:r>
        <w:t xml:space="preserve">Positive outcomes are also accounted for by attachment theory. Thus, Zhou and Cheng (2022) discovered that online social support was positively connected with self-esteem and life </w:t>
      </w:r>
      <w:proofErr w:type="gramStart"/>
      <w:r>
        <w:t>satisfaction, but</w:t>
      </w:r>
      <w:proofErr w:type="gramEnd"/>
      <w:r>
        <w:t xml:space="preserve"> negatively linked with loneliness and social anxiety. Adolescents might therefore feel belonging in the presence of trusted friends and supportive communities when they feel alone offline (Zhou and Cheng, 2022). However, online encounters will not always be a substitute for consistent care or assistance from a </w:t>
      </w:r>
      <w:r>
        <w:lastRenderedPageBreak/>
        <w:t>professional. Bowlby's theory is most relevant when behaviors observed online are examined in the context of family dynamics, peer interactions, and the broader environment (Bowlby, 1969; Tan et al., 2023). Practical support should therefore focus on fostering trustful relationships, engaging with online experiences, and responding to cyberbullying without punishment that may affect trust (Maurya et al., 2022; Tan et al., 2023).</w:t>
      </w:r>
    </w:p>
    <w:p w14:paraId="651D55FB" w14:textId="77777777" w:rsidR="00096303" w:rsidRPr="00096303" w:rsidRDefault="00096303" w:rsidP="00F30AB4">
      <w:pPr>
        <w:pStyle w:val="Heading1"/>
      </w:pPr>
      <w:bookmarkStart w:id="5" w:name="_Toc234960743"/>
      <w:r w:rsidRPr="00096303">
        <w:t>Conclusion</w:t>
      </w:r>
      <w:bookmarkEnd w:id="5"/>
    </w:p>
    <w:p w14:paraId="6B8C01FF" w14:textId="1D7CD94F" w:rsidR="00F30AB4" w:rsidRDefault="00F30AB4" w:rsidP="00096303">
      <w:r w:rsidRPr="00F30AB4">
        <w:t>Social media can have both negative and positive effects on adolescent mental health. Comparing appearance, cyberbullying, online rejection and reliance on likes can lead to loss of self-esteem and anxiety, sadness and confusion. But positive online connections can also foster a sense of feeling understood and less “alone. According to Erikson's theory, adolescence is an important stage for identity development. While social media can help adolescents express themselves, they can also result in role confusion as they assess themselves using curated pictures and online validation. Bowlby's theory can help to understand why rejection and unpredictable online interactions can be particularly challenging for teens who are struggling with their sense of self. They can manage their online experiences more safely with the support of parents, carers and trusted friends. Hence, the support should not be limited to decreasing screen time. It should also strengthen identity, confidence, healthy relationships, emotional support and safe ways of responding to cyberbullying and harmful online content in everyday life.</w:t>
      </w:r>
    </w:p>
    <w:p w14:paraId="06204E9D" w14:textId="77777777" w:rsidR="00F30AB4" w:rsidRDefault="00F30AB4" w:rsidP="00096303"/>
    <w:p w14:paraId="3315AC2C" w14:textId="77777777" w:rsidR="00F30AB4" w:rsidRPr="00096303" w:rsidRDefault="00F30AB4" w:rsidP="00096303">
      <w:pPr>
        <w:spacing w:line="278" w:lineRule="auto"/>
      </w:pPr>
    </w:p>
    <w:p w14:paraId="54A91101" w14:textId="77777777" w:rsidR="00F30AB4" w:rsidRDefault="00F30AB4">
      <w:pPr>
        <w:rPr>
          <w:b/>
          <w:bCs/>
        </w:rPr>
      </w:pPr>
      <w:r>
        <w:rPr>
          <w:b/>
          <w:bCs/>
        </w:rPr>
        <w:br w:type="page"/>
      </w:r>
    </w:p>
    <w:p w14:paraId="7B5A5FA1" w14:textId="74FE4973" w:rsidR="00096303" w:rsidRPr="00096303" w:rsidRDefault="00096303" w:rsidP="00096303">
      <w:pPr>
        <w:spacing w:line="278" w:lineRule="auto"/>
        <w:rPr>
          <w:b/>
          <w:bCs/>
        </w:rPr>
      </w:pPr>
      <w:r w:rsidRPr="00096303">
        <w:rPr>
          <w:b/>
          <w:bCs/>
        </w:rPr>
        <w:lastRenderedPageBreak/>
        <w:t xml:space="preserve">Reference </w:t>
      </w:r>
    </w:p>
    <w:p w14:paraId="339A0E89" w14:textId="77777777" w:rsidR="00F30AB4" w:rsidRPr="00F30AB4" w:rsidRDefault="00F30AB4" w:rsidP="00F30AB4">
      <w:r w:rsidRPr="00F30AB4">
        <w:t xml:space="preserve">Bowlby, J. (1969) </w:t>
      </w:r>
      <w:r w:rsidRPr="00F30AB4">
        <w:rPr>
          <w:i/>
          <w:iCs/>
        </w:rPr>
        <w:t>Attachment and Loss. Volume 1: Attachment</w:t>
      </w:r>
      <w:r w:rsidRPr="00F30AB4">
        <w:t xml:space="preserve">. New York: Basic Books. Available at: </w:t>
      </w:r>
      <w:hyperlink r:id="rId7" w:history="1">
        <w:r w:rsidRPr="00F30AB4">
          <w:rPr>
            <w:rStyle w:val="Hyperlink"/>
          </w:rPr>
          <w:t>https://books.google.com/books/about/Attachment_and_Loss.html?id=jIwT02ms53cC</w:t>
        </w:r>
      </w:hyperlink>
    </w:p>
    <w:p w14:paraId="382C7536" w14:textId="77777777" w:rsidR="00F30AB4" w:rsidRPr="00F30AB4" w:rsidRDefault="00F30AB4" w:rsidP="00F30AB4">
      <w:r w:rsidRPr="00F30AB4">
        <w:t xml:space="preserve">Erikson, E.H. (1968) </w:t>
      </w:r>
      <w:r w:rsidRPr="00F30AB4">
        <w:rPr>
          <w:i/>
          <w:iCs/>
        </w:rPr>
        <w:t>Identity: Youth and Crisis</w:t>
      </w:r>
      <w:r w:rsidRPr="00F30AB4">
        <w:t xml:space="preserve">. New York: W.W. Norton. Available at: </w:t>
      </w:r>
      <w:hyperlink r:id="rId8" w:history="1">
        <w:r w:rsidRPr="00F30AB4">
          <w:rPr>
            <w:rStyle w:val="Hyperlink"/>
          </w:rPr>
          <w:t>https://books.google.com/books/about/Identity_Youth_and_Crisis.html?id=v3XWH2PDLewC</w:t>
        </w:r>
      </w:hyperlink>
    </w:p>
    <w:p w14:paraId="1C99717C" w14:textId="77777777" w:rsidR="00F30AB4" w:rsidRPr="00F30AB4" w:rsidRDefault="00F30AB4" w:rsidP="00F30AB4">
      <w:r w:rsidRPr="00F30AB4">
        <w:t xml:space="preserve">Fassi, L., Ferguson, A.M., Przybylski, A.K., Ford, T.J. and Orben, A. (2025) ‘Social media use in adolescents with and without mental health conditions’, </w:t>
      </w:r>
      <w:r w:rsidRPr="00F30AB4">
        <w:rPr>
          <w:i/>
          <w:iCs/>
        </w:rPr>
        <w:t xml:space="preserve">Nature Human </w:t>
      </w:r>
      <w:proofErr w:type="spellStart"/>
      <w:r w:rsidRPr="00F30AB4">
        <w:rPr>
          <w:i/>
          <w:iCs/>
        </w:rPr>
        <w:t>Behaviour</w:t>
      </w:r>
      <w:proofErr w:type="spellEnd"/>
      <w:r w:rsidRPr="00F30AB4">
        <w:t xml:space="preserve">, 9, pp. 1283–1299. Available at: </w:t>
      </w:r>
      <w:hyperlink r:id="rId9" w:history="1">
        <w:r w:rsidRPr="00F30AB4">
          <w:rPr>
            <w:rStyle w:val="Hyperlink"/>
          </w:rPr>
          <w:t>https://doi.org/10.1038/s41562-025-02134-4</w:t>
        </w:r>
      </w:hyperlink>
    </w:p>
    <w:p w14:paraId="45A365DB" w14:textId="77777777" w:rsidR="00F30AB4" w:rsidRPr="00F30AB4" w:rsidRDefault="00F30AB4" w:rsidP="00F30AB4">
      <w:r w:rsidRPr="00F30AB4">
        <w:t>Maurya, C., Muhammad, T., Dhillon, P. and Maurya, P. (2022) ‘The effects of cyberbullying victimization on depression and suicidal ideation among adolescents and young adults: A three-year cohort study from India’, BMC Psychiatry, 22, article 599. Available at: https://doi.org/10.1186/s12888-022-04238-x</w:t>
      </w:r>
    </w:p>
    <w:p w14:paraId="6E26CD3F" w14:textId="77777777" w:rsidR="00F30AB4" w:rsidRPr="00F30AB4" w:rsidRDefault="00F30AB4" w:rsidP="00F30AB4">
      <w:r w:rsidRPr="00F30AB4">
        <w:t>Nagata, J.M., Otmar, C.D., Shim, J., Balasubramanian, P., Cheng, C.M., Li, E.J., Al-</w:t>
      </w:r>
      <w:proofErr w:type="spellStart"/>
      <w:r w:rsidRPr="00F30AB4">
        <w:t>Shoaibi</w:t>
      </w:r>
      <w:proofErr w:type="spellEnd"/>
      <w:r w:rsidRPr="00F30AB4">
        <w:t>, A.A.A., Shao, I.Y., Ganson, K.T., Testa, A., Kiss, O., He, J. and Baker, F.C. (2025) ‘Social media use and depressive symptoms during early adolescence’, JAMA Network Open, 8(5), article e2511704. Available at: https://doi.org/10.1001/jamanetworkopen.2025.11704</w:t>
      </w:r>
    </w:p>
    <w:p w14:paraId="619CE36B" w14:textId="77777777" w:rsidR="00F30AB4" w:rsidRPr="00F30AB4" w:rsidRDefault="00F30AB4" w:rsidP="00F30AB4">
      <w:r w:rsidRPr="00F30AB4">
        <w:t>Orben, A., Przybylski, A.K., Blakemore, S.-J. and Kievit, R.A. (</w:t>
      </w:r>
      <w:proofErr w:type="gramStart"/>
      <w:r w:rsidRPr="00F30AB4">
        <w:t>2022) ‘</w:t>
      </w:r>
      <w:proofErr w:type="gramEnd"/>
      <w:r w:rsidRPr="00F30AB4">
        <w:t>Windows of developmental sensitivity to social media’, Nature Communications, 13, article 1649. Available at: https://doi.org/10.1038/s41467-022-29296-3</w:t>
      </w:r>
    </w:p>
    <w:p w14:paraId="168F4368" w14:textId="77777777" w:rsidR="00F30AB4" w:rsidRPr="00F30AB4" w:rsidRDefault="00F30AB4" w:rsidP="00F30AB4">
      <w:proofErr w:type="spellStart"/>
      <w:r w:rsidRPr="00F30AB4">
        <w:t>Revranche</w:t>
      </w:r>
      <w:proofErr w:type="spellEnd"/>
      <w:r w:rsidRPr="00F30AB4">
        <w:t xml:space="preserve">, M., </w:t>
      </w:r>
      <w:proofErr w:type="spellStart"/>
      <w:r w:rsidRPr="00F30AB4">
        <w:t>Biscond</w:t>
      </w:r>
      <w:proofErr w:type="spellEnd"/>
      <w:r w:rsidRPr="00F30AB4">
        <w:t xml:space="preserve">, M. and Husky, M.M. (2022) ‘Investigating the relationship between social media use and body image among adolescents: A systematic review’, </w:t>
      </w:r>
      <w:proofErr w:type="spellStart"/>
      <w:r w:rsidRPr="00F30AB4">
        <w:t>L’Encéphale</w:t>
      </w:r>
      <w:proofErr w:type="spellEnd"/>
      <w:r w:rsidRPr="00F30AB4">
        <w:t>, 48(2), pp. 206–218. Available at: https://doi.org/10.1016/j.encep.2021.08.006</w:t>
      </w:r>
    </w:p>
    <w:p w14:paraId="1119B7CA" w14:textId="77777777" w:rsidR="00F30AB4" w:rsidRPr="00F30AB4" w:rsidRDefault="00F30AB4" w:rsidP="00F30AB4">
      <w:proofErr w:type="spellStart"/>
      <w:r w:rsidRPr="00F30AB4">
        <w:t>Steinsbekk</w:t>
      </w:r>
      <w:proofErr w:type="spellEnd"/>
      <w:r w:rsidRPr="00F30AB4">
        <w:t xml:space="preserve">, S., </w:t>
      </w:r>
      <w:proofErr w:type="spellStart"/>
      <w:r w:rsidRPr="00F30AB4">
        <w:t>Wichstrøm</w:t>
      </w:r>
      <w:proofErr w:type="spellEnd"/>
      <w:r w:rsidRPr="00F30AB4">
        <w:t xml:space="preserve">, L., Stenseng, F., Nesi, J., </w:t>
      </w:r>
      <w:proofErr w:type="spellStart"/>
      <w:r w:rsidRPr="00F30AB4">
        <w:t>Hygen</w:t>
      </w:r>
      <w:proofErr w:type="spellEnd"/>
      <w:r w:rsidRPr="00F30AB4">
        <w:t xml:space="preserve">, B.W. and Skalická, V. (2021) ‘The impact of social media use on appearance self-esteem from childhood to </w:t>
      </w:r>
      <w:r w:rsidRPr="00F30AB4">
        <w:lastRenderedPageBreak/>
        <w:t xml:space="preserve">adolescence: A three-wave community study’, </w:t>
      </w:r>
      <w:r w:rsidRPr="00F30AB4">
        <w:rPr>
          <w:i/>
          <w:iCs/>
        </w:rPr>
        <w:t>Computers in Human Behavior</w:t>
      </w:r>
      <w:r w:rsidRPr="00F30AB4">
        <w:t xml:space="preserve">, 114, article 106528. Available at: </w:t>
      </w:r>
      <w:hyperlink r:id="rId10" w:history="1">
        <w:r w:rsidRPr="00F30AB4">
          <w:rPr>
            <w:rStyle w:val="Hyperlink"/>
          </w:rPr>
          <w:t>https://doi.org/10.1016/j.chb.2020.106528</w:t>
        </w:r>
      </w:hyperlink>
    </w:p>
    <w:p w14:paraId="22AC6D0B" w14:textId="77777777" w:rsidR="00F30AB4" w:rsidRPr="00F30AB4" w:rsidRDefault="00F30AB4" w:rsidP="00F30AB4">
      <w:r w:rsidRPr="00F30AB4">
        <w:t xml:space="preserve">Tan, R., Yang, Y., Huang, T., Lin, X. and Gao, H. (2023) ‘Parent–child attachment and mental health in young adolescents: A moderated mediation analysis’, </w:t>
      </w:r>
      <w:r w:rsidRPr="00F30AB4">
        <w:rPr>
          <w:i/>
          <w:iCs/>
        </w:rPr>
        <w:t>Frontiers in Psychology</w:t>
      </w:r>
      <w:r w:rsidRPr="00F30AB4">
        <w:t xml:space="preserve">, 14, article 1298485. Available at: </w:t>
      </w:r>
      <w:hyperlink r:id="rId11" w:history="1">
        <w:r w:rsidRPr="00F30AB4">
          <w:rPr>
            <w:rStyle w:val="Hyperlink"/>
          </w:rPr>
          <w:t>https://doi.org/10.3389/fpsyg.2023.1298485</w:t>
        </w:r>
      </w:hyperlink>
    </w:p>
    <w:p w14:paraId="4BDFFC5D" w14:textId="77777777" w:rsidR="00F30AB4" w:rsidRPr="00F30AB4" w:rsidRDefault="00F30AB4" w:rsidP="00F30AB4">
      <w:proofErr w:type="spellStart"/>
      <w:r w:rsidRPr="00F30AB4">
        <w:t>Topbaş</w:t>
      </w:r>
      <w:proofErr w:type="spellEnd"/>
      <w:r w:rsidRPr="00F30AB4">
        <w:t xml:space="preserve">, Z.S., </w:t>
      </w:r>
      <w:proofErr w:type="spellStart"/>
      <w:r w:rsidRPr="00F30AB4">
        <w:t>Evli</w:t>
      </w:r>
      <w:proofErr w:type="spellEnd"/>
      <w:r w:rsidRPr="00F30AB4">
        <w:t xml:space="preserve">, M., Şimşek, N., </w:t>
      </w:r>
      <w:proofErr w:type="spellStart"/>
      <w:r w:rsidRPr="00F30AB4">
        <w:t>İpekten</w:t>
      </w:r>
      <w:proofErr w:type="spellEnd"/>
      <w:r w:rsidRPr="00F30AB4">
        <w:t xml:space="preserve">, F., </w:t>
      </w:r>
      <w:proofErr w:type="spellStart"/>
      <w:r w:rsidRPr="00F30AB4">
        <w:t>Işıkgöz</w:t>
      </w:r>
      <w:proofErr w:type="spellEnd"/>
      <w:r w:rsidRPr="00F30AB4">
        <w:t>, M. and Öztürk, H.I. (2025) ‘The relationship between anxious attachment and social networking site addiction in adolescents: The mediating role of interpersonal cognitive distortions, self-esteem, and the desire to be liked’, International Journal of Mental Health and Addiction, 23, pp. 2237–2251. Available at: https://doi.org/10.1007/s11469-023-01227-3</w:t>
      </w:r>
    </w:p>
    <w:p w14:paraId="6042DC72" w14:textId="77777777" w:rsidR="00F30AB4" w:rsidRPr="00F30AB4" w:rsidRDefault="00F30AB4" w:rsidP="00F30AB4">
      <w:r w:rsidRPr="00F30AB4">
        <w:t xml:space="preserve">Zhou, Z. and Cheng, Q. (2022) ‘Relationship between online social support and adolescents’ mental health: A systematic review and meta-analysis’, Journal of Adolescence, 94(3), pp. 281–292. Available at: </w:t>
      </w:r>
      <w:hyperlink r:id="rId12" w:history="1">
        <w:r w:rsidRPr="00F30AB4">
          <w:rPr>
            <w:rStyle w:val="Hyperlink"/>
          </w:rPr>
          <w:t>https://doi.org/10.1002/jad.12031</w:t>
        </w:r>
      </w:hyperlink>
    </w:p>
    <w:p w14:paraId="68B8FD72" w14:textId="77777777" w:rsidR="001E6443" w:rsidRDefault="001E6443"/>
    <w:sectPr w:rsidR="001E6443">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937B6" w14:textId="77777777" w:rsidR="00D42150" w:rsidRDefault="00D42150" w:rsidP="00F30AB4">
      <w:pPr>
        <w:spacing w:after="0" w:line="240" w:lineRule="auto"/>
      </w:pPr>
      <w:r>
        <w:separator/>
      </w:r>
    </w:p>
  </w:endnote>
  <w:endnote w:type="continuationSeparator" w:id="0">
    <w:p w14:paraId="6E08626B" w14:textId="77777777" w:rsidR="00D42150" w:rsidRDefault="00D42150" w:rsidP="00F30A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0D90E5" w14:textId="77777777" w:rsidR="00D42150" w:rsidRDefault="00D42150" w:rsidP="00F30AB4">
      <w:pPr>
        <w:spacing w:after="0" w:line="240" w:lineRule="auto"/>
      </w:pPr>
      <w:r>
        <w:separator/>
      </w:r>
    </w:p>
  </w:footnote>
  <w:footnote w:type="continuationSeparator" w:id="0">
    <w:p w14:paraId="147E0DA6" w14:textId="77777777" w:rsidR="00D42150" w:rsidRDefault="00D42150" w:rsidP="00F30A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8983172"/>
      <w:docPartObj>
        <w:docPartGallery w:val="Page Numbers (Top of Page)"/>
        <w:docPartUnique/>
      </w:docPartObj>
    </w:sdtPr>
    <w:sdtEndPr>
      <w:rPr>
        <w:noProof/>
      </w:rPr>
    </w:sdtEndPr>
    <w:sdtContent>
      <w:p w14:paraId="4FDB89E4" w14:textId="731A4504" w:rsidR="00F30AB4" w:rsidRDefault="00F30AB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EE042B2" w14:textId="77777777" w:rsidR="00F30AB4" w:rsidRDefault="00F30AB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303"/>
    <w:rsid w:val="00096303"/>
    <w:rsid w:val="001E6443"/>
    <w:rsid w:val="003E1073"/>
    <w:rsid w:val="00477D53"/>
    <w:rsid w:val="006B37A1"/>
    <w:rsid w:val="007B61C7"/>
    <w:rsid w:val="00834A89"/>
    <w:rsid w:val="00920078"/>
    <w:rsid w:val="00A177E5"/>
    <w:rsid w:val="00A2399D"/>
    <w:rsid w:val="00A83048"/>
    <w:rsid w:val="00D42150"/>
    <w:rsid w:val="00F30AB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A56E6"/>
  <w15:chartTrackingRefBased/>
  <w15:docId w15:val="{72DE6340-30D7-4C21-851A-25006315E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0AB4"/>
    <w:pPr>
      <w:spacing w:line="360" w:lineRule="auto"/>
      <w:jc w:val="both"/>
    </w:pPr>
    <w:rPr>
      <w:rFonts w:ascii="Arial" w:hAnsi="Arial"/>
    </w:rPr>
  </w:style>
  <w:style w:type="paragraph" w:styleId="Heading1">
    <w:name w:val="heading 1"/>
    <w:basedOn w:val="Normal"/>
    <w:next w:val="Normal"/>
    <w:link w:val="Heading1Char"/>
    <w:uiPriority w:val="9"/>
    <w:qFormat/>
    <w:rsid w:val="00F30AB4"/>
    <w:pPr>
      <w:keepNext/>
      <w:keepLines/>
      <w:spacing w:before="360" w:after="80"/>
      <w:outlineLvl w:val="0"/>
    </w:pPr>
    <w:rPr>
      <w:rFonts w:eastAsiaTheme="majorEastAsia" w:cstheme="majorBidi"/>
      <w:b/>
      <w:sz w:val="32"/>
      <w:szCs w:val="40"/>
      <w:u w:val="single"/>
    </w:rPr>
  </w:style>
  <w:style w:type="paragraph" w:styleId="Heading2">
    <w:name w:val="heading 2"/>
    <w:basedOn w:val="Normal"/>
    <w:next w:val="Normal"/>
    <w:link w:val="Heading2Char"/>
    <w:uiPriority w:val="9"/>
    <w:semiHidden/>
    <w:unhideWhenUsed/>
    <w:qFormat/>
    <w:rsid w:val="0009630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9630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9630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9630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963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63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63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63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0AB4"/>
    <w:rPr>
      <w:rFonts w:ascii="Arial" w:eastAsiaTheme="majorEastAsia" w:hAnsi="Arial" w:cstheme="majorBidi"/>
      <w:b/>
      <w:sz w:val="32"/>
      <w:szCs w:val="40"/>
      <w:u w:val="single"/>
    </w:rPr>
  </w:style>
  <w:style w:type="character" w:customStyle="1" w:styleId="Heading2Char">
    <w:name w:val="Heading 2 Char"/>
    <w:basedOn w:val="DefaultParagraphFont"/>
    <w:link w:val="Heading2"/>
    <w:uiPriority w:val="9"/>
    <w:semiHidden/>
    <w:rsid w:val="0009630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9630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9630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9630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963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63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63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6303"/>
    <w:rPr>
      <w:rFonts w:eastAsiaTheme="majorEastAsia" w:cstheme="majorBidi"/>
      <w:color w:val="272727" w:themeColor="text1" w:themeTint="D8"/>
    </w:rPr>
  </w:style>
  <w:style w:type="paragraph" w:styleId="Title">
    <w:name w:val="Title"/>
    <w:basedOn w:val="Normal"/>
    <w:next w:val="Normal"/>
    <w:link w:val="TitleChar"/>
    <w:uiPriority w:val="10"/>
    <w:qFormat/>
    <w:rsid w:val="000963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63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63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63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6303"/>
    <w:pPr>
      <w:spacing w:before="160"/>
      <w:jc w:val="center"/>
    </w:pPr>
    <w:rPr>
      <w:i/>
      <w:iCs/>
      <w:color w:val="404040" w:themeColor="text1" w:themeTint="BF"/>
    </w:rPr>
  </w:style>
  <w:style w:type="character" w:customStyle="1" w:styleId="QuoteChar">
    <w:name w:val="Quote Char"/>
    <w:basedOn w:val="DefaultParagraphFont"/>
    <w:link w:val="Quote"/>
    <w:uiPriority w:val="29"/>
    <w:rsid w:val="00096303"/>
    <w:rPr>
      <w:i/>
      <w:iCs/>
      <w:color w:val="404040" w:themeColor="text1" w:themeTint="BF"/>
    </w:rPr>
  </w:style>
  <w:style w:type="paragraph" w:styleId="ListParagraph">
    <w:name w:val="List Paragraph"/>
    <w:basedOn w:val="Normal"/>
    <w:uiPriority w:val="34"/>
    <w:qFormat/>
    <w:rsid w:val="00096303"/>
    <w:pPr>
      <w:ind w:left="720"/>
      <w:contextualSpacing/>
    </w:pPr>
  </w:style>
  <w:style w:type="character" w:styleId="IntenseEmphasis">
    <w:name w:val="Intense Emphasis"/>
    <w:basedOn w:val="DefaultParagraphFont"/>
    <w:uiPriority w:val="21"/>
    <w:qFormat/>
    <w:rsid w:val="00096303"/>
    <w:rPr>
      <w:i/>
      <w:iCs/>
      <w:color w:val="2F5496" w:themeColor="accent1" w:themeShade="BF"/>
    </w:rPr>
  </w:style>
  <w:style w:type="paragraph" w:styleId="IntenseQuote">
    <w:name w:val="Intense Quote"/>
    <w:basedOn w:val="Normal"/>
    <w:next w:val="Normal"/>
    <w:link w:val="IntenseQuoteChar"/>
    <w:uiPriority w:val="30"/>
    <w:qFormat/>
    <w:rsid w:val="0009630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96303"/>
    <w:rPr>
      <w:i/>
      <w:iCs/>
      <w:color w:val="2F5496" w:themeColor="accent1" w:themeShade="BF"/>
    </w:rPr>
  </w:style>
  <w:style w:type="character" w:styleId="IntenseReference">
    <w:name w:val="Intense Reference"/>
    <w:basedOn w:val="DefaultParagraphFont"/>
    <w:uiPriority w:val="32"/>
    <w:qFormat/>
    <w:rsid w:val="00096303"/>
    <w:rPr>
      <w:b/>
      <w:bCs/>
      <w:smallCaps/>
      <w:color w:val="2F5496" w:themeColor="accent1" w:themeShade="BF"/>
      <w:spacing w:val="5"/>
    </w:rPr>
  </w:style>
  <w:style w:type="character" w:styleId="Hyperlink">
    <w:name w:val="Hyperlink"/>
    <w:basedOn w:val="DefaultParagraphFont"/>
    <w:uiPriority w:val="99"/>
    <w:unhideWhenUsed/>
    <w:rsid w:val="00096303"/>
    <w:rPr>
      <w:color w:val="0563C1" w:themeColor="hyperlink"/>
      <w:u w:val="single"/>
    </w:rPr>
  </w:style>
  <w:style w:type="character" w:styleId="UnresolvedMention">
    <w:name w:val="Unresolved Mention"/>
    <w:basedOn w:val="DefaultParagraphFont"/>
    <w:uiPriority w:val="99"/>
    <w:semiHidden/>
    <w:unhideWhenUsed/>
    <w:rsid w:val="00096303"/>
    <w:rPr>
      <w:color w:val="605E5C"/>
      <w:shd w:val="clear" w:color="auto" w:fill="E1DFDD"/>
    </w:rPr>
  </w:style>
  <w:style w:type="paragraph" w:styleId="Header">
    <w:name w:val="header"/>
    <w:basedOn w:val="Normal"/>
    <w:link w:val="HeaderChar"/>
    <w:uiPriority w:val="99"/>
    <w:unhideWhenUsed/>
    <w:rsid w:val="00F30A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0AB4"/>
    <w:rPr>
      <w:rFonts w:ascii="Arial" w:hAnsi="Arial"/>
    </w:rPr>
  </w:style>
  <w:style w:type="paragraph" w:styleId="Footer">
    <w:name w:val="footer"/>
    <w:basedOn w:val="Normal"/>
    <w:link w:val="FooterChar"/>
    <w:uiPriority w:val="99"/>
    <w:unhideWhenUsed/>
    <w:rsid w:val="00F30A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0AB4"/>
    <w:rPr>
      <w:rFonts w:ascii="Arial" w:hAnsi="Arial"/>
    </w:rPr>
  </w:style>
  <w:style w:type="paragraph" w:styleId="TOCHeading">
    <w:name w:val="TOC Heading"/>
    <w:basedOn w:val="Heading1"/>
    <w:next w:val="Normal"/>
    <w:uiPriority w:val="39"/>
    <w:unhideWhenUsed/>
    <w:qFormat/>
    <w:rsid w:val="00F30AB4"/>
    <w:pPr>
      <w:spacing w:before="240" w:after="0" w:line="259" w:lineRule="auto"/>
      <w:jc w:val="left"/>
      <w:outlineLvl w:val="9"/>
    </w:pPr>
    <w:rPr>
      <w:rFonts w:asciiTheme="majorHAnsi" w:hAnsiTheme="majorHAnsi"/>
      <w:b w:val="0"/>
      <w:color w:val="2F5496" w:themeColor="accent1" w:themeShade="BF"/>
      <w:kern w:val="0"/>
      <w:szCs w:val="32"/>
      <w:u w:val="none"/>
      <w14:ligatures w14:val="none"/>
    </w:rPr>
  </w:style>
  <w:style w:type="paragraph" w:styleId="TOC2">
    <w:name w:val="toc 2"/>
    <w:basedOn w:val="Normal"/>
    <w:next w:val="Normal"/>
    <w:autoRedefine/>
    <w:uiPriority w:val="39"/>
    <w:unhideWhenUsed/>
    <w:rsid w:val="00F30AB4"/>
    <w:pPr>
      <w:spacing w:after="100"/>
      <w:ind w:left="240"/>
    </w:pPr>
  </w:style>
  <w:style w:type="paragraph" w:styleId="TOC1">
    <w:name w:val="toc 1"/>
    <w:basedOn w:val="Normal"/>
    <w:next w:val="Normal"/>
    <w:autoRedefine/>
    <w:uiPriority w:val="39"/>
    <w:unhideWhenUsed/>
    <w:rsid w:val="00F30AB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m/books/about/Identity_Youth_and_Crisis.html?id=v3XWH2PDLewC"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books.google.com/books/about/Attachment_and_Loss.html?id=jIwT02ms53cC" TargetMode="External"/><Relationship Id="rId12" Type="http://schemas.openxmlformats.org/officeDocument/2006/relationships/hyperlink" Target="https://doi.org/10.1002/jad.1203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3389/fpsyg.2023.1298485"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1016/j.chb.2020.106528" TargetMode="External"/><Relationship Id="rId4" Type="http://schemas.openxmlformats.org/officeDocument/2006/relationships/webSettings" Target="webSettings.xml"/><Relationship Id="rId9" Type="http://schemas.openxmlformats.org/officeDocument/2006/relationships/hyperlink" Target="https://doi.org/10.1038/s41562-025-02134-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0A83BC-C775-45B1-BC00-D9161184A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2270</Words>
  <Characters>12943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Salma Shahzad (2332701)</cp:lastModifiedBy>
  <cp:revision>2</cp:revision>
  <dcterms:created xsi:type="dcterms:W3CDTF">2026-07-20T21:56:00Z</dcterms:created>
  <dcterms:modified xsi:type="dcterms:W3CDTF">2026-07-20T21:56:00Z</dcterms:modified>
</cp:coreProperties>
</file>