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AF468" w14:textId="3B6D18BA" w:rsidR="009F5775" w:rsidRDefault="009F5775">
      <w:pPr>
        <w:spacing w:after="160" w:line="278" w:lineRule="auto"/>
        <w:ind w:left="0"/>
        <w:jc w:val="left"/>
        <w:rPr>
          <w:b/>
          <w:bCs/>
          <w:lang w:val="en-IN"/>
        </w:rPr>
      </w:pPr>
      <w:r w:rsidRPr="009F5775">
        <w:rPr>
          <w:b/>
          <w:bCs/>
          <w:noProof/>
          <w:lang w:val="en-IN"/>
        </w:rPr>
        <w:drawing>
          <wp:inline distT="0" distB="0" distL="0" distR="0" wp14:anchorId="587142DB" wp14:editId="2C3C4640">
            <wp:extent cx="2190365" cy="980303"/>
            <wp:effectExtent l="0" t="0" r="635" b="0"/>
            <wp:docPr id="1082220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220999" name=""/>
                    <pic:cNvPicPr/>
                  </pic:nvPicPr>
                  <pic:blipFill>
                    <a:blip r:embed="rId7"/>
                    <a:stretch>
                      <a:fillRect/>
                    </a:stretch>
                  </pic:blipFill>
                  <pic:spPr>
                    <a:xfrm>
                      <a:off x="0" y="0"/>
                      <a:ext cx="2198348" cy="983876"/>
                    </a:xfrm>
                    <a:prstGeom prst="rect">
                      <a:avLst/>
                    </a:prstGeom>
                  </pic:spPr>
                </pic:pic>
              </a:graphicData>
            </a:graphic>
          </wp:inline>
        </w:drawing>
      </w:r>
    </w:p>
    <w:p w14:paraId="4FF961F5" w14:textId="77777777" w:rsidR="009F5775" w:rsidRDefault="009F5775">
      <w:pPr>
        <w:spacing w:after="160" w:line="278" w:lineRule="auto"/>
        <w:ind w:left="0"/>
        <w:jc w:val="left"/>
        <w:rPr>
          <w:b/>
          <w:bCs/>
          <w:lang w:val="en-IN"/>
        </w:rPr>
      </w:pPr>
    </w:p>
    <w:p w14:paraId="1F9F3622" w14:textId="77777777" w:rsidR="009F5775" w:rsidRDefault="009F5775">
      <w:pPr>
        <w:spacing w:after="160" w:line="278" w:lineRule="auto"/>
        <w:ind w:left="0"/>
        <w:jc w:val="left"/>
        <w:rPr>
          <w:b/>
          <w:bCs/>
          <w:lang w:val="en-IN"/>
        </w:rPr>
      </w:pPr>
    </w:p>
    <w:p w14:paraId="3EC70EA0" w14:textId="77777777" w:rsidR="009F5775" w:rsidRDefault="009F5775">
      <w:pPr>
        <w:spacing w:after="160" w:line="278" w:lineRule="auto"/>
        <w:ind w:left="0"/>
        <w:jc w:val="left"/>
        <w:rPr>
          <w:b/>
          <w:bCs/>
          <w:lang w:val="en-IN"/>
        </w:rPr>
      </w:pPr>
    </w:p>
    <w:p w14:paraId="70A4ADEE" w14:textId="77777777" w:rsidR="00840EA7" w:rsidRDefault="00840EA7">
      <w:pPr>
        <w:spacing w:after="160" w:line="278" w:lineRule="auto"/>
        <w:ind w:left="0"/>
        <w:jc w:val="left"/>
        <w:rPr>
          <w:b/>
          <w:bCs/>
          <w:lang w:val="en-IN"/>
        </w:rPr>
      </w:pPr>
    </w:p>
    <w:p w14:paraId="395B0B90" w14:textId="77777777" w:rsidR="00840EA7" w:rsidRDefault="00840EA7">
      <w:pPr>
        <w:spacing w:after="160" w:line="278" w:lineRule="auto"/>
        <w:ind w:left="0"/>
        <w:jc w:val="left"/>
        <w:rPr>
          <w:b/>
          <w:bCs/>
          <w:lang w:val="en-IN"/>
        </w:rPr>
      </w:pPr>
    </w:p>
    <w:p w14:paraId="4CF543DA" w14:textId="77777777" w:rsidR="00840EA7" w:rsidRDefault="00840EA7">
      <w:pPr>
        <w:spacing w:after="160" w:line="278" w:lineRule="auto"/>
        <w:ind w:left="0"/>
        <w:jc w:val="left"/>
        <w:rPr>
          <w:b/>
          <w:bCs/>
          <w:lang w:val="en-IN"/>
        </w:rPr>
      </w:pPr>
    </w:p>
    <w:p w14:paraId="3D17C06C" w14:textId="77777777" w:rsidR="009F5775" w:rsidRPr="00840EA7" w:rsidRDefault="009F5775" w:rsidP="00840EA7">
      <w:pPr>
        <w:spacing w:after="160" w:line="278" w:lineRule="auto"/>
        <w:ind w:left="0"/>
        <w:jc w:val="center"/>
        <w:rPr>
          <w:b/>
          <w:bCs/>
          <w:sz w:val="28"/>
          <w:szCs w:val="22"/>
        </w:rPr>
      </w:pPr>
      <w:r w:rsidRPr="00840EA7">
        <w:rPr>
          <w:b/>
          <w:bCs/>
          <w:sz w:val="28"/>
          <w:szCs w:val="22"/>
        </w:rPr>
        <w:t>BA (Hons) Business Management</w:t>
      </w:r>
    </w:p>
    <w:p w14:paraId="545AA34D" w14:textId="77777777" w:rsidR="00840EA7" w:rsidRPr="00840EA7" w:rsidRDefault="00840EA7" w:rsidP="00840EA7">
      <w:pPr>
        <w:spacing w:after="160" w:line="278" w:lineRule="auto"/>
        <w:ind w:left="0"/>
        <w:jc w:val="center"/>
        <w:rPr>
          <w:b/>
          <w:bCs/>
          <w:sz w:val="40"/>
          <w:szCs w:val="32"/>
        </w:rPr>
      </w:pPr>
      <w:r w:rsidRPr="00840EA7">
        <w:rPr>
          <w:b/>
          <w:bCs/>
          <w:sz w:val="40"/>
          <w:szCs w:val="32"/>
        </w:rPr>
        <w:t>Management Accounting for Managers</w:t>
      </w:r>
    </w:p>
    <w:p w14:paraId="1C4BCD54" w14:textId="77777777" w:rsidR="00840EA7" w:rsidRPr="00840EA7" w:rsidRDefault="00840EA7" w:rsidP="00840EA7">
      <w:pPr>
        <w:spacing w:after="160" w:line="278" w:lineRule="auto"/>
        <w:ind w:left="0"/>
        <w:jc w:val="center"/>
        <w:rPr>
          <w:b/>
          <w:bCs/>
          <w:sz w:val="28"/>
          <w:szCs w:val="22"/>
        </w:rPr>
      </w:pPr>
      <w:r w:rsidRPr="00840EA7">
        <w:rPr>
          <w:b/>
          <w:bCs/>
          <w:sz w:val="28"/>
          <w:szCs w:val="22"/>
        </w:rPr>
        <w:t>“Individual Report”</w:t>
      </w:r>
    </w:p>
    <w:p w14:paraId="57A4BE75" w14:textId="77777777" w:rsidR="00840EA7" w:rsidRPr="00840EA7" w:rsidRDefault="00840EA7" w:rsidP="00840EA7">
      <w:pPr>
        <w:spacing w:after="160" w:line="278" w:lineRule="auto"/>
        <w:ind w:left="0"/>
        <w:jc w:val="center"/>
        <w:rPr>
          <w:b/>
          <w:bCs/>
          <w:sz w:val="28"/>
          <w:szCs w:val="22"/>
        </w:rPr>
      </w:pPr>
    </w:p>
    <w:p w14:paraId="2D28E8CB" w14:textId="77777777" w:rsidR="00840EA7" w:rsidRPr="00840EA7" w:rsidRDefault="00840EA7" w:rsidP="00840EA7">
      <w:pPr>
        <w:spacing w:after="160" w:line="278" w:lineRule="auto"/>
        <w:ind w:left="0"/>
        <w:jc w:val="center"/>
        <w:rPr>
          <w:b/>
          <w:bCs/>
          <w:sz w:val="28"/>
          <w:szCs w:val="22"/>
        </w:rPr>
      </w:pPr>
    </w:p>
    <w:p w14:paraId="24CA98D3" w14:textId="77777777" w:rsidR="00840EA7" w:rsidRPr="00840EA7" w:rsidRDefault="00840EA7" w:rsidP="00840EA7">
      <w:pPr>
        <w:spacing w:after="160" w:line="278" w:lineRule="auto"/>
        <w:ind w:left="0"/>
        <w:jc w:val="center"/>
        <w:rPr>
          <w:b/>
          <w:bCs/>
          <w:sz w:val="28"/>
          <w:szCs w:val="22"/>
        </w:rPr>
      </w:pPr>
    </w:p>
    <w:p w14:paraId="6D7290B5" w14:textId="77777777" w:rsidR="00840EA7" w:rsidRPr="00840EA7" w:rsidRDefault="00840EA7" w:rsidP="00840EA7">
      <w:pPr>
        <w:spacing w:after="160" w:line="278" w:lineRule="auto"/>
        <w:ind w:left="0"/>
        <w:jc w:val="center"/>
        <w:rPr>
          <w:b/>
          <w:bCs/>
          <w:sz w:val="28"/>
          <w:szCs w:val="22"/>
        </w:rPr>
      </w:pPr>
    </w:p>
    <w:p w14:paraId="5E40772B" w14:textId="77777777" w:rsidR="00840EA7" w:rsidRPr="00840EA7" w:rsidRDefault="00840EA7" w:rsidP="00840EA7">
      <w:pPr>
        <w:spacing w:after="160" w:line="278" w:lineRule="auto"/>
        <w:ind w:left="0"/>
        <w:jc w:val="center"/>
        <w:rPr>
          <w:b/>
          <w:bCs/>
          <w:sz w:val="28"/>
          <w:szCs w:val="22"/>
        </w:rPr>
      </w:pPr>
    </w:p>
    <w:p w14:paraId="44B2B7E6" w14:textId="08826B33" w:rsidR="00840EA7" w:rsidRPr="00840EA7" w:rsidRDefault="00840EA7" w:rsidP="00840EA7">
      <w:pPr>
        <w:spacing w:after="160" w:line="278" w:lineRule="auto"/>
        <w:ind w:left="0"/>
        <w:jc w:val="center"/>
        <w:rPr>
          <w:b/>
          <w:bCs/>
          <w:sz w:val="28"/>
          <w:szCs w:val="22"/>
        </w:rPr>
      </w:pPr>
      <w:r w:rsidRPr="00840EA7">
        <w:rPr>
          <w:b/>
          <w:bCs/>
          <w:sz w:val="28"/>
          <w:szCs w:val="22"/>
        </w:rPr>
        <w:t>Student Name:</w:t>
      </w:r>
      <w:r w:rsidR="003E5068">
        <w:rPr>
          <w:b/>
          <w:bCs/>
          <w:sz w:val="28"/>
          <w:szCs w:val="22"/>
        </w:rPr>
        <w:t xml:space="preserve"> Mariana-Janeta Cucu</w:t>
      </w:r>
    </w:p>
    <w:p w14:paraId="4DE7B54F" w14:textId="19E1DB0C" w:rsidR="00840EA7" w:rsidRPr="00840EA7" w:rsidRDefault="00840EA7" w:rsidP="00840EA7">
      <w:pPr>
        <w:spacing w:after="160" w:line="278" w:lineRule="auto"/>
        <w:ind w:left="0"/>
        <w:jc w:val="center"/>
        <w:rPr>
          <w:b/>
          <w:bCs/>
          <w:sz w:val="28"/>
          <w:szCs w:val="22"/>
        </w:rPr>
      </w:pPr>
      <w:r w:rsidRPr="00840EA7">
        <w:rPr>
          <w:b/>
          <w:bCs/>
          <w:sz w:val="28"/>
          <w:szCs w:val="22"/>
        </w:rPr>
        <w:t>Student ID:</w:t>
      </w:r>
      <w:r w:rsidR="003E5068">
        <w:rPr>
          <w:b/>
          <w:bCs/>
          <w:sz w:val="28"/>
          <w:szCs w:val="22"/>
        </w:rPr>
        <w:t xml:space="preserve"> 2238838</w:t>
      </w:r>
    </w:p>
    <w:p w14:paraId="5029CFEF" w14:textId="77777777" w:rsidR="003E5068" w:rsidRDefault="00840EA7" w:rsidP="00840EA7">
      <w:pPr>
        <w:spacing w:after="160" w:line="278" w:lineRule="auto"/>
        <w:ind w:left="0"/>
        <w:jc w:val="center"/>
        <w:rPr>
          <w:b/>
          <w:bCs/>
          <w:sz w:val="28"/>
          <w:szCs w:val="22"/>
        </w:rPr>
      </w:pPr>
      <w:r w:rsidRPr="00840EA7">
        <w:rPr>
          <w:b/>
          <w:bCs/>
          <w:sz w:val="28"/>
          <w:szCs w:val="22"/>
        </w:rPr>
        <w:t>Module Code &amp; Title:</w:t>
      </w:r>
      <w:r w:rsidR="003E5068">
        <w:rPr>
          <w:b/>
          <w:bCs/>
          <w:sz w:val="28"/>
          <w:szCs w:val="22"/>
        </w:rPr>
        <w:t xml:space="preserve"> LCBB_5010 </w:t>
      </w:r>
    </w:p>
    <w:p w14:paraId="1481A9FB" w14:textId="3C6A2C14" w:rsidR="00840EA7" w:rsidRPr="00840EA7" w:rsidRDefault="003E5068" w:rsidP="00840EA7">
      <w:pPr>
        <w:spacing w:after="160" w:line="278" w:lineRule="auto"/>
        <w:ind w:left="0"/>
        <w:jc w:val="center"/>
        <w:rPr>
          <w:b/>
          <w:bCs/>
          <w:sz w:val="28"/>
          <w:szCs w:val="22"/>
        </w:rPr>
      </w:pPr>
      <w:r w:rsidRPr="003E5068">
        <w:rPr>
          <w:b/>
          <w:sz w:val="28"/>
          <w:szCs w:val="28"/>
        </w:rPr>
        <w:t>Component 1: Coursework: Individual Report</w:t>
      </w:r>
    </w:p>
    <w:p w14:paraId="7E4F9BC1" w14:textId="3E53D442" w:rsidR="00840EA7" w:rsidRPr="00840EA7" w:rsidRDefault="00840EA7" w:rsidP="00840EA7">
      <w:pPr>
        <w:spacing w:after="160" w:line="278" w:lineRule="auto"/>
        <w:ind w:left="0"/>
        <w:jc w:val="center"/>
        <w:rPr>
          <w:b/>
          <w:bCs/>
          <w:sz w:val="28"/>
          <w:szCs w:val="22"/>
        </w:rPr>
      </w:pPr>
      <w:r w:rsidRPr="00840EA7">
        <w:rPr>
          <w:b/>
          <w:bCs/>
          <w:sz w:val="28"/>
          <w:szCs w:val="22"/>
        </w:rPr>
        <w:t>Word Count:</w:t>
      </w:r>
      <w:r w:rsidR="003E5068">
        <w:rPr>
          <w:b/>
          <w:bCs/>
          <w:sz w:val="28"/>
          <w:szCs w:val="22"/>
        </w:rPr>
        <w:t xml:space="preserve"> </w:t>
      </w:r>
      <w:r w:rsidR="00152BC8" w:rsidRPr="00152BC8">
        <w:rPr>
          <w:sz w:val="28"/>
          <w:szCs w:val="22"/>
        </w:rPr>
        <w:t xml:space="preserve">~ </w:t>
      </w:r>
      <w:r w:rsidR="003E5068">
        <w:rPr>
          <w:b/>
          <w:bCs/>
          <w:sz w:val="28"/>
          <w:szCs w:val="22"/>
        </w:rPr>
        <w:t>2000</w:t>
      </w:r>
      <w:r w:rsidR="00152BC8">
        <w:rPr>
          <w:b/>
          <w:bCs/>
          <w:sz w:val="28"/>
          <w:szCs w:val="22"/>
        </w:rPr>
        <w:t xml:space="preserve"> </w:t>
      </w:r>
    </w:p>
    <w:p w14:paraId="52748052" w14:textId="20332B1D" w:rsidR="00F558F1" w:rsidRDefault="00840EA7" w:rsidP="00840EA7">
      <w:pPr>
        <w:spacing w:after="160" w:line="278" w:lineRule="auto"/>
        <w:ind w:left="0"/>
        <w:jc w:val="center"/>
        <w:rPr>
          <w:b/>
          <w:bCs/>
          <w:lang w:val="en-IN"/>
        </w:rPr>
      </w:pPr>
      <w:r w:rsidRPr="00840EA7">
        <w:rPr>
          <w:b/>
          <w:bCs/>
          <w:sz w:val="28"/>
          <w:szCs w:val="22"/>
        </w:rPr>
        <w:t>Date:</w:t>
      </w:r>
      <w:r w:rsidR="003E5068">
        <w:rPr>
          <w:b/>
          <w:bCs/>
          <w:sz w:val="28"/>
          <w:szCs w:val="22"/>
        </w:rPr>
        <w:t xml:space="preserve"> 1</w:t>
      </w:r>
      <w:r w:rsidR="003E5068" w:rsidRPr="003E5068">
        <w:rPr>
          <w:b/>
          <w:bCs/>
          <w:sz w:val="28"/>
          <w:szCs w:val="22"/>
          <w:vertAlign w:val="superscript"/>
        </w:rPr>
        <w:t>st</w:t>
      </w:r>
      <w:r w:rsidR="003E5068">
        <w:rPr>
          <w:b/>
          <w:bCs/>
          <w:sz w:val="28"/>
          <w:szCs w:val="22"/>
        </w:rPr>
        <w:t xml:space="preserve"> of March 2026</w:t>
      </w:r>
      <w:r w:rsidR="00F558F1">
        <w:rPr>
          <w:b/>
          <w:bCs/>
          <w:lang w:val="en-IN"/>
        </w:rPr>
        <w:br w:type="page"/>
      </w:r>
    </w:p>
    <w:sdt>
      <w:sdtPr>
        <w:rPr>
          <w:rFonts w:ascii="Times New Roman" w:eastAsia="Times New Roman" w:hAnsi="Times New Roman" w:cs="Times New Roman"/>
          <w:color w:val="auto"/>
          <w:sz w:val="24"/>
          <w:szCs w:val="20"/>
          <w:lang w:val="en-GB"/>
        </w:rPr>
        <w:id w:val="-1867285546"/>
        <w:docPartObj>
          <w:docPartGallery w:val="Table of Contents"/>
          <w:docPartUnique/>
        </w:docPartObj>
      </w:sdtPr>
      <w:sdtEndPr>
        <w:rPr>
          <w:b/>
          <w:bCs/>
          <w:noProof/>
        </w:rPr>
      </w:sdtEndPr>
      <w:sdtContent>
        <w:p w14:paraId="68159C83" w14:textId="1F778C9C" w:rsidR="00840EA7" w:rsidRPr="00840EA7" w:rsidRDefault="00840EA7">
          <w:pPr>
            <w:pStyle w:val="TOCHeading"/>
            <w:rPr>
              <w:rFonts w:ascii="Times New Roman" w:hAnsi="Times New Roman" w:cs="Times New Roman"/>
              <w:b/>
              <w:bCs/>
              <w:color w:val="auto"/>
              <w:sz w:val="28"/>
              <w:szCs w:val="28"/>
            </w:rPr>
          </w:pPr>
          <w:r w:rsidRPr="00840EA7">
            <w:rPr>
              <w:rFonts w:ascii="Times New Roman" w:hAnsi="Times New Roman" w:cs="Times New Roman"/>
              <w:b/>
              <w:bCs/>
              <w:color w:val="auto"/>
              <w:sz w:val="28"/>
              <w:szCs w:val="28"/>
            </w:rPr>
            <w:t>Table of Contents</w:t>
          </w:r>
        </w:p>
        <w:p w14:paraId="57A0988C" w14:textId="4BC839DD" w:rsidR="00461940" w:rsidRDefault="00840EA7">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222747203" w:history="1">
            <w:r w:rsidR="00461940" w:rsidRPr="00D03A4E">
              <w:rPr>
                <w:rStyle w:val="Hyperlink"/>
                <w:noProof/>
              </w:rPr>
              <w:t>1. Introduction</w:t>
            </w:r>
            <w:r w:rsidR="00461940">
              <w:rPr>
                <w:noProof/>
                <w:webHidden/>
              </w:rPr>
              <w:tab/>
            </w:r>
            <w:r w:rsidR="00461940">
              <w:rPr>
                <w:noProof/>
                <w:webHidden/>
              </w:rPr>
              <w:fldChar w:fldCharType="begin"/>
            </w:r>
            <w:r w:rsidR="00461940">
              <w:rPr>
                <w:noProof/>
                <w:webHidden/>
              </w:rPr>
              <w:instrText xml:space="preserve"> PAGEREF _Toc222747203 \h </w:instrText>
            </w:r>
            <w:r w:rsidR="00461940">
              <w:rPr>
                <w:noProof/>
                <w:webHidden/>
              </w:rPr>
            </w:r>
            <w:r w:rsidR="00461940">
              <w:rPr>
                <w:noProof/>
                <w:webHidden/>
              </w:rPr>
              <w:fldChar w:fldCharType="separate"/>
            </w:r>
            <w:r w:rsidR="00461940">
              <w:rPr>
                <w:noProof/>
                <w:webHidden/>
              </w:rPr>
              <w:t>3</w:t>
            </w:r>
            <w:r w:rsidR="00461940">
              <w:rPr>
                <w:noProof/>
                <w:webHidden/>
              </w:rPr>
              <w:fldChar w:fldCharType="end"/>
            </w:r>
          </w:hyperlink>
        </w:p>
        <w:p w14:paraId="4709074E" w14:textId="2637BDCD" w:rsidR="00461940" w:rsidRDefault="0046194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04" w:history="1">
            <w:r w:rsidRPr="00D03A4E">
              <w:rPr>
                <w:rStyle w:val="Hyperlink"/>
                <w:noProof/>
              </w:rPr>
              <w:t>2. Cost Analysis and Business Model</w:t>
            </w:r>
            <w:r>
              <w:rPr>
                <w:noProof/>
                <w:webHidden/>
              </w:rPr>
              <w:tab/>
            </w:r>
            <w:r>
              <w:rPr>
                <w:noProof/>
                <w:webHidden/>
              </w:rPr>
              <w:fldChar w:fldCharType="begin"/>
            </w:r>
            <w:r>
              <w:rPr>
                <w:noProof/>
                <w:webHidden/>
              </w:rPr>
              <w:instrText xml:space="preserve"> PAGEREF _Toc222747204 \h </w:instrText>
            </w:r>
            <w:r>
              <w:rPr>
                <w:noProof/>
                <w:webHidden/>
              </w:rPr>
            </w:r>
            <w:r>
              <w:rPr>
                <w:noProof/>
                <w:webHidden/>
              </w:rPr>
              <w:fldChar w:fldCharType="separate"/>
            </w:r>
            <w:r>
              <w:rPr>
                <w:noProof/>
                <w:webHidden/>
              </w:rPr>
              <w:t>4</w:t>
            </w:r>
            <w:r>
              <w:rPr>
                <w:noProof/>
                <w:webHidden/>
              </w:rPr>
              <w:fldChar w:fldCharType="end"/>
            </w:r>
          </w:hyperlink>
        </w:p>
        <w:p w14:paraId="406A0A03" w14:textId="18677178" w:rsidR="00461940" w:rsidRDefault="0046194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05" w:history="1">
            <w:r w:rsidRPr="00D03A4E">
              <w:rPr>
                <w:rStyle w:val="Hyperlink"/>
                <w:noProof/>
              </w:rPr>
              <w:t>3. Budgeting and Financial Planning</w:t>
            </w:r>
            <w:r>
              <w:rPr>
                <w:noProof/>
                <w:webHidden/>
              </w:rPr>
              <w:tab/>
            </w:r>
            <w:r>
              <w:rPr>
                <w:noProof/>
                <w:webHidden/>
              </w:rPr>
              <w:fldChar w:fldCharType="begin"/>
            </w:r>
            <w:r>
              <w:rPr>
                <w:noProof/>
                <w:webHidden/>
              </w:rPr>
              <w:instrText xml:space="preserve"> PAGEREF _Toc222747205 \h </w:instrText>
            </w:r>
            <w:r>
              <w:rPr>
                <w:noProof/>
                <w:webHidden/>
              </w:rPr>
            </w:r>
            <w:r>
              <w:rPr>
                <w:noProof/>
                <w:webHidden/>
              </w:rPr>
              <w:fldChar w:fldCharType="separate"/>
            </w:r>
            <w:r>
              <w:rPr>
                <w:noProof/>
                <w:webHidden/>
              </w:rPr>
              <w:t>5</w:t>
            </w:r>
            <w:r>
              <w:rPr>
                <w:noProof/>
                <w:webHidden/>
              </w:rPr>
              <w:fldChar w:fldCharType="end"/>
            </w:r>
          </w:hyperlink>
        </w:p>
        <w:p w14:paraId="3F0EE44A" w14:textId="5994930E" w:rsidR="00461940" w:rsidRDefault="0046194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06" w:history="1">
            <w:r w:rsidRPr="00D03A4E">
              <w:rPr>
                <w:rStyle w:val="Hyperlink"/>
                <w:noProof/>
              </w:rPr>
              <w:t>4. Decision-Making and Performance Measurement.</w:t>
            </w:r>
            <w:r>
              <w:rPr>
                <w:noProof/>
                <w:webHidden/>
              </w:rPr>
              <w:tab/>
            </w:r>
            <w:r>
              <w:rPr>
                <w:noProof/>
                <w:webHidden/>
              </w:rPr>
              <w:fldChar w:fldCharType="begin"/>
            </w:r>
            <w:r>
              <w:rPr>
                <w:noProof/>
                <w:webHidden/>
              </w:rPr>
              <w:instrText xml:space="preserve"> PAGEREF _Toc222747206 \h </w:instrText>
            </w:r>
            <w:r>
              <w:rPr>
                <w:noProof/>
                <w:webHidden/>
              </w:rPr>
            </w:r>
            <w:r>
              <w:rPr>
                <w:noProof/>
                <w:webHidden/>
              </w:rPr>
              <w:fldChar w:fldCharType="separate"/>
            </w:r>
            <w:r>
              <w:rPr>
                <w:noProof/>
                <w:webHidden/>
              </w:rPr>
              <w:t>6</w:t>
            </w:r>
            <w:r>
              <w:rPr>
                <w:noProof/>
                <w:webHidden/>
              </w:rPr>
              <w:fldChar w:fldCharType="end"/>
            </w:r>
          </w:hyperlink>
        </w:p>
        <w:p w14:paraId="3958C47F" w14:textId="5CBE137D" w:rsidR="00461940" w:rsidRDefault="0046194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07" w:history="1">
            <w:r w:rsidRPr="00D03A4E">
              <w:rPr>
                <w:rStyle w:val="Hyperlink"/>
                <w:noProof/>
              </w:rPr>
              <w:t>5. Sustainability and Ethical Considerations</w:t>
            </w:r>
            <w:r>
              <w:rPr>
                <w:noProof/>
                <w:webHidden/>
              </w:rPr>
              <w:tab/>
            </w:r>
            <w:r>
              <w:rPr>
                <w:noProof/>
                <w:webHidden/>
              </w:rPr>
              <w:fldChar w:fldCharType="begin"/>
            </w:r>
            <w:r>
              <w:rPr>
                <w:noProof/>
                <w:webHidden/>
              </w:rPr>
              <w:instrText xml:space="preserve"> PAGEREF _Toc222747207 \h </w:instrText>
            </w:r>
            <w:r>
              <w:rPr>
                <w:noProof/>
                <w:webHidden/>
              </w:rPr>
            </w:r>
            <w:r>
              <w:rPr>
                <w:noProof/>
                <w:webHidden/>
              </w:rPr>
              <w:fldChar w:fldCharType="separate"/>
            </w:r>
            <w:r>
              <w:rPr>
                <w:noProof/>
                <w:webHidden/>
              </w:rPr>
              <w:t>7</w:t>
            </w:r>
            <w:r>
              <w:rPr>
                <w:noProof/>
                <w:webHidden/>
              </w:rPr>
              <w:fldChar w:fldCharType="end"/>
            </w:r>
          </w:hyperlink>
        </w:p>
        <w:p w14:paraId="1D771F45" w14:textId="7BB189B9" w:rsidR="00461940" w:rsidRDefault="0046194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08" w:history="1">
            <w:r w:rsidRPr="00D03A4E">
              <w:rPr>
                <w:rStyle w:val="Hyperlink"/>
                <w:noProof/>
              </w:rPr>
              <w:t>6. Conclusion and Recommendations</w:t>
            </w:r>
            <w:r>
              <w:rPr>
                <w:noProof/>
                <w:webHidden/>
              </w:rPr>
              <w:tab/>
            </w:r>
            <w:r>
              <w:rPr>
                <w:noProof/>
                <w:webHidden/>
              </w:rPr>
              <w:fldChar w:fldCharType="begin"/>
            </w:r>
            <w:r>
              <w:rPr>
                <w:noProof/>
                <w:webHidden/>
              </w:rPr>
              <w:instrText xml:space="preserve"> PAGEREF _Toc222747208 \h </w:instrText>
            </w:r>
            <w:r>
              <w:rPr>
                <w:noProof/>
                <w:webHidden/>
              </w:rPr>
            </w:r>
            <w:r>
              <w:rPr>
                <w:noProof/>
                <w:webHidden/>
              </w:rPr>
              <w:fldChar w:fldCharType="separate"/>
            </w:r>
            <w:r>
              <w:rPr>
                <w:noProof/>
                <w:webHidden/>
              </w:rPr>
              <w:t>9</w:t>
            </w:r>
            <w:r>
              <w:rPr>
                <w:noProof/>
                <w:webHidden/>
              </w:rPr>
              <w:fldChar w:fldCharType="end"/>
            </w:r>
          </w:hyperlink>
        </w:p>
        <w:p w14:paraId="7DF75974" w14:textId="6C886393" w:rsidR="00461940" w:rsidRDefault="0046194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09" w:history="1">
            <w:r w:rsidRPr="00D03A4E">
              <w:rPr>
                <w:rStyle w:val="Hyperlink"/>
                <w:noProof/>
              </w:rPr>
              <w:t>References</w:t>
            </w:r>
            <w:r>
              <w:rPr>
                <w:noProof/>
                <w:webHidden/>
              </w:rPr>
              <w:tab/>
            </w:r>
            <w:r>
              <w:rPr>
                <w:noProof/>
                <w:webHidden/>
              </w:rPr>
              <w:fldChar w:fldCharType="begin"/>
            </w:r>
            <w:r>
              <w:rPr>
                <w:noProof/>
                <w:webHidden/>
              </w:rPr>
              <w:instrText xml:space="preserve"> PAGEREF _Toc222747209 \h </w:instrText>
            </w:r>
            <w:r>
              <w:rPr>
                <w:noProof/>
                <w:webHidden/>
              </w:rPr>
            </w:r>
            <w:r>
              <w:rPr>
                <w:noProof/>
                <w:webHidden/>
              </w:rPr>
              <w:fldChar w:fldCharType="separate"/>
            </w:r>
            <w:r>
              <w:rPr>
                <w:noProof/>
                <w:webHidden/>
              </w:rPr>
              <w:t>10</w:t>
            </w:r>
            <w:r>
              <w:rPr>
                <w:noProof/>
                <w:webHidden/>
              </w:rPr>
              <w:fldChar w:fldCharType="end"/>
            </w:r>
          </w:hyperlink>
        </w:p>
        <w:p w14:paraId="152FAA9C" w14:textId="6D904370" w:rsidR="00461940" w:rsidRDefault="00461940">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0" w:history="1">
            <w:r w:rsidRPr="00D03A4E">
              <w:rPr>
                <w:rStyle w:val="Hyperlink"/>
                <w:noProof/>
              </w:rPr>
              <w:t>Appendix</w:t>
            </w:r>
            <w:r>
              <w:rPr>
                <w:noProof/>
                <w:webHidden/>
              </w:rPr>
              <w:tab/>
            </w:r>
            <w:r>
              <w:rPr>
                <w:noProof/>
                <w:webHidden/>
              </w:rPr>
              <w:fldChar w:fldCharType="begin"/>
            </w:r>
            <w:r>
              <w:rPr>
                <w:noProof/>
                <w:webHidden/>
              </w:rPr>
              <w:instrText xml:space="preserve"> PAGEREF _Toc222747210 \h </w:instrText>
            </w:r>
            <w:r>
              <w:rPr>
                <w:noProof/>
                <w:webHidden/>
              </w:rPr>
            </w:r>
            <w:r>
              <w:rPr>
                <w:noProof/>
                <w:webHidden/>
              </w:rPr>
              <w:fldChar w:fldCharType="separate"/>
            </w:r>
            <w:r>
              <w:rPr>
                <w:noProof/>
                <w:webHidden/>
              </w:rPr>
              <w:t>13</w:t>
            </w:r>
            <w:r>
              <w:rPr>
                <w:noProof/>
                <w:webHidden/>
              </w:rPr>
              <w:fldChar w:fldCharType="end"/>
            </w:r>
          </w:hyperlink>
        </w:p>
        <w:p w14:paraId="60B0D2B3" w14:textId="627E0167" w:rsidR="00461940" w:rsidRDefault="00461940">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1" w:history="1">
            <w:r w:rsidRPr="00D03A4E">
              <w:rPr>
                <w:rStyle w:val="Hyperlink"/>
                <w:noProof/>
              </w:rPr>
              <w:t>Key Performance Indicators at Morrisons</w:t>
            </w:r>
            <w:r>
              <w:rPr>
                <w:noProof/>
                <w:webHidden/>
              </w:rPr>
              <w:tab/>
            </w:r>
            <w:r>
              <w:rPr>
                <w:noProof/>
                <w:webHidden/>
              </w:rPr>
              <w:fldChar w:fldCharType="begin"/>
            </w:r>
            <w:r>
              <w:rPr>
                <w:noProof/>
                <w:webHidden/>
              </w:rPr>
              <w:instrText xml:space="preserve"> PAGEREF _Toc222747211 \h </w:instrText>
            </w:r>
            <w:r>
              <w:rPr>
                <w:noProof/>
                <w:webHidden/>
              </w:rPr>
            </w:r>
            <w:r>
              <w:rPr>
                <w:noProof/>
                <w:webHidden/>
              </w:rPr>
              <w:fldChar w:fldCharType="separate"/>
            </w:r>
            <w:r>
              <w:rPr>
                <w:noProof/>
                <w:webHidden/>
              </w:rPr>
              <w:t>13</w:t>
            </w:r>
            <w:r>
              <w:rPr>
                <w:noProof/>
                <w:webHidden/>
              </w:rPr>
              <w:fldChar w:fldCharType="end"/>
            </w:r>
          </w:hyperlink>
        </w:p>
        <w:p w14:paraId="7A90076C" w14:textId="441B09EA" w:rsidR="00461940" w:rsidRDefault="00461940">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2" w:history="1">
            <w:r w:rsidRPr="00D03A4E">
              <w:rPr>
                <w:rStyle w:val="Hyperlink"/>
                <w:noProof/>
              </w:rPr>
              <w:t>Channel Performance Indicators</w:t>
            </w:r>
            <w:r>
              <w:rPr>
                <w:noProof/>
                <w:webHidden/>
              </w:rPr>
              <w:tab/>
            </w:r>
            <w:r>
              <w:rPr>
                <w:noProof/>
                <w:webHidden/>
              </w:rPr>
              <w:fldChar w:fldCharType="begin"/>
            </w:r>
            <w:r>
              <w:rPr>
                <w:noProof/>
                <w:webHidden/>
              </w:rPr>
              <w:instrText xml:space="preserve"> PAGEREF _Toc222747212 \h </w:instrText>
            </w:r>
            <w:r>
              <w:rPr>
                <w:noProof/>
                <w:webHidden/>
              </w:rPr>
            </w:r>
            <w:r>
              <w:rPr>
                <w:noProof/>
                <w:webHidden/>
              </w:rPr>
              <w:fldChar w:fldCharType="separate"/>
            </w:r>
            <w:r>
              <w:rPr>
                <w:noProof/>
                <w:webHidden/>
              </w:rPr>
              <w:t>13</w:t>
            </w:r>
            <w:r>
              <w:rPr>
                <w:noProof/>
                <w:webHidden/>
              </w:rPr>
              <w:fldChar w:fldCharType="end"/>
            </w:r>
          </w:hyperlink>
        </w:p>
        <w:p w14:paraId="0279B7BE" w14:textId="3BF4633E" w:rsidR="00461940" w:rsidRDefault="00461940">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3" w:history="1">
            <w:r w:rsidRPr="00D03A4E">
              <w:rPr>
                <w:rStyle w:val="Hyperlink"/>
                <w:noProof/>
              </w:rPr>
              <w:t>Customer Loyalty and Engagement Metrics</w:t>
            </w:r>
            <w:r>
              <w:rPr>
                <w:noProof/>
                <w:webHidden/>
              </w:rPr>
              <w:tab/>
            </w:r>
            <w:r>
              <w:rPr>
                <w:noProof/>
                <w:webHidden/>
              </w:rPr>
              <w:fldChar w:fldCharType="begin"/>
            </w:r>
            <w:r>
              <w:rPr>
                <w:noProof/>
                <w:webHidden/>
              </w:rPr>
              <w:instrText xml:space="preserve"> PAGEREF _Toc222747213 \h </w:instrText>
            </w:r>
            <w:r>
              <w:rPr>
                <w:noProof/>
                <w:webHidden/>
              </w:rPr>
            </w:r>
            <w:r>
              <w:rPr>
                <w:noProof/>
                <w:webHidden/>
              </w:rPr>
              <w:fldChar w:fldCharType="separate"/>
            </w:r>
            <w:r>
              <w:rPr>
                <w:noProof/>
                <w:webHidden/>
              </w:rPr>
              <w:t>14</w:t>
            </w:r>
            <w:r>
              <w:rPr>
                <w:noProof/>
                <w:webHidden/>
              </w:rPr>
              <w:fldChar w:fldCharType="end"/>
            </w:r>
          </w:hyperlink>
        </w:p>
        <w:p w14:paraId="128AB118" w14:textId="14D05A7E" w:rsidR="00461940" w:rsidRDefault="00461940">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4" w:history="1">
            <w:r w:rsidRPr="00D03A4E">
              <w:rPr>
                <w:rStyle w:val="Hyperlink"/>
                <w:noProof/>
              </w:rPr>
              <w:t>Morrisons Consolidated Performance Summary</w:t>
            </w:r>
            <w:r>
              <w:rPr>
                <w:noProof/>
                <w:webHidden/>
              </w:rPr>
              <w:tab/>
            </w:r>
            <w:r>
              <w:rPr>
                <w:noProof/>
                <w:webHidden/>
              </w:rPr>
              <w:fldChar w:fldCharType="begin"/>
            </w:r>
            <w:r>
              <w:rPr>
                <w:noProof/>
                <w:webHidden/>
              </w:rPr>
              <w:instrText xml:space="preserve"> PAGEREF _Toc222747214 \h </w:instrText>
            </w:r>
            <w:r>
              <w:rPr>
                <w:noProof/>
                <w:webHidden/>
              </w:rPr>
            </w:r>
            <w:r>
              <w:rPr>
                <w:noProof/>
                <w:webHidden/>
              </w:rPr>
              <w:fldChar w:fldCharType="separate"/>
            </w:r>
            <w:r>
              <w:rPr>
                <w:noProof/>
                <w:webHidden/>
              </w:rPr>
              <w:t>14</w:t>
            </w:r>
            <w:r>
              <w:rPr>
                <w:noProof/>
                <w:webHidden/>
              </w:rPr>
              <w:fldChar w:fldCharType="end"/>
            </w:r>
          </w:hyperlink>
        </w:p>
        <w:p w14:paraId="6DB89A9E" w14:textId="75239A84" w:rsidR="00461940" w:rsidRDefault="00461940">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5" w:history="1">
            <w:r w:rsidRPr="00D03A4E">
              <w:rPr>
                <w:rStyle w:val="Hyperlink"/>
                <w:noProof/>
              </w:rPr>
              <w:t>Break-Even Analysis Data for Morrisons</w:t>
            </w:r>
            <w:r>
              <w:rPr>
                <w:noProof/>
                <w:webHidden/>
              </w:rPr>
              <w:tab/>
            </w:r>
            <w:r>
              <w:rPr>
                <w:noProof/>
                <w:webHidden/>
              </w:rPr>
              <w:fldChar w:fldCharType="begin"/>
            </w:r>
            <w:r>
              <w:rPr>
                <w:noProof/>
                <w:webHidden/>
              </w:rPr>
              <w:instrText xml:space="preserve"> PAGEREF _Toc222747215 \h </w:instrText>
            </w:r>
            <w:r>
              <w:rPr>
                <w:noProof/>
                <w:webHidden/>
              </w:rPr>
            </w:r>
            <w:r>
              <w:rPr>
                <w:noProof/>
                <w:webHidden/>
              </w:rPr>
              <w:fldChar w:fldCharType="separate"/>
            </w:r>
            <w:r>
              <w:rPr>
                <w:noProof/>
                <w:webHidden/>
              </w:rPr>
              <w:t>15</w:t>
            </w:r>
            <w:r>
              <w:rPr>
                <w:noProof/>
                <w:webHidden/>
              </w:rPr>
              <w:fldChar w:fldCharType="end"/>
            </w:r>
          </w:hyperlink>
        </w:p>
        <w:p w14:paraId="20223FC8" w14:textId="5E109961" w:rsidR="00840EA7" w:rsidRDefault="00840EA7">
          <w:r>
            <w:rPr>
              <w:b/>
              <w:bCs/>
              <w:noProof/>
            </w:rPr>
            <w:fldChar w:fldCharType="end"/>
          </w:r>
        </w:p>
      </w:sdtContent>
    </w:sdt>
    <w:p w14:paraId="5E088E99" w14:textId="77777777" w:rsidR="00840EA7" w:rsidRDefault="00840EA7">
      <w:pPr>
        <w:spacing w:after="160" w:line="278" w:lineRule="auto"/>
        <w:ind w:left="0"/>
        <w:jc w:val="left"/>
        <w:rPr>
          <w:b/>
          <w:bCs/>
          <w:lang w:val="en-IN"/>
        </w:rPr>
      </w:pPr>
      <w:r>
        <w:rPr>
          <w:b/>
          <w:bCs/>
          <w:lang w:val="en-IN"/>
        </w:rPr>
        <w:t>Table Of Tables</w:t>
      </w:r>
    </w:p>
    <w:p w14:paraId="0420E79E" w14:textId="3F6F7845" w:rsidR="00461940" w:rsidRDefault="0069490A">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r>
        <w:rPr>
          <w:b/>
          <w:bCs/>
          <w:lang w:val="en-IN"/>
        </w:rPr>
        <w:fldChar w:fldCharType="begin"/>
      </w:r>
      <w:r>
        <w:rPr>
          <w:b/>
          <w:bCs/>
          <w:lang w:val="en-IN"/>
        </w:rPr>
        <w:instrText xml:space="preserve"> TOC \h \z \c "Table" </w:instrText>
      </w:r>
      <w:r>
        <w:rPr>
          <w:b/>
          <w:bCs/>
          <w:lang w:val="en-IN"/>
        </w:rPr>
        <w:fldChar w:fldCharType="separate"/>
      </w:r>
      <w:hyperlink w:anchor="_Toc222747216" w:history="1">
        <w:r w:rsidR="00461940" w:rsidRPr="00644504">
          <w:rPr>
            <w:rStyle w:val="Hyperlink"/>
            <w:rFonts w:eastAsiaTheme="majorEastAsia"/>
            <w:noProof/>
          </w:rPr>
          <w:t>Table 1: (Key Performance Indicators at Morrisons) (Source: Morrisons Annual Report, 2024)</w:t>
        </w:r>
        <w:r w:rsidR="00461940">
          <w:rPr>
            <w:noProof/>
            <w:webHidden/>
          </w:rPr>
          <w:tab/>
        </w:r>
        <w:r w:rsidR="00461940">
          <w:rPr>
            <w:noProof/>
            <w:webHidden/>
          </w:rPr>
          <w:fldChar w:fldCharType="begin"/>
        </w:r>
        <w:r w:rsidR="00461940">
          <w:rPr>
            <w:noProof/>
            <w:webHidden/>
          </w:rPr>
          <w:instrText xml:space="preserve"> PAGEREF _Toc222747216 \h </w:instrText>
        </w:r>
        <w:r w:rsidR="00461940">
          <w:rPr>
            <w:noProof/>
            <w:webHidden/>
          </w:rPr>
        </w:r>
        <w:r w:rsidR="00461940">
          <w:rPr>
            <w:noProof/>
            <w:webHidden/>
          </w:rPr>
          <w:fldChar w:fldCharType="separate"/>
        </w:r>
        <w:r w:rsidR="00461940">
          <w:rPr>
            <w:noProof/>
            <w:webHidden/>
          </w:rPr>
          <w:t>13</w:t>
        </w:r>
        <w:r w:rsidR="00461940">
          <w:rPr>
            <w:noProof/>
            <w:webHidden/>
          </w:rPr>
          <w:fldChar w:fldCharType="end"/>
        </w:r>
      </w:hyperlink>
    </w:p>
    <w:p w14:paraId="7D625397" w14:textId="058301D6" w:rsidR="00461940" w:rsidRDefault="00461940">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7" w:history="1">
        <w:r w:rsidRPr="00644504">
          <w:rPr>
            <w:rStyle w:val="Hyperlink"/>
            <w:rFonts w:eastAsiaTheme="majorEastAsia"/>
            <w:noProof/>
          </w:rPr>
          <w:t>Table 2: (Channel Performance Indicators) (Source: Morrisons Annual Report, 2024)</w:t>
        </w:r>
        <w:r>
          <w:rPr>
            <w:noProof/>
            <w:webHidden/>
          </w:rPr>
          <w:tab/>
        </w:r>
        <w:r>
          <w:rPr>
            <w:noProof/>
            <w:webHidden/>
          </w:rPr>
          <w:fldChar w:fldCharType="begin"/>
        </w:r>
        <w:r>
          <w:rPr>
            <w:noProof/>
            <w:webHidden/>
          </w:rPr>
          <w:instrText xml:space="preserve"> PAGEREF _Toc222747217 \h </w:instrText>
        </w:r>
        <w:r>
          <w:rPr>
            <w:noProof/>
            <w:webHidden/>
          </w:rPr>
        </w:r>
        <w:r>
          <w:rPr>
            <w:noProof/>
            <w:webHidden/>
          </w:rPr>
          <w:fldChar w:fldCharType="separate"/>
        </w:r>
        <w:r>
          <w:rPr>
            <w:noProof/>
            <w:webHidden/>
          </w:rPr>
          <w:t>13</w:t>
        </w:r>
        <w:r>
          <w:rPr>
            <w:noProof/>
            <w:webHidden/>
          </w:rPr>
          <w:fldChar w:fldCharType="end"/>
        </w:r>
      </w:hyperlink>
    </w:p>
    <w:p w14:paraId="402DB4BA" w14:textId="6B66020C" w:rsidR="00461940" w:rsidRDefault="00461940">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8" w:history="1">
        <w:r w:rsidRPr="00644504">
          <w:rPr>
            <w:rStyle w:val="Hyperlink"/>
            <w:rFonts w:eastAsiaTheme="majorEastAsia"/>
            <w:noProof/>
          </w:rPr>
          <w:t>Table 3: (Customer Loyalty and Engagement Metrics) (Source: Morrisons Annual Report, 2024)</w:t>
        </w:r>
        <w:r>
          <w:rPr>
            <w:noProof/>
            <w:webHidden/>
          </w:rPr>
          <w:tab/>
        </w:r>
        <w:r>
          <w:rPr>
            <w:noProof/>
            <w:webHidden/>
          </w:rPr>
          <w:fldChar w:fldCharType="begin"/>
        </w:r>
        <w:r>
          <w:rPr>
            <w:noProof/>
            <w:webHidden/>
          </w:rPr>
          <w:instrText xml:space="preserve"> PAGEREF _Toc222747218 \h </w:instrText>
        </w:r>
        <w:r>
          <w:rPr>
            <w:noProof/>
            <w:webHidden/>
          </w:rPr>
        </w:r>
        <w:r>
          <w:rPr>
            <w:noProof/>
            <w:webHidden/>
          </w:rPr>
          <w:fldChar w:fldCharType="separate"/>
        </w:r>
        <w:r>
          <w:rPr>
            <w:noProof/>
            <w:webHidden/>
          </w:rPr>
          <w:t>14</w:t>
        </w:r>
        <w:r>
          <w:rPr>
            <w:noProof/>
            <w:webHidden/>
          </w:rPr>
          <w:fldChar w:fldCharType="end"/>
        </w:r>
      </w:hyperlink>
    </w:p>
    <w:p w14:paraId="347B1A90" w14:textId="3ED57CAB" w:rsidR="00461940" w:rsidRDefault="00461940">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19" w:history="1">
        <w:r w:rsidRPr="00644504">
          <w:rPr>
            <w:rStyle w:val="Hyperlink"/>
            <w:rFonts w:eastAsiaTheme="majorEastAsia"/>
            <w:noProof/>
          </w:rPr>
          <w:t>Table 4: (Morrisons Consolidated Performance Summary) (Source: Morrisons Annual Report, 2024)</w:t>
        </w:r>
        <w:r>
          <w:rPr>
            <w:noProof/>
            <w:webHidden/>
          </w:rPr>
          <w:tab/>
        </w:r>
        <w:r>
          <w:rPr>
            <w:noProof/>
            <w:webHidden/>
          </w:rPr>
          <w:fldChar w:fldCharType="begin"/>
        </w:r>
        <w:r>
          <w:rPr>
            <w:noProof/>
            <w:webHidden/>
          </w:rPr>
          <w:instrText xml:space="preserve"> PAGEREF _Toc222747219 \h </w:instrText>
        </w:r>
        <w:r>
          <w:rPr>
            <w:noProof/>
            <w:webHidden/>
          </w:rPr>
        </w:r>
        <w:r>
          <w:rPr>
            <w:noProof/>
            <w:webHidden/>
          </w:rPr>
          <w:fldChar w:fldCharType="separate"/>
        </w:r>
        <w:r>
          <w:rPr>
            <w:noProof/>
            <w:webHidden/>
          </w:rPr>
          <w:t>14</w:t>
        </w:r>
        <w:r>
          <w:rPr>
            <w:noProof/>
            <w:webHidden/>
          </w:rPr>
          <w:fldChar w:fldCharType="end"/>
        </w:r>
      </w:hyperlink>
    </w:p>
    <w:p w14:paraId="71B6DBBA" w14:textId="23B966A3" w:rsidR="00461940" w:rsidRDefault="00461940">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20" w:history="1">
        <w:r w:rsidRPr="00644504">
          <w:rPr>
            <w:rStyle w:val="Hyperlink"/>
            <w:rFonts w:eastAsiaTheme="majorEastAsia"/>
            <w:noProof/>
          </w:rPr>
          <w:t>Table 5: (Break-even Analysis Data for Morrisons) (Source: Morrisons Annual Report, 2024)</w:t>
        </w:r>
        <w:r>
          <w:rPr>
            <w:noProof/>
            <w:webHidden/>
          </w:rPr>
          <w:tab/>
        </w:r>
        <w:r>
          <w:rPr>
            <w:noProof/>
            <w:webHidden/>
          </w:rPr>
          <w:fldChar w:fldCharType="begin"/>
        </w:r>
        <w:r>
          <w:rPr>
            <w:noProof/>
            <w:webHidden/>
          </w:rPr>
          <w:instrText xml:space="preserve"> PAGEREF _Toc222747220 \h </w:instrText>
        </w:r>
        <w:r>
          <w:rPr>
            <w:noProof/>
            <w:webHidden/>
          </w:rPr>
        </w:r>
        <w:r>
          <w:rPr>
            <w:noProof/>
            <w:webHidden/>
          </w:rPr>
          <w:fldChar w:fldCharType="separate"/>
        </w:r>
        <w:r>
          <w:rPr>
            <w:noProof/>
            <w:webHidden/>
          </w:rPr>
          <w:t>15</w:t>
        </w:r>
        <w:r>
          <w:rPr>
            <w:noProof/>
            <w:webHidden/>
          </w:rPr>
          <w:fldChar w:fldCharType="end"/>
        </w:r>
      </w:hyperlink>
    </w:p>
    <w:p w14:paraId="0D94B23E" w14:textId="0F187179" w:rsidR="0069490A" w:rsidRDefault="0069490A">
      <w:pPr>
        <w:spacing w:after="160" w:line="278" w:lineRule="auto"/>
        <w:ind w:left="0"/>
        <w:jc w:val="left"/>
        <w:rPr>
          <w:b/>
          <w:bCs/>
          <w:lang w:val="en-IN"/>
        </w:rPr>
      </w:pPr>
      <w:r>
        <w:rPr>
          <w:b/>
          <w:bCs/>
          <w:lang w:val="en-IN"/>
        </w:rPr>
        <w:fldChar w:fldCharType="end"/>
      </w:r>
      <w:r>
        <w:rPr>
          <w:b/>
          <w:bCs/>
          <w:lang w:val="en-IN"/>
        </w:rPr>
        <w:t>Table of Figures</w:t>
      </w:r>
    </w:p>
    <w:p w14:paraId="18781013" w14:textId="3116B38B" w:rsidR="00461940" w:rsidRDefault="0069490A">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r>
        <w:rPr>
          <w:b/>
          <w:bCs/>
          <w:lang w:val="en-IN"/>
        </w:rPr>
        <w:fldChar w:fldCharType="begin"/>
      </w:r>
      <w:r>
        <w:rPr>
          <w:b/>
          <w:bCs/>
          <w:lang w:val="en-IN"/>
        </w:rPr>
        <w:instrText xml:space="preserve"> TOC \h \z \c "Figure" </w:instrText>
      </w:r>
      <w:r>
        <w:rPr>
          <w:b/>
          <w:bCs/>
          <w:lang w:val="en-IN"/>
        </w:rPr>
        <w:fldChar w:fldCharType="separate"/>
      </w:r>
      <w:hyperlink w:anchor="_Toc222747221" w:history="1">
        <w:r w:rsidR="00461940" w:rsidRPr="004D2D2F">
          <w:rPr>
            <w:rStyle w:val="Hyperlink"/>
            <w:rFonts w:eastAsiaTheme="majorEastAsia"/>
            <w:noProof/>
          </w:rPr>
          <w:t>Figure 1: (Illustrative Break-even Analysis for Morrisons)</w:t>
        </w:r>
        <w:r w:rsidR="00461940">
          <w:rPr>
            <w:noProof/>
            <w:webHidden/>
          </w:rPr>
          <w:tab/>
        </w:r>
        <w:r w:rsidR="00461940">
          <w:rPr>
            <w:noProof/>
            <w:webHidden/>
          </w:rPr>
          <w:fldChar w:fldCharType="begin"/>
        </w:r>
        <w:r w:rsidR="00461940">
          <w:rPr>
            <w:noProof/>
            <w:webHidden/>
          </w:rPr>
          <w:instrText xml:space="preserve"> PAGEREF _Toc222747221 \h </w:instrText>
        </w:r>
        <w:r w:rsidR="00461940">
          <w:rPr>
            <w:noProof/>
            <w:webHidden/>
          </w:rPr>
        </w:r>
        <w:r w:rsidR="00461940">
          <w:rPr>
            <w:noProof/>
            <w:webHidden/>
          </w:rPr>
          <w:fldChar w:fldCharType="separate"/>
        </w:r>
        <w:r w:rsidR="00461940">
          <w:rPr>
            <w:noProof/>
            <w:webHidden/>
          </w:rPr>
          <w:t>5</w:t>
        </w:r>
        <w:r w:rsidR="00461940">
          <w:rPr>
            <w:noProof/>
            <w:webHidden/>
          </w:rPr>
          <w:fldChar w:fldCharType="end"/>
        </w:r>
      </w:hyperlink>
    </w:p>
    <w:p w14:paraId="510D630C" w14:textId="4D0FD959" w:rsidR="00461940" w:rsidRDefault="00461940">
      <w:pPr>
        <w:pStyle w:val="TableofFigures"/>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2747222" w:history="1">
        <w:r w:rsidRPr="004D2D2F">
          <w:rPr>
            <w:rStyle w:val="Hyperlink"/>
            <w:rFonts w:eastAsiaTheme="majorEastAsia"/>
            <w:noProof/>
          </w:rPr>
          <w:t>Figure 2: (Morrisons Key Financial Performance Comparison (2022/23–2023/24))</w:t>
        </w:r>
        <w:r>
          <w:rPr>
            <w:noProof/>
            <w:webHidden/>
          </w:rPr>
          <w:tab/>
        </w:r>
        <w:r>
          <w:rPr>
            <w:noProof/>
            <w:webHidden/>
          </w:rPr>
          <w:fldChar w:fldCharType="begin"/>
        </w:r>
        <w:r>
          <w:rPr>
            <w:noProof/>
            <w:webHidden/>
          </w:rPr>
          <w:instrText xml:space="preserve"> PAGEREF _Toc222747222 \h </w:instrText>
        </w:r>
        <w:r>
          <w:rPr>
            <w:noProof/>
            <w:webHidden/>
          </w:rPr>
        </w:r>
        <w:r>
          <w:rPr>
            <w:noProof/>
            <w:webHidden/>
          </w:rPr>
          <w:fldChar w:fldCharType="separate"/>
        </w:r>
        <w:r>
          <w:rPr>
            <w:noProof/>
            <w:webHidden/>
          </w:rPr>
          <w:t>6</w:t>
        </w:r>
        <w:r>
          <w:rPr>
            <w:noProof/>
            <w:webHidden/>
          </w:rPr>
          <w:fldChar w:fldCharType="end"/>
        </w:r>
      </w:hyperlink>
    </w:p>
    <w:p w14:paraId="72147F41" w14:textId="099D9B67" w:rsidR="00F558F1" w:rsidRDefault="0069490A">
      <w:pPr>
        <w:spacing w:after="160" w:line="278" w:lineRule="auto"/>
        <w:ind w:left="0"/>
        <w:jc w:val="left"/>
        <w:rPr>
          <w:b/>
          <w:bCs/>
          <w:lang w:val="en-IN"/>
        </w:rPr>
      </w:pPr>
      <w:r>
        <w:rPr>
          <w:b/>
          <w:bCs/>
          <w:lang w:val="en-IN"/>
        </w:rPr>
        <w:fldChar w:fldCharType="end"/>
      </w:r>
      <w:r w:rsidR="00F558F1">
        <w:rPr>
          <w:b/>
          <w:bCs/>
          <w:lang w:val="en-IN"/>
        </w:rPr>
        <w:br w:type="page"/>
      </w:r>
    </w:p>
    <w:p w14:paraId="0653CBB2" w14:textId="5A6BBBE7" w:rsidR="00F558F1" w:rsidRPr="00160E46" w:rsidRDefault="00F558F1" w:rsidP="00F558F1">
      <w:pPr>
        <w:pStyle w:val="Heading1"/>
      </w:pPr>
      <w:bookmarkStart w:id="0" w:name="_Toc222747203"/>
      <w:r w:rsidRPr="00160E46">
        <w:lastRenderedPageBreak/>
        <w:t>1. Introduction</w:t>
      </w:r>
      <w:bookmarkEnd w:id="0"/>
      <w:r w:rsidRPr="00160E46">
        <w:t xml:space="preserve"> </w:t>
      </w:r>
    </w:p>
    <w:p w14:paraId="7868BA15" w14:textId="0D599012" w:rsidR="00064390" w:rsidRDefault="00064390" w:rsidP="00F558F1">
      <w:pPr>
        <w:ind w:left="0"/>
      </w:pPr>
      <w:r>
        <w:t xml:space="preserve">Wm Morrison Supermarkets PLC (Morrisons) is one of the leading food retailers in the United Kingdom that has supermarkets chain, convenience stores, and a web-based grocery service operating throughout the nation. It was established in 1899, and its headquarters are based in Bradford, which serves millions of customers every week through its vertically integrated business model that continues with the food manufacturing, wholesale supply business, and retail business. Morrisons in the UK is operating in a highly competitive and price-sensitive grocery market, which is characterised by major competitors operating in the market such as Tesco, Sainsbury and Aldi. This environment requires the financial management and cost control to allow maintaining profitability and market share. Management accounting has become a very important part of strategic and operational </w:t>
      </w:r>
      <w:r w:rsidR="00F513AA">
        <w:t>decision-making</w:t>
      </w:r>
      <w:r>
        <w:t xml:space="preserve"> in the present retail organisations. According to Drury (2021), management accounting provides the relevant financial and other non-financial information that assists managers </w:t>
      </w:r>
      <w:r w:rsidR="00F513AA">
        <w:t>in planning</w:t>
      </w:r>
      <w:r>
        <w:t xml:space="preserve">, </w:t>
      </w:r>
      <w:r w:rsidR="00F513AA">
        <w:t>controlling</w:t>
      </w:r>
      <w:r>
        <w:t xml:space="preserve">, and </w:t>
      </w:r>
      <w:r w:rsidR="00F513AA">
        <w:t>evaluating</w:t>
      </w:r>
      <w:r>
        <w:t xml:space="preserve"> the business performance. Cost analysis, budgeting systems, and key performance indicators (KPIs) are particularly effective in the case of the low-margin supermarket</w:t>
      </w:r>
      <w:r w:rsidR="00F513AA">
        <w:t>, such</w:t>
      </w:r>
      <w:r>
        <w:t xml:space="preserve"> as Morrisons</w:t>
      </w:r>
      <w:r w:rsidR="00F513AA">
        <w:t>,</w:t>
      </w:r>
      <w:r>
        <w:t xml:space="preserve"> to regulate the operating efficiency and respond to inflationary pressures and support the pricing strategy</w:t>
      </w:r>
      <w:r w:rsidR="00473E05">
        <w:t xml:space="preserve"> (</w:t>
      </w:r>
      <w:r w:rsidR="00473E05" w:rsidRPr="006B5330">
        <w:t>Drury,</w:t>
      </w:r>
      <w:r w:rsidR="00473E05">
        <w:t xml:space="preserve"> </w:t>
      </w:r>
      <w:r w:rsidR="00473E05" w:rsidRPr="006B5330">
        <w:t>2021</w:t>
      </w:r>
      <w:r w:rsidR="00473E05">
        <w:t>)</w:t>
      </w:r>
      <w:r>
        <w:t xml:space="preserve">. Moreover, the increasing unpredictability of the prices of food supplies, labour expenses and consumer demand </w:t>
      </w:r>
      <w:r w:rsidR="00F513AA">
        <w:t>has</w:t>
      </w:r>
      <w:r>
        <w:t xml:space="preserve"> added to the need </w:t>
      </w:r>
      <w:r w:rsidR="00F513AA">
        <w:t>for</w:t>
      </w:r>
      <w:r>
        <w:t xml:space="preserve"> internal financial monitoring</w:t>
      </w:r>
      <w:r w:rsidR="00F513AA">
        <w:t>,</w:t>
      </w:r>
      <w:r>
        <w:t xml:space="preserve"> which is high. This report is a critical analysis of how management accounting tools and techniques can be used to make financial decisions in Morrisons. The analysis is grounded on the cost structure of this company, budgetary practices</w:t>
      </w:r>
      <w:r w:rsidR="00F513AA">
        <w:t>,</w:t>
      </w:r>
      <w:r>
        <w:t xml:space="preserve"> performance measurement systems and considerations of sustainability based on the recent financial information of Google </w:t>
      </w:r>
      <w:r w:rsidR="00F558F1">
        <w:t>Finance</w:t>
      </w:r>
      <w:r>
        <w:t>, Yahoo Finance and</w:t>
      </w:r>
      <w:r w:rsidR="00F513AA">
        <w:t xml:space="preserve"> the</w:t>
      </w:r>
      <w:r>
        <w:t xml:space="preserve"> annual report of the company</w:t>
      </w:r>
      <w:r w:rsidR="009F5775">
        <w:t xml:space="preserve"> </w:t>
      </w:r>
      <w:r w:rsidR="00473E05">
        <w:t>(</w:t>
      </w:r>
      <w:r w:rsidR="00473E05" w:rsidRPr="002C4316">
        <w:t>Morrison, Wilmshurst, and Shimeld, 2023</w:t>
      </w:r>
      <w:r w:rsidR="00473E05">
        <w:t>)</w:t>
      </w:r>
      <w:r>
        <w:t>.</w:t>
      </w:r>
    </w:p>
    <w:p w14:paraId="10096C26" w14:textId="77777777" w:rsidR="00F558F1" w:rsidRDefault="00F558F1">
      <w:pPr>
        <w:spacing w:after="160" w:line="278" w:lineRule="auto"/>
        <w:ind w:left="0"/>
        <w:jc w:val="left"/>
        <w:rPr>
          <w:rFonts w:eastAsia="Calibri" w:cstheme="minorHAnsi"/>
          <w:b/>
          <w:kern w:val="2"/>
          <w:sz w:val="36"/>
          <w:szCs w:val="28"/>
          <w:lang w:val="en-US"/>
          <w14:ligatures w14:val="standardContextual"/>
        </w:rPr>
      </w:pPr>
      <w:r>
        <w:br w:type="page"/>
      </w:r>
    </w:p>
    <w:p w14:paraId="35D6F053" w14:textId="2F093A2C" w:rsidR="00F558F1" w:rsidRPr="00160E46" w:rsidRDefault="00F558F1" w:rsidP="00F558F1">
      <w:pPr>
        <w:pStyle w:val="Heading1"/>
      </w:pPr>
      <w:bookmarkStart w:id="1" w:name="_Toc222747204"/>
      <w:r w:rsidRPr="00160E46">
        <w:lastRenderedPageBreak/>
        <w:t>2. Cost Analysis and Business Model</w:t>
      </w:r>
      <w:bookmarkEnd w:id="1"/>
      <w:r w:rsidRPr="00160E46">
        <w:t xml:space="preserve"> </w:t>
      </w:r>
    </w:p>
    <w:p w14:paraId="149A4CDD" w14:textId="6052906C" w:rsidR="00EE7DC0" w:rsidRDefault="00EE7DC0" w:rsidP="00EE7DC0">
      <w:pPr>
        <w:ind w:left="0"/>
      </w:pPr>
      <w:r>
        <w:t>Morrisons is a high volume based, retail revenue system that is primarily motivated by selling food products, household goods and fuel in its chain of supermarkets, convenience stores and online grocery slots. On top of this, the company also makes money out of the wholesale dealings, the most significant of which is its long-term supply agreement with McColls under the Morrisons Daily format. This diversified revenue stream lowers dependence on the in-store footfall only and offers certain revenue stability in the UK grocery industry, which is extremely competitive (Coates et al., 2022). In terms of management accounting, the cost structure of Morrisons has a high percentage of both fixed and variable costs. Some of the major fixed expenditures are property rents or depreciation, distribution, salaried management and investment in vertically integrated food manufacturing enterprises (Market Street). Even though this type of vertical integration offers a higher level of supply chain control, it also raises the operating leverage and leaves the firm more vulnerable to the risks of weak demand in comparison with companies that are less asset-intensive (Liu et al., 2024). Variable costs, including inventory buying, logistics, hourly labour in the store, packaging and fuel, directly respond to the sales volume, and have been especially volatile in light of recent food and fuel inflation (Christophers, 2022). In order to assess cost behaviour further, the Cost-Volume-Profit (CVP) analysis is used to show the responsiveness of the margin of Morrisons</w:t>
      </w:r>
      <w:r w:rsidR="0069490A">
        <w:t xml:space="preserve"> (</w:t>
      </w:r>
      <w:r w:rsidR="0069490A" w:rsidRPr="0069490A">
        <w:t>Shofi</w:t>
      </w:r>
      <w:r w:rsidR="0069490A">
        <w:t xml:space="preserve"> et al</w:t>
      </w:r>
      <w:r w:rsidR="0069490A" w:rsidRPr="0069490A">
        <w:t>., 2025</w:t>
      </w:r>
      <w:r w:rsidR="0069490A">
        <w:t>)</w:t>
      </w:r>
      <w:r>
        <w:t xml:space="preserve">. The company enjoys a gross margin of about 25% based on the indicative figures in its annual reports, and this means that its contribution margin ratio is 25%. This is to indicate that out of every </w:t>
      </w:r>
      <w:r w:rsidRPr="00837148">
        <w:t>£</w:t>
      </w:r>
      <w:r>
        <w:t xml:space="preserve">1 of sales, approximately </w:t>
      </w:r>
      <w:r w:rsidRPr="00837148">
        <w:t>£</w:t>
      </w:r>
      <w:r>
        <w:t xml:space="preserve">0.25 will go towards covering fixed expenses and profit. As an illustration, a </w:t>
      </w:r>
      <w:r w:rsidRPr="00837148">
        <w:t>£</w:t>
      </w:r>
      <w:r>
        <w:t xml:space="preserve">100 million weekly sales increment will create about </w:t>
      </w:r>
      <w:r w:rsidRPr="00837148">
        <w:t>£</w:t>
      </w:r>
      <w:r>
        <w:t>25 million of contribution (</w:t>
      </w:r>
      <w:r w:rsidRPr="00837148">
        <w:t>£</w:t>
      </w:r>
      <w:r>
        <w:t>100mm × 25%). This underscores the fact that Morrisons has been keen on volume growth and price competitiveness to absorb its high fixed-cost base</w:t>
      </w:r>
      <w:r w:rsidR="003315B9">
        <w:t xml:space="preserve"> </w:t>
      </w:r>
      <w:r>
        <w:t>(</w:t>
      </w:r>
      <w:r w:rsidRPr="00A43CA6">
        <w:t>Chen,</w:t>
      </w:r>
      <w:r>
        <w:t xml:space="preserve"> </w:t>
      </w:r>
      <w:r w:rsidRPr="00A43CA6">
        <w:t>2022</w:t>
      </w:r>
      <w:r>
        <w:t>).</w:t>
      </w:r>
    </w:p>
    <w:p w14:paraId="11584A20" w14:textId="77777777" w:rsidR="0069490A" w:rsidRDefault="0069490A" w:rsidP="0069490A">
      <w:pPr>
        <w:keepNext/>
        <w:ind w:left="0"/>
        <w:jc w:val="center"/>
      </w:pPr>
      <w:r w:rsidRPr="0069490A">
        <w:rPr>
          <w:noProof/>
        </w:rPr>
        <w:lastRenderedPageBreak/>
        <w:drawing>
          <wp:inline distT="0" distB="0" distL="0" distR="0" wp14:anchorId="75E7527F" wp14:editId="39203EB0">
            <wp:extent cx="4323730" cy="2567940"/>
            <wp:effectExtent l="0" t="0" r="635" b="3810"/>
            <wp:docPr id="2137022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22947" name=""/>
                    <pic:cNvPicPr/>
                  </pic:nvPicPr>
                  <pic:blipFill>
                    <a:blip r:embed="rId8"/>
                    <a:stretch>
                      <a:fillRect/>
                    </a:stretch>
                  </pic:blipFill>
                  <pic:spPr>
                    <a:xfrm>
                      <a:off x="0" y="0"/>
                      <a:ext cx="4326317" cy="2569476"/>
                    </a:xfrm>
                    <a:prstGeom prst="rect">
                      <a:avLst/>
                    </a:prstGeom>
                  </pic:spPr>
                </pic:pic>
              </a:graphicData>
            </a:graphic>
          </wp:inline>
        </w:drawing>
      </w:r>
    </w:p>
    <w:p w14:paraId="7A24F3F4" w14:textId="77777777" w:rsidR="0069490A" w:rsidRDefault="0069490A" w:rsidP="0069490A">
      <w:pPr>
        <w:pStyle w:val="Caption"/>
        <w:jc w:val="center"/>
      </w:pPr>
      <w:bookmarkStart w:id="2" w:name="_Toc222747221"/>
      <w:r>
        <w:t xml:space="preserve">Figure </w:t>
      </w:r>
      <w:r>
        <w:fldChar w:fldCharType="begin"/>
      </w:r>
      <w:r>
        <w:instrText xml:space="preserve"> SEQ Figure \* ARABIC </w:instrText>
      </w:r>
      <w:r>
        <w:fldChar w:fldCharType="separate"/>
      </w:r>
      <w:r>
        <w:rPr>
          <w:noProof/>
        </w:rPr>
        <w:t>1</w:t>
      </w:r>
      <w:r>
        <w:fldChar w:fldCharType="end"/>
      </w:r>
      <w:r>
        <w:t>: (</w:t>
      </w:r>
      <w:r w:rsidRPr="00D66306">
        <w:t>Illustrative Break-even Analysis for Morrisons</w:t>
      </w:r>
      <w:r>
        <w:t>)</w:t>
      </w:r>
      <w:bookmarkEnd w:id="2"/>
      <w:r>
        <w:t xml:space="preserve"> </w:t>
      </w:r>
    </w:p>
    <w:p w14:paraId="0F6C83B9" w14:textId="76AFD165" w:rsidR="0069490A" w:rsidRDefault="0069490A" w:rsidP="0069490A">
      <w:pPr>
        <w:pStyle w:val="Caption"/>
        <w:jc w:val="center"/>
      </w:pPr>
      <w:r>
        <w:t>(Source: Morrisons Annual Report, 2024)</w:t>
      </w:r>
    </w:p>
    <w:p w14:paraId="04185033" w14:textId="77777777" w:rsidR="00F558F1" w:rsidRPr="00160E46" w:rsidRDefault="00F558F1" w:rsidP="00F558F1">
      <w:pPr>
        <w:pStyle w:val="Heading1"/>
      </w:pPr>
      <w:bookmarkStart w:id="3" w:name="_Toc222747205"/>
      <w:r w:rsidRPr="00160E46">
        <w:t>3. Budgeting and Financial Planning</w:t>
      </w:r>
      <w:bookmarkEnd w:id="3"/>
      <w:r w:rsidRPr="00160E46">
        <w:t xml:space="preserve"> </w:t>
      </w:r>
    </w:p>
    <w:p w14:paraId="04DCF4EE" w14:textId="46ECA57B" w:rsidR="00064390" w:rsidRDefault="00EE7DC0" w:rsidP="00EE7DC0">
      <w:pPr>
        <w:ind w:left="0"/>
      </w:pPr>
      <w:r>
        <w:t xml:space="preserve">One of the main components of management accounting at Morrisons is budgeting because it allows the firm to organise its resource distribution, regulate its operational expenditures and react to the competitive and inflation-prone UK grocery market. Budgeting helps to control the short-term operations of a large-scale food retailer as well as strategic planning over the long term, since it transforms organisational goals into financial goals and quantifies them. This is especially relevant to Morrisons, which has structurally low profit margins and which demands high financial discipline (Madiba, 2023). Reviewing the recent finances of Morrisons shows that the company is putting increasing pressure on its operating expenses. According to Google Finance and Yahoo Finance, operating expenses have risen on an annual basis, and this is mainly caused by the influence of external macroeconomic factors that have risen over the years, like labour inflation, unstable energy prices and disruption in global supply chains (Carlson, Correia and Luck, 2022).. As a way of fending off competitors with discounts, Morrisons has invested in modernisation of its stores, online fulfilment and price-led promotional activity. Although these costs are premeditated, they cause further demands on the short-term budgets and have to be strictly monitored financially (Hayne, 2022). The management accounting perspective calls into analysis of the increase in the cost of operation using variance analysis. Likely adverse cost variances in the company have been in the areas of energy, labour and distribution. Variance analysis will allow the management to identify the difference between uncontrollable excessive expenditure and inflation influences imposed by </w:t>
      </w:r>
      <w:r>
        <w:lastRenderedPageBreak/>
        <w:t>external factors, and hence take control steps in a better manner</w:t>
      </w:r>
      <w:r w:rsidR="0069490A">
        <w:t xml:space="preserve"> (</w:t>
      </w:r>
      <w:r w:rsidR="0069490A" w:rsidRPr="0069490A">
        <w:t>Habanabakize and Dickason-Koekemoer, 2024</w:t>
      </w:r>
      <w:r w:rsidR="0069490A">
        <w:t>)</w:t>
      </w:r>
      <w:r>
        <w:t>. However, there are shortcomings in the budgeting strategy of Morrisons as well. The current unstable retail setting, where costs of inputs and consumer demands may fluctuate quickly, may not be adequately served by the traditional and fixed budgets. Better responsiveness and accuracy in forecasting would be enhanced by increased use of rolling forecasting and flexible budgeting</w:t>
      </w:r>
      <w:r w:rsidR="00BB1730">
        <w:t xml:space="preserve"> </w:t>
      </w:r>
      <w:r w:rsidR="003315B9">
        <w:t>(</w:t>
      </w:r>
      <w:r w:rsidR="003315B9" w:rsidRPr="002C4316">
        <w:t>Morrison and Rose,</w:t>
      </w:r>
      <w:r w:rsidR="003315B9">
        <w:t xml:space="preserve"> </w:t>
      </w:r>
      <w:r w:rsidR="003315B9" w:rsidRPr="002C4316">
        <w:t>2023</w:t>
      </w:r>
      <w:r w:rsidR="003315B9">
        <w:t>)</w:t>
      </w:r>
      <w:r w:rsidR="00473E05">
        <w:t>.</w:t>
      </w:r>
    </w:p>
    <w:p w14:paraId="2BACFA72" w14:textId="77777777" w:rsidR="00064390" w:rsidRDefault="00064390" w:rsidP="00F558F1">
      <w:pPr>
        <w:pStyle w:val="Heading1"/>
      </w:pPr>
      <w:bookmarkStart w:id="4" w:name="_Toc222747206"/>
      <w:r>
        <w:t>4. Decision-Making and Performance Measurement.</w:t>
      </w:r>
      <w:bookmarkEnd w:id="4"/>
    </w:p>
    <w:p w14:paraId="643DE32E" w14:textId="40E7FC69" w:rsidR="00EE7DC0" w:rsidRDefault="00EE7DC0" w:rsidP="00EE7DC0">
      <w:pPr>
        <w:ind w:left="0"/>
      </w:pPr>
      <w:r>
        <w:t xml:space="preserve">Morrisons has a framework for performance management that is based on financial and non-financial key performance indicators (KPIs) to aid in strategic and operational decisions. This is because such safeguards assist the management to monitor the profitability, sales incentive and customer relations in the competitive UK grocery market. The current strategic priorities have been influenced by several KPIs directly based on the 2024 annual report (Morrisons, 2024). </w:t>
      </w:r>
    </w:p>
    <w:p w14:paraId="75BAF9B9" w14:textId="77777777" w:rsidR="0036594A" w:rsidRDefault="0036594A" w:rsidP="0036594A">
      <w:pPr>
        <w:keepNext/>
        <w:ind w:left="0"/>
        <w:jc w:val="center"/>
      </w:pPr>
      <w:r>
        <w:rPr>
          <w:noProof/>
          <w14:ligatures w14:val="standardContextual"/>
        </w:rPr>
        <w:drawing>
          <wp:inline distT="0" distB="0" distL="0" distR="0" wp14:anchorId="76AB26FE" wp14:editId="12AC3DFD">
            <wp:extent cx="3779520" cy="2125980"/>
            <wp:effectExtent l="0" t="0" r="11430" b="7620"/>
            <wp:docPr id="1638350257" name="Chart 1">
              <a:extLst xmlns:a="http://schemas.openxmlformats.org/drawingml/2006/main">
                <a:ext uri="{FF2B5EF4-FFF2-40B4-BE49-F238E27FC236}">
                  <a16:creationId xmlns:a16="http://schemas.microsoft.com/office/drawing/2014/main" id="{A87F2591-315E-4DA6-6BEC-A1A43A895F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2E22FA" w14:textId="27C40FBF" w:rsidR="0036594A" w:rsidRDefault="0036594A" w:rsidP="0036594A">
      <w:pPr>
        <w:pStyle w:val="Caption"/>
        <w:jc w:val="center"/>
      </w:pPr>
      <w:bookmarkStart w:id="5" w:name="_Toc222747222"/>
      <w:r>
        <w:t xml:space="preserve">Figure </w:t>
      </w:r>
      <w:r>
        <w:fldChar w:fldCharType="begin"/>
      </w:r>
      <w:r>
        <w:instrText xml:space="preserve"> SEQ Figure \* ARABIC </w:instrText>
      </w:r>
      <w:r>
        <w:fldChar w:fldCharType="separate"/>
      </w:r>
      <w:r w:rsidR="0069490A">
        <w:rPr>
          <w:noProof/>
        </w:rPr>
        <w:t>2</w:t>
      </w:r>
      <w:r>
        <w:fldChar w:fldCharType="end"/>
      </w:r>
      <w:r>
        <w:t>: (</w:t>
      </w:r>
      <w:r w:rsidRPr="00196E34">
        <w:t>Morrisons Key Financial Performance Comparison (2022/23–2023/24)</w:t>
      </w:r>
      <w:r>
        <w:t>)</w:t>
      </w:r>
      <w:bookmarkEnd w:id="5"/>
    </w:p>
    <w:p w14:paraId="3E6A2687" w14:textId="52011656" w:rsidR="0036594A" w:rsidRDefault="0036594A" w:rsidP="0036594A">
      <w:pPr>
        <w:pStyle w:val="Caption"/>
        <w:jc w:val="center"/>
      </w:pPr>
      <w:r>
        <w:t xml:space="preserve"> (Source: </w:t>
      </w:r>
      <w:r w:rsidRPr="00196E34">
        <w:t>Morrisons Annual Report</w:t>
      </w:r>
      <w:r w:rsidR="0069490A">
        <w:t>,</w:t>
      </w:r>
      <w:r w:rsidRPr="00196E34">
        <w:t xml:space="preserve"> 2024</w:t>
      </w:r>
      <w:r>
        <w:t>)</w:t>
      </w:r>
    </w:p>
    <w:p w14:paraId="23F4D9C6" w14:textId="2E283863" w:rsidR="00EE7DC0" w:rsidRDefault="00EE7DC0" w:rsidP="00EE7DC0">
      <w:pPr>
        <w:ind w:left="0"/>
      </w:pPr>
      <w:r>
        <w:t>Continuing operations revenue has increased to £15,276m, and this is attributed to the increased volumes and competitive pricing programs. The management used this information to support its discount price-match programme and more exclusive More Card pricing</w:t>
      </w:r>
      <w:r w:rsidR="003315B9">
        <w:t xml:space="preserve"> (</w:t>
      </w:r>
      <w:r w:rsidR="003315B9" w:rsidRPr="00A43CA6">
        <w:t>Neely-Morrison, 2021</w:t>
      </w:r>
      <w:r w:rsidR="003315B9">
        <w:t>)</w:t>
      </w:r>
      <w:r>
        <w:t xml:space="preserve">. </w:t>
      </w:r>
      <w:r w:rsidR="00BB1730">
        <w:t xml:space="preserve"> </w:t>
      </w:r>
      <w:r>
        <w:t>The increase in sales at like-for-like (LFL) grew by 4.1% and 8.9% in the convenience stores, respectively. This KPI has directly impacted the expansion strategy of Morrisons, i.e. quicker transformation of McColls to Morrisons Daily and franchise development</w:t>
      </w:r>
      <w:r w:rsidR="0069490A">
        <w:t xml:space="preserve"> (</w:t>
      </w:r>
      <w:r w:rsidR="0069490A" w:rsidRPr="0069490A">
        <w:t>Zhang,</w:t>
      </w:r>
      <w:r w:rsidR="0069490A">
        <w:t xml:space="preserve"> </w:t>
      </w:r>
      <w:r w:rsidR="0069490A" w:rsidRPr="0069490A">
        <w:t>2022</w:t>
      </w:r>
      <w:r w:rsidR="0069490A">
        <w:t>)</w:t>
      </w:r>
      <w:r>
        <w:t xml:space="preserve">. </w:t>
      </w:r>
    </w:p>
    <w:p w14:paraId="03533F80" w14:textId="4058B44D" w:rsidR="00EE7DC0" w:rsidRDefault="00EE7DC0" w:rsidP="00EE7DC0">
      <w:pPr>
        <w:ind w:left="0"/>
      </w:pPr>
      <w:r>
        <w:lastRenderedPageBreak/>
        <w:t xml:space="preserve">The underlying EBITDA has increased to £835m following the multi-year cost savings programme that has resulted in a cumulative saving of £612m. Even though EBITDA helps in evaluating the performance of an organisation as far as its operations are concerned, the measure excludes depreciation and financing costs, and it therefore could give an inflated picture of the financial capacity of Morrisons with a vertically integrated model that survives on capital. It would be evaluated in a more balanced way by paying more attention to the cash flow and the returns on capital. Although the application of EBITDA is currently widely applied to assess the operating performance, there is a strong restriction on the usage of the measure in management accounting. Depreciation, financing expenses and other extraordinary items are not counted in EBITDA, and with that, it conceals the actual capital intensity of the vertically integrated manufacturing model of Morrisons. The fact that Morrisons owns large property resources, on the one hand, and in-house food manufacturing facilities, on the other hand, means that the use of EBITDA, in this case, can overestimate the financial well-being of the company and its ability to generate cash. </w:t>
      </w:r>
      <w:r w:rsidR="00BB1730">
        <w:t>T</w:t>
      </w:r>
      <w:r>
        <w:t>he company management should, however, consider EBITDA and other similar statistics such as operating cash flow and the returns on capital employed (ROCE), in order to obtain more realistic and economically relevant performance images</w:t>
      </w:r>
      <w:r w:rsidR="003315B9">
        <w:t xml:space="preserve"> (</w:t>
      </w:r>
      <w:r w:rsidR="003315B9" w:rsidRPr="00A43CA6">
        <w:t>Lin</w:t>
      </w:r>
      <w:r w:rsidR="003315B9">
        <w:t xml:space="preserve"> et al., 2024)</w:t>
      </w:r>
      <w:r>
        <w:t>.</w:t>
      </w:r>
    </w:p>
    <w:p w14:paraId="2BB7B850" w14:textId="2BDE7AE3" w:rsidR="00EE7DC0" w:rsidRDefault="00EE7DC0" w:rsidP="00EE7DC0">
      <w:pPr>
        <w:ind w:left="0"/>
      </w:pPr>
      <w:r>
        <w:t xml:space="preserve">The operating profit was also improved to </w:t>
      </w:r>
      <w:r w:rsidRPr="00837148">
        <w:t>£</w:t>
      </w:r>
      <w:r>
        <w:t xml:space="preserve">74m, which is the basis of the strategic decision to sell the </w:t>
      </w:r>
      <w:r w:rsidRPr="00837148">
        <w:t>£</w:t>
      </w:r>
      <w:r>
        <w:t>2.5bn petrol forecourt business and concentrate on the main food retailing business. More to the point, non-financial indicators play a crucial role as well; loyalty-driven sales already reached 76</w:t>
      </w:r>
      <w:r w:rsidR="003315B9">
        <w:t xml:space="preserve">% </w:t>
      </w:r>
      <w:r>
        <w:t>of the supermarket revenues, and the management addresses the More Card pricing and speciality on the AI shelf-availability technology to enhance customer experience</w:t>
      </w:r>
      <w:r w:rsidR="003315B9">
        <w:t xml:space="preserve"> (</w:t>
      </w:r>
      <w:r w:rsidR="003315B9" w:rsidRPr="00A43CA6">
        <w:t>Zavidna, Mykolaichuk, and Namliiev, 2024</w:t>
      </w:r>
      <w:r w:rsidR="003315B9">
        <w:t>)</w:t>
      </w:r>
      <w:r>
        <w:t xml:space="preserve">. </w:t>
      </w:r>
    </w:p>
    <w:p w14:paraId="08D52751" w14:textId="62D9FD8F" w:rsidR="00064390" w:rsidRPr="00EE7DC0" w:rsidRDefault="00EE7DC0" w:rsidP="00EE7DC0">
      <w:pPr>
        <w:ind w:left="0"/>
      </w:pPr>
      <w:r>
        <w:t>The KPI model created by Morrisons is more or less the reflection of the Balanced Scorecard strategy, which includes the financial, customer, internal process and learning dimensions. However, the public reporting remains highly skewed to financial as well as customer measurement and does not significantly reveal the signifiers of innovation and learning. Increased practical application of a Balanced Scorecard in a more formal way may increase the consistency between short-run performance management and long-run capability development</w:t>
      </w:r>
      <w:r w:rsidR="003315B9">
        <w:t xml:space="preserve"> (</w:t>
      </w:r>
      <w:r w:rsidR="003315B9" w:rsidRPr="00A43CA6">
        <w:t>Ordenes, Solis, and Herhausen, 2022</w:t>
      </w:r>
      <w:r w:rsidR="003315B9">
        <w:t>)</w:t>
      </w:r>
      <w:r w:rsidR="00064390">
        <w:t>.</w:t>
      </w:r>
    </w:p>
    <w:p w14:paraId="190AA6B0" w14:textId="77777777" w:rsidR="00BF0FC5" w:rsidRDefault="00BF0FC5" w:rsidP="00F558F1">
      <w:pPr>
        <w:pStyle w:val="Heading1"/>
      </w:pPr>
      <w:bookmarkStart w:id="6" w:name="_Toc222747207"/>
    </w:p>
    <w:p w14:paraId="41A16045" w14:textId="358A6327" w:rsidR="00F558F1" w:rsidRPr="00160E46" w:rsidRDefault="00F558F1" w:rsidP="00F558F1">
      <w:pPr>
        <w:pStyle w:val="Heading1"/>
      </w:pPr>
      <w:r w:rsidRPr="00160E46">
        <w:lastRenderedPageBreak/>
        <w:t>5. Sustainability and Ethical Considerations</w:t>
      </w:r>
      <w:bookmarkEnd w:id="6"/>
      <w:r w:rsidRPr="00160E46">
        <w:t xml:space="preserve"> </w:t>
      </w:r>
    </w:p>
    <w:p w14:paraId="3CDDD50E" w14:textId="45F15BA7" w:rsidR="00F558F1" w:rsidRDefault="00EE7DC0" w:rsidP="009F5775">
      <w:pPr>
        <w:ind w:left="0"/>
      </w:pPr>
      <w:r>
        <w:t xml:space="preserve">The concept of sustainability has an increased role in the financial decision-making within the food retail market in the UK, and Morrisons has incorporated a range of different environmental and social activities into its operational strategy. Sustainability investments must be looked at critically in terms of management accounting so that there would be an optimality in the mix of </w:t>
      </w:r>
      <w:r w:rsidR="00BB1730">
        <w:t>short-term</w:t>
      </w:r>
      <w:r>
        <w:t xml:space="preserve"> </w:t>
      </w:r>
      <w:r w:rsidR="00BB1730">
        <w:t>cost-generating</w:t>
      </w:r>
      <w:r>
        <w:t xml:space="preserve"> pressure and long</w:t>
      </w:r>
      <w:r w:rsidR="00BB1730">
        <w:t>-</w:t>
      </w:r>
      <w:r>
        <w:t xml:space="preserve">term </w:t>
      </w:r>
      <w:r w:rsidR="00BB1730">
        <w:t>value-generating</w:t>
      </w:r>
      <w:r>
        <w:t xml:space="preserve"> response. Morrisons has decided to minimise its carbon footprint in its operations, minimi</w:t>
      </w:r>
      <w:r w:rsidR="00BB1730">
        <w:t>s</w:t>
      </w:r>
      <w:r>
        <w:t>e food waste and increase sustainable sourcing across the entire supply chain, and this can impact decisions regarding capital allocation and cost control (Onukwulu, Agho and Eyo-Udo, 2021). Within the context of life-cycle costing, such investments depict the way environmental sustainability may be in addition to economic efficacy. However, the nature of green capital expenditure is that of an uncertain payback time, particularly during periods of high inflation and high margin, a choice to bargain scenario between the management (Erdoğdu et al., 2025). This explains why the environmental information ought to be integrated into the management accounting systems rather than sustainability being a reputational exercise. The relationship between the carbon KPIs and the management accounting report would enable us to gauge the environmental performance and financial performance in a clearer light. Without the quantified sustainability targets within the financial plan, there exists the risk of environmental programs being token and not performance-based. Another important intersection point between sustainability and cost control is the minimisation of food waste. Another way in which Morrisons could save costs associated with waste is through the minimisation of markdown optimisation and supply chain coordination, and better inventory forecasting to enhance environmental performance. The short-term operational challenge can be increased, though, by the strong goals of waste minimisation, which require investment in forecasting technology and staff capacity. Morrisons also needs to balance between treating the suppliers fairly and offering competitive prices in a market where the constant rise in the price of food is also a threat</w:t>
      </w:r>
      <w:r w:rsidR="00BB1730">
        <w:t xml:space="preserve"> </w:t>
      </w:r>
      <w:r>
        <w:t>(</w:t>
      </w:r>
      <w:r w:rsidRPr="00A43CA6">
        <w:t>Gopalakrishnan, Hall, and Behdad, 2021</w:t>
      </w:r>
      <w:r>
        <w:t xml:space="preserve">). </w:t>
      </w:r>
      <w:r w:rsidR="00F558F1">
        <w:br w:type="page"/>
      </w:r>
    </w:p>
    <w:p w14:paraId="044BEC4F" w14:textId="5F578D8A" w:rsidR="00064390" w:rsidRDefault="00064390" w:rsidP="00F558F1">
      <w:pPr>
        <w:pStyle w:val="Heading1"/>
      </w:pPr>
      <w:bookmarkStart w:id="7" w:name="_Toc222747208"/>
      <w:r>
        <w:lastRenderedPageBreak/>
        <w:t>6. Conclusion and Recommendations</w:t>
      </w:r>
      <w:bookmarkEnd w:id="7"/>
      <w:r>
        <w:t xml:space="preserve"> </w:t>
      </w:r>
    </w:p>
    <w:p w14:paraId="7FE6BA92" w14:textId="781B1AF2" w:rsidR="009F5775" w:rsidRDefault="00EE7DC0" w:rsidP="009F5775">
      <w:r>
        <w:t xml:space="preserve">This report has critically analysed the purpose of management accounting in assisting the financial decision-making within Morrisons. As the analysis shows, the firm is in a structurally low-margin and competitive UK grocery market, in which cost control and performance monitoring are needed. The vertically integrated business model that Morrisons has allows it to have more control over the supply chain, but also exposes it to higher fixed costs, which is why it is especially crucial to have a sound cost analysis and a dynamic budget. The review also notes that although Morrisons has been successful in enhancing its performance in the areas of EBITDA and operating performance, the emerging pressure on margins is present due to increasing operating costs and prevailing competition in the pricing arena. Besides, despite the growing inclusion of sustainability efforts into the business model, further incorporation of quantifiable environmental indicators into financial planning would supplement the long-term value creation. On the basis of the analysis, some recommendations would be given. To enhance the visibility of costs at product and channel levels, first, Morrisons needs to apply activity-based costing (ABC) in its vertically integrated business. Since the company has a high level of fixed cost base, ABC would help to analyse the contribution more precisely and to make evidence-based price decisions, especially in the convenience and online channels where the margin is of vital importance. Second, the usage of rolling forecasts and scenario-based budgeting should be increased in the company. Within a setting where the energy prices change frequently, the labour and consumer demand, more flexible forecasting would enhance the responsiveness of management and minimise the restrictions presented by fixed annual budgeting. Third, Morrisons ought to officially incorporate sustainability KPIs such as the carbon intensity, food waste ratios, and energy efficiency into the management accounting dashboard. The connection between environmental performance and financial targets would enforce the alignment with the strategies and provide sustainability activities with significant economic and not reputational benefits. </w:t>
      </w:r>
      <w:r w:rsidR="00BB1730">
        <w:t>In conclusion</w:t>
      </w:r>
      <w:r>
        <w:t>, although Morrisons has strong utilisation of management accounting tools, additional improvements of cost analytics, flexibility in budgeting, and carbon-based performance measurement will be necessary to keep the company financially strong and competitive in the changing UK grocery market</w:t>
      </w:r>
      <w:r w:rsidR="009F5775">
        <w:t xml:space="preserve"> (</w:t>
      </w:r>
      <w:r w:rsidR="009F5775" w:rsidRPr="00A43CA6">
        <w:t>Mkansi and Nsakanda, 2021</w:t>
      </w:r>
      <w:r w:rsidR="009F5775">
        <w:t>)</w:t>
      </w:r>
      <w:r w:rsidR="00064390">
        <w:t>.</w:t>
      </w:r>
    </w:p>
    <w:p w14:paraId="376CD3E7" w14:textId="77777777" w:rsidR="009F5775" w:rsidRDefault="009F5775">
      <w:pPr>
        <w:spacing w:after="160" w:line="278" w:lineRule="auto"/>
        <w:ind w:left="0"/>
        <w:jc w:val="left"/>
        <w:rPr>
          <w:rFonts w:eastAsia="Calibri" w:cstheme="minorHAnsi"/>
          <w:b/>
          <w:kern w:val="2"/>
          <w:sz w:val="36"/>
          <w:szCs w:val="28"/>
          <w:lang w:val="en-US"/>
          <w14:ligatures w14:val="standardContextual"/>
        </w:rPr>
      </w:pPr>
      <w:r>
        <w:br w:type="page"/>
      </w:r>
    </w:p>
    <w:p w14:paraId="3810E62F" w14:textId="224B223A" w:rsidR="00064390" w:rsidRDefault="009F5775" w:rsidP="009F5775">
      <w:pPr>
        <w:pStyle w:val="Heading1"/>
      </w:pPr>
      <w:bookmarkStart w:id="8" w:name="_Toc222747209"/>
      <w:r>
        <w:lastRenderedPageBreak/>
        <w:t>References</w:t>
      </w:r>
      <w:bookmarkEnd w:id="8"/>
    </w:p>
    <w:p w14:paraId="5110F60F" w14:textId="77777777" w:rsidR="009F5775" w:rsidRDefault="009F5775" w:rsidP="009F5775">
      <w:r w:rsidRPr="002C4316">
        <w:t xml:space="preserve">Carlson, M., Correia, S. and Luck, S., </w:t>
      </w:r>
      <w:r>
        <w:t>(</w:t>
      </w:r>
      <w:r w:rsidRPr="002C4316">
        <w:t>2022</w:t>
      </w:r>
      <w:r>
        <w:t>)</w:t>
      </w:r>
      <w:r w:rsidRPr="002C4316">
        <w:t>. The effects of banking competition on growth and financial stability: Evidence from the national banking era. </w:t>
      </w:r>
      <w:r w:rsidRPr="00A43CA6">
        <w:rPr>
          <w:i/>
          <w:iCs/>
        </w:rPr>
        <w:t>Journal of Political Economy</w:t>
      </w:r>
      <w:r w:rsidRPr="002C4316">
        <w:t>, </w:t>
      </w:r>
      <w:r w:rsidRPr="00A43CA6">
        <w:rPr>
          <w:i/>
          <w:iCs/>
        </w:rPr>
        <w:t>130</w:t>
      </w:r>
      <w:r w:rsidRPr="002C4316">
        <w:t>(2), pp.462-520.</w:t>
      </w:r>
    </w:p>
    <w:p w14:paraId="12BC914B" w14:textId="77777777" w:rsidR="009F5775" w:rsidRPr="00A43CA6" w:rsidRDefault="009F5775" w:rsidP="009F5775">
      <w:pPr>
        <w:rPr>
          <w:lang w:val="en-IN"/>
        </w:rPr>
      </w:pPr>
      <w:r w:rsidRPr="00A43CA6">
        <w:t xml:space="preserve">Chen, X., </w:t>
      </w:r>
      <w:r>
        <w:t>(</w:t>
      </w:r>
      <w:r w:rsidRPr="00A43CA6">
        <w:t>2022</w:t>
      </w:r>
      <w:r>
        <w:t>)</w:t>
      </w:r>
      <w:r w:rsidRPr="00A43CA6">
        <w:t>. The fusion model of financial accounting and management accounting based on neural networks. </w:t>
      </w:r>
      <w:r w:rsidRPr="00A43CA6">
        <w:rPr>
          <w:i/>
          <w:iCs/>
        </w:rPr>
        <w:t>Mobile Information Systems</w:t>
      </w:r>
      <w:r w:rsidRPr="00A43CA6">
        <w:t>, </w:t>
      </w:r>
      <w:r w:rsidRPr="00A43CA6">
        <w:rPr>
          <w:i/>
          <w:iCs/>
        </w:rPr>
        <w:t>2022</w:t>
      </w:r>
      <w:r w:rsidRPr="00A43CA6">
        <w:t>(1), p.1587274.</w:t>
      </w:r>
    </w:p>
    <w:p w14:paraId="671E96AD" w14:textId="77777777" w:rsidR="009F5775" w:rsidRDefault="009F5775" w:rsidP="009F5775">
      <w:r w:rsidRPr="002C4316">
        <w:t xml:space="preserve">Christophers, B., </w:t>
      </w:r>
      <w:r>
        <w:t>(</w:t>
      </w:r>
      <w:r w:rsidRPr="002C4316">
        <w:t>2022</w:t>
      </w:r>
      <w:r>
        <w:t>)</w:t>
      </w:r>
      <w:r w:rsidRPr="002C4316">
        <w:t>. Fossilised capital: Price and profit in the energy transition. </w:t>
      </w:r>
      <w:r w:rsidRPr="00A43CA6">
        <w:rPr>
          <w:i/>
          <w:iCs/>
        </w:rPr>
        <w:t>New political economy</w:t>
      </w:r>
      <w:r w:rsidRPr="002C4316">
        <w:t>, </w:t>
      </w:r>
      <w:r w:rsidRPr="00A43CA6">
        <w:rPr>
          <w:i/>
          <w:iCs/>
        </w:rPr>
        <w:t>27</w:t>
      </w:r>
      <w:r w:rsidRPr="002C4316">
        <w:t>(1), pp.146-159.</w:t>
      </w:r>
    </w:p>
    <w:p w14:paraId="1B87600A" w14:textId="77777777" w:rsidR="009F5775" w:rsidRDefault="009F5775" w:rsidP="009F5775">
      <w:r w:rsidRPr="00476137">
        <w:rPr>
          <w:lang w:val="it-IT"/>
        </w:rPr>
        <w:t>Coates, N., Paglietti, L., Benvenuti, G. and Toric, B., (2022). </w:t>
      </w:r>
      <w:r w:rsidRPr="00A43CA6">
        <w:rPr>
          <w:i/>
          <w:iCs/>
        </w:rPr>
        <w:t>Strengthening buyer/supplier relationships: Practical guidance for Montenegrin retailers</w:t>
      </w:r>
      <w:r w:rsidRPr="002C4316">
        <w:t>. Food &amp; Agriculture Org..</w:t>
      </w:r>
    </w:p>
    <w:p w14:paraId="337C1668" w14:textId="2B7B1E8D" w:rsidR="009F5775" w:rsidRDefault="009F5775" w:rsidP="009F5775">
      <w:r w:rsidRPr="006B5330">
        <w:t xml:space="preserve">Drury, C. (2021) </w:t>
      </w:r>
      <w:r w:rsidRPr="00A43CA6">
        <w:rPr>
          <w:i/>
          <w:iCs/>
        </w:rPr>
        <w:t>Management and Cost Accounting</w:t>
      </w:r>
      <w:r w:rsidRPr="006B5330">
        <w:t>. 11th edn. Andover: Cengage Learning EMEA.</w:t>
      </w:r>
      <w:r w:rsidR="00D91D72">
        <w:t xml:space="preserve"> Available at:</w:t>
      </w:r>
      <w:r>
        <w:t xml:space="preserve"> </w:t>
      </w:r>
      <w:hyperlink r:id="rId10" w:history="1">
        <w:r w:rsidRPr="006B5330">
          <w:rPr>
            <w:rStyle w:val="Hyperlink"/>
          </w:rPr>
          <w:t>Management and Cost Accounting Learning Center RSB</w:t>
        </w:r>
      </w:hyperlink>
      <w:r w:rsidR="00D91D72">
        <w:t xml:space="preserve"> Accessed on 20 February 2026.</w:t>
      </w:r>
    </w:p>
    <w:p w14:paraId="3A746527" w14:textId="77777777" w:rsidR="009F5775" w:rsidRDefault="009F5775" w:rsidP="009F5775">
      <w:r w:rsidRPr="00A43CA6">
        <w:t xml:space="preserve">Erdoğdu, A., Dayi, F., Özbek, A., Ganji, F. and Benek, A., </w:t>
      </w:r>
      <w:r>
        <w:t>(</w:t>
      </w:r>
      <w:r w:rsidRPr="00A43CA6">
        <w:t>2025</w:t>
      </w:r>
      <w:r>
        <w:t>)</w:t>
      </w:r>
      <w:r w:rsidRPr="00A43CA6">
        <w:t>. The role of green finance in investing in environmentally friendly technologies: Risks and returns. </w:t>
      </w:r>
      <w:r w:rsidRPr="00A43CA6">
        <w:rPr>
          <w:i/>
          <w:iCs/>
        </w:rPr>
        <w:t>Sustainability</w:t>
      </w:r>
      <w:r w:rsidRPr="00A43CA6">
        <w:t>, </w:t>
      </w:r>
      <w:r w:rsidRPr="00A43CA6">
        <w:rPr>
          <w:i/>
          <w:iCs/>
        </w:rPr>
        <w:t>17</w:t>
      </w:r>
      <w:r w:rsidRPr="00A43CA6">
        <w:t>(21), p.9652.</w:t>
      </w:r>
    </w:p>
    <w:p w14:paraId="1E596D0D" w14:textId="77777777" w:rsidR="009F5775" w:rsidRDefault="009F5775" w:rsidP="009F5775">
      <w:r w:rsidRPr="00A43CA6">
        <w:t xml:space="preserve">Gopalakrishnan, P.K., Hall, J. and Behdad, S., </w:t>
      </w:r>
      <w:r>
        <w:t>(</w:t>
      </w:r>
      <w:r w:rsidRPr="00A43CA6">
        <w:t>2021</w:t>
      </w:r>
      <w:r>
        <w:t>)</w:t>
      </w:r>
      <w:r w:rsidRPr="00A43CA6">
        <w:t>. Cost analysis and optimization of Blockchain-based solid waste management traceability system. </w:t>
      </w:r>
      <w:r w:rsidRPr="00A43CA6">
        <w:rPr>
          <w:i/>
          <w:iCs/>
        </w:rPr>
        <w:t>Waste Management</w:t>
      </w:r>
      <w:r w:rsidRPr="00A43CA6">
        <w:t>, </w:t>
      </w:r>
      <w:r w:rsidRPr="00A43CA6">
        <w:rPr>
          <w:i/>
          <w:iCs/>
        </w:rPr>
        <w:t>120</w:t>
      </w:r>
      <w:r w:rsidRPr="00A43CA6">
        <w:t>, pp.594-607.</w:t>
      </w:r>
    </w:p>
    <w:p w14:paraId="0C598FA0" w14:textId="50B66802" w:rsidR="0069490A" w:rsidRDefault="0069490A" w:rsidP="009F5775">
      <w:r w:rsidRPr="0069490A">
        <w:t xml:space="preserve">Habanabakize, T. and Dickason-Koekemoer, Z., </w:t>
      </w:r>
      <w:r>
        <w:t>(</w:t>
      </w:r>
      <w:r w:rsidRPr="0069490A">
        <w:t>2024</w:t>
      </w:r>
      <w:r>
        <w:t>)</w:t>
      </w:r>
      <w:r w:rsidRPr="0069490A">
        <w:t>. A comparative analysis between intrinsic and extrinsic drivers of inflation. </w:t>
      </w:r>
      <w:r w:rsidRPr="0069490A">
        <w:rPr>
          <w:i/>
          <w:iCs/>
        </w:rPr>
        <w:t>International Journal of Economics and Financial Issues</w:t>
      </w:r>
      <w:r w:rsidRPr="0069490A">
        <w:t>, </w:t>
      </w:r>
      <w:r w:rsidRPr="0069490A">
        <w:rPr>
          <w:i/>
          <w:iCs/>
        </w:rPr>
        <w:t>14</w:t>
      </w:r>
      <w:r w:rsidRPr="0069490A">
        <w:t>(2), p.36.</w:t>
      </w:r>
    </w:p>
    <w:p w14:paraId="67B94411" w14:textId="77777777" w:rsidR="009F5775" w:rsidRDefault="009F5775" w:rsidP="009F5775">
      <w:r w:rsidRPr="002C4316">
        <w:t xml:space="preserve">Hayne, C., </w:t>
      </w:r>
      <w:r>
        <w:t>(</w:t>
      </w:r>
      <w:r w:rsidRPr="002C4316">
        <w:t>2022</w:t>
      </w:r>
      <w:r>
        <w:t>)</w:t>
      </w:r>
      <w:r w:rsidRPr="002C4316">
        <w:t>. The effect of discontinuous and unpredictable environmental change on management accounting during organizational crisis: A field study. </w:t>
      </w:r>
      <w:r w:rsidRPr="00A43CA6">
        <w:rPr>
          <w:i/>
          <w:iCs/>
        </w:rPr>
        <w:t>Contemporary Accounting Research</w:t>
      </w:r>
      <w:r w:rsidRPr="002C4316">
        <w:t>, </w:t>
      </w:r>
      <w:r w:rsidRPr="00A43CA6">
        <w:rPr>
          <w:i/>
          <w:iCs/>
        </w:rPr>
        <w:t>39</w:t>
      </w:r>
      <w:r w:rsidRPr="002C4316">
        <w:t>(3), pp.1758-1796.</w:t>
      </w:r>
    </w:p>
    <w:p w14:paraId="497530CB" w14:textId="77777777" w:rsidR="009F5775" w:rsidRDefault="009F5775" w:rsidP="009F5775">
      <w:r w:rsidRPr="00A43CA6">
        <w:t xml:space="preserve">Lin, C.S., Chiu, C.M., Huang, Y.C., Lang, H.C. and Chen, M.S., </w:t>
      </w:r>
      <w:r>
        <w:t>(</w:t>
      </w:r>
      <w:r w:rsidRPr="00A43CA6">
        <w:t>2021</w:t>
      </w:r>
      <w:r>
        <w:t>)</w:t>
      </w:r>
      <w:r w:rsidRPr="00A43CA6">
        <w:t xml:space="preserve">, December. Evaluating the operational efficiency and quality of tertiary hospitals in Taiwan: the </w:t>
      </w:r>
      <w:r w:rsidRPr="00A43CA6">
        <w:lastRenderedPageBreak/>
        <w:t>application of the EBITDA indicator to the DEA method and TOBIT regression. In </w:t>
      </w:r>
      <w:r w:rsidRPr="00A43CA6">
        <w:rPr>
          <w:i/>
          <w:iCs/>
        </w:rPr>
        <w:t>Healthcare</w:t>
      </w:r>
      <w:r w:rsidRPr="00A43CA6">
        <w:t> (Vol. 10, No. 1, p. 58). MDPI.</w:t>
      </w:r>
    </w:p>
    <w:p w14:paraId="2FDDB5D0" w14:textId="77777777" w:rsidR="009F5775" w:rsidRDefault="009F5775" w:rsidP="009F5775">
      <w:r w:rsidRPr="002C4316">
        <w:t xml:space="preserve">Liu, C., He, T., Liu, F., Liang, S. and Zhang, C., </w:t>
      </w:r>
      <w:r>
        <w:t>(</w:t>
      </w:r>
      <w:r w:rsidRPr="002C4316">
        <w:t>2024</w:t>
      </w:r>
      <w:r>
        <w:t>)</w:t>
      </w:r>
      <w:r w:rsidRPr="002C4316">
        <w:t>. Trade facilitation, market size, and supply chain efficiency of Taiwan semiconductor companies. </w:t>
      </w:r>
      <w:r w:rsidRPr="00A43CA6">
        <w:rPr>
          <w:i/>
          <w:iCs/>
        </w:rPr>
        <w:t>Plos one</w:t>
      </w:r>
      <w:r w:rsidRPr="002C4316">
        <w:t>, </w:t>
      </w:r>
      <w:r w:rsidRPr="00A43CA6">
        <w:rPr>
          <w:i/>
          <w:iCs/>
        </w:rPr>
        <w:t>19</w:t>
      </w:r>
      <w:r w:rsidRPr="002C4316">
        <w:t>(10), p.e0299322.</w:t>
      </w:r>
    </w:p>
    <w:p w14:paraId="6794ACC6" w14:textId="77777777" w:rsidR="009F5775" w:rsidRDefault="009F5775" w:rsidP="009F5775">
      <w:r w:rsidRPr="002C4316">
        <w:t xml:space="preserve">Madiba, M.K., </w:t>
      </w:r>
      <w:r>
        <w:t>(</w:t>
      </w:r>
      <w:r w:rsidRPr="002C4316">
        <w:t>2023</w:t>
      </w:r>
      <w:r>
        <w:t>)</w:t>
      </w:r>
      <w:r w:rsidRPr="002C4316">
        <w:t>. </w:t>
      </w:r>
      <w:r w:rsidRPr="00A43CA6">
        <w:rPr>
          <w:i/>
          <w:iCs/>
        </w:rPr>
        <w:t>Relationship between sales budget and profitability at Clicks retail pharmacies limited</w:t>
      </w:r>
      <w:r w:rsidRPr="002C4316">
        <w:t> (Doctoral dissertation).</w:t>
      </w:r>
    </w:p>
    <w:p w14:paraId="4DB51B52" w14:textId="77777777" w:rsidR="009F5775" w:rsidRPr="006B5330" w:rsidRDefault="009F5775" w:rsidP="009F5775">
      <w:r w:rsidRPr="00A43CA6">
        <w:t xml:space="preserve">Mkansi, M. and Nsakanda, A.L., </w:t>
      </w:r>
      <w:r>
        <w:t>(</w:t>
      </w:r>
      <w:r w:rsidRPr="00A43CA6">
        <w:t>2021</w:t>
      </w:r>
      <w:r>
        <w:t>)</w:t>
      </w:r>
      <w:r w:rsidRPr="00A43CA6">
        <w:t>. Leveraging the physical network of stores in e-grocery order fulfilment for sustainable competitive advantage. </w:t>
      </w:r>
      <w:r w:rsidRPr="00A43CA6">
        <w:rPr>
          <w:i/>
          <w:iCs/>
        </w:rPr>
        <w:t>Research in Transportation Economics</w:t>
      </w:r>
      <w:r w:rsidRPr="00A43CA6">
        <w:t>, </w:t>
      </w:r>
      <w:r w:rsidRPr="00A43CA6">
        <w:rPr>
          <w:i/>
          <w:iCs/>
        </w:rPr>
        <w:t>87</w:t>
      </w:r>
      <w:r w:rsidRPr="00A43CA6">
        <w:t>, p.100786.</w:t>
      </w:r>
    </w:p>
    <w:p w14:paraId="37E5E824" w14:textId="77777777" w:rsidR="009F5775" w:rsidRDefault="009F5775" w:rsidP="009F5775">
      <w:r w:rsidRPr="002C4316">
        <w:t xml:space="preserve">Morrison, L.J., Wilmshurst, T. and Shimeld, S., </w:t>
      </w:r>
      <w:r>
        <w:t>(</w:t>
      </w:r>
      <w:r w:rsidRPr="002C4316">
        <w:t>2023</w:t>
      </w:r>
      <w:r>
        <w:t>)</w:t>
      </w:r>
      <w:r w:rsidRPr="002C4316">
        <w:t>. Counting nature: some implications of quantifying environmental issues in corporate reports. </w:t>
      </w:r>
      <w:r w:rsidRPr="00A43CA6">
        <w:rPr>
          <w:i/>
          <w:iCs/>
        </w:rPr>
        <w:t>Meditari Accountancy Research</w:t>
      </w:r>
      <w:r w:rsidRPr="002C4316">
        <w:t>, </w:t>
      </w:r>
      <w:r w:rsidRPr="00A43CA6">
        <w:rPr>
          <w:i/>
          <w:iCs/>
        </w:rPr>
        <w:t>31</w:t>
      </w:r>
      <w:r w:rsidRPr="002C4316">
        <w:t>(4), pp.912-937.</w:t>
      </w:r>
    </w:p>
    <w:p w14:paraId="0A076E45" w14:textId="77777777" w:rsidR="009F5775" w:rsidRDefault="009F5775" w:rsidP="009F5775">
      <w:r w:rsidRPr="002C4316">
        <w:t xml:space="preserve">Morrison, R. and Rose, D.C., </w:t>
      </w:r>
      <w:r>
        <w:t>(</w:t>
      </w:r>
      <w:r w:rsidRPr="002C4316">
        <w:t>2023</w:t>
      </w:r>
      <w:r>
        <w:t>)</w:t>
      </w:r>
      <w:r w:rsidRPr="002C4316">
        <w:t>. Factors that influence dairy farmers’ decisions to implement Johne’s Disease control practices: A systematic review. </w:t>
      </w:r>
      <w:r w:rsidRPr="00A43CA6">
        <w:rPr>
          <w:i/>
          <w:iCs/>
        </w:rPr>
        <w:t>Preventive Veterinary Medicine</w:t>
      </w:r>
      <w:r w:rsidRPr="002C4316">
        <w:t>, </w:t>
      </w:r>
      <w:r w:rsidRPr="00A43CA6">
        <w:rPr>
          <w:i/>
          <w:iCs/>
        </w:rPr>
        <w:t>220</w:t>
      </w:r>
      <w:r w:rsidRPr="002C4316">
        <w:t>, p.106053.</w:t>
      </w:r>
    </w:p>
    <w:p w14:paraId="5A1E0197" w14:textId="77777777" w:rsidR="009F5775" w:rsidRDefault="009F5775" w:rsidP="009F5775">
      <w:r w:rsidRPr="00A43CA6">
        <w:t xml:space="preserve">Neely-Morrison, R., </w:t>
      </w:r>
      <w:r>
        <w:t>(</w:t>
      </w:r>
      <w:r w:rsidRPr="00A43CA6">
        <w:t>2021</w:t>
      </w:r>
      <w:r>
        <w:t>)</w:t>
      </w:r>
      <w:r w:rsidRPr="00A43CA6">
        <w:t>. </w:t>
      </w:r>
      <w:r w:rsidRPr="00A43CA6">
        <w:rPr>
          <w:i/>
          <w:iCs/>
        </w:rPr>
        <w:t>Performance Enhancement Strategies: Improving Employee Productivity in the Public Sector</w:t>
      </w:r>
      <w:r w:rsidRPr="00A43CA6">
        <w:t> (Doctoral dissertation, Barry University).</w:t>
      </w:r>
    </w:p>
    <w:p w14:paraId="4C2FE45B" w14:textId="77777777" w:rsidR="009F5775" w:rsidRDefault="009F5775" w:rsidP="009F5775">
      <w:r w:rsidRPr="00A43CA6">
        <w:t xml:space="preserve">Onukwulu, E.C., Agho, M.O. and Eyo-Udo, N.L., </w:t>
      </w:r>
      <w:r>
        <w:t>(</w:t>
      </w:r>
      <w:r w:rsidRPr="00A43CA6">
        <w:t>2021</w:t>
      </w:r>
      <w:r>
        <w:t>)</w:t>
      </w:r>
      <w:r w:rsidRPr="00A43CA6">
        <w:t>. Framework for sustainable supply chain practices to reduce carbon footprint in energy. </w:t>
      </w:r>
      <w:r w:rsidRPr="00A43CA6">
        <w:rPr>
          <w:i/>
          <w:iCs/>
        </w:rPr>
        <w:t>Open Access Research Journal of Science and Technology</w:t>
      </w:r>
      <w:r w:rsidRPr="00A43CA6">
        <w:t>, </w:t>
      </w:r>
      <w:r w:rsidRPr="00A43CA6">
        <w:rPr>
          <w:i/>
          <w:iCs/>
        </w:rPr>
        <w:t>1</w:t>
      </w:r>
      <w:r w:rsidRPr="00A43CA6">
        <w:t>(2), pp.012-034.</w:t>
      </w:r>
    </w:p>
    <w:p w14:paraId="6458637A" w14:textId="77777777" w:rsidR="009F5775" w:rsidRDefault="009F5775" w:rsidP="009F5775">
      <w:r w:rsidRPr="00A43CA6">
        <w:t xml:space="preserve">Ordenes, F.V., Solis, D.D. and Herhausen, D., </w:t>
      </w:r>
      <w:r>
        <w:t>(</w:t>
      </w:r>
      <w:r w:rsidRPr="00A43CA6">
        <w:t>2022</w:t>
      </w:r>
      <w:r>
        <w:t>)</w:t>
      </w:r>
      <w:r w:rsidRPr="00A43CA6">
        <w:t>. Customer experience measurement: implications for customer loyalty. In </w:t>
      </w:r>
      <w:r w:rsidRPr="00A43CA6">
        <w:rPr>
          <w:i/>
          <w:iCs/>
        </w:rPr>
        <w:t>Handbook of Research on Customer Loyalty</w:t>
      </w:r>
      <w:r w:rsidRPr="00A43CA6">
        <w:t> (pp. 83-94). Edward Elgar Publishing.</w:t>
      </w:r>
    </w:p>
    <w:p w14:paraId="2DED3928" w14:textId="68AC0CFC" w:rsidR="009F5775" w:rsidRDefault="00EE7DC0" w:rsidP="009F5775">
      <w:r>
        <w:rPr>
          <w:lang w:val="en-IN"/>
        </w:rPr>
        <w:t xml:space="preserve">Morrisons, PLC </w:t>
      </w:r>
      <w:r w:rsidR="009F5775" w:rsidRPr="00A43CA6">
        <w:rPr>
          <w:lang w:val="en-IN"/>
        </w:rPr>
        <w:t xml:space="preserve">(2024) </w:t>
      </w:r>
      <w:r w:rsidR="009F5775" w:rsidRPr="00A43CA6">
        <w:rPr>
          <w:i/>
          <w:iCs/>
          <w:lang w:val="en-IN"/>
        </w:rPr>
        <w:t>Financial reports - morrisons corporate</w:t>
      </w:r>
      <w:r w:rsidR="009F5775" w:rsidRPr="00A43CA6">
        <w:rPr>
          <w:lang w:val="en-IN"/>
        </w:rPr>
        <w:t xml:space="preserve">, </w:t>
      </w:r>
      <w:r w:rsidR="009F5775" w:rsidRPr="00A43CA6">
        <w:rPr>
          <w:i/>
          <w:iCs/>
          <w:lang w:val="en-IN"/>
        </w:rPr>
        <w:t>Morrisons</w:t>
      </w:r>
      <w:r w:rsidR="009F5775" w:rsidRPr="00A43CA6">
        <w:rPr>
          <w:lang w:val="en-IN"/>
        </w:rPr>
        <w:t xml:space="preserve">. Available at: </w:t>
      </w:r>
      <w:hyperlink r:id="rId11" w:history="1">
        <w:r w:rsidR="00D91D72" w:rsidRPr="009F7325">
          <w:rPr>
            <w:rStyle w:val="Hyperlink"/>
            <w:lang w:val="en-IN"/>
          </w:rPr>
          <w:t>https://www.morrisons-corporate.com/financial-archive/financial-reports/</w:t>
        </w:r>
      </w:hyperlink>
      <w:r w:rsidR="00D91D72">
        <w:t xml:space="preserve"> Accessed on 12 February 2026.</w:t>
      </w:r>
    </w:p>
    <w:p w14:paraId="5D5E4373" w14:textId="77777777" w:rsidR="00D91D72" w:rsidRDefault="00D91D72" w:rsidP="009F5775"/>
    <w:p w14:paraId="537FC4C1" w14:textId="08DF4FDA" w:rsidR="0069490A" w:rsidRPr="00A43CA6" w:rsidRDefault="0069490A" w:rsidP="009F5775">
      <w:pPr>
        <w:rPr>
          <w:lang w:val="en-IN"/>
        </w:rPr>
      </w:pPr>
      <w:r w:rsidRPr="0069490A">
        <w:lastRenderedPageBreak/>
        <w:t xml:space="preserve">Shofi, B., Agustin, A.W., Maydina, S.N. and Dewi, B.K., </w:t>
      </w:r>
      <w:r>
        <w:t>(</w:t>
      </w:r>
      <w:r w:rsidRPr="0069490A">
        <w:t>2025</w:t>
      </w:r>
      <w:r>
        <w:t>)</w:t>
      </w:r>
      <w:r w:rsidRPr="0069490A">
        <w:t>, June. A Conceptual Review of Cost-Volume-Profit Analysis in the Context of Economic Uncertainty. In </w:t>
      </w:r>
      <w:r w:rsidRPr="0069490A">
        <w:rPr>
          <w:i/>
          <w:iCs/>
        </w:rPr>
        <w:t>Proceeding of International Conference on Economics, Technology, Management, Accounting, Education, and Social Science (ICETEA)</w:t>
      </w:r>
      <w:r w:rsidRPr="0069490A">
        <w:t> (Vol. 1, pp. 27-42).</w:t>
      </w:r>
    </w:p>
    <w:p w14:paraId="00B67459" w14:textId="3CE2AA01" w:rsidR="009F5775" w:rsidRDefault="009F5775" w:rsidP="009F5775">
      <w:r w:rsidRPr="00A43CA6">
        <w:t xml:space="preserve">Zavidna, L., Mykolaichuk, I. and Namliiev, Y., </w:t>
      </w:r>
      <w:r>
        <w:t>(</w:t>
      </w:r>
      <w:r w:rsidRPr="00A43CA6">
        <w:t>2024</w:t>
      </w:r>
      <w:r>
        <w:t>)</w:t>
      </w:r>
      <w:r w:rsidRPr="00A43CA6">
        <w:t>. Business restructuring as a strategy for enterprise adaptation to changes in war conditions. </w:t>
      </w:r>
      <w:r w:rsidRPr="00A43CA6">
        <w:rPr>
          <w:i/>
          <w:iCs/>
        </w:rPr>
        <w:t>Journal" Expert</w:t>
      </w:r>
      <w:r w:rsidRPr="00A43CA6">
        <w:t>, </w:t>
      </w:r>
      <w:r w:rsidRPr="00A43CA6">
        <w:rPr>
          <w:i/>
          <w:iCs/>
        </w:rPr>
        <w:t>1</w:t>
      </w:r>
      <w:r w:rsidRPr="00A43CA6">
        <w:t>(3).</w:t>
      </w:r>
    </w:p>
    <w:p w14:paraId="58003A63" w14:textId="4E1B494F" w:rsidR="0069490A" w:rsidRDefault="0069490A" w:rsidP="009F5775">
      <w:r w:rsidRPr="0069490A">
        <w:t xml:space="preserve">Zhang, X., </w:t>
      </w:r>
      <w:r>
        <w:t>(</w:t>
      </w:r>
      <w:r w:rsidRPr="0069490A">
        <w:t>2022</w:t>
      </w:r>
      <w:r>
        <w:t>)</w:t>
      </w:r>
      <w:r w:rsidRPr="0069490A">
        <w:t>. Data Study Group Final Report: Morrisons.</w:t>
      </w:r>
    </w:p>
    <w:p w14:paraId="5EA0CCB1" w14:textId="77777777" w:rsidR="009F5775" w:rsidRDefault="009F5775">
      <w:pPr>
        <w:spacing w:after="160" w:line="278" w:lineRule="auto"/>
        <w:ind w:left="0"/>
        <w:jc w:val="left"/>
      </w:pPr>
      <w:r>
        <w:br w:type="page"/>
      </w:r>
    </w:p>
    <w:p w14:paraId="76B5F0C5" w14:textId="146F469C" w:rsidR="009F5775" w:rsidRDefault="009F5775" w:rsidP="009F5775">
      <w:pPr>
        <w:pStyle w:val="Heading1"/>
      </w:pPr>
      <w:bookmarkStart w:id="9" w:name="_Toc222747210"/>
      <w:r>
        <w:lastRenderedPageBreak/>
        <w:t>Appendix</w:t>
      </w:r>
      <w:bookmarkEnd w:id="9"/>
    </w:p>
    <w:p w14:paraId="632D6711" w14:textId="77777777" w:rsidR="009F5775" w:rsidRPr="009F5775" w:rsidRDefault="009F5775" w:rsidP="009F5775">
      <w:pPr>
        <w:pStyle w:val="Heading2"/>
      </w:pPr>
      <w:bookmarkStart w:id="10" w:name="_Toc222747211"/>
      <w:r w:rsidRPr="009F5775">
        <w:t>Key Performance Indicators at Morrisons</w:t>
      </w:r>
      <w:bookmarkEnd w:id="10"/>
    </w:p>
    <w:p w14:paraId="1C021022" w14:textId="05AD5F26" w:rsidR="009F5775" w:rsidRDefault="009F5775" w:rsidP="009F5775">
      <w:pPr>
        <w:pStyle w:val="Caption"/>
        <w:keepNext/>
      </w:pPr>
      <w:bookmarkStart w:id="11" w:name="_Toc222747216"/>
      <w:r>
        <w:t xml:space="preserve">Table </w:t>
      </w:r>
      <w:r>
        <w:fldChar w:fldCharType="begin"/>
      </w:r>
      <w:r>
        <w:instrText xml:space="preserve"> SEQ Table \* ARABIC </w:instrText>
      </w:r>
      <w:r>
        <w:fldChar w:fldCharType="separate"/>
      </w:r>
      <w:r w:rsidR="0036594A">
        <w:rPr>
          <w:noProof/>
        </w:rPr>
        <w:t>1</w:t>
      </w:r>
      <w:r>
        <w:fldChar w:fldCharType="end"/>
      </w:r>
      <w:r>
        <w:t>: (Key Performance Indicators at Morrisons) (Source: Morrisons Annual Report, 2024)</w:t>
      </w:r>
      <w:bookmarkEnd w:id="11"/>
    </w:p>
    <w:tbl>
      <w:tblPr>
        <w:tblStyle w:val="GridTable4-Accent1"/>
        <w:tblW w:w="0" w:type="auto"/>
        <w:tblLook w:val="04A0" w:firstRow="1" w:lastRow="0" w:firstColumn="1" w:lastColumn="0" w:noHBand="0" w:noVBand="1"/>
      </w:tblPr>
      <w:tblGrid>
        <w:gridCol w:w="3080"/>
        <w:gridCol w:w="2571"/>
        <w:gridCol w:w="3365"/>
      </w:tblGrid>
      <w:tr w:rsidR="009F5775" w:rsidRPr="009F5775" w14:paraId="5C05C1C9" w14:textId="77777777" w:rsidTr="009F57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D7D74F" w14:textId="77777777" w:rsidR="009F5775" w:rsidRPr="009F5775" w:rsidRDefault="009F5775" w:rsidP="009F5775">
            <w:pPr>
              <w:rPr>
                <w:lang w:val="en-IN"/>
              </w:rPr>
            </w:pPr>
            <w:r w:rsidRPr="009F5775">
              <w:rPr>
                <w:lang w:val="en-IN"/>
              </w:rPr>
              <w:t>KPI</w:t>
            </w:r>
          </w:p>
        </w:tc>
        <w:tc>
          <w:tcPr>
            <w:tcW w:w="0" w:type="auto"/>
            <w:hideMark/>
          </w:tcPr>
          <w:p w14:paraId="766BCD42"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2023/24 Performance</w:t>
            </w:r>
          </w:p>
        </w:tc>
        <w:tc>
          <w:tcPr>
            <w:tcW w:w="0" w:type="auto"/>
            <w:hideMark/>
          </w:tcPr>
          <w:p w14:paraId="20AE5BD5"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Strategic Importance</w:t>
            </w:r>
          </w:p>
        </w:tc>
      </w:tr>
      <w:tr w:rsidR="009F5775" w:rsidRPr="009F5775" w14:paraId="1DEA23A5" w14:textId="77777777" w:rsidTr="009F5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E819D4" w14:textId="77777777" w:rsidR="009F5775" w:rsidRPr="009F5775" w:rsidRDefault="009F5775" w:rsidP="009F5775">
            <w:pPr>
              <w:rPr>
                <w:lang w:val="en-IN"/>
              </w:rPr>
            </w:pPr>
            <w:r w:rsidRPr="009F5775">
              <w:rPr>
                <w:lang w:val="en-IN"/>
              </w:rPr>
              <w:t>Revenue (continuing operations)</w:t>
            </w:r>
          </w:p>
        </w:tc>
        <w:tc>
          <w:tcPr>
            <w:tcW w:w="0" w:type="auto"/>
            <w:hideMark/>
          </w:tcPr>
          <w:p w14:paraId="5A33C3BD"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£15,276m (↑ £565m YoY)</w:t>
            </w:r>
          </w:p>
        </w:tc>
        <w:tc>
          <w:tcPr>
            <w:tcW w:w="0" w:type="auto"/>
            <w:hideMark/>
          </w:tcPr>
          <w:p w14:paraId="0EE90ED1"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Measures overall sales strength</w:t>
            </w:r>
          </w:p>
        </w:tc>
      </w:tr>
      <w:tr w:rsidR="009F5775" w:rsidRPr="009F5775" w14:paraId="5EF7A987" w14:textId="77777777" w:rsidTr="009F5775">
        <w:tc>
          <w:tcPr>
            <w:cnfStyle w:val="001000000000" w:firstRow="0" w:lastRow="0" w:firstColumn="1" w:lastColumn="0" w:oddVBand="0" w:evenVBand="0" w:oddHBand="0" w:evenHBand="0" w:firstRowFirstColumn="0" w:firstRowLastColumn="0" w:lastRowFirstColumn="0" w:lastRowLastColumn="0"/>
            <w:tcW w:w="0" w:type="auto"/>
            <w:hideMark/>
          </w:tcPr>
          <w:p w14:paraId="3A6641DD" w14:textId="77777777" w:rsidR="009F5775" w:rsidRPr="009F5775" w:rsidRDefault="009F5775" w:rsidP="009F5775">
            <w:pPr>
              <w:rPr>
                <w:lang w:val="en-IN"/>
              </w:rPr>
            </w:pPr>
            <w:r w:rsidRPr="009F5775">
              <w:rPr>
                <w:lang w:val="en-IN"/>
              </w:rPr>
              <w:t>Like-for-like (LFL) sales</w:t>
            </w:r>
          </w:p>
        </w:tc>
        <w:tc>
          <w:tcPr>
            <w:tcW w:w="0" w:type="auto"/>
            <w:hideMark/>
          </w:tcPr>
          <w:p w14:paraId="7FF99BB7"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+4.1%</w:t>
            </w:r>
          </w:p>
        </w:tc>
        <w:tc>
          <w:tcPr>
            <w:tcW w:w="0" w:type="auto"/>
            <w:hideMark/>
          </w:tcPr>
          <w:p w14:paraId="25D7B2EB"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Indicates underlying store performance</w:t>
            </w:r>
          </w:p>
        </w:tc>
      </w:tr>
      <w:tr w:rsidR="009F5775" w:rsidRPr="009F5775" w14:paraId="4A6054B3" w14:textId="77777777" w:rsidTr="009F5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2F76CF" w14:textId="77777777" w:rsidR="009F5775" w:rsidRPr="009F5775" w:rsidRDefault="009F5775" w:rsidP="009F5775">
            <w:pPr>
              <w:rPr>
                <w:lang w:val="en-IN"/>
              </w:rPr>
            </w:pPr>
            <w:r w:rsidRPr="009F5775">
              <w:rPr>
                <w:lang w:val="en-IN"/>
              </w:rPr>
              <w:t>Underlying EBITDA</w:t>
            </w:r>
          </w:p>
        </w:tc>
        <w:tc>
          <w:tcPr>
            <w:tcW w:w="0" w:type="auto"/>
            <w:hideMark/>
          </w:tcPr>
          <w:p w14:paraId="5DEDCA13"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£835m (↑ 11.2%)</w:t>
            </w:r>
          </w:p>
        </w:tc>
        <w:tc>
          <w:tcPr>
            <w:tcW w:w="0" w:type="auto"/>
            <w:hideMark/>
          </w:tcPr>
          <w:p w14:paraId="066E23CE"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Tracks operating profitability</w:t>
            </w:r>
          </w:p>
        </w:tc>
      </w:tr>
      <w:tr w:rsidR="009F5775" w:rsidRPr="009F5775" w14:paraId="57F218F8" w14:textId="77777777" w:rsidTr="009F5775">
        <w:tc>
          <w:tcPr>
            <w:cnfStyle w:val="001000000000" w:firstRow="0" w:lastRow="0" w:firstColumn="1" w:lastColumn="0" w:oddVBand="0" w:evenVBand="0" w:oddHBand="0" w:evenHBand="0" w:firstRowFirstColumn="0" w:firstRowLastColumn="0" w:lastRowFirstColumn="0" w:lastRowLastColumn="0"/>
            <w:tcW w:w="0" w:type="auto"/>
            <w:hideMark/>
          </w:tcPr>
          <w:p w14:paraId="6C9E4013" w14:textId="77777777" w:rsidR="009F5775" w:rsidRPr="009F5775" w:rsidRDefault="009F5775" w:rsidP="009F5775">
            <w:pPr>
              <w:rPr>
                <w:lang w:val="en-IN"/>
              </w:rPr>
            </w:pPr>
            <w:r w:rsidRPr="009F5775">
              <w:rPr>
                <w:lang w:val="en-IN"/>
              </w:rPr>
              <w:t>Operating profit (continuing)</w:t>
            </w:r>
          </w:p>
        </w:tc>
        <w:tc>
          <w:tcPr>
            <w:tcW w:w="0" w:type="auto"/>
            <w:hideMark/>
          </w:tcPr>
          <w:p w14:paraId="0E0D0C12"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£74m (prior year loss)</w:t>
            </w:r>
          </w:p>
        </w:tc>
        <w:tc>
          <w:tcPr>
            <w:tcW w:w="0" w:type="auto"/>
            <w:hideMark/>
          </w:tcPr>
          <w:p w14:paraId="2594C90F"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Signals turnaround progress</w:t>
            </w:r>
          </w:p>
        </w:tc>
      </w:tr>
      <w:tr w:rsidR="009F5775" w:rsidRPr="009F5775" w14:paraId="5ED8D3A7" w14:textId="77777777" w:rsidTr="009F5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B4B7BC" w14:textId="77777777" w:rsidR="009F5775" w:rsidRPr="009F5775" w:rsidRDefault="009F5775" w:rsidP="009F5775">
            <w:pPr>
              <w:rPr>
                <w:lang w:val="en-IN"/>
              </w:rPr>
            </w:pPr>
            <w:r w:rsidRPr="009F5775">
              <w:rPr>
                <w:lang w:val="en-IN"/>
              </w:rPr>
              <w:t>Loyalty-linked sales</w:t>
            </w:r>
          </w:p>
        </w:tc>
        <w:tc>
          <w:tcPr>
            <w:tcW w:w="0" w:type="auto"/>
            <w:hideMark/>
          </w:tcPr>
          <w:p w14:paraId="18F998BE"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76% of supermarket sales</w:t>
            </w:r>
          </w:p>
        </w:tc>
        <w:tc>
          <w:tcPr>
            <w:tcW w:w="0" w:type="auto"/>
            <w:hideMark/>
          </w:tcPr>
          <w:p w14:paraId="3A6564CD"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Reflects customer engagement</w:t>
            </w:r>
          </w:p>
        </w:tc>
      </w:tr>
    </w:tbl>
    <w:p w14:paraId="523196F9" w14:textId="77777777" w:rsidR="009F5775" w:rsidRDefault="009F5775" w:rsidP="009F5775">
      <w:pPr>
        <w:rPr>
          <w:lang w:val="en-US"/>
        </w:rPr>
      </w:pPr>
    </w:p>
    <w:p w14:paraId="46675DC2" w14:textId="77777777" w:rsidR="009F5775" w:rsidRPr="009F5775" w:rsidRDefault="009F5775" w:rsidP="009F5775">
      <w:pPr>
        <w:pStyle w:val="Heading2"/>
      </w:pPr>
      <w:bookmarkStart w:id="12" w:name="_Toc222747212"/>
      <w:r w:rsidRPr="009F5775">
        <w:t>Channel Performance Indicators</w:t>
      </w:r>
      <w:bookmarkEnd w:id="12"/>
    </w:p>
    <w:p w14:paraId="7CE088D3" w14:textId="6A2F75CC" w:rsidR="009F5775" w:rsidRDefault="009F5775" w:rsidP="009F5775">
      <w:pPr>
        <w:pStyle w:val="Caption"/>
        <w:keepNext/>
      </w:pPr>
      <w:bookmarkStart w:id="13" w:name="_Toc222747217"/>
      <w:r>
        <w:t xml:space="preserve">Table </w:t>
      </w:r>
      <w:r>
        <w:fldChar w:fldCharType="begin"/>
      </w:r>
      <w:r>
        <w:instrText xml:space="preserve"> SEQ Table \* ARABIC </w:instrText>
      </w:r>
      <w:r>
        <w:fldChar w:fldCharType="separate"/>
      </w:r>
      <w:r w:rsidR="0036594A">
        <w:rPr>
          <w:noProof/>
        </w:rPr>
        <w:t>2</w:t>
      </w:r>
      <w:r>
        <w:fldChar w:fldCharType="end"/>
      </w:r>
      <w:r>
        <w:t>: (Channel Performance Indicators) (Source: Morrisons Annual Report</w:t>
      </w:r>
      <w:r w:rsidR="0069490A">
        <w:t>, 2024</w:t>
      </w:r>
      <w:r>
        <w:t>)</w:t>
      </w:r>
      <w:bookmarkEnd w:id="13"/>
    </w:p>
    <w:tbl>
      <w:tblPr>
        <w:tblStyle w:val="GridTable4-Accent2"/>
        <w:tblW w:w="9755" w:type="dxa"/>
        <w:tblLook w:val="04A0" w:firstRow="1" w:lastRow="0" w:firstColumn="1" w:lastColumn="0" w:noHBand="0" w:noVBand="1"/>
      </w:tblPr>
      <w:tblGrid>
        <w:gridCol w:w="3448"/>
        <w:gridCol w:w="2837"/>
        <w:gridCol w:w="3470"/>
      </w:tblGrid>
      <w:tr w:rsidR="009F5775" w:rsidRPr="009F5775" w14:paraId="35E35311" w14:textId="77777777" w:rsidTr="009F5775">
        <w:trPr>
          <w:cnfStyle w:val="100000000000" w:firstRow="1" w:lastRow="0" w:firstColumn="0" w:lastColumn="0" w:oddVBand="0" w:evenVBand="0" w:oddHBand="0"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0" w:type="auto"/>
            <w:hideMark/>
          </w:tcPr>
          <w:p w14:paraId="0684BD09" w14:textId="77777777" w:rsidR="009F5775" w:rsidRPr="009F5775" w:rsidRDefault="009F5775" w:rsidP="009F5775">
            <w:pPr>
              <w:rPr>
                <w:lang w:val="en-IN"/>
              </w:rPr>
            </w:pPr>
            <w:r w:rsidRPr="009F5775">
              <w:rPr>
                <w:lang w:val="en-IN"/>
              </w:rPr>
              <w:t>Business Area</w:t>
            </w:r>
          </w:p>
        </w:tc>
        <w:tc>
          <w:tcPr>
            <w:tcW w:w="0" w:type="auto"/>
            <w:hideMark/>
          </w:tcPr>
          <w:p w14:paraId="2D54C8C7"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LFL Growth 2023/24</w:t>
            </w:r>
          </w:p>
        </w:tc>
        <w:tc>
          <w:tcPr>
            <w:tcW w:w="0" w:type="auto"/>
            <w:hideMark/>
          </w:tcPr>
          <w:p w14:paraId="28A75136"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Strategic Insight</w:t>
            </w:r>
          </w:p>
        </w:tc>
      </w:tr>
      <w:tr w:rsidR="009F5775" w:rsidRPr="009F5775" w14:paraId="2B987F01" w14:textId="77777777" w:rsidTr="009F5775">
        <w:trPr>
          <w:cnfStyle w:val="000000100000" w:firstRow="0" w:lastRow="0" w:firstColumn="0" w:lastColumn="0" w:oddVBand="0" w:evenVBand="0" w:oddHBand="1"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0" w:type="auto"/>
            <w:hideMark/>
          </w:tcPr>
          <w:p w14:paraId="6CF693D5" w14:textId="77777777" w:rsidR="009F5775" w:rsidRPr="00476137" w:rsidRDefault="009F5775" w:rsidP="009F5775">
            <w:pPr>
              <w:rPr>
                <w:lang w:val="es-ES"/>
              </w:rPr>
            </w:pPr>
            <w:r w:rsidRPr="00476137">
              <w:rPr>
                <w:lang w:val="es-ES"/>
              </w:rPr>
              <w:t>Total Group LFL (ex-fuel)</w:t>
            </w:r>
          </w:p>
        </w:tc>
        <w:tc>
          <w:tcPr>
            <w:tcW w:w="0" w:type="auto"/>
            <w:hideMark/>
          </w:tcPr>
          <w:p w14:paraId="4A92385B"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+4.1%</w:t>
            </w:r>
          </w:p>
        </w:tc>
        <w:tc>
          <w:tcPr>
            <w:tcW w:w="0" w:type="auto"/>
            <w:hideMark/>
          </w:tcPr>
          <w:p w14:paraId="6688DD23"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Underlying sales recovery</w:t>
            </w:r>
          </w:p>
        </w:tc>
      </w:tr>
      <w:tr w:rsidR="009F5775" w:rsidRPr="009F5775" w14:paraId="7CA6B5A4" w14:textId="77777777" w:rsidTr="009F5775">
        <w:trPr>
          <w:trHeight w:val="632"/>
        </w:trPr>
        <w:tc>
          <w:tcPr>
            <w:cnfStyle w:val="001000000000" w:firstRow="0" w:lastRow="0" w:firstColumn="1" w:lastColumn="0" w:oddVBand="0" w:evenVBand="0" w:oddHBand="0" w:evenHBand="0" w:firstRowFirstColumn="0" w:firstRowLastColumn="0" w:lastRowFirstColumn="0" w:lastRowLastColumn="0"/>
            <w:tcW w:w="0" w:type="auto"/>
            <w:hideMark/>
          </w:tcPr>
          <w:p w14:paraId="144D0370" w14:textId="77777777" w:rsidR="009F5775" w:rsidRPr="009F5775" w:rsidRDefault="009F5775" w:rsidP="009F5775">
            <w:pPr>
              <w:rPr>
                <w:lang w:val="en-IN"/>
              </w:rPr>
            </w:pPr>
            <w:r w:rsidRPr="009F5775">
              <w:rPr>
                <w:lang w:val="en-IN"/>
              </w:rPr>
              <w:t>Convenience stores</w:t>
            </w:r>
          </w:p>
        </w:tc>
        <w:tc>
          <w:tcPr>
            <w:tcW w:w="0" w:type="auto"/>
            <w:hideMark/>
          </w:tcPr>
          <w:p w14:paraId="69898A65"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+8.9%</w:t>
            </w:r>
          </w:p>
        </w:tc>
        <w:tc>
          <w:tcPr>
            <w:tcW w:w="0" w:type="auto"/>
            <w:hideMark/>
          </w:tcPr>
          <w:p w14:paraId="5C8F330F"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Strong local format demand</w:t>
            </w:r>
          </w:p>
        </w:tc>
      </w:tr>
      <w:tr w:rsidR="009F5775" w:rsidRPr="009F5775" w14:paraId="5C711F2A" w14:textId="77777777" w:rsidTr="009F5775">
        <w:trPr>
          <w:cnfStyle w:val="000000100000" w:firstRow="0" w:lastRow="0" w:firstColumn="0" w:lastColumn="0" w:oddVBand="0" w:evenVBand="0" w:oddHBand="1"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0" w:type="auto"/>
            <w:hideMark/>
          </w:tcPr>
          <w:p w14:paraId="229343B3" w14:textId="77777777" w:rsidR="009F5775" w:rsidRPr="009F5775" w:rsidRDefault="009F5775" w:rsidP="009F5775">
            <w:pPr>
              <w:rPr>
                <w:lang w:val="en-IN"/>
              </w:rPr>
            </w:pPr>
            <w:r w:rsidRPr="009F5775">
              <w:rPr>
                <w:lang w:val="en-IN"/>
              </w:rPr>
              <w:t>Franchise &amp; wholesale</w:t>
            </w:r>
          </w:p>
        </w:tc>
        <w:tc>
          <w:tcPr>
            <w:tcW w:w="0" w:type="auto"/>
            <w:hideMark/>
          </w:tcPr>
          <w:p w14:paraId="0698EBE5"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+29.8%</w:t>
            </w:r>
          </w:p>
        </w:tc>
        <w:tc>
          <w:tcPr>
            <w:tcW w:w="0" w:type="auto"/>
            <w:hideMark/>
          </w:tcPr>
          <w:p w14:paraId="339E56B5"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Rapid partnership expansion</w:t>
            </w:r>
          </w:p>
        </w:tc>
      </w:tr>
      <w:tr w:rsidR="009F5775" w:rsidRPr="009F5775" w14:paraId="3451775F" w14:textId="77777777" w:rsidTr="009F5775">
        <w:trPr>
          <w:trHeight w:val="632"/>
        </w:trPr>
        <w:tc>
          <w:tcPr>
            <w:cnfStyle w:val="001000000000" w:firstRow="0" w:lastRow="0" w:firstColumn="1" w:lastColumn="0" w:oddVBand="0" w:evenVBand="0" w:oddHBand="0" w:evenHBand="0" w:firstRowFirstColumn="0" w:firstRowLastColumn="0" w:lastRowFirstColumn="0" w:lastRowLastColumn="0"/>
            <w:tcW w:w="0" w:type="auto"/>
            <w:hideMark/>
          </w:tcPr>
          <w:p w14:paraId="7AC57E0C" w14:textId="77777777" w:rsidR="009F5775" w:rsidRPr="009F5775" w:rsidRDefault="009F5775" w:rsidP="009F5775">
            <w:pPr>
              <w:rPr>
                <w:lang w:val="en-IN"/>
              </w:rPr>
            </w:pPr>
            <w:r w:rsidRPr="009F5775">
              <w:rPr>
                <w:lang w:val="en-IN"/>
              </w:rPr>
              <w:t>Market share</w:t>
            </w:r>
          </w:p>
        </w:tc>
        <w:tc>
          <w:tcPr>
            <w:tcW w:w="0" w:type="auto"/>
            <w:hideMark/>
          </w:tcPr>
          <w:p w14:paraId="058192DE"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8.6%</w:t>
            </w:r>
          </w:p>
        </w:tc>
        <w:tc>
          <w:tcPr>
            <w:tcW w:w="0" w:type="auto"/>
            <w:hideMark/>
          </w:tcPr>
          <w:p w14:paraId="56EBEF8A"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Stable competitive position</w:t>
            </w:r>
          </w:p>
        </w:tc>
      </w:tr>
    </w:tbl>
    <w:p w14:paraId="72788EF7" w14:textId="77777777" w:rsidR="009F5775" w:rsidRDefault="009F5775" w:rsidP="009F5775">
      <w:pPr>
        <w:rPr>
          <w:lang w:val="en-US"/>
        </w:rPr>
      </w:pPr>
    </w:p>
    <w:p w14:paraId="344BFEBC" w14:textId="77777777" w:rsidR="009F5775" w:rsidRPr="009F5775" w:rsidRDefault="009F5775" w:rsidP="009F5775">
      <w:pPr>
        <w:pStyle w:val="Heading2"/>
      </w:pPr>
      <w:bookmarkStart w:id="14" w:name="_Toc222747213"/>
      <w:r w:rsidRPr="009F5775">
        <w:lastRenderedPageBreak/>
        <w:t>Customer Loyalty and Engagement Metrics</w:t>
      </w:r>
      <w:bookmarkEnd w:id="14"/>
    </w:p>
    <w:p w14:paraId="4C62B9F2" w14:textId="0A2C5117" w:rsidR="009F5775" w:rsidRDefault="009F5775" w:rsidP="009F5775">
      <w:pPr>
        <w:pStyle w:val="Caption"/>
        <w:keepNext/>
      </w:pPr>
      <w:bookmarkStart w:id="15" w:name="_Toc222747218"/>
      <w:r>
        <w:t xml:space="preserve">Table </w:t>
      </w:r>
      <w:r>
        <w:fldChar w:fldCharType="begin"/>
      </w:r>
      <w:r>
        <w:instrText xml:space="preserve"> SEQ Table \* ARABIC </w:instrText>
      </w:r>
      <w:r>
        <w:fldChar w:fldCharType="separate"/>
      </w:r>
      <w:r w:rsidR="0036594A">
        <w:rPr>
          <w:noProof/>
        </w:rPr>
        <w:t>3</w:t>
      </w:r>
      <w:r>
        <w:fldChar w:fldCharType="end"/>
      </w:r>
      <w:r>
        <w:t>: (</w:t>
      </w:r>
      <w:r w:rsidRPr="00694FC8">
        <w:t>Customer Loyalty and Engagement Metrics</w:t>
      </w:r>
      <w:r>
        <w:t>) (Source: Morrisons Annual Report</w:t>
      </w:r>
      <w:r w:rsidR="0069490A">
        <w:t>, 2024</w:t>
      </w:r>
      <w:r>
        <w:t>)</w:t>
      </w:r>
      <w:bookmarkEnd w:id="15"/>
    </w:p>
    <w:tbl>
      <w:tblPr>
        <w:tblStyle w:val="GridTable4-Accent6"/>
        <w:tblW w:w="0" w:type="auto"/>
        <w:tblLook w:val="04A0" w:firstRow="1" w:lastRow="0" w:firstColumn="1" w:lastColumn="0" w:noHBand="0" w:noVBand="1"/>
      </w:tblPr>
      <w:tblGrid>
        <w:gridCol w:w="3239"/>
        <w:gridCol w:w="2783"/>
        <w:gridCol w:w="2994"/>
      </w:tblGrid>
      <w:tr w:rsidR="009F5775" w:rsidRPr="009F5775" w14:paraId="568ADC60" w14:textId="77777777" w:rsidTr="009F57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7838F4" w14:textId="77777777" w:rsidR="009F5775" w:rsidRPr="009F5775" w:rsidRDefault="009F5775" w:rsidP="009F5775">
            <w:pPr>
              <w:rPr>
                <w:lang w:val="en-IN"/>
              </w:rPr>
            </w:pPr>
            <w:r w:rsidRPr="009F5775">
              <w:rPr>
                <w:lang w:val="en-IN"/>
              </w:rPr>
              <w:t>Customer Metric</w:t>
            </w:r>
          </w:p>
        </w:tc>
        <w:tc>
          <w:tcPr>
            <w:tcW w:w="0" w:type="auto"/>
            <w:hideMark/>
          </w:tcPr>
          <w:p w14:paraId="392DCD7F"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2023/24 Performance</w:t>
            </w:r>
          </w:p>
        </w:tc>
        <w:tc>
          <w:tcPr>
            <w:tcW w:w="0" w:type="auto"/>
            <w:hideMark/>
          </w:tcPr>
          <w:p w14:paraId="2D314759"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Management Response</w:t>
            </w:r>
          </w:p>
        </w:tc>
      </w:tr>
      <w:tr w:rsidR="009F5775" w:rsidRPr="009F5775" w14:paraId="2A204CF7" w14:textId="77777777" w:rsidTr="009F5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352DD0" w14:textId="77777777" w:rsidR="009F5775" w:rsidRPr="009F5775" w:rsidRDefault="009F5775" w:rsidP="009F5775">
            <w:pPr>
              <w:rPr>
                <w:lang w:val="en-IN"/>
              </w:rPr>
            </w:pPr>
            <w:r w:rsidRPr="009F5775">
              <w:rPr>
                <w:lang w:val="en-IN"/>
              </w:rPr>
              <w:t>Loyalty-linked sales</w:t>
            </w:r>
          </w:p>
        </w:tc>
        <w:tc>
          <w:tcPr>
            <w:tcW w:w="0" w:type="auto"/>
            <w:hideMark/>
          </w:tcPr>
          <w:p w14:paraId="1B2B3D5C"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76% of supermarket sales</w:t>
            </w:r>
          </w:p>
        </w:tc>
        <w:tc>
          <w:tcPr>
            <w:tcW w:w="0" w:type="auto"/>
            <w:hideMark/>
          </w:tcPr>
          <w:p w14:paraId="64DDC01F"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Expanded More Card prices</w:t>
            </w:r>
          </w:p>
        </w:tc>
      </w:tr>
      <w:tr w:rsidR="009F5775" w:rsidRPr="009F5775" w14:paraId="2886EC44" w14:textId="77777777" w:rsidTr="009F5775">
        <w:tc>
          <w:tcPr>
            <w:cnfStyle w:val="001000000000" w:firstRow="0" w:lastRow="0" w:firstColumn="1" w:lastColumn="0" w:oddVBand="0" w:evenVBand="0" w:oddHBand="0" w:evenHBand="0" w:firstRowFirstColumn="0" w:firstRowLastColumn="0" w:lastRowFirstColumn="0" w:lastRowLastColumn="0"/>
            <w:tcW w:w="0" w:type="auto"/>
            <w:hideMark/>
          </w:tcPr>
          <w:p w14:paraId="34356231" w14:textId="77777777" w:rsidR="009F5775" w:rsidRPr="009F5775" w:rsidRDefault="009F5775" w:rsidP="009F5775">
            <w:pPr>
              <w:rPr>
                <w:lang w:val="en-IN"/>
              </w:rPr>
            </w:pPr>
            <w:r w:rsidRPr="009F5775">
              <w:rPr>
                <w:lang w:val="en-IN"/>
              </w:rPr>
              <w:t>Customer feedback reviewed</w:t>
            </w:r>
          </w:p>
        </w:tc>
        <w:tc>
          <w:tcPr>
            <w:tcW w:w="0" w:type="auto"/>
            <w:hideMark/>
          </w:tcPr>
          <w:p w14:paraId="7F04D00F"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730,000+ inputs</w:t>
            </w:r>
          </w:p>
        </w:tc>
        <w:tc>
          <w:tcPr>
            <w:tcW w:w="0" w:type="auto"/>
            <w:hideMark/>
          </w:tcPr>
          <w:p w14:paraId="76AEBC9E"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Weekly executive review</w:t>
            </w:r>
          </w:p>
        </w:tc>
      </w:tr>
      <w:tr w:rsidR="009F5775" w:rsidRPr="009F5775" w14:paraId="5CA99BF2" w14:textId="77777777" w:rsidTr="009F5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2B1B6" w14:textId="77777777" w:rsidR="009F5775" w:rsidRPr="009F5775" w:rsidRDefault="009F5775" w:rsidP="009F5775">
            <w:pPr>
              <w:rPr>
                <w:lang w:val="en-IN"/>
              </w:rPr>
            </w:pPr>
            <w:r w:rsidRPr="009F5775">
              <w:rPr>
                <w:lang w:val="en-IN"/>
              </w:rPr>
              <w:t>Customer roundtables</w:t>
            </w:r>
          </w:p>
        </w:tc>
        <w:tc>
          <w:tcPr>
            <w:tcW w:w="0" w:type="auto"/>
            <w:hideMark/>
          </w:tcPr>
          <w:p w14:paraId="5D08781E"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8,200 sessions</w:t>
            </w:r>
          </w:p>
        </w:tc>
        <w:tc>
          <w:tcPr>
            <w:tcW w:w="0" w:type="auto"/>
            <w:hideMark/>
          </w:tcPr>
          <w:p w14:paraId="28F51168"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Improved service focus</w:t>
            </w:r>
          </w:p>
        </w:tc>
      </w:tr>
      <w:tr w:rsidR="009F5775" w:rsidRPr="009F5775" w14:paraId="14899330" w14:textId="77777777" w:rsidTr="009F5775">
        <w:tc>
          <w:tcPr>
            <w:cnfStyle w:val="001000000000" w:firstRow="0" w:lastRow="0" w:firstColumn="1" w:lastColumn="0" w:oddVBand="0" w:evenVBand="0" w:oddHBand="0" w:evenHBand="0" w:firstRowFirstColumn="0" w:firstRowLastColumn="0" w:lastRowFirstColumn="0" w:lastRowLastColumn="0"/>
            <w:tcW w:w="0" w:type="auto"/>
            <w:hideMark/>
          </w:tcPr>
          <w:p w14:paraId="71D07298" w14:textId="77777777" w:rsidR="009F5775" w:rsidRPr="009F5775" w:rsidRDefault="009F5775" w:rsidP="009F5775">
            <w:pPr>
              <w:rPr>
                <w:lang w:val="en-IN"/>
              </w:rPr>
            </w:pPr>
            <w:r w:rsidRPr="009F5775">
              <w:rPr>
                <w:lang w:val="en-IN"/>
              </w:rPr>
              <w:t>AI shelf monitoring</w:t>
            </w:r>
          </w:p>
        </w:tc>
        <w:tc>
          <w:tcPr>
            <w:tcW w:w="0" w:type="auto"/>
            <w:hideMark/>
          </w:tcPr>
          <w:p w14:paraId="64C92FB2"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Implemented</w:t>
            </w:r>
          </w:p>
        </w:tc>
        <w:tc>
          <w:tcPr>
            <w:tcW w:w="0" w:type="auto"/>
            <w:hideMark/>
          </w:tcPr>
          <w:p w14:paraId="1537B0E2"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Availability improvement</w:t>
            </w:r>
          </w:p>
        </w:tc>
      </w:tr>
    </w:tbl>
    <w:p w14:paraId="30643866" w14:textId="77777777" w:rsidR="009F5775" w:rsidRDefault="009F5775" w:rsidP="009F5775">
      <w:pPr>
        <w:rPr>
          <w:lang w:val="en-US"/>
        </w:rPr>
      </w:pPr>
    </w:p>
    <w:p w14:paraId="0457C039" w14:textId="6CDBA4EF" w:rsidR="009F5775" w:rsidRPr="009F5775" w:rsidRDefault="009F5775" w:rsidP="009F5775">
      <w:pPr>
        <w:pStyle w:val="Heading2"/>
      </w:pPr>
      <w:bookmarkStart w:id="16" w:name="_Toc222747214"/>
      <w:r w:rsidRPr="009F5775">
        <w:t>Morrisons Consolidated Performance Summar</w:t>
      </w:r>
      <w:r>
        <w:t>y</w:t>
      </w:r>
      <w:bookmarkEnd w:id="16"/>
    </w:p>
    <w:p w14:paraId="15D871C3" w14:textId="0D03C9DF" w:rsidR="009F5775" w:rsidRDefault="009F5775" w:rsidP="009F5775">
      <w:pPr>
        <w:pStyle w:val="Caption"/>
        <w:keepNext/>
      </w:pPr>
      <w:bookmarkStart w:id="17" w:name="_Toc222747219"/>
      <w:r>
        <w:t xml:space="preserve">Table </w:t>
      </w:r>
      <w:r>
        <w:fldChar w:fldCharType="begin"/>
      </w:r>
      <w:r>
        <w:instrText xml:space="preserve"> SEQ Table \* ARABIC </w:instrText>
      </w:r>
      <w:r>
        <w:fldChar w:fldCharType="separate"/>
      </w:r>
      <w:r w:rsidR="0036594A">
        <w:rPr>
          <w:noProof/>
        </w:rPr>
        <w:t>4</w:t>
      </w:r>
      <w:r>
        <w:fldChar w:fldCharType="end"/>
      </w:r>
      <w:r>
        <w:t>: (</w:t>
      </w:r>
      <w:r w:rsidRPr="00B206C3">
        <w:t>Morrisons Consolidated Performance Summary</w:t>
      </w:r>
      <w:r>
        <w:t>) (Source: Morrisons Annual Report</w:t>
      </w:r>
      <w:r w:rsidR="0069490A">
        <w:t>, 2024</w:t>
      </w:r>
      <w:r>
        <w:t>)</w:t>
      </w:r>
      <w:bookmarkEnd w:id="17"/>
    </w:p>
    <w:tbl>
      <w:tblPr>
        <w:tblStyle w:val="GridTable4-Accent4"/>
        <w:tblW w:w="9474" w:type="dxa"/>
        <w:tblLook w:val="04A0" w:firstRow="1" w:lastRow="0" w:firstColumn="1" w:lastColumn="0" w:noHBand="0" w:noVBand="1"/>
      </w:tblPr>
      <w:tblGrid>
        <w:gridCol w:w="4855"/>
        <w:gridCol w:w="1340"/>
        <w:gridCol w:w="1340"/>
        <w:gridCol w:w="1939"/>
      </w:tblGrid>
      <w:tr w:rsidR="009F5775" w:rsidRPr="009F5775" w14:paraId="211DE449" w14:textId="77777777" w:rsidTr="009F5775">
        <w:trPr>
          <w:cnfStyle w:val="100000000000" w:firstRow="1" w:lastRow="0" w:firstColumn="0" w:lastColumn="0" w:oddVBand="0" w:evenVBand="0" w:oddHBand="0"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41BB25D9" w14:textId="77777777" w:rsidR="009F5775" w:rsidRPr="009F5775" w:rsidRDefault="009F5775" w:rsidP="009F5775">
            <w:pPr>
              <w:rPr>
                <w:lang w:val="en-IN"/>
              </w:rPr>
            </w:pPr>
            <w:r w:rsidRPr="009F5775">
              <w:rPr>
                <w:lang w:val="en-IN"/>
              </w:rPr>
              <w:t>Breakdown</w:t>
            </w:r>
          </w:p>
        </w:tc>
        <w:tc>
          <w:tcPr>
            <w:tcW w:w="0" w:type="auto"/>
            <w:hideMark/>
          </w:tcPr>
          <w:p w14:paraId="43A7CD93"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2023/24</w:t>
            </w:r>
          </w:p>
        </w:tc>
        <w:tc>
          <w:tcPr>
            <w:tcW w:w="0" w:type="auto"/>
            <w:hideMark/>
          </w:tcPr>
          <w:p w14:paraId="17864EC8"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2022/23</w:t>
            </w:r>
          </w:p>
        </w:tc>
        <w:tc>
          <w:tcPr>
            <w:tcW w:w="0" w:type="auto"/>
            <w:hideMark/>
          </w:tcPr>
          <w:p w14:paraId="168901FC" w14:textId="77777777" w:rsidR="009F5775" w:rsidRPr="009F5775" w:rsidRDefault="009F5775" w:rsidP="009F5775">
            <w:pPr>
              <w:cnfStyle w:val="100000000000" w:firstRow="1" w:lastRow="0" w:firstColumn="0" w:lastColumn="0" w:oddVBand="0" w:evenVBand="0" w:oddHBand="0" w:evenHBand="0" w:firstRowFirstColumn="0" w:firstRowLastColumn="0" w:lastRowFirstColumn="0" w:lastRowLastColumn="0"/>
              <w:rPr>
                <w:lang w:val="en-IN"/>
              </w:rPr>
            </w:pPr>
            <w:r w:rsidRPr="009F5775">
              <w:rPr>
                <w:lang w:val="en-IN"/>
              </w:rPr>
              <w:t>YoY Change</w:t>
            </w:r>
          </w:p>
        </w:tc>
      </w:tr>
      <w:tr w:rsidR="009F5775" w:rsidRPr="009F5775" w14:paraId="6E705D41" w14:textId="77777777" w:rsidTr="009F5775">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12CB7FCA" w14:textId="77777777" w:rsidR="009F5775" w:rsidRPr="009F5775" w:rsidRDefault="009F5775" w:rsidP="009F5775">
            <w:pPr>
              <w:rPr>
                <w:lang w:val="en-IN"/>
              </w:rPr>
            </w:pPr>
            <w:r w:rsidRPr="009F5775">
              <w:rPr>
                <w:lang w:val="en-IN"/>
              </w:rPr>
              <w:t>Revenue (continuing operations)</w:t>
            </w:r>
          </w:p>
        </w:tc>
        <w:tc>
          <w:tcPr>
            <w:tcW w:w="0" w:type="auto"/>
            <w:hideMark/>
          </w:tcPr>
          <w:p w14:paraId="23F235DC"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15,276</w:t>
            </w:r>
          </w:p>
        </w:tc>
        <w:tc>
          <w:tcPr>
            <w:tcW w:w="0" w:type="auto"/>
            <w:hideMark/>
          </w:tcPr>
          <w:p w14:paraId="1E090BB8"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14,711</w:t>
            </w:r>
          </w:p>
        </w:tc>
        <w:tc>
          <w:tcPr>
            <w:tcW w:w="0" w:type="auto"/>
            <w:hideMark/>
          </w:tcPr>
          <w:p w14:paraId="5C1360AB"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+565</w:t>
            </w:r>
          </w:p>
        </w:tc>
      </w:tr>
      <w:tr w:rsidR="009F5775" w:rsidRPr="009F5775" w14:paraId="30D00609" w14:textId="77777777" w:rsidTr="009F5775">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67B67E59" w14:textId="77777777" w:rsidR="009F5775" w:rsidRPr="009F5775" w:rsidRDefault="009F5775" w:rsidP="009F5775">
            <w:pPr>
              <w:rPr>
                <w:lang w:val="en-IN"/>
              </w:rPr>
            </w:pPr>
            <w:r w:rsidRPr="009F5775">
              <w:rPr>
                <w:lang w:val="en-IN"/>
              </w:rPr>
              <w:t>Sale of goods in-store &amp; online</w:t>
            </w:r>
          </w:p>
        </w:tc>
        <w:tc>
          <w:tcPr>
            <w:tcW w:w="0" w:type="auto"/>
            <w:hideMark/>
          </w:tcPr>
          <w:p w14:paraId="5F1A005C"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14,723</w:t>
            </w:r>
          </w:p>
        </w:tc>
        <w:tc>
          <w:tcPr>
            <w:tcW w:w="0" w:type="auto"/>
            <w:hideMark/>
          </w:tcPr>
          <w:p w14:paraId="038CB612"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14,361</w:t>
            </w:r>
          </w:p>
        </w:tc>
        <w:tc>
          <w:tcPr>
            <w:tcW w:w="0" w:type="auto"/>
            <w:hideMark/>
          </w:tcPr>
          <w:p w14:paraId="4831928D"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+362</w:t>
            </w:r>
          </w:p>
        </w:tc>
      </w:tr>
      <w:tr w:rsidR="009F5775" w:rsidRPr="009F5775" w14:paraId="7FBCAA78" w14:textId="77777777" w:rsidTr="009F5775">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378466CE" w14:textId="77777777" w:rsidR="009F5775" w:rsidRPr="009F5775" w:rsidRDefault="009F5775" w:rsidP="009F5775">
            <w:pPr>
              <w:rPr>
                <w:lang w:val="en-IN"/>
              </w:rPr>
            </w:pPr>
            <w:r w:rsidRPr="009F5775">
              <w:rPr>
                <w:lang w:val="en-IN"/>
              </w:rPr>
              <w:t>Other sales</w:t>
            </w:r>
          </w:p>
        </w:tc>
        <w:tc>
          <w:tcPr>
            <w:tcW w:w="0" w:type="auto"/>
            <w:hideMark/>
          </w:tcPr>
          <w:p w14:paraId="6D68B703"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659</w:t>
            </w:r>
          </w:p>
        </w:tc>
        <w:tc>
          <w:tcPr>
            <w:tcW w:w="0" w:type="auto"/>
            <w:hideMark/>
          </w:tcPr>
          <w:p w14:paraId="6541E78C"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524</w:t>
            </w:r>
          </w:p>
        </w:tc>
        <w:tc>
          <w:tcPr>
            <w:tcW w:w="0" w:type="auto"/>
            <w:hideMark/>
          </w:tcPr>
          <w:p w14:paraId="2C5CD0A2"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+135</w:t>
            </w:r>
          </w:p>
        </w:tc>
      </w:tr>
      <w:tr w:rsidR="009F5775" w:rsidRPr="009F5775" w14:paraId="4445E394" w14:textId="77777777" w:rsidTr="009F5775">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03E4B2B6" w14:textId="77777777" w:rsidR="009F5775" w:rsidRPr="009F5775" w:rsidRDefault="009F5775" w:rsidP="009F5775">
            <w:pPr>
              <w:rPr>
                <w:lang w:val="en-IN"/>
              </w:rPr>
            </w:pPr>
            <w:r w:rsidRPr="009F5775">
              <w:rPr>
                <w:lang w:val="en-IN"/>
              </w:rPr>
              <w:t>Operating profit (continuing)</w:t>
            </w:r>
          </w:p>
        </w:tc>
        <w:tc>
          <w:tcPr>
            <w:tcW w:w="0" w:type="auto"/>
            <w:hideMark/>
          </w:tcPr>
          <w:p w14:paraId="77A89FFE"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74</w:t>
            </w:r>
          </w:p>
        </w:tc>
        <w:tc>
          <w:tcPr>
            <w:tcW w:w="0" w:type="auto"/>
            <w:hideMark/>
          </w:tcPr>
          <w:p w14:paraId="1B0ED61A"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(86)</w:t>
            </w:r>
          </w:p>
        </w:tc>
        <w:tc>
          <w:tcPr>
            <w:tcW w:w="0" w:type="auto"/>
            <w:hideMark/>
          </w:tcPr>
          <w:p w14:paraId="23385C9E"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Turnaround</w:t>
            </w:r>
          </w:p>
        </w:tc>
      </w:tr>
      <w:tr w:rsidR="009F5775" w:rsidRPr="009F5775" w14:paraId="25B8512F" w14:textId="77777777" w:rsidTr="009F5775">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0" w:type="auto"/>
            <w:hideMark/>
          </w:tcPr>
          <w:p w14:paraId="483877DC" w14:textId="77777777" w:rsidR="009F5775" w:rsidRPr="009F5775" w:rsidRDefault="009F5775" w:rsidP="009F5775">
            <w:pPr>
              <w:rPr>
                <w:lang w:val="en-IN"/>
              </w:rPr>
            </w:pPr>
            <w:r w:rsidRPr="009F5775">
              <w:rPr>
                <w:lang w:val="en-IN"/>
              </w:rPr>
              <w:t>Operating profit before exceptionals</w:t>
            </w:r>
          </w:p>
        </w:tc>
        <w:tc>
          <w:tcPr>
            <w:tcW w:w="0" w:type="auto"/>
            <w:hideMark/>
          </w:tcPr>
          <w:p w14:paraId="395B1D9F"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206</w:t>
            </w:r>
          </w:p>
        </w:tc>
        <w:tc>
          <w:tcPr>
            <w:tcW w:w="0" w:type="auto"/>
            <w:hideMark/>
          </w:tcPr>
          <w:p w14:paraId="778C2969"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130</w:t>
            </w:r>
          </w:p>
        </w:tc>
        <w:tc>
          <w:tcPr>
            <w:tcW w:w="0" w:type="auto"/>
            <w:hideMark/>
          </w:tcPr>
          <w:p w14:paraId="571D9A61"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+76</w:t>
            </w:r>
          </w:p>
        </w:tc>
      </w:tr>
      <w:tr w:rsidR="009F5775" w:rsidRPr="009F5775" w14:paraId="5A4FE863" w14:textId="77777777" w:rsidTr="009F5775">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2B0F38AA" w14:textId="77777777" w:rsidR="009F5775" w:rsidRPr="009F5775" w:rsidRDefault="009F5775" w:rsidP="009F5775">
            <w:pPr>
              <w:rPr>
                <w:lang w:val="en-IN"/>
              </w:rPr>
            </w:pPr>
            <w:r w:rsidRPr="009F5775">
              <w:rPr>
                <w:lang w:val="en-IN"/>
              </w:rPr>
              <w:t>Profit before tax (before exceptionals)</w:t>
            </w:r>
          </w:p>
        </w:tc>
        <w:tc>
          <w:tcPr>
            <w:tcW w:w="0" w:type="auto"/>
            <w:hideMark/>
          </w:tcPr>
          <w:p w14:paraId="01FD9B44"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138</w:t>
            </w:r>
          </w:p>
        </w:tc>
        <w:tc>
          <w:tcPr>
            <w:tcW w:w="0" w:type="auto"/>
            <w:hideMark/>
          </w:tcPr>
          <w:p w14:paraId="793A3A72"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64</w:t>
            </w:r>
          </w:p>
        </w:tc>
        <w:tc>
          <w:tcPr>
            <w:tcW w:w="0" w:type="auto"/>
            <w:hideMark/>
          </w:tcPr>
          <w:p w14:paraId="49E110D7"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+74</w:t>
            </w:r>
          </w:p>
        </w:tc>
      </w:tr>
      <w:tr w:rsidR="009F5775" w:rsidRPr="009F5775" w14:paraId="7A1453FF" w14:textId="77777777" w:rsidTr="009F5775">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46930777" w14:textId="77777777" w:rsidR="009F5775" w:rsidRPr="009F5775" w:rsidRDefault="009F5775" w:rsidP="009F5775">
            <w:pPr>
              <w:rPr>
                <w:lang w:val="en-IN"/>
              </w:rPr>
            </w:pPr>
            <w:r w:rsidRPr="009F5775">
              <w:rPr>
                <w:lang w:val="en-IN"/>
              </w:rPr>
              <w:t>Underlying EBITDA</w:t>
            </w:r>
          </w:p>
        </w:tc>
        <w:tc>
          <w:tcPr>
            <w:tcW w:w="0" w:type="auto"/>
            <w:hideMark/>
          </w:tcPr>
          <w:p w14:paraId="1192307B"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835</w:t>
            </w:r>
          </w:p>
        </w:tc>
        <w:tc>
          <w:tcPr>
            <w:tcW w:w="0" w:type="auto"/>
            <w:hideMark/>
          </w:tcPr>
          <w:p w14:paraId="305AA6C4"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751</w:t>
            </w:r>
          </w:p>
        </w:tc>
        <w:tc>
          <w:tcPr>
            <w:tcW w:w="0" w:type="auto"/>
            <w:hideMark/>
          </w:tcPr>
          <w:p w14:paraId="20BC7D01"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+84</w:t>
            </w:r>
          </w:p>
        </w:tc>
      </w:tr>
      <w:tr w:rsidR="009F5775" w:rsidRPr="009F5775" w14:paraId="7D624DB6" w14:textId="77777777" w:rsidTr="009F5775">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78E74629" w14:textId="77777777" w:rsidR="009F5775" w:rsidRPr="009F5775" w:rsidRDefault="009F5775" w:rsidP="009F5775">
            <w:pPr>
              <w:rPr>
                <w:lang w:val="en-IN"/>
              </w:rPr>
            </w:pPr>
            <w:r w:rsidRPr="009F5775">
              <w:rPr>
                <w:lang w:val="en-IN"/>
              </w:rPr>
              <w:t>Net cash from operating activities</w:t>
            </w:r>
          </w:p>
        </w:tc>
        <w:tc>
          <w:tcPr>
            <w:tcW w:w="0" w:type="auto"/>
            <w:hideMark/>
          </w:tcPr>
          <w:p w14:paraId="5B7B7BB8"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817</w:t>
            </w:r>
          </w:p>
        </w:tc>
        <w:tc>
          <w:tcPr>
            <w:tcW w:w="0" w:type="auto"/>
            <w:hideMark/>
          </w:tcPr>
          <w:p w14:paraId="2B46202E"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902</w:t>
            </w:r>
          </w:p>
        </w:tc>
        <w:tc>
          <w:tcPr>
            <w:tcW w:w="0" w:type="auto"/>
            <w:hideMark/>
          </w:tcPr>
          <w:p w14:paraId="3C4D527D"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(85)</w:t>
            </w:r>
          </w:p>
        </w:tc>
      </w:tr>
      <w:tr w:rsidR="009F5775" w:rsidRPr="009F5775" w14:paraId="7F6DBAE3" w14:textId="77777777" w:rsidTr="009F5775">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3F4C4A2F" w14:textId="77777777" w:rsidR="009F5775" w:rsidRPr="009F5775" w:rsidRDefault="009F5775" w:rsidP="009F5775">
            <w:pPr>
              <w:rPr>
                <w:lang w:val="en-IN"/>
              </w:rPr>
            </w:pPr>
            <w:r w:rsidRPr="009F5775">
              <w:rPr>
                <w:lang w:val="en-IN"/>
              </w:rPr>
              <w:t>Capital expenditure</w:t>
            </w:r>
          </w:p>
        </w:tc>
        <w:tc>
          <w:tcPr>
            <w:tcW w:w="0" w:type="auto"/>
            <w:hideMark/>
          </w:tcPr>
          <w:p w14:paraId="6CC6CBB5"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326</w:t>
            </w:r>
          </w:p>
        </w:tc>
        <w:tc>
          <w:tcPr>
            <w:tcW w:w="0" w:type="auto"/>
            <w:hideMark/>
          </w:tcPr>
          <w:p w14:paraId="2181C868"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408</w:t>
            </w:r>
          </w:p>
        </w:tc>
        <w:tc>
          <w:tcPr>
            <w:tcW w:w="0" w:type="auto"/>
            <w:hideMark/>
          </w:tcPr>
          <w:p w14:paraId="0AF1F5C2" w14:textId="77777777" w:rsidR="009F5775" w:rsidRPr="009F5775" w:rsidRDefault="009F5775" w:rsidP="009F5775">
            <w:pPr>
              <w:cnfStyle w:val="000000100000" w:firstRow="0" w:lastRow="0" w:firstColumn="0" w:lastColumn="0" w:oddVBand="0" w:evenVBand="0" w:oddHBand="1" w:evenHBand="0" w:firstRowFirstColumn="0" w:firstRowLastColumn="0" w:lastRowFirstColumn="0" w:lastRowLastColumn="0"/>
              <w:rPr>
                <w:lang w:val="en-IN"/>
              </w:rPr>
            </w:pPr>
            <w:r w:rsidRPr="009F5775">
              <w:rPr>
                <w:lang w:val="en-IN"/>
              </w:rPr>
              <w:t>(82)</w:t>
            </w:r>
          </w:p>
        </w:tc>
      </w:tr>
      <w:tr w:rsidR="009F5775" w:rsidRPr="009F5775" w14:paraId="1CEC913D" w14:textId="77777777" w:rsidTr="009F5775">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2FA78523" w14:textId="77777777" w:rsidR="009F5775" w:rsidRPr="009F5775" w:rsidRDefault="009F5775" w:rsidP="009F5775">
            <w:pPr>
              <w:rPr>
                <w:lang w:val="en-IN"/>
              </w:rPr>
            </w:pPr>
            <w:r w:rsidRPr="009F5775">
              <w:rPr>
                <w:lang w:val="en-IN"/>
              </w:rPr>
              <w:t>Working capital movement</w:t>
            </w:r>
          </w:p>
        </w:tc>
        <w:tc>
          <w:tcPr>
            <w:tcW w:w="0" w:type="auto"/>
            <w:hideMark/>
          </w:tcPr>
          <w:p w14:paraId="48AB4E21"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97</w:t>
            </w:r>
          </w:p>
        </w:tc>
        <w:tc>
          <w:tcPr>
            <w:tcW w:w="0" w:type="auto"/>
            <w:hideMark/>
          </w:tcPr>
          <w:p w14:paraId="6EE12D97"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124</w:t>
            </w:r>
          </w:p>
        </w:tc>
        <w:tc>
          <w:tcPr>
            <w:tcW w:w="0" w:type="auto"/>
            <w:hideMark/>
          </w:tcPr>
          <w:p w14:paraId="4F9EDF62" w14:textId="77777777" w:rsidR="009F5775" w:rsidRPr="009F5775" w:rsidRDefault="009F5775" w:rsidP="009F5775">
            <w:pPr>
              <w:cnfStyle w:val="000000000000" w:firstRow="0" w:lastRow="0" w:firstColumn="0" w:lastColumn="0" w:oddVBand="0" w:evenVBand="0" w:oddHBand="0" w:evenHBand="0" w:firstRowFirstColumn="0" w:firstRowLastColumn="0" w:lastRowFirstColumn="0" w:lastRowLastColumn="0"/>
              <w:rPr>
                <w:lang w:val="en-IN"/>
              </w:rPr>
            </w:pPr>
            <w:r w:rsidRPr="009F5775">
              <w:rPr>
                <w:lang w:val="en-IN"/>
              </w:rPr>
              <w:t>(27)</w:t>
            </w:r>
          </w:p>
        </w:tc>
      </w:tr>
    </w:tbl>
    <w:p w14:paraId="725C5458" w14:textId="77777777" w:rsidR="009F5775" w:rsidRDefault="009F5775" w:rsidP="009F5775">
      <w:pPr>
        <w:rPr>
          <w:lang w:val="en-US"/>
        </w:rPr>
      </w:pPr>
    </w:p>
    <w:p w14:paraId="224D0D59" w14:textId="434A8F14" w:rsidR="0036594A" w:rsidRDefault="0069490A" w:rsidP="0036594A">
      <w:pPr>
        <w:pStyle w:val="Heading2"/>
        <w:rPr>
          <w:lang w:val="en-US"/>
        </w:rPr>
      </w:pPr>
      <w:bookmarkStart w:id="18" w:name="_Toc222747215"/>
      <w:r>
        <w:lastRenderedPageBreak/>
        <w:t>Break-Even</w:t>
      </w:r>
      <w:r w:rsidR="0036594A" w:rsidRPr="0036594A">
        <w:t xml:space="preserve"> Analysis Data for Morrisons</w:t>
      </w:r>
      <w:bookmarkEnd w:id="18"/>
    </w:p>
    <w:p w14:paraId="155E2BDA" w14:textId="62EC5231" w:rsidR="0036594A" w:rsidRDefault="0036594A" w:rsidP="0036594A">
      <w:pPr>
        <w:pStyle w:val="Caption"/>
        <w:keepNext/>
      </w:pPr>
      <w:bookmarkStart w:id="19" w:name="_Toc222747220"/>
      <w:r>
        <w:t xml:space="preserve">Table </w:t>
      </w:r>
      <w:r>
        <w:fldChar w:fldCharType="begin"/>
      </w:r>
      <w:r>
        <w:instrText xml:space="preserve"> SEQ Table \* ARABIC </w:instrText>
      </w:r>
      <w:r>
        <w:fldChar w:fldCharType="separate"/>
      </w:r>
      <w:r>
        <w:rPr>
          <w:noProof/>
        </w:rPr>
        <w:t>5</w:t>
      </w:r>
      <w:r>
        <w:fldChar w:fldCharType="end"/>
      </w:r>
      <w:r>
        <w:t>: (</w:t>
      </w:r>
      <w:r w:rsidRPr="007275AA">
        <w:t>Break-even Analysis Data for Morrisons</w:t>
      </w:r>
      <w:r>
        <w:t>) (Source: Morrisons Annual Report</w:t>
      </w:r>
      <w:r w:rsidR="0069490A">
        <w:t>, 2024</w:t>
      </w:r>
      <w:r>
        <w:t>)</w:t>
      </w:r>
      <w:bookmarkEnd w:id="19"/>
    </w:p>
    <w:tbl>
      <w:tblPr>
        <w:tblStyle w:val="GridTable4-Accent3"/>
        <w:tblW w:w="9407" w:type="dxa"/>
        <w:tblLook w:val="04A0" w:firstRow="1" w:lastRow="0" w:firstColumn="1" w:lastColumn="0" w:noHBand="0" w:noVBand="1"/>
      </w:tblPr>
      <w:tblGrid>
        <w:gridCol w:w="2566"/>
        <w:gridCol w:w="2444"/>
        <w:gridCol w:w="2027"/>
        <w:gridCol w:w="2370"/>
      </w:tblGrid>
      <w:tr w:rsidR="0036594A" w:rsidRPr="0036594A" w14:paraId="2E76A9FF" w14:textId="77777777" w:rsidTr="0036594A">
        <w:trPr>
          <w:cnfStyle w:val="100000000000" w:firstRow="1" w:lastRow="0" w:firstColumn="0" w:lastColumn="0" w:oddVBand="0" w:evenVBand="0" w:oddHBand="0" w:evenHBand="0" w:firstRowFirstColumn="0" w:firstRowLastColumn="0" w:lastRowFirstColumn="0" w:lastRowLastColumn="0"/>
          <w:trHeight w:val="1119"/>
        </w:trPr>
        <w:tc>
          <w:tcPr>
            <w:cnfStyle w:val="001000000000" w:firstRow="0" w:lastRow="0" w:firstColumn="1" w:lastColumn="0" w:oddVBand="0" w:evenVBand="0" w:oddHBand="0" w:evenHBand="0" w:firstRowFirstColumn="0" w:firstRowLastColumn="0" w:lastRowFirstColumn="0" w:lastRowLastColumn="0"/>
            <w:tcW w:w="0" w:type="auto"/>
            <w:hideMark/>
          </w:tcPr>
          <w:p w14:paraId="0FDD0DD8" w14:textId="77777777" w:rsidR="0036594A" w:rsidRPr="0036594A" w:rsidRDefault="0036594A" w:rsidP="0036594A">
            <w:pPr>
              <w:rPr>
                <w:lang w:val="en-IN"/>
              </w:rPr>
            </w:pPr>
            <w:r w:rsidRPr="0036594A">
              <w:rPr>
                <w:lang w:val="en-IN"/>
              </w:rPr>
              <w:t>Sales Volume (Units)</w:t>
            </w:r>
          </w:p>
        </w:tc>
        <w:tc>
          <w:tcPr>
            <w:tcW w:w="0" w:type="auto"/>
            <w:hideMark/>
          </w:tcPr>
          <w:p w14:paraId="2E68C1F4" w14:textId="77777777" w:rsidR="0036594A" w:rsidRPr="0036594A" w:rsidRDefault="0036594A" w:rsidP="0036594A">
            <w:pPr>
              <w:cnfStyle w:val="100000000000" w:firstRow="1" w:lastRow="0" w:firstColumn="0" w:lastColumn="0" w:oddVBand="0" w:evenVBand="0" w:oddHBand="0" w:evenHBand="0" w:firstRowFirstColumn="0" w:firstRowLastColumn="0" w:lastRowFirstColumn="0" w:lastRowLastColumn="0"/>
              <w:rPr>
                <w:lang w:val="en-IN"/>
              </w:rPr>
            </w:pPr>
            <w:r w:rsidRPr="0036594A">
              <w:rPr>
                <w:lang w:val="en-IN"/>
              </w:rPr>
              <w:t>Total Revenue (£m)</w:t>
            </w:r>
          </w:p>
        </w:tc>
        <w:tc>
          <w:tcPr>
            <w:tcW w:w="0" w:type="auto"/>
            <w:hideMark/>
          </w:tcPr>
          <w:p w14:paraId="03E5871C" w14:textId="77777777" w:rsidR="0036594A" w:rsidRPr="0036594A" w:rsidRDefault="0036594A" w:rsidP="0036594A">
            <w:pPr>
              <w:cnfStyle w:val="100000000000" w:firstRow="1" w:lastRow="0" w:firstColumn="0" w:lastColumn="0" w:oddVBand="0" w:evenVBand="0" w:oddHBand="0" w:evenHBand="0" w:firstRowFirstColumn="0" w:firstRowLastColumn="0" w:lastRowFirstColumn="0" w:lastRowLastColumn="0"/>
              <w:rPr>
                <w:lang w:val="en-IN"/>
              </w:rPr>
            </w:pPr>
            <w:r w:rsidRPr="0036594A">
              <w:rPr>
                <w:lang w:val="en-IN"/>
              </w:rPr>
              <w:t>Total Cost (£m)</w:t>
            </w:r>
          </w:p>
        </w:tc>
        <w:tc>
          <w:tcPr>
            <w:tcW w:w="0" w:type="auto"/>
            <w:hideMark/>
          </w:tcPr>
          <w:p w14:paraId="177CEC01" w14:textId="77777777" w:rsidR="0036594A" w:rsidRPr="0036594A" w:rsidRDefault="0036594A" w:rsidP="0036594A">
            <w:pPr>
              <w:cnfStyle w:val="100000000000" w:firstRow="1" w:lastRow="0" w:firstColumn="0" w:lastColumn="0" w:oddVBand="0" w:evenVBand="0" w:oddHBand="0" w:evenHBand="0" w:firstRowFirstColumn="0" w:firstRowLastColumn="0" w:lastRowFirstColumn="0" w:lastRowLastColumn="0"/>
              <w:rPr>
                <w:lang w:val="en-IN"/>
              </w:rPr>
            </w:pPr>
            <w:r w:rsidRPr="0036594A">
              <w:rPr>
                <w:lang w:val="en-IN"/>
              </w:rPr>
              <w:t>Profit / (Loss) (£m)</w:t>
            </w:r>
          </w:p>
        </w:tc>
      </w:tr>
      <w:tr w:rsidR="0036594A" w:rsidRPr="0036594A" w14:paraId="79C4DEE1" w14:textId="77777777" w:rsidTr="0036594A">
        <w:trPr>
          <w:cnfStyle w:val="000000100000" w:firstRow="0" w:lastRow="0" w:firstColumn="0" w:lastColumn="0" w:oddVBand="0" w:evenVBand="0" w:oddHBand="1" w:evenHBand="0" w:firstRowFirstColumn="0" w:firstRowLastColumn="0" w:lastRowFirstColumn="0" w:lastRowLastColumn="0"/>
          <w:trHeight w:val="671"/>
        </w:trPr>
        <w:tc>
          <w:tcPr>
            <w:cnfStyle w:val="001000000000" w:firstRow="0" w:lastRow="0" w:firstColumn="1" w:lastColumn="0" w:oddVBand="0" w:evenVBand="0" w:oddHBand="0" w:evenHBand="0" w:firstRowFirstColumn="0" w:firstRowLastColumn="0" w:lastRowFirstColumn="0" w:lastRowLastColumn="0"/>
            <w:tcW w:w="0" w:type="auto"/>
            <w:hideMark/>
          </w:tcPr>
          <w:p w14:paraId="196467FE" w14:textId="77777777" w:rsidR="0036594A" w:rsidRPr="0036594A" w:rsidRDefault="0036594A" w:rsidP="0036594A">
            <w:pPr>
              <w:rPr>
                <w:lang w:val="en-IN"/>
              </w:rPr>
            </w:pPr>
            <w:r w:rsidRPr="0036594A">
              <w:rPr>
                <w:lang w:val="en-IN"/>
              </w:rPr>
              <w:t>0</w:t>
            </w:r>
          </w:p>
        </w:tc>
        <w:tc>
          <w:tcPr>
            <w:tcW w:w="0" w:type="auto"/>
            <w:hideMark/>
          </w:tcPr>
          <w:p w14:paraId="3BF63245"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0</w:t>
            </w:r>
          </w:p>
        </w:tc>
        <w:tc>
          <w:tcPr>
            <w:tcW w:w="0" w:type="auto"/>
            <w:hideMark/>
          </w:tcPr>
          <w:p w14:paraId="6EF36757"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500</w:t>
            </w:r>
          </w:p>
        </w:tc>
        <w:tc>
          <w:tcPr>
            <w:tcW w:w="0" w:type="auto"/>
            <w:hideMark/>
          </w:tcPr>
          <w:p w14:paraId="0AD0727D"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(500)</w:t>
            </w:r>
          </w:p>
        </w:tc>
      </w:tr>
      <w:tr w:rsidR="0036594A" w:rsidRPr="0036594A" w14:paraId="5BBCBBE5" w14:textId="77777777" w:rsidTr="0036594A">
        <w:trPr>
          <w:trHeight w:val="671"/>
        </w:trPr>
        <w:tc>
          <w:tcPr>
            <w:cnfStyle w:val="001000000000" w:firstRow="0" w:lastRow="0" w:firstColumn="1" w:lastColumn="0" w:oddVBand="0" w:evenVBand="0" w:oddHBand="0" w:evenHBand="0" w:firstRowFirstColumn="0" w:firstRowLastColumn="0" w:lastRowFirstColumn="0" w:lastRowLastColumn="0"/>
            <w:tcW w:w="0" w:type="auto"/>
            <w:hideMark/>
          </w:tcPr>
          <w:p w14:paraId="10A743CB" w14:textId="77777777" w:rsidR="0036594A" w:rsidRPr="0036594A" w:rsidRDefault="0036594A" w:rsidP="0036594A">
            <w:pPr>
              <w:rPr>
                <w:lang w:val="en-IN"/>
              </w:rPr>
            </w:pPr>
            <w:r w:rsidRPr="0036594A">
              <w:rPr>
                <w:lang w:val="en-IN"/>
              </w:rPr>
              <w:t>500</w:t>
            </w:r>
          </w:p>
        </w:tc>
        <w:tc>
          <w:tcPr>
            <w:tcW w:w="0" w:type="auto"/>
            <w:hideMark/>
          </w:tcPr>
          <w:p w14:paraId="7BE08581"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500</w:t>
            </w:r>
          </w:p>
        </w:tc>
        <w:tc>
          <w:tcPr>
            <w:tcW w:w="0" w:type="auto"/>
            <w:hideMark/>
          </w:tcPr>
          <w:p w14:paraId="6F6E9FFE"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875</w:t>
            </w:r>
          </w:p>
        </w:tc>
        <w:tc>
          <w:tcPr>
            <w:tcW w:w="0" w:type="auto"/>
            <w:hideMark/>
          </w:tcPr>
          <w:p w14:paraId="01FCD67A"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(375)</w:t>
            </w:r>
          </w:p>
        </w:tc>
      </w:tr>
      <w:tr w:rsidR="0036594A" w:rsidRPr="0036594A" w14:paraId="57E1467E" w14:textId="77777777" w:rsidTr="0036594A">
        <w:trPr>
          <w:cnfStyle w:val="000000100000" w:firstRow="0" w:lastRow="0" w:firstColumn="0" w:lastColumn="0" w:oddVBand="0" w:evenVBand="0" w:oddHBand="1" w:evenHBand="0" w:firstRowFirstColumn="0" w:firstRowLastColumn="0" w:lastRowFirstColumn="0" w:lastRowLastColumn="0"/>
          <w:trHeight w:val="671"/>
        </w:trPr>
        <w:tc>
          <w:tcPr>
            <w:cnfStyle w:val="001000000000" w:firstRow="0" w:lastRow="0" w:firstColumn="1" w:lastColumn="0" w:oddVBand="0" w:evenVBand="0" w:oddHBand="0" w:evenHBand="0" w:firstRowFirstColumn="0" w:firstRowLastColumn="0" w:lastRowFirstColumn="0" w:lastRowLastColumn="0"/>
            <w:tcW w:w="0" w:type="auto"/>
            <w:hideMark/>
          </w:tcPr>
          <w:p w14:paraId="72811529" w14:textId="77777777" w:rsidR="0036594A" w:rsidRPr="0036594A" w:rsidRDefault="0036594A" w:rsidP="0036594A">
            <w:pPr>
              <w:rPr>
                <w:lang w:val="en-IN"/>
              </w:rPr>
            </w:pPr>
            <w:r w:rsidRPr="0036594A">
              <w:rPr>
                <w:lang w:val="en-IN"/>
              </w:rPr>
              <w:t>1,000</w:t>
            </w:r>
          </w:p>
        </w:tc>
        <w:tc>
          <w:tcPr>
            <w:tcW w:w="0" w:type="auto"/>
            <w:hideMark/>
          </w:tcPr>
          <w:p w14:paraId="5D15B5FC"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1,000</w:t>
            </w:r>
          </w:p>
        </w:tc>
        <w:tc>
          <w:tcPr>
            <w:tcW w:w="0" w:type="auto"/>
            <w:hideMark/>
          </w:tcPr>
          <w:p w14:paraId="24F37A90"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1,250</w:t>
            </w:r>
          </w:p>
        </w:tc>
        <w:tc>
          <w:tcPr>
            <w:tcW w:w="0" w:type="auto"/>
            <w:hideMark/>
          </w:tcPr>
          <w:p w14:paraId="2BB19D03"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(250)</w:t>
            </w:r>
          </w:p>
        </w:tc>
      </w:tr>
      <w:tr w:rsidR="0036594A" w:rsidRPr="0036594A" w14:paraId="35D3DDA8" w14:textId="77777777" w:rsidTr="0036594A">
        <w:trPr>
          <w:trHeight w:val="671"/>
        </w:trPr>
        <w:tc>
          <w:tcPr>
            <w:cnfStyle w:val="001000000000" w:firstRow="0" w:lastRow="0" w:firstColumn="1" w:lastColumn="0" w:oddVBand="0" w:evenVBand="0" w:oddHBand="0" w:evenHBand="0" w:firstRowFirstColumn="0" w:firstRowLastColumn="0" w:lastRowFirstColumn="0" w:lastRowLastColumn="0"/>
            <w:tcW w:w="0" w:type="auto"/>
            <w:hideMark/>
          </w:tcPr>
          <w:p w14:paraId="785A37C5" w14:textId="77777777" w:rsidR="0036594A" w:rsidRPr="0036594A" w:rsidRDefault="0036594A" w:rsidP="0036594A">
            <w:pPr>
              <w:rPr>
                <w:lang w:val="en-IN"/>
              </w:rPr>
            </w:pPr>
            <w:r w:rsidRPr="0036594A">
              <w:rPr>
                <w:lang w:val="en-IN"/>
              </w:rPr>
              <w:t>1,500</w:t>
            </w:r>
          </w:p>
        </w:tc>
        <w:tc>
          <w:tcPr>
            <w:tcW w:w="0" w:type="auto"/>
            <w:hideMark/>
          </w:tcPr>
          <w:p w14:paraId="381A8544"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1,500</w:t>
            </w:r>
          </w:p>
        </w:tc>
        <w:tc>
          <w:tcPr>
            <w:tcW w:w="0" w:type="auto"/>
            <w:hideMark/>
          </w:tcPr>
          <w:p w14:paraId="6C774F8D"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1,625</w:t>
            </w:r>
          </w:p>
        </w:tc>
        <w:tc>
          <w:tcPr>
            <w:tcW w:w="0" w:type="auto"/>
            <w:hideMark/>
          </w:tcPr>
          <w:p w14:paraId="3833C9DC"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(125)</w:t>
            </w:r>
          </w:p>
        </w:tc>
      </w:tr>
      <w:tr w:rsidR="0036594A" w:rsidRPr="0036594A" w14:paraId="447B06ED" w14:textId="77777777" w:rsidTr="0036594A">
        <w:trPr>
          <w:cnfStyle w:val="000000100000" w:firstRow="0" w:lastRow="0" w:firstColumn="0" w:lastColumn="0" w:oddVBand="0" w:evenVBand="0" w:oddHBand="1" w:evenHBand="0" w:firstRowFirstColumn="0" w:firstRowLastColumn="0" w:lastRowFirstColumn="0" w:lastRowLastColumn="0"/>
          <w:trHeight w:val="671"/>
        </w:trPr>
        <w:tc>
          <w:tcPr>
            <w:cnfStyle w:val="001000000000" w:firstRow="0" w:lastRow="0" w:firstColumn="1" w:lastColumn="0" w:oddVBand="0" w:evenVBand="0" w:oddHBand="0" w:evenHBand="0" w:firstRowFirstColumn="0" w:firstRowLastColumn="0" w:lastRowFirstColumn="0" w:lastRowLastColumn="0"/>
            <w:tcW w:w="0" w:type="auto"/>
            <w:hideMark/>
          </w:tcPr>
          <w:p w14:paraId="1BEB3C9E" w14:textId="77777777" w:rsidR="0036594A" w:rsidRPr="0036594A" w:rsidRDefault="0036594A" w:rsidP="0036594A">
            <w:pPr>
              <w:rPr>
                <w:lang w:val="en-IN"/>
              </w:rPr>
            </w:pPr>
            <w:r w:rsidRPr="0036594A">
              <w:rPr>
                <w:lang w:val="en-IN"/>
              </w:rPr>
              <w:t>2,000 (Break-even)</w:t>
            </w:r>
          </w:p>
        </w:tc>
        <w:tc>
          <w:tcPr>
            <w:tcW w:w="0" w:type="auto"/>
            <w:hideMark/>
          </w:tcPr>
          <w:p w14:paraId="2A8130EC"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b/>
                <w:bCs/>
                <w:lang w:val="en-IN"/>
              </w:rPr>
              <w:t>2,000</w:t>
            </w:r>
          </w:p>
        </w:tc>
        <w:tc>
          <w:tcPr>
            <w:tcW w:w="0" w:type="auto"/>
            <w:hideMark/>
          </w:tcPr>
          <w:p w14:paraId="393E9810"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b/>
                <w:bCs/>
                <w:lang w:val="en-IN"/>
              </w:rPr>
              <w:t>2,000</w:t>
            </w:r>
          </w:p>
        </w:tc>
        <w:tc>
          <w:tcPr>
            <w:tcW w:w="0" w:type="auto"/>
            <w:hideMark/>
          </w:tcPr>
          <w:p w14:paraId="315C7ED9"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b/>
                <w:bCs/>
                <w:lang w:val="en-IN"/>
              </w:rPr>
              <w:t>0</w:t>
            </w:r>
          </w:p>
        </w:tc>
      </w:tr>
      <w:tr w:rsidR="0036594A" w:rsidRPr="0036594A" w14:paraId="049D7663" w14:textId="77777777" w:rsidTr="0036594A">
        <w:trPr>
          <w:trHeight w:val="671"/>
        </w:trPr>
        <w:tc>
          <w:tcPr>
            <w:cnfStyle w:val="001000000000" w:firstRow="0" w:lastRow="0" w:firstColumn="1" w:lastColumn="0" w:oddVBand="0" w:evenVBand="0" w:oddHBand="0" w:evenHBand="0" w:firstRowFirstColumn="0" w:firstRowLastColumn="0" w:lastRowFirstColumn="0" w:lastRowLastColumn="0"/>
            <w:tcW w:w="0" w:type="auto"/>
            <w:hideMark/>
          </w:tcPr>
          <w:p w14:paraId="3EC57F80" w14:textId="77777777" w:rsidR="0036594A" w:rsidRPr="0036594A" w:rsidRDefault="0036594A" w:rsidP="0036594A">
            <w:pPr>
              <w:rPr>
                <w:lang w:val="en-IN"/>
              </w:rPr>
            </w:pPr>
            <w:r w:rsidRPr="0036594A">
              <w:rPr>
                <w:lang w:val="en-IN"/>
              </w:rPr>
              <w:t>2,500</w:t>
            </w:r>
          </w:p>
        </w:tc>
        <w:tc>
          <w:tcPr>
            <w:tcW w:w="0" w:type="auto"/>
            <w:hideMark/>
          </w:tcPr>
          <w:p w14:paraId="39B91D54"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2,500</w:t>
            </w:r>
          </w:p>
        </w:tc>
        <w:tc>
          <w:tcPr>
            <w:tcW w:w="0" w:type="auto"/>
            <w:hideMark/>
          </w:tcPr>
          <w:p w14:paraId="0DA6F277"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2,375</w:t>
            </w:r>
          </w:p>
        </w:tc>
        <w:tc>
          <w:tcPr>
            <w:tcW w:w="0" w:type="auto"/>
            <w:hideMark/>
          </w:tcPr>
          <w:p w14:paraId="58B075A1" w14:textId="77777777" w:rsidR="0036594A" w:rsidRPr="0036594A" w:rsidRDefault="0036594A" w:rsidP="0036594A">
            <w:pPr>
              <w:cnfStyle w:val="000000000000" w:firstRow="0" w:lastRow="0" w:firstColumn="0" w:lastColumn="0" w:oddVBand="0" w:evenVBand="0" w:oddHBand="0" w:evenHBand="0" w:firstRowFirstColumn="0" w:firstRowLastColumn="0" w:lastRowFirstColumn="0" w:lastRowLastColumn="0"/>
              <w:rPr>
                <w:lang w:val="en-IN"/>
              </w:rPr>
            </w:pPr>
            <w:r w:rsidRPr="0036594A">
              <w:rPr>
                <w:lang w:val="en-IN"/>
              </w:rPr>
              <w:t>+125</w:t>
            </w:r>
          </w:p>
        </w:tc>
      </w:tr>
      <w:tr w:rsidR="0036594A" w:rsidRPr="0036594A" w14:paraId="467951B0" w14:textId="77777777" w:rsidTr="0036594A">
        <w:trPr>
          <w:cnfStyle w:val="000000100000" w:firstRow="0" w:lastRow="0" w:firstColumn="0" w:lastColumn="0" w:oddVBand="0" w:evenVBand="0" w:oddHBand="1" w:evenHBand="0" w:firstRowFirstColumn="0" w:firstRowLastColumn="0" w:lastRowFirstColumn="0" w:lastRowLastColumn="0"/>
          <w:trHeight w:val="671"/>
        </w:trPr>
        <w:tc>
          <w:tcPr>
            <w:cnfStyle w:val="001000000000" w:firstRow="0" w:lastRow="0" w:firstColumn="1" w:lastColumn="0" w:oddVBand="0" w:evenVBand="0" w:oddHBand="0" w:evenHBand="0" w:firstRowFirstColumn="0" w:firstRowLastColumn="0" w:lastRowFirstColumn="0" w:lastRowLastColumn="0"/>
            <w:tcW w:w="0" w:type="auto"/>
            <w:hideMark/>
          </w:tcPr>
          <w:p w14:paraId="27D35FBA" w14:textId="77777777" w:rsidR="0036594A" w:rsidRPr="0036594A" w:rsidRDefault="0036594A" w:rsidP="0036594A">
            <w:pPr>
              <w:rPr>
                <w:lang w:val="en-IN"/>
              </w:rPr>
            </w:pPr>
            <w:r w:rsidRPr="0036594A">
              <w:rPr>
                <w:lang w:val="en-IN"/>
              </w:rPr>
              <w:t>3,000</w:t>
            </w:r>
          </w:p>
        </w:tc>
        <w:tc>
          <w:tcPr>
            <w:tcW w:w="0" w:type="auto"/>
            <w:hideMark/>
          </w:tcPr>
          <w:p w14:paraId="730C190A"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3,000</w:t>
            </w:r>
          </w:p>
        </w:tc>
        <w:tc>
          <w:tcPr>
            <w:tcW w:w="0" w:type="auto"/>
            <w:hideMark/>
          </w:tcPr>
          <w:p w14:paraId="322996DC"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2,750</w:t>
            </w:r>
          </w:p>
        </w:tc>
        <w:tc>
          <w:tcPr>
            <w:tcW w:w="0" w:type="auto"/>
            <w:hideMark/>
          </w:tcPr>
          <w:p w14:paraId="008D4414" w14:textId="77777777" w:rsidR="0036594A" w:rsidRPr="0036594A" w:rsidRDefault="0036594A" w:rsidP="0036594A">
            <w:pPr>
              <w:cnfStyle w:val="000000100000" w:firstRow="0" w:lastRow="0" w:firstColumn="0" w:lastColumn="0" w:oddVBand="0" w:evenVBand="0" w:oddHBand="1" w:evenHBand="0" w:firstRowFirstColumn="0" w:firstRowLastColumn="0" w:lastRowFirstColumn="0" w:lastRowLastColumn="0"/>
              <w:rPr>
                <w:lang w:val="en-IN"/>
              </w:rPr>
            </w:pPr>
            <w:r w:rsidRPr="0036594A">
              <w:rPr>
                <w:lang w:val="en-IN"/>
              </w:rPr>
              <w:t>+250</w:t>
            </w:r>
          </w:p>
        </w:tc>
      </w:tr>
    </w:tbl>
    <w:p w14:paraId="6D716C5D" w14:textId="77777777" w:rsidR="0036594A" w:rsidRPr="009F5775" w:rsidRDefault="0036594A" w:rsidP="009F5775">
      <w:pPr>
        <w:rPr>
          <w:lang w:val="en-US"/>
        </w:rPr>
      </w:pPr>
    </w:p>
    <w:sectPr w:rsidR="0036594A" w:rsidRPr="009F577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EEFE8" w14:textId="77777777" w:rsidR="009F0953" w:rsidRDefault="009F0953" w:rsidP="00840EA7">
      <w:pPr>
        <w:spacing w:after="0" w:line="240" w:lineRule="auto"/>
      </w:pPr>
      <w:r>
        <w:separator/>
      </w:r>
    </w:p>
  </w:endnote>
  <w:endnote w:type="continuationSeparator" w:id="0">
    <w:p w14:paraId="451ACA83" w14:textId="77777777" w:rsidR="009F0953" w:rsidRDefault="009F0953" w:rsidP="00840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7465287"/>
      <w:docPartObj>
        <w:docPartGallery w:val="Page Numbers (Bottom of Page)"/>
        <w:docPartUnique/>
      </w:docPartObj>
    </w:sdtPr>
    <w:sdtEndPr>
      <w:rPr>
        <w:noProof/>
      </w:rPr>
    </w:sdtEndPr>
    <w:sdtContent>
      <w:p w14:paraId="2DBF6AEC" w14:textId="73914E46" w:rsidR="00840EA7" w:rsidRDefault="00840E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E0891E" w14:textId="77777777" w:rsidR="00840EA7" w:rsidRDefault="00840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83363" w14:textId="77777777" w:rsidR="009F0953" w:rsidRDefault="009F0953" w:rsidP="00840EA7">
      <w:pPr>
        <w:spacing w:after="0" w:line="240" w:lineRule="auto"/>
      </w:pPr>
      <w:r>
        <w:separator/>
      </w:r>
    </w:p>
  </w:footnote>
  <w:footnote w:type="continuationSeparator" w:id="0">
    <w:p w14:paraId="16C42E70" w14:textId="77777777" w:rsidR="009F0953" w:rsidRDefault="009F0953" w:rsidP="00840E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561"/>
    <w:rsid w:val="00020358"/>
    <w:rsid w:val="00064390"/>
    <w:rsid w:val="000C1A00"/>
    <w:rsid w:val="000C3411"/>
    <w:rsid w:val="000C57C1"/>
    <w:rsid w:val="000E7A56"/>
    <w:rsid w:val="001116FD"/>
    <w:rsid w:val="0011478E"/>
    <w:rsid w:val="001153EB"/>
    <w:rsid w:val="00152BC8"/>
    <w:rsid w:val="00185213"/>
    <w:rsid w:val="001C4356"/>
    <w:rsid w:val="001D294E"/>
    <w:rsid w:val="001F04E1"/>
    <w:rsid w:val="002340B9"/>
    <w:rsid w:val="00283AD7"/>
    <w:rsid w:val="002C0426"/>
    <w:rsid w:val="002D6115"/>
    <w:rsid w:val="003315B9"/>
    <w:rsid w:val="003320CF"/>
    <w:rsid w:val="0033338B"/>
    <w:rsid w:val="003355AD"/>
    <w:rsid w:val="003418F4"/>
    <w:rsid w:val="0036594A"/>
    <w:rsid w:val="00394054"/>
    <w:rsid w:val="003B155B"/>
    <w:rsid w:val="003E5068"/>
    <w:rsid w:val="00400B8F"/>
    <w:rsid w:val="0041320E"/>
    <w:rsid w:val="00430D74"/>
    <w:rsid w:val="00452DDB"/>
    <w:rsid w:val="00456035"/>
    <w:rsid w:val="00456E65"/>
    <w:rsid w:val="00461940"/>
    <w:rsid w:val="00473E05"/>
    <w:rsid w:val="00476137"/>
    <w:rsid w:val="004B3355"/>
    <w:rsid w:val="004D52AB"/>
    <w:rsid w:val="004E6561"/>
    <w:rsid w:val="004F2F7B"/>
    <w:rsid w:val="00513A0D"/>
    <w:rsid w:val="00546F8A"/>
    <w:rsid w:val="00563B95"/>
    <w:rsid w:val="0058171B"/>
    <w:rsid w:val="005B31D6"/>
    <w:rsid w:val="005B355D"/>
    <w:rsid w:val="005B75C7"/>
    <w:rsid w:val="005C565E"/>
    <w:rsid w:val="005E08C9"/>
    <w:rsid w:val="0060354D"/>
    <w:rsid w:val="00661270"/>
    <w:rsid w:val="00663B9F"/>
    <w:rsid w:val="00666751"/>
    <w:rsid w:val="00667004"/>
    <w:rsid w:val="0069490A"/>
    <w:rsid w:val="006A56D5"/>
    <w:rsid w:val="006C1A32"/>
    <w:rsid w:val="006D2CA9"/>
    <w:rsid w:val="00711769"/>
    <w:rsid w:val="00732D14"/>
    <w:rsid w:val="00750EB2"/>
    <w:rsid w:val="007C5A91"/>
    <w:rsid w:val="007F3487"/>
    <w:rsid w:val="00804611"/>
    <w:rsid w:val="0082083A"/>
    <w:rsid w:val="0082388E"/>
    <w:rsid w:val="00831307"/>
    <w:rsid w:val="00831BE1"/>
    <w:rsid w:val="00840EA7"/>
    <w:rsid w:val="00843F7F"/>
    <w:rsid w:val="008528CC"/>
    <w:rsid w:val="008E4D82"/>
    <w:rsid w:val="008F59BA"/>
    <w:rsid w:val="00945EFD"/>
    <w:rsid w:val="00950E5E"/>
    <w:rsid w:val="009765CE"/>
    <w:rsid w:val="00990AFF"/>
    <w:rsid w:val="009D00E2"/>
    <w:rsid w:val="009F0953"/>
    <w:rsid w:val="009F5775"/>
    <w:rsid w:val="00A11C21"/>
    <w:rsid w:val="00A4494E"/>
    <w:rsid w:val="00A457EE"/>
    <w:rsid w:val="00A80B82"/>
    <w:rsid w:val="00A82B50"/>
    <w:rsid w:val="00A864E0"/>
    <w:rsid w:val="00AC7740"/>
    <w:rsid w:val="00AD5340"/>
    <w:rsid w:val="00AD78ED"/>
    <w:rsid w:val="00AF1683"/>
    <w:rsid w:val="00B02FE1"/>
    <w:rsid w:val="00B277CF"/>
    <w:rsid w:val="00B36363"/>
    <w:rsid w:val="00BA19B3"/>
    <w:rsid w:val="00BB1730"/>
    <w:rsid w:val="00BB5018"/>
    <w:rsid w:val="00BD5CB3"/>
    <w:rsid w:val="00BF0FC5"/>
    <w:rsid w:val="00C1360B"/>
    <w:rsid w:val="00C435C4"/>
    <w:rsid w:val="00C80CAC"/>
    <w:rsid w:val="00CC730A"/>
    <w:rsid w:val="00CF3808"/>
    <w:rsid w:val="00CF7F39"/>
    <w:rsid w:val="00D54CE6"/>
    <w:rsid w:val="00D76BFD"/>
    <w:rsid w:val="00D91D72"/>
    <w:rsid w:val="00DA65F6"/>
    <w:rsid w:val="00DC1F96"/>
    <w:rsid w:val="00DD4EDF"/>
    <w:rsid w:val="00DE363A"/>
    <w:rsid w:val="00DF5E21"/>
    <w:rsid w:val="00E13EE1"/>
    <w:rsid w:val="00E53FE2"/>
    <w:rsid w:val="00E61F05"/>
    <w:rsid w:val="00E72E86"/>
    <w:rsid w:val="00EC6504"/>
    <w:rsid w:val="00EE71C9"/>
    <w:rsid w:val="00EE7DC0"/>
    <w:rsid w:val="00F51102"/>
    <w:rsid w:val="00F513AA"/>
    <w:rsid w:val="00F51C33"/>
    <w:rsid w:val="00F54DC6"/>
    <w:rsid w:val="00F558F1"/>
    <w:rsid w:val="00F8786E"/>
    <w:rsid w:val="00FD03F5"/>
    <w:rsid w:val="00FD3846"/>
    <w:rsid w:val="00FF61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62C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C21"/>
    <w:pPr>
      <w:spacing w:after="200" w:line="360" w:lineRule="auto"/>
      <w:ind w:left="176"/>
      <w:jc w:val="both"/>
    </w:pPr>
    <w:rPr>
      <w:rFonts w:ascii="Times New Roman" w:hAnsi="Times New Roman" w:cs="Times New Roman"/>
      <w:kern w:val="0"/>
      <w:szCs w:val="20"/>
      <w:lang w:val="en-GB"/>
      <w14:ligatures w14:val="none"/>
    </w:rPr>
  </w:style>
  <w:style w:type="paragraph" w:styleId="Heading1">
    <w:name w:val="heading 1"/>
    <w:basedOn w:val="Heading2"/>
    <w:next w:val="Normal"/>
    <w:link w:val="Heading1Char"/>
    <w:qFormat/>
    <w:rsid w:val="00A11C21"/>
    <w:pPr>
      <w:keepNext w:val="0"/>
      <w:keepLines w:val="0"/>
      <w:spacing w:before="120" w:after="120"/>
      <w:ind w:left="0"/>
      <w:outlineLvl w:val="0"/>
    </w:pPr>
    <w:rPr>
      <w:rFonts w:eastAsia="Calibri" w:cstheme="minorHAnsi"/>
      <w:color w:val="auto"/>
      <w:sz w:val="36"/>
      <w:szCs w:val="28"/>
      <w:lang w:val="en-US"/>
    </w:rPr>
  </w:style>
  <w:style w:type="paragraph" w:styleId="Heading2">
    <w:name w:val="heading 2"/>
    <w:basedOn w:val="Normal"/>
    <w:next w:val="Normal"/>
    <w:link w:val="Heading2Char"/>
    <w:uiPriority w:val="9"/>
    <w:unhideWhenUsed/>
    <w:qFormat/>
    <w:rsid w:val="00A11C21"/>
    <w:pPr>
      <w:keepNext/>
      <w:keepLines/>
      <w:spacing w:before="40" w:after="0"/>
      <w:outlineLvl w:val="1"/>
    </w:pPr>
    <w:rPr>
      <w:rFonts w:eastAsiaTheme="majorEastAsia" w:cstheme="majorBidi"/>
      <w:b/>
      <w:color w:val="000000" w:themeColor="text1"/>
      <w:kern w:val="2"/>
      <w:sz w:val="32"/>
      <w:szCs w:val="26"/>
      <w:lang w:val="en-IN"/>
      <w14:ligatures w14:val="standardContextual"/>
    </w:rPr>
  </w:style>
  <w:style w:type="paragraph" w:styleId="Heading3">
    <w:name w:val="heading 3"/>
    <w:basedOn w:val="Normal"/>
    <w:next w:val="Normal"/>
    <w:link w:val="Heading3Char"/>
    <w:uiPriority w:val="9"/>
    <w:unhideWhenUsed/>
    <w:qFormat/>
    <w:rsid w:val="00A80B82"/>
    <w:pPr>
      <w:keepNext/>
      <w:keepLines/>
      <w:spacing w:before="40" w:after="0"/>
      <w:outlineLvl w:val="2"/>
    </w:pPr>
    <w:rPr>
      <w:rFonts w:eastAsiaTheme="majorEastAsia" w:cstheme="majorBidi"/>
      <w:b/>
      <w:kern w:val="2"/>
      <w:sz w:val="28"/>
      <w:szCs w:val="24"/>
      <w:lang w:val="en-IN"/>
      <w14:ligatures w14:val="standardContextual"/>
    </w:rPr>
  </w:style>
  <w:style w:type="paragraph" w:styleId="Heading4">
    <w:name w:val="heading 4"/>
    <w:basedOn w:val="Normal"/>
    <w:next w:val="Normal"/>
    <w:link w:val="Heading4Char"/>
    <w:uiPriority w:val="9"/>
    <w:semiHidden/>
    <w:unhideWhenUsed/>
    <w:qFormat/>
    <w:rsid w:val="004E656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656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E656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E656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E656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E656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11C21"/>
    <w:rPr>
      <w:rFonts w:ascii="Times New Roman" w:eastAsia="Calibri" w:hAnsi="Times New Roman" w:cstheme="minorHAnsi"/>
      <w:b/>
      <w:sz w:val="36"/>
      <w:szCs w:val="28"/>
      <w:lang w:val="en-US"/>
    </w:rPr>
  </w:style>
  <w:style w:type="character" w:customStyle="1" w:styleId="Heading2Char">
    <w:name w:val="Heading 2 Char"/>
    <w:basedOn w:val="DefaultParagraphFont"/>
    <w:link w:val="Heading2"/>
    <w:uiPriority w:val="9"/>
    <w:rsid w:val="00A11C21"/>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A80B82"/>
    <w:rPr>
      <w:rFonts w:ascii="Times New Roman" w:eastAsiaTheme="majorEastAsia" w:hAnsi="Times New Roman" w:cstheme="majorBidi"/>
      <w:b/>
      <w:sz w:val="28"/>
    </w:rPr>
  </w:style>
  <w:style w:type="character" w:customStyle="1" w:styleId="Heading4Char">
    <w:name w:val="Heading 4 Char"/>
    <w:basedOn w:val="DefaultParagraphFont"/>
    <w:link w:val="Heading4"/>
    <w:uiPriority w:val="9"/>
    <w:semiHidden/>
    <w:rsid w:val="004E6561"/>
    <w:rPr>
      <w:rFonts w:eastAsiaTheme="majorEastAsia" w:cstheme="majorBidi"/>
      <w:i/>
      <w:iCs/>
      <w:color w:val="2F5496"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4E6561"/>
    <w:rPr>
      <w:rFonts w:eastAsiaTheme="majorEastAsia" w:cstheme="majorBidi"/>
      <w:color w:val="2F5496"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4E6561"/>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4E6561"/>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4E6561"/>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4E6561"/>
    <w:rPr>
      <w:rFonts w:eastAsiaTheme="majorEastAsia" w:cstheme="majorBidi"/>
      <w:color w:val="272727" w:themeColor="text1" w:themeTint="D8"/>
      <w:kern w:val="0"/>
      <w:szCs w:val="20"/>
      <w:lang w:val="en-GB"/>
      <w14:ligatures w14:val="none"/>
    </w:rPr>
  </w:style>
  <w:style w:type="paragraph" w:styleId="Title">
    <w:name w:val="Title"/>
    <w:basedOn w:val="Normal"/>
    <w:next w:val="Normal"/>
    <w:link w:val="TitleChar"/>
    <w:uiPriority w:val="10"/>
    <w:qFormat/>
    <w:rsid w:val="004E65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561"/>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E6561"/>
    <w:pPr>
      <w:numPr>
        <w:ilvl w:val="1"/>
      </w:numPr>
      <w:spacing w:after="160"/>
      <w:ind w:left="17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56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E65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6561"/>
    <w:rPr>
      <w:rFonts w:ascii="Times New Roman" w:hAnsi="Times New Roman" w:cs="Times New Roman"/>
      <w:i/>
      <w:iCs/>
      <w:color w:val="404040" w:themeColor="text1" w:themeTint="BF"/>
      <w:kern w:val="0"/>
      <w:szCs w:val="20"/>
      <w:lang w:val="en-GB"/>
      <w14:ligatures w14:val="none"/>
    </w:rPr>
  </w:style>
  <w:style w:type="paragraph" w:styleId="ListParagraph">
    <w:name w:val="List Paragraph"/>
    <w:basedOn w:val="Normal"/>
    <w:uiPriority w:val="34"/>
    <w:qFormat/>
    <w:rsid w:val="004E6561"/>
    <w:pPr>
      <w:ind w:left="720"/>
      <w:contextualSpacing/>
    </w:pPr>
  </w:style>
  <w:style w:type="character" w:styleId="IntenseEmphasis">
    <w:name w:val="Intense Emphasis"/>
    <w:basedOn w:val="DefaultParagraphFont"/>
    <w:uiPriority w:val="21"/>
    <w:qFormat/>
    <w:rsid w:val="004E6561"/>
    <w:rPr>
      <w:i/>
      <w:iCs/>
      <w:color w:val="2F5496" w:themeColor="accent1" w:themeShade="BF"/>
    </w:rPr>
  </w:style>
  <w:style w:type="paragraph" w:styleId="IntenseQuote">
    <w:name w:val="Intense Quote"/>
    <w:basedOn w:val="Normal"/>
    <w:next w:val="Normal"/>
    <w:link w:val="IntenseQuoteChar"/>
    <w:uiPriority w:val="30"/>
    <w:qFormat/>
    <w:rsid w:val="004E65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6561"/>
    <w:rPr>
      <w:rFonts w:ascii="Times New Roman" w:hAnsi="Times New Roman" w:cs="Times New Roman"/>
      <w:i/>
      <w:iCs/>
      <w:color w:val="2F5496" w:themeColor="accent1" w:themeShade="BF"/>
      <w:kern w:val="0"/>
      <w:szCs w:val="20"/>
      <w:lang w:val="en-GB"/>
      <w14:ligatures w14:val="none"/>
    </w:rPr>
  </w:style>
  <w:style w:type="character" w:styleId="IntenseReference">
    <w:name w:val="Intense Reference"/>
    <w:basedOn w:val="DefaultParagraphFont"/>
    <w:uiPriority w:val="32"/>
    <w:qFormat/>
    <w:rsid w:val="004E6561"/>
    <w:rPr>
      <w:b/>
      <w:bCs/>
      <w:smallCaps/>
      <w:color w:val="2F5496" w:themeColor="accent1" w:themeShade="BF"/>
      <w:spacing w:val="5"/>
    </w:rPr>
  </w:style>
  <w:style w:type="character" w:styleId="Hyperlink">
    <w:name w:val="Hyperlink"/>
    <w:basedOn w:val="DefaultParagraphFont"/>
    <w:uiPriority w:val="99"/>
    <w:unhideWhenUsed/>
    <w:rsid w:val="009F5775"/>
    <w:rPr>
      <w:color w:val="0563C1" w:themeColor="hyperlink"/>
      <w:u w:val="single"/>
    </w:rPr>
  </w:style>
  <w:style w:type="table" w:styleId="TableGrid">
    <w:name w:val="Table Grid"/>
    <w:basedOn w:val="TableNormal"/>
    <w:uiPriority w:val="39"/>
    <w:rsid w:val="009F5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5775"/>
    <w:pPr>
      <w:spacing w:line="240" w:lineRule="auto"/>
    </w:pPr>
    <w:rPr>
      <w:i/>
      <w:iCs/>
      <w:color w:val="44546A" w:themeColor="text2"/>
      <w:sz w:val="18"/>
      <w:szCs w:val="18"/>
    </w:rPr>
  </w:style>
  <w:style w:type="table" w:styleId="GridTable4-Accent2">
    <w:name w:val="Grid Table 4 Accent 2"/>
    <w:basedOn w:val="TableNormal"/>
    <w:uiPriority w:val="49"/>
    <w:rsid w:val="009F577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9F577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9F5775"/>
    <w:pPr>
      <w:spacing w:after="0" w:line="240" w:lineRule="auto"/>
      <w:ind w:left="176"/>
      <w:jc w:val="both"/>
    </w:pPr>
    <w:rPr>
      <w:rFonts w:ascii="Times New Roman" w:hAnsi="Times New Roman" w:cs="Times New Roman"/>
      <w:kern w:val="0"/>
      <w:szCs w:val="20"/>
      <w:lang w:val="en-GB"/>
      <w14:ligatures w14:val="none"/>
    </w:rPr>
  </w:style>
  <w:style w:type="table" w:styleId="GridTable4-Accent6">
    <w:name w:val="Grid Table 4 Accent 6"/>
    <w:basedOn w:val="TableNormal"/>
    <w:uiPriority w:val="49"/>
    <w:rsid w:val="009F577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9F577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Header">
    <w:name w:val="header"/>
    <w:basedOn w:val="Normal"/>
    <w:link w:val="HeaderChar"/>
    <w:uiPriority w:val="99"/>
    <w:unhideWhenUsed/>
    <w:rsid w:val="00840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EA7"/>
    <w:rPr>
      <w:rFonts w:ascii="Times New Roman" w:hAnsi="Times New Roman" w:cs="Times New Roman"/>
      <w:kern w:val="0"/>
      <w:szCs w:val="20"/>
      <w:lang w:val="en-GB"/>
      <w14:ligatures w14:val="none"/>
    </w:rPr>
  </w:style>
  <w:style w:type="paragraph" w:styleId="Footer">
    <w:name w:val="footer"/>
    <w:basedOn w:val="Normal"/>
    <w:link w:val="FooterChar"/>
    <w:uiPriority w:val="99"/>
    <w:unhideWhenUsed/>
    <w:rsid w:val="00840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EA7"/>
    <w:rPr>
      <w:rFonts w:ascii="Times New Roman" w:hAnsi="Times New Roman" w:cs="Times New Roman"/>
      <w:kern w:val="0"/>
      <w:szCs w:val="20"/>
      <w:lang w:val="en-GB"/>
      <w14:ligatures w14:val="none"/>
    </w:rPr>
  </w:style>
  <w:style w:type="paragraph" w:styleId="TOCHeading">
    <w:name w:val="TOC Heading"/>
    <w:basedOn w:val="Heading1"/>
    <w:next w:val="Normal"/>
    <w:uiPriority w:val="39"/>
    <w:unhideWhenUsed/>
    <w:qFormat/>
    <w:rsid w:val="00840EA7"/>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40EA7"/>
    <w:pPr>
      <w:spacing w:after="100"/>
      <w:ind w:left="0"/>
    </w:pPr>
  </w:style>
  <w:style w:type="paragraph" w:styleId="TOC2">
    <w:name w:val="toc 2"/>
    <w:basedOn w:val="Normal"/>
    <w:next w:val="Normal"/>
    <w:autoRedefine/>
    <w:uiPriority w:val="39"/>
    <w:unhideWhenUsed/>
    <w:rsid w:val="00840EA7"/>
    <w:pPr>
      <w:spacing w:after="100"/>
      <w:ind w:left="240"/>
    </w:pPr>
  </w:style>
  <w:style w:type="paragraph" w:styleId="TableofFigures">
    <w:name w:val="table of figures"/>
    <w:basedOn w:val="Normal"/>
    <w:next w:val="Normal"/>
    <w:uiPriority w:val="99"/>
    <w:unhideWhenUsed/>
    <w:rsid w:val="00840EA7"/>
    <w:pPr>
      <w:spacing w:after="0"/>
      <w:ind w:left="0"/>
    </w:pPr>
  </w:style>
  <w:style w:type="table" w:styleId="GridTable4-Accent3">
    <w:name w:val="Grid Table 4 Accent 3"/>
    <w:basedOn w:val="TableNormal"/>
    <w:uiPriority w:val="49"/>
    <w:rsid w:val="0036594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UnresolvedMention">
    <w:name w:val="Unresolved Mention"/>
    <w:basedOn w:val="DefaultParagraphFont"/>
    <w:uiPriority w:val="99"/>
    <w:semiHidden/>
    <w:unhideWhenUsed/>
    <w:rsid w:val="00D91D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orrisons-corporate.com/financial-archive/financial-reports/" TargetMode="External"/><Relationship Id="rId5" Type="http://schemas.openxmlformats.org/officeDocument/2006/relationships/footnotes" Target="footnotes.xml"/><Relationship Id="rId10" Type="http://schemas.openxmlformats.org/officeDocument/2006/relationships/hyperlink" Target="https://learning-center.rennes-sb.com/index.php?id=26604&amp;lang_sel=en_UK&amp;lvl=notice_display&amp;opac_view"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percentStacked"/>
        <c:varyColors val="0"/>
        <c:ser>
          <c:idx val="0"/>
          <c:order val="0"/>
          <c:tx>
            <c:strRef>
              <c:f>Sheet1!$C$4</c:f>
              <c:strCache>
                <c:ptCount val="1"/>
                <c:pt idx="0">
                  <c:v>2022/23</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Sheet1!$B$5:$B$7</c:f>
              <c:strCache>
                <c:ptCount val="3"/>
                <c:pt idx="0">
                  <c:v>Revenue (continuing operations)</c:v>
                </c:pt>
                <c:pt idx="1">
                  <c:v>Underlying EBITDA</c:v>
                </c:pt>
                <c:pt idx="2">
                  <c:v>Operating Profit (continuing)</c:v>
                </c:pt>
              </c:strCache>
            </c:strRef>
          </c:cat>
          <c:val>
            <c:numRef>
              <c:f>Sheet1!$C$5:$C$7</c:f>
              <c:numCache>
                <c:formatCode>General</c:formatCode>
                <c:ptCount val="3"/>
                <c:pt idx="0" formatCode="#,##0">
                  <c:v>14711</c:v>
                </c:pt>
                <c:pt idx="1">
                  <c:v>751</c:v>
                </c:pt>
                <c:pt idx="2">
                  <c:v>-86</c:v>
                </c:pt>
              </c:numCache>
            </c:numRef>
          </c:val>
          <c:smooth val="0"/>
          <c:extLst>
            <c:ext xmlns:c16="http://schemas.microsoft.com/office/drawing/2014/chart" uri="{C3380CC4-5D6E-409C-BE32-E72D297353CC}">
              <c16:uniqueId val="{00000000-42B6-4788-85DC-B27FE198CF38}"/>
            </c:ext>
          </c:extLst>
        </c:ser>
        <c:ser>
          <c:idx val="1"/>
          <c:order val="1"/>
          <c:tx>
            <c:strRef>
              <c:f>Sheet1!$D$4</c:f>
              <c:strCache>
                <c:ptCount val="1"/>
                <c:pt idx="0">
                  <c:v>2023/24</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Sheet1!$B$5:$B$7</c:f>
              <c:strCache>
                <c:ptCount val="3"/>
                <c:pt idx="0">
                  <c:v>Revenue (continuing operations)</c:v>
                </c:pt>
                <c:pt idx="1">
                  <c:v>Underlying EBITDA</c:v>
                </c:pt>
                <c:pt idx="2">
                  <c:v>Operating Profit (continuing)</c:v>
                </c:pt>
              </c:strCache>
            </c:strRef>
          </c:cat>
          <c:val>
            <c:numRef>
              <c:f>Sheet1!$D$5:$D$7</c:f>
              <c:numCache>
                <c:formatCode>General</c:formatCode>
                <c:ptCount val="3"/>
                <c:pt idx="0" formatCode="#,##0">
                  <c:v>15276</c:v>
                </c:pt>
                <c:pt idx="1">
                  <c:v>835</c:v>
                </c:pt>
                <c:pt idx="2">
                  <c:v>74</c:v>
                </c:pt>
              </c:numCache>
            </c:numRef>
          </c:val>
          <c:smooth val="0"/>
          <c:extLst>
            <c:ext xmlns:c16="http://schemas.microsoft.com/office/drawing/2014/chart" uri="{C3380CC4-5D6E-409C-BE32-E72D297353CC}">
              <c16:uniqueId val="{00000001-42B6-4788-85DC-B27FE198CF38}"/>
            </c:ext>
          </c:extLst>
        </c:ser>
        <c:dLbls>
          <c:showLegendKey val="0"/>
          <c:showVal val="0"/>
          <c:showCatName val="0"/>
          <c:showSerName val="0"/>
          <c:showPercent val="0"/>
          <c:showBubbleSize val="0"/>
        </c:dLbls>
        <c:marker val="1"/>
        <c:smooth val="0"/>
        <c:axId val="811699488"/>
        <c:axId val="811702848"/>
      </c:lineChart>
      <c:catAx>
        <c:axId val="811699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702848"/>
        <c:crosses val="autoZero"/>
        <c:auto val="1"/>
        <c:lblAlgn val="ctr"/>
        <c:lblOffset val="100"/>
        <c:noMultiLvlLbl val="0"/>
      </c:catAx>
      <c:valAx>
        <c:axId val="8117028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699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1ACFA-0838-4543-8B94-1EE94D423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3750</Words>
  <Characters>21380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2026-02-23T08:23:00Z</dcterms:created>
  <dcterms:modified xsi:type="dcterms:W3CDTF">2026-02-25T23:55:00Z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6057c465-f09d-47b8-8121-46e1302d3561</vt:lpwstr>
  </property>
</Properties>
</file>