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CD2B1" w14:textId="6B379778" w:rsidR="006E19B4" w:rsidRDefault="71B42D40" w:rsidP="000B5F87">
      <w:pPr>
        <w:spacing w:line="360" w:lineRule="auto"/>
        <w:jc w:val="center"/>
        <w:rPr>
          <w:rFonts w:ascii="Arial" w:eastAsia="Arial" w:hAnsi="Arial" w:cs="Arial"/>
          <w:color w:val="000000" w:themeColor="text1"/>
          <w:sz w:val="32"/>
          <w:szCs w:val="32"/>
        </w:rPr>
      </w:pPr>
      <w:r w:rsidRPr="20E2E752">
        <w:rPr>
          <w:rFonts w:ascii="Arial" w:eastAsia="Arial" w:hAnsi="Arial" w:cs="Arial"/>
          <w:color w:val="000000" w:themeColor="text1"/>
          <w:sz w:val="32"/>
          <w:szCs w:val="32"/>
        </w:rPr>
        <w:t>The title of the essay – How to engage employees Generation Ys throughout the employee lifecycle</w:t>
      </w:r>
    </w:p>
    <w:p w14:paraId="31F38C99" w14:textId="3951D79C" w:rsidR="006E19B4" w:rsidRDefault="71B42D40" w:rsidP="20E2E752">
      <w:pPr>
        <w:spacing w:line="360" w:lineRule="auto"/>
        <w:jc w:val="center"/>
        <w:rPr>
          <w:rFonts w:ascii="Arial" w:eastAsia="Arial" w:hAnsi="Arial" w:cs="Arial"/>
          <w:color w:val="000000" w:themeColor="text1"/>
          <w:sz w:val="32"/>
          <w:szCs w:val="32"/>
        </w:rPr>
      </w:pPr>
      <w:r w:rsidRPr="20E2E752">
        <w:rPr>
          <w:rFonts w:ascii="Arial" w:eastAsia="Arial" w:hAnsi="Arial" w:cs="Arial"/>
          <w:color w:val="000000" w:themeColor="text1"/>
          <w:sz w:val="32"/>
          <w:szCs w:val="32"/>
        </w:rPr>
        <w:t xml:space="preserve">Student name: Galen </w:t>
      </w:r>
      <w:proofErr w:type="spellStart"/>
      <w:r w:rsidRPr="20E2E752">
        <w:rPr>
          <w:rFonts w:ascii="Arial" w:eastAsia="Arial" w:hAnsi="Arial" w:cs="Arial"/>
          <w:color w:val="000000" w:themeColor="text1"/>
          <w:sz w:val="32"/>
          <w:szCs w:val="32"/>
        </w:rPr>
        <w:t>Atanasov</w:t>
      </w:r>
      <w:proofErr w:type="spellEnd"/>
    </w:p>
    <w:p w14:paraId="2AF76A75" w14:textId="32B54038" w:rsidR="006E19B4" w:rsidRDefault="71B42D40" w:rsidP="20E2E752">
      <w:pPr>
        <w:spacing w:line="360" w:lineRule="auto"/>
        <w:jc w:val="center"/>
        <w:rPr>
          <w:rFonts w:ascii="Arial" w:eastAsia="Arial" w:hAnsi="Arial" w:cs="Arial"/>
          <w:color w:val="000000" w:themeColor="text1"/>
          <w:sz w:val="32"/>
          <w:szCs w:val="32"/>
        </w:rPr>
      </w:pPr>
      <w:r w:rsidRPr="20E2E752">
        <w:rPr>
          <w:rFonts w:ascii="Arial" w:eastAsia="Arial" w:hAnsi="Arial" w:cs="Arial"/>
          <w:color w:val="000000" w:themeColor="text1"/>
          <w:sz w:val="32"/>
          <w:szCs w:val="32"/>
        </w:rPr>
        <w:t>The module title and module code: BMIH5005 Personnel Resourcing and Development</w:t>
      </w:r>
    </w:p>
    <w:p w14:paraId="0AB98ECC" w14:textId="213C59BF" w:rsidR="006E19B4" w:rsidRDefault="71B42D40" w:rsidP="20E2E752">
      <w:pPr>
        <w:spacing w:line="360" w:lineRule="auto"/>
        <w:jc w:val="center"/>
        <w:rPr>
          <w:rFonts w:ascii="Arial" w:eastAsia="Arial" w:hAnsi="Arial" w:cs="Arial"/>
          <w:color w:val="000000" w:themeColor="text1"/>
          <w:sz w:val="32"/>
          <w:szCs w:val="32"/>
        </w:rPr>
      </w:pPr>
      <w:r w:rsidRPr="20E2E752">
        <w:rPr>
          <w:rFonts w:ascii="Arial" w:eastAsia="Arial" w:hAnsi="Arial" w:cs="Arial"/>
          <w:color w:val="000000" w:themeColor="text1"/>
          <w:sz w:val="32"/>
          <w:szCs w:val="32"/>
        </w:rPr>
        <w:t>Lecturer’s name: Helen Lee</w:t>
      </w:r>
    </w:p>
    <w:p w14:paraId="5B8F02E9" w14:textId="45DA1E8F" w:rsidR="006E19B4" w:rsidRDefault="71B42D40" w:rsidP="20E2E752">
      <w:pPr>
        <w:spacing w:line="360" w:lineRule="auto"/>
        <w:jc w:val="center"/>
        <w:rPr>
          <w:rFonts w:ascii="Arial" w:eastAsia="Arial" w:hAnsi="Arial" w:cs="Arial"/>
          <w:color w:val="000000" w:themeColor="text1"/>
          <w:sz w:val="32"/>
          <w:szCs w:val="32"/>
        </w:rPr>
      </w:pPr>
      <w:r w:rsidRPr="20E2E752">
        <w:rPr>
          <w:rFonts w:ascii="Arial" w:eastAsia="Arial" w:hAnsi="Arial" w:cs="Arial"/>
          <w:color w:val="000000" w:themeColor="text1"/>
          <w:sz w:val="32"/>
          <w:szCs w:val="32"/>
        </w:rPr>
        <w:t xml:space="preserve">Wordcount: </w:t>
      </w:r>
      <w:r w:rsidR="009D3033">
        <w:rPr>
          <w:rFonts w:ascii="Arial" w:eastAsia="Arial" w:hAnsi="Arial" w:cs="Arial"/>
          <w:color w:val="000000" w:themeColor="text1"/>
          <w:sz w:val="32"/>
          <w:szCs w:val="32"/>
        </w:rPr>
        <w:t>19</w:t>
      </w:r>
      <w:r w:rsidR="002C6986">
        <w:rPr>
          <w:rFonts w:ascii="Arial" w:eastAsia="Arial" w:hAnsi="Arial" w:cs="Arial"/>
          <w:color w:val="000000" w:themeColor="text1"/>
          <w:sz w:val="32"/>
          <w:szCs w:val="32"/>
        </w:rPr>
        <w:t>91</w:t>
      </w:r>
    </w:p>
    <w:p w14:paraId="5E04E259" w14:textId="609A07C2" w:rsidR="006E19B4" w:rsidRDefault="006E19B4" w:rsidP="20E2E752">
      <w:pPr>
        <w:spacing w:line="360" w:lineRule="auto"/>
        <w:jc w:val="center"/>
        <w:rPr>
          <w:rFonts w:ascii="Arial" w:eastAsia="Arial" w:hAnsi="Arial" w:cs="Arial"/>
          <w:b/>
          <w:bCs/>
          <w:color w:val="000000" w:themeColor="text1"/>
        </w:rPr>
      </w:pPr>
    </w:p>
    <w:p w14:paraId="3A59EC47" w14:textId="63899A83" w:rsidR="006E19B4" w:rsidRDefault="006E19B4" w:rsidP="20E2E752">
      <w:pPr>
        <w:spacing w:line="360" w:lineRule="auto"/>
        <w:jc w:val="center"/>
        <w:rPr>
          <w:rFonts w:ascii="Arial" w:eastAsia="Arial" w:hAnsi="Arial" w:cs="Arial"/>
          <w:b/>
          <w:bCs/>
          <w:sz w:val="32"/>
          <w:szCs w:val="32"/>
        </w:rPr>
      </w:pPr>
    </w:p>
    <w:p w14:paraId="3A8A1F3A" w14:textId="2D9555C1" w:rsidR="006E19B4" w:rsidRDefault="006E19B4" w:rsidP="20E2E752">
      <w:pPr>
        <w:spacing w:line="360" w:lineRule="auto"/>
        <w:jc w:val="center"/>
        <w:rPr>
          <w:rFonts w:ascii="Arial" w:eastAsia="Arial" w:hAnsi="Arial" w:cs="Arial"/>
          <w:b/>
          <w:bCs/>
          <w:sz w:val="32"/>
          <w:szCs w:val="32"/>
        </w:rPr>
      </w:pPr>
    </w:p>
    <w:p w14:paraId="5342FC22" w14:textId="44BFE45C" w:rsidR="006E19B4" w:rsidRDefault="006E19B4" w:rsidP="20E2E752">
      <w:pPr>
        <w:spacing w:line="360" w:lineRule="auto"/>
        <w:jc w:val="center"/>
        <w:rPr>
          <w:rFonts w:ascii="Arial" w:eastAsia="Arial" w:hAnsi="Arial" w:cs="Arial"/>
          <w:b/>
          <w:bCs/>
          <w:sz w:val="32"/>
          <w:szCs w:val="32"/>
        </w:rPr>
      </w:pPr>
    </w:p>
    <w:p w14:paraId="0706876A" w14:textId="65E07598" w:rsidR="006E19B4" w:rsidRDefault="006E19B4" w:rsidP="20E2E752">
      <w:pPr>
        <w:spacing w:line="360" w:lineRule="auto"/>
        <w:jc w:val="center"/>
        <w:rPr>
          <w:rFonts w:ascii="Arial" w:eastAsia="Arial" w:hAnsi="Arial" w:cs="Arial"/>
          <w:b/>
          <w:bCs/>
          <w:sz w:val="32"/>
          <w:szCs w:val="32"/>
        </w:rPr>
      </w:pPr>
    </w:p>
    <w:p w14:paraId="16FF0852" w14:textId="369FB39E" w:rsidR="006E19B4" w:rsidRDefault="006E19B4" w:rsidP="20E2E752">
      <w:pPr>
        <w:spacing w:line="360" w:lineRule="auto"/>
        <w:jc w:val="center"/>
        <w:rPr>
          <w:rFonts w:ascii="Arial" w:eastAsia="Arial" w:hAnsi="Arial" w:cs="Arial"/>
          <w:b/>
          <w:bCs/>
          <w:sz w:val="32"/>
          <w:szCs w:val="32"/>
        </w:rPr>
      </w:pPr>
    </w:p>
    <w:p w14:paraId="07042574" w14:textId="0EF2DFDB" w:rsidR="006E19B4" w:rsidRDefault="006E19B4" w:rsidP="20E2E752">
      <w:pPr>
        <w:spacing w:line="360" w:lineRule="auto"/>
        <w:jc w:val="center"/>
        <w:rPr>
          <w:rFonts w:ascii="Arial" w:eastAsia="Arial" w:hAnsi="Arial" w:cs="Arial"/>
          <w:b/>
          <w:bCs/>
          <w:sz w:val="32"/>
          <w:szCs w:val="32"/>
        </w:rPr>
      </w:pPr>
    </w:p>
    <w:p w14:paraId="73CD4AAA" w14:textId="1B7BDB27" w:rsidR="006E19B4" w:rsidRPr="009D3033" w:rsidRDefault="006E19B4" w:rsidP="009D3033">
      <w:pPr>
        <w:spacing w:line="360" w:lineRule="auto"/>
        <w:jc w:val="both"/>
        <w:rPr>
          <w:rFonts w:ascii="Arial" w:eastAsia="Arial" w:hAnsi="Arial" w:cs="Arial"/>
          <w:b/>
          <w:bCs/>
        </w:rPr>
      </w:pPr>
    </w:p>
    <w:p w14:paraId="0C164B39" w14:textId="77777777" w:rsidR="009D3033" w:rsidRDefault="009D3033" w:rsidP="009D3033">
      <w:pPr>
        <w:spacing w:line="360" w:lineRule="auto"/>
        <w:jc w:val="both"/>
        <w:rPr>
          <w:rFonts w:ascii="Arial" w:eastAsia="Arial" w:hAnsi="Arial" w:cs="Arial"/>
          <w:b/>
          <w:bCs/>
        </w:rPr>
      </w:pPr>
    </w:p>
    <w:p w14:paraId="49CF1485" w14:textId="77777777" w:rsidR="000B5F87" w:rsidRDefault="000B5F87" w:rsidP="009D3033">
      <w:pPr>
        <w:spacing w:line="360" w:lineRule="auto"/>
        <w:jc w:val="center"/>
        <w:rPr>
          <w:rFonts w:ascii="Arial" w:eastAsia="Arial" w:hAnsi="Arial" w:cs="Arial"/>
          <w:b/>
          <w:bCs/>
        </w:rPr>
      </w:pPr>
    </w:p>
    <w:p w14:paraId="137F3DCB" w14:textId="77777777" w:rsidR="000B5F87" w:rsidRDefault="000B5F87" w:rsidP="009D3033">
      <w:pPr>
        <w:spacing w:line="360" w:lineRule="auto"/>
        <w:jc w:val="center"/>
        <w:rPr>
          <w:rFonts w:ascii="Arial" w:eastAsia="Arial" w:hAnsi="Arial" w:cs="Arial"/>
          <w:b/>
          <w:bCs/>
        </w:rPr>
      </w:pPr>
    </w:p>
    <w:p w14:paraId="25B91CCF" w14:textId="77777777" w:rsidR="000B5F87" w:rsidRDefault="000B5F87" w:rsidP="009D3033">
      <w:pPr>
        <w:spacing w:line="360" w:lineRule="auto"/>
        <w:jc w:val="center"/>
        <w:rPr>
          <w:rFonts w:ascii="Arial" w:eastAsia="Arial" w:hAnsi="Arial" w:cs="Arial"/>
          <w:b/>
          <w:bCs/>
        </w:rPr>
      </w:pPr>
    </w:p>
    <w:p w14:paraId="24080AC3" w14:textId="77777777" w:rsidR="000B5F87" w:rsidRDefault="000B5F87" w:rsidP="009D3033">
      <w:pPr>
        <w:spacing w:line="360" w:lineRule="auto"/>
        <w:jc w:val="center"/>
        <w:rPr>
          <w:rFonts w:ascii="Arial" w:eastAsia="Arial" w:hAnsi="Arial" w:cs="Arial"/>
          <w:b/>
          <w:bCs/>
        </w:rPr>
      </w:pPr>
    </w:p>
    <w:p w14:paraId="0F62B6E2" w14:textId="77777777" w:rsidR="002C6986" w:rsidRDefault="002C6986" w:rsidP="009D3033">
      <w:pPr>
        <w:spacing w:line="360" w:lineRule="auto"/>
        <w:jc w:val="center"/>
        <w:rPr>
          <w:rFonts w:ascii="Arial" w:eastAsia="Arial" w:hAnsi="Arial" w:cs="Arial"/>
          <w:b/>
          <w:bCs/>
        </w:rPr>
      </w:pPr>
    </w:p>
    <w:p w14:paraId="2601F4F4" w14:textId="77777777" w:rsidR="002C6986" w:rsidRDefault="002C6986" w:rsidP="009D3033">
      <w:pPr>
        <w:spacing w:line="360" w:lineRule="auto"/>
        <w:jc w:val="center"/>
        <w:rPr>
          <w:rFonts w:ascii="Arial" w:eastAsia="Arial" w:hAnsi="Arial" w:cs="Arial"/>
          <w:b/>
          <w:bCs/>
        </w:rPr>
      </w:pPr>
    </w:p>
    <w:p w14:paraId="2395B7B9" w14:textId="77777777" w:rsidR="002C6986" w:rsidRDefault="002C6986" w:rsidP="009D3033">
      <w:pPr>
        <w:spacing w:line="360" w:lineRule="auto"/>
        <w:jc w:val="center"/>
        <w:rPr>
          <w:rFonts w:ascii="Arial" w:eastAsia="Arial" w:hAnsi="Arial" w:cs="Arial"/>
          <w:b/>
          <w:bCs/>
        </w:rPr>
      </w:pPr>
    </w:p>
    <w:p w14:paraId="7E90C7AF" w14:textId="77777777" w:rsidR="002C6986" w:rsidRDefault="002C6986" w:rsidP="009D3033">
      <w:pPr>
        <w:spacing w:line="360" w:lineRule="auto"/>
        <w:jc w:val="center"/>
        <w:rPr>
          <w:rFonts w:ascii="Arial" w:eastAsia="Arial" w:hAnsi="Arial" w:cs="Arial"/>
          <w:b/>
          <w:bCs/>
        </w:rPr>
      </w:pPr>
    </w:p>
    <w:p w14:paraId="08494318" w14:textId="77777777" w:rsidR="002C6986" w:rsidRDefault="002C6986" w:rsidP="009D3033">
      <w:pPr>
        <w:spacing w:line="360" w:lineRule="auto"/>
        <w:jc w:val="center"/>
        <w:rPr>
          <w:rFonts w:ascii="Arial" w:eastAsia="Arial" w:hAnsi="Arial" w:cs="Arial"/>
          <w:b/>
          <w:bCs/>
        </w:rPr>
      </w:pPr>
    </w:p>
    <w:p w14:paraId="6133904D" w14:textId="77777777" w:rsidR="002C6986" w:rsidRDefault="002C6986" w:rsidP="009D3033">
      <w:pPr>
        <w:spacing w:line="360" w:lineRule="auto"/>
        <w:jc w:val="center"/>
        <w:rPr>
          <w:rFonts w:ascii="Arial" w:eastAsia="Arial" w:hAnsi="Arial" w:cs="Arial"/>
          <w:b/>
          <w:bCs/>
        </w:rPr>
      </w:pPr>
    </w:p>
    <w:p w14:paraId="67A24069" w14:textId="77777777" w:rsidR="002C6986" w:rsidRDefault="002C6986" w:rsidP="009D3033">
      <w:pPr>
        <w:spacing w:line="360" w:lineRule="auto"/>
        <w:jc w:val="center"/>
        <w:rPr>
          <w:rFonts w:ascii="Arial" w:eastAsia="Arial" w:hAnsi="Arial" w:cs="Arial"/>
          <w:b/>
          <w:bCs/>
        </w:rPr>
      </w:pPr>
    </w:p>
    <w:p w14:paraId="026D137D" w14:textId="4992E92C" w:rsidR="006E19B4" w:rsidRPr="009D3033" w:rsidRDefault="7AFF2710" w:rsidP="009D3033">
      <w:pPr>
        <w:spacing w:line="360" w:lineRule="auto"/>
        <w:jc w:val="center"/>
        <w:rPr>
          <w:rFonts w:ascii="Arial" w:eastAsia="Arial" w:hAnsi="Arial" w:cs="Arial"/>
          <w:b/>
          <w:bCs/>
        </w:rPr>
      </w:pPr>
      <w:r w:rsidRPr="009D3033">
        <w:rPr>
          <w:rFonts w:ascii="Arial" w:eastAsia="Arial" w:hAnsi="Arial" w:cs="Arial"/>
          <w:b/>
          <w:bCs/>
        </w:rPr>
        <w:lastRenderedPageBreak/>
        <w:t>Employee Engagement Strategies for Generation Y in the Hotel Industry</w:t>
      </w:r>
    </w:p>
    <w:p w14:paraId="1864BFE8" w14:textId="36E91229" w:rsidR="006E19B4" w:rsidRPr="009D3033" w:rsidRDefault="7AFF2710" w:rsidP="009D3033">
      <w:pPr>
        <w:spacing w:line="360" w:lineRule="auto"/>
        <w:jc w:val="both"/>
        <w:rPr>
          <w:rFonts w:ascii="Arial" w:eastAsia="Arial" w:hAnsi="Arial" w:cs="Arial"/>
        </w:rPr>
      </w:pPr>
      <w:r w:rsidRPr="009D3033">
        <w:rPr>
          <w:rFonts w:ascii="Arial" w:eastAsia="Arial" w:hAnsi="Arial" w:cs="Arial"/>
        </w:rPr>
        <w:t xml:space="preserve"> </w:t>
      </w:r>
    </w:p>
    <w:p w14:paraId="65FC33BB" w14:textId="27EDF6B2" w:rsidR="006E19B4" w:rsidRPr="009D3033" w:rsidRDefault="7AFF2710" w:rsidP="009D3033">
      <w:pPr>
        <w:spacing w:line="360" w:lineRule="auto"/>
        <w:jc w:val="both"/>
        <w:rPr>
          <w:rFonts w:ascii="Arial" w:eastAsia="Arial" w:hAnsi="Arial" w:cs="Arial"/>
          <w:b/>
          <w:bCs/>
        </w:rPr>
      </w:pPr>
      <w:r w:rsidRPr="009D3033">
        <w:rPr>
          <w:rFonts w:ascii="Arial" w:eastAsia="Arial" w:hAnsi="Arial" w:cs="Arial"/>
          <w:b/>
          <w:bCs/>
        </w:rPr>
        <w:t>Introduction</w:t>
      </w:r>
    </w:p>
    <w:p w14:paraId="2FD8315C" w14:textId="17B2E686" w:rsidR="006E19B4" w:rsidRPr="009D3033" w:rsidRDefault="7AFF2710" w:rsidP="009D3033">
      <w:pPr>
        <w:spacing w:line="360" w:lineRule="auto"/>
        <w:jc w:val="both"/>
        <w:rPr>
          <w:rFonts w:ascii="Arial" w:eastAsia="Arial" w:hAnsi="Arial" w:cs="Arial"/>
        </w:rPr>
      </w:pPr>
      <w:r w:rsidRPr="009D3033">
        <w:rPr>
          <w:rFonts w:ascii="Arial" w:eastAsia="Arial" w:hAnsi="Arial" w:cs="Arial"/>
        </w:rPr>
        <w:t xml:space="preserve"> In today's rapidly evolving business landscape, the success of any organization, particularly in the service industry such as a large hotel, is intrinsically tied to the level of engagement and commitment exhibited by its employees. This essay is dedicated to a comprehensive exploration of the pivotal role played by the human resources department in engaging employees from Generation Y and Generation Z throughout their tenure within a large hotel. Throughout this essay, we will delve deep into the distinct characteristics of these two generations, suggest comprehensive and tailored strategies for engaging them effectively, and highlight the multitude of advantages that arise from cultivating a highly engaged workforce. Furthermore, we will meticulously examine the employee lifecycle, which encompasses attraction, recruitment, onboarding, development, retention, and separation, elucidating the critical role that each stage plays in employee engagement. Real-world examples from the hotel industry will be provided to illustrate the practical implementation of these strategies. Additionally, we will incorporate an employee engagement model and provide insights into its practical application in the hotel industry.</w:t>
      </w:r>
    </w:p>
    <w:p w14:paraId="225DCD87" w14:textId="77777777" w:rsidR="009948C2" w:rsidRPr="009D3033" w:rsidRDefault="009948C2" w:rsidP="009D3033">
      <w:pPr>
        <w:spacing w:line="360" w:lineRule="auto"/>
        <w:jc w:val="both"/>
        <w:rPr>
          <w:rFonts w:ascii="Arial" w:eastAsia="Arial" w:hAnsi="Arial" w:cs="Arial"/>
        </w:rPr>
      </w:pPr>
    </w:p>
    <w:p w14:paraId="1508C09B" w14:textId="77777777" w:rsidR="009948C2" w:rsidRPr="009D3033" w:rsidRDefault="009948C2" w:rsidP="009D3033">
      <w:pPr>
        <w:spacing w:line="360" w:lineRule="auto"/>
        <w:jc w:val="both"/>
        <w:rPr>
          <w:rFonts w:ascii="Arial" w:eastAsia="Arial" w:hAnsi="Arial" w:cs="Arial"/>
          <w:b/>
          <w:bCs/>
        </w:rPr>
      </w:pPr>
      <w:r w:rsidRPr="009D3033">
        <w:rPr>
          <w:rFonts w:ascii="Arial" w:eastAsia="Arial" w:hAnsi="Arial" w:cs="Arial"/>
          <w:b/>
          <w:bCs/>
        </w:rPr>
        <w:t>The Role of Human Resources in Engaging Employees</w:t>
      </w:r>
    </w:p>
    <w:p w14:paraId="06039C2F" w14:textId="7087EE2F" w:rsidR="009948C2" w:rsidRPr="009D3033" w:rsidRDefault="009948C2" w:rsidP="009D3033">
      <w:pPr>
        <w:spacing w:line="360" w:lineRule="auto"/>
        <w:ind w:firstLine="720"/>
        <w:jc w:val="both"/>
        <w:rPr>
          <w:rFonts w:ascii="Arial" w:eastAsia="Arial" w:hAnsi="Arial" w:cs="Arial"/>
        </w:rPr>
      </w:pPr>
      <w:r w:rsidRPr="009D3033">
        <w:rPr>
          <w:rFonts w:ascii="Arial" w:eastAsia="Arial" w:hAnsi="Arial" w:cs="Arial"/>
        </w:rPr>
        <w:t>Human Resources (HR) plays a pivotal role in crafting an environment where employees, especially Generation Y, feel motivated and engaged. HR professionals are responsible for developing strategies and implementing policies that support workforce engagement. Their responsibilities include:</w:t>
      </w:r>
    </w:p>
    <w:p w14:paraId="1C4E8CE3"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b/>
          <w:bCs/>
          <w:sz w:val="24"/>
          <w:szCs w:val="24"/>
        </w:rPr>
        <w:t>Talent Acquisition:</w:t>
      </w:r>
      <w:r w:rsidRPr="009D3033">
        <w:rPr>
          <w:rFonts w:ascii="Arial" w:eastAsia="Arial" w:hAnsi="Arial" w:cs="Arial"/>
          <w:sz w:val="24"/>
          <w:szCs w:val="24"/>
        </w:rPr>
        <w:t xml:space="preserve"> HR departments design recruitment processes that attract top talent, including Millennials. They create job postings that resonate with the values and expectations of Generation Y, highlighting opportunities for career growth, work-life balance, and a modern work environment.</w:t>
      </w:r>
    </w:p>
    <w:p w14:paraId="0C5D41DE"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b/>
          <w:bCs/>
          <w:sz w:val="24"/>
          <w:szCs w:val="24"/>
        </w:rPr>
        <w:t>Onboarding:</w:t>
      </w:r>
      <w:r w:rsidRPr="009D3033">
        <w:rPr>
          <w:rFonts w:ascii="Arial" w:eastAsia="Arial" w:hAnsi="Arial" w:cs="Arial"/>
          <w:sz w:val="24"/>
          <w:szCs w:val="24"/>
        </w:rPr>
        <w:t xml:space="preserve"> Effective onboarding processes are essential for introducing new hires to the hotel's culture and values. HR teams are responsible for ensuring that new employees have a positive and informative experience from day one. They </w:t>
      </w:r>
      <w:r w:rsidRPr="009D3033">
        <w:rPr>
          <w:rFonts w:ascii="Arial" w:eastAsia="Arial" w:hAnsi="Arial" w:cs="Arial"/>
          <w:sz w:val="24"/>
          <w:szCs w:val="24"/>
        </w:rPr>
        <w:lastRenderedPageBreak/>
        <w:t>assign mentors and peer buddies to help newcomers integrate successfully into the organization.</w:t>
      </w:r>
    </w:p>
    <w:p w14:paraId="5FB3E531"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b/>
          <w:bCs/>
          <w:sz w:val="24"/>
          <w:szCs w:val="24"/>
        </w:rPr>
        <w:t>Development and Training:</w:t>
      </w:r>
      <w:r w:rsidRPr="009D3033">
        <w:rPr>
          <w:rFonts w:ascii="Arial" w:eastAsia="Arial" w:hAnsi="Arial" w:cs="Arial"/>
          <w:sz w:val="24"/>
          <w:szCs w:val="24"/>
        </w:rPr>
        <w:t xml:space="preserve"> HR designs training programs tailored to the professional development needs of Generation Y employees. They create opportunities for continuous learning, cross-functional experiences, and skill enhancement. They also offer clear career paths that allow employees to visualize their long-term growth within the organization.</w:t>
      </w:r>
    </w:p>
    <w:p w14:paraId="758AE56C"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b/>
          <w:bCs/>
          <w:sz w:val="24"/>
          <w:szCs w:val="24"/>
        </w:rPr>
        <w:t>Retention:</w:t>
      </w:r>
      <w:r w:rsidRPr="009D3033">
        <w:rPr>
          <w:rFonts w:ascii="Arial" w:eastAsia="Arial" w:hAnsi="Arial" w:cs="Arial"/>
          <w:sz w:val="24"/>
          <w:szCs w:val="24"/>
        </w:rPr>
        <w:t xml:space="preserve"> HR is instrumental in creating and implementing retention strategies. These include rewards and recognition programs, flexible work arrangements, and employee engagement initiatives. HR professionals conduct regular feedback sessions, listening to employee concerns and taking action to improve working conditions.</w:t>
      </w:r>
    </w:p>
    <w:p w14:paraId="5C3D382E" w14:textId="7382A1ED"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sz w:val="24"/>
          <w:szCs w:val="24"/>
        </w:rPr>
        <w:t>Separation: In the unfortunate event of employee separation, HR conducts exit interviews to understand the reasons for departure. This feedback loop can be invaluable in refining the organization's employee engagement strategies.</w:t>
      </w:r>
    </w:p>
    <w:p w14:paraId="33A13546" w14:textId="77777777" w:rsidR="009948C2" w:rsidRPr="009D3033" w:rsidRDefault="009948C2" w:rsidP="009D3033">
      <w:pPr>
        <w:spacing w:line="360" w:lineRule="auto"/>
        <w:jc w:val="both"/>
        <w:rPr>
          <w:rFonts w:ascii="Arial" w:eastAsia="Arial" w:hAnsi="Arial" w:cs="Arial"/>
          <w:b/>
          <w:bCs/>
        </w:rPr>
      </w:pPr>
    </w:p>
    <w:p w14:paraId="4A857BDF" w14:textId="5C52FE55" w:rsidR="009948C2" w:rsidRPr="009D3033" w:rsidRDefault="009948C2" w:rsidP="009D3033">
      <w:pPr>
        <w:spacing w:line="360" w:lineRule="auto"/>
        <w:jc w:val="both"/>
        <w:rPr>
          <w:rFonts w:ascii="Arial" w:eastAsia="Arial" w:hAnsi="Arial" w:cs="Arial"/>
          <w:b/>
          <w:bCs/>
        </w:rPr>
      </w:pPr>
      <w:r w:rsidRPr="009D3033">
        <w:rPr>
          <w:rFonts w:ascii="Arial" w:eastAsia="Arial" w:hAnsi="Arial" w:cs="Arial"/>
          <w:b/>
          <w:bCs/>
        </w:rPr>
        <w:t>Characteristics of Generation Y Employees</w:t>
      </w:r>
    </w:p>
    <w:p w14:paraId="2C60477D" w14:textId="77777777" w:rsidR="009948C2" w:rsidRPr="009D3033" w:rsidRDefault="009948C2" w:rsidP="009D3033">
      <w:pPr>
        <w:spacing w:line="360" w:lineRule="auto"/>
        <w:ind w:firstLine="720"/>
        <w:jc w:val="both"/>
        <w:rPr>
          <w:rFonts w:ascii="Arial" w:eastAsia="Arial" w:hAnsi="Arial" w:cs="Arial"/>
        </w:rPr>
      </w:pPr>
      <w:r w:rsidRPr="009D3033">
        <w:rPr>
          <w:rFonts w:ascii="Arial" w:eastAsia="Arial" w:hAnsi="Arial" w:cs="Arial"/>
        </w:rPr>
        <w:t>Generation Y, also known as Millennials, is a generation shaped by unique historical, social, and technological influences. To engage them effectively, it's crucial to understand their distinctive characteristics:</w:t>
      </w:r>
    </w:p>
    <w:p w14:paraId="5EB5F78F"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sz w:val="24"/>
          <w:szCs w:val="24"/>
        </w:rPr>
        <w:t>Digital Proficiency: Millennials are often referred to as "digital natives" because they grew up with technology. They are accustomed to digital communication, and they expect modern, user-friendly tools in the workplace.</w:t>
      </w:r>
    </w:p>
    <w:p w14:paraId="4CBDCB30"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sz w:val="24"/>
          <w:szCs w:val="24"/>
        </w:rPr>
        <w:t>Work-Life Balance: Generation Y places a high value on work-life balance. They are more inclined to seek opportunities that allow them to enjoy their personal lives without compromising their professional careers.</w:t>
      </w:r>
    </w:p>
    <w:p w14:paraId="26D1A8DD"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sz w:val="24"/>
          <w:szCs w:val="24"/>
        </w:rPr>
        <w:t>Purpose-Driven: Millennials desire meaningful work that aligns with their values. They seek opportunities to make a positive impact, and they are drawn to employers who demonstrate social and environmental responsibility.</w:t>
      </w:r>
    </w:p>
    <w:p w14:paraId="2DC6DDE5"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sz w:val="24"/>
          <w:szCs w:val="24"/>
        </w:rPr>
        <w:lastRenderedPageBreak/>
        <w:t>Career Growth: Career advancement is a top priority for Generation Y. They want to see a clear path for professional growth and are more likely to stay with an employer that offers opportunities for development.</w:t>
      </w:r>
    </w:p>
    <w:p w14:paraId="05CA53EE" w14:textId="59A86F68"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sz w:val="24"/>
          <w:szCs w:val="24"/>
        </w:rPr>
        <w:t>Collaboration: Millennials tend to be collaborative and thrive in team-oriented environments. They appreciate open communication, feedback, and recognition from their peers and superiors.</w:t>
      </w:r>
    </w:p>
    <w:p w14:paraId="3E028516" w14:textId="77777777" w:rsidR="009948C2" w:rsidRPr="009D3033" w:rsidRDefault="009948C2" w:rsidP="009D3033">
      <w:pPr>
        <w:spacing w:line="360" w:lineRule="auto"/>
        <w:jc w:val="both"/>
        <w:rPr>
          <w:rFonts w:ascii="Arial" w:eastAsia="Arial" w:hAnsi="Arial" w:cs="Arial"/>
          <w:b/>
          <w:bCs/>
        </w:rPr>
      </w:pPr>
    </w:p>
    <w:p w14:paraId="1D90F118" w14:textId="7F763096" w:rsidR="009948C2" w:rsidRPr="00764074" w:rsidRDefault="009948C2" w:rsidP="009D3033">
      <w:pPr>
        <w:spacing w:line="360" w:lineRule="auto"/>
        <w:jc w:val="both"/>
        <w:rPr>
          <w:rFonts w:ascii="Arial" w:eastAsia="Arial" w:hAnsi="Arial" w:cs="Arial"/>
          <w:b/>
          <w:bCs/>
        </w:rPr>
      </w:pPr>
      <w:r w:rsidRPr="009D3033">
        <w:rPr>
          <w:rFonts w:ascii="Arial" w:eastAsia="Arial" w:hAnsi="Arial" w:cs="Arial"/>
          <w:b/>
          <w:bCs/>
        </w:rPr>
        <w:t>Ways to Engage and the Advantages of Engaging a Generation Y Team</w:t>
      </w:r>
    </w:p>
    <w:p w14:paraId="5C7DF4B2" w14:textId="5EE09726" w:rsidR="009948C2" w:rsidRPr="009D3033" w:rsidRDefault="009948C2" w:rsidP="009D3033">
      <w:pPr>
        <w:spacing w:line="360" w:lineRule="auto"/>
        <w:jc w:val="both"/>
        <w:rPr>
          <w:rFonts w:ascii="Arial" w:eastAsia="Arial" w:hAnsi="Arial" w:cs="Arial"/>
          <w:b/>
          <w:bCs/>
        </w:rPr>
      </w:pPr>
      <w:r w:rsidRPr="009D3033">
        <w:rPr>
          <w:rFonts w:ascii="Arial" w:eastAsia="Arial" w:hAnsi="Arial" w:cs="Arial"/>
          <w:b/>
          <w:bCs/>
        </w:rPr>
        <w:t>1.Attraction</w:t>
      </w:r>
    </w:p>
    <w:p w14:paraId="4B5F806D" w14:textId="3EC4F762"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At the attraction stage, hotels can engage Generation Y by:</w:t>
      </w:r>
    </w:p>
    <w:p w14:paraId="29CEAD57" w14:textId="7777777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Leveraging digital platforms for recruitment and showcasing the hotel's commitment to sustainability, social responsibility, and a modern work environment.</w:t>
      </w:r>
    </w:p>
    <w:p w14:paraId="457E66DF" w14:textId="25534DA9"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Emphasizing opportunities for professional growth and work-life balance to attract talent that aligns with the organization's values.</w:t>
      </w:r>
    </w:p>
    <w:p w14:paraId="1D3D6330" w14:textId="7777777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The advantages of engaging Generation Y at this stage include a larger pool of candidates, a more diverse workforce, and the ability to attract individuals who resonate with the hotel's mission and values.</w:t>
      </w:r>
    </w:p>
    <w:p w14:paraId="1838CB73" w14:textId="77777777" w:rsidR="009948C2" w:rsidRPr="009D3033" w:rsidRDefault="009948C2" w:rsidP="009D3033">
      <w:pPr>
        <w:spacing w:line="360" w:lineRule="auto"/>
        <w:jc w:val="both"/>
        <w:rPr>
          <w:rFonts w:ascii="Arial" w:eastAsia="Arial" w:hAnsi="Arial" w:cs="Arial"/>
        </w:rPr>
      </w:pPr>
    </w:p>
    <w:p w14:paraId="21C47610" w14:textId="5813909F" w:rsidR="009948C2" w:rsidRPr="009D3033" w:rsidRDefault="009948C2" w:rsidP="009D3033">
      <w:pPr>
        <w:spacing w:line="360" w:lineRule="auto"/>
        <w:jc w:val="both"/>
        <w:rPr>
          <w:rFonts w:ascii="Arial" w:eastAsia="Arial" w:hAnsi="Arial" w:cs="Arial"/>
          <w:b/>
          <w:bCs/>
        </w:rPr>
      </w:pPr>
      <w:r w:rsidRPr="009D3033">
        <w:rPr>
          <w:rFonts w:ascii="Arial" w:eastAsia="Arial" w:hAnsi="Arial" w:cs="Arial"/>
          <w:b/>
          <w:bCs/>
        </w:rPr>
        <w:t>2. Recruitment</w:t>
      </w:r>
    </w:p>
    <w:p w14:paraId="493ABA6E" w14:textId="55E1AE7A"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During the recruitment phase, it's essential to engage potential employees by:</w:t>
      </w:r>
    </w:p>
    <w:p w14:paraId="6D0EE134" w14:textId="4DEF64E6"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Utilizing innovative recruitment techniques like video interviews and gamification to create a unique and exciting hiring experience.</w:t>
      </w:r>
    </w:p>
    <w:p w14:paraId="02697F9B" w14:textId="01A0167B"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Showcasing the hotel's commitment to diversity and inclusion, as this is an important factor for many Generation Y job seekers.</w:t>
      </w:r>
    </w:p>
    <w:p w14:paraId="24511894" w14:textId="7777777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Engaging Generation Y during recruitment leads to higher-quality hires who are not only technically qualified but also culturally aligned with the organization.</w:t>
      </w:r>
    </w:p>
    <w:p w14:paraId="5628B33E" w14:textId="77777777" w:rsidR="009948C2" w:rsidRPr="009D3033" w:rsidRDefault="009948C2" w:rsidP="009D3033">
      <w:pPr>
        <w:spacing w:line="360" w:lineRule="auto"/>
        <w:jc w:val="both"/>
        <w:rPr>
          <w:rFonts w:ascii="Arial" w:eastAsia="Arial" w:hAnsi="Arial" w:cs="Arial"/>
        </w:rPr>
      </w:pPr>
    </w:p>
    <w:p w14:paraId="7CFDA4E8" w14:textId="7EA6966F" w:rsidR="009948C2" w:rsidRPr="009D3033" w:rsidRDefault="009948C2" w:rsidP="009D3033">
      <w:pPr>
        <w:spacing w:line="360" w:lineRule="auto"/>
        <w:jc w:val="both"/>
        <w:rPr>
          <w:rFonts w:ascii="Arial" w:eastAsia="Arial" w:hAnsi="Arial" w:cs="Arial"/>
          <w:b/>
          <w:bCs/>
        </w:rPr>
      </w:pPr>
      <w:r w:rsidRPr="009D3033">
        <w:rPr>
          <w:rFonts w:ascii="Arial" w:eastAsia="Arial" w:hAnsi="Arial" w:cs="Arial"/>
          <w:b/>
          <w:bCs/>
        </w:rPr>
        <w:t>3. Onboarding:</w:t>
      </w:r>
    </w:p>
    <w:p w14:paraId="546C578D" w14:textId="57E618E2"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Effective onboarding strategies to engage Generation Y include:</w:t>
      </w:r>
    </w:p>
    <w:p w14:paraId="5B679BFB" w14:textId="7777777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Providing comprehensive training that goes beyond the basics to instill a deep understanding of the hotel's values, culture, and objectives.</w:t>
      </w:r>
    </w:p>
    <w:p w14:paraId="619DDCCC" w14:textId="315579FB" w:rsidR="009948C2" w:rsidRPr="009D3033" w:rsidRDefault="009948C2" w:rsidP="009D3033">
      <w:pPr>
        <w:spacing w:line="360" w:lineRule="auto"/>
        <w:jc w:val="both"/>
        <w:rPr>
          <w:rFonts w:ascii="Arial" w:eastAsia="Arial" w:hAnsi="Arial" w:cs="Arial"/>
        </w:rPr>
      </w:pPr>
      <w:r w:rsidRPr="009D3033">
        <w:rPr>
          <w:rFonts w:ascii="Arial" w:eastAsia="Arial" w:hAnsi="Arial" w:cs="Arial"/>
        </w:rPr>
        <w:lastRenderedPageBreak/>
        <w:t xml:space="preserve">   - Assigning mentors to help new employees integrate and connect with the organization. This mentorship can be particularly beneficial for younger employees, who may appreciate guidance in their early days with the company.</w:t>
      </w:r>
    </w:p>
    <w:p w14:paraId="002C69EF" w14:textId="7777777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Engaging Generation Y during onboarding sets the tone for a positive and productive employment experience. It helps newcomers feel welcome and integrated into the team.</w:t>
      </w:r>
    </w:p>
    <w:p w14:paraId="42E8B7E9" w14:textId="77777777" w:rsidR="009948C2" w:rsidRPr="009D3033" w:rsidRDefault="009948C2" w:rsidP="009D3033">
      <w:pPr>
        <w:spacing w:line="360" w:lineRule="auto"/>
        <w:jc w:val="both"/>
        <w:rPr>
          <w:rFonts w:ascii="Arial" w:eastAsia="Arial" w:hAnsi="Arial" w:cs="Arial"/>
        </w:rPr>
      </w:pPr>
    </w:p>
    <w:p w14:paraId="74950A65" w14:textId="774BAAD2" w:rsidR="009948C2" w:rsidRPr="009D3033" w:rsidRDefault="009948C2" w:rsidP="009D3033">
      <w:pPr>
        <w:spacing w:line="360" w:lineRule="auto"/>
        <w:jc w:val="both"/>
        <w:rPr>
          <w:rFonts w:ascii="Arial" w:eastAsia="Arial" w:hAnsi="Arial" w:cs="Arial"/>
          <w:b/>
          <w:bCs/>
        </w:rPr>
      </w:pPr>
      <w:r w:rsidRPr="009D3033">
        <w:rPr>
          <w:rFonts w:ascii="Arial" w:eastAsia="Arial" w:hAnsi="Arial" w:cs="Arial"/>
          <w:b/>
          <w:bCs/>
        </w:rPr>
        <w:t>4. Development:</w:t>
      </w:r>
    </w:p>
    <w:p w14:paraId="25D7F999" w14:textId="2CE5218B"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During the development stage, hotels can engage Generation Y employees by:</w:t>
      </w:r>
    </w:p>
    <w:p w14:paraId="698F3AD8" w14:textId="7777777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Offering continuous learning and development programs that align with individual career goals.</w:t>
      </w:r>
    </w:p>
    <w:p w14:paraId="36D16F9F" w14:textId="7777777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Encouraging participation in cross-functional projects, which fosters collaboration and provides valuable learning experiences.</w:t>
      </w:r>
    </w:p>
    <w:p w14:paraId="4D851154" w14:textId="77777777" w:rsidR="009948C2" w:rsidRPr="009D3033" w:rsidRDefault="009948C2" w:rsidP="009D3033">
      <w:pPr>
        <w:spacing w:line="360" w:lineRule="auto"/>
        <w:ind w:firstLine="720"/>
        <w:jc w:val="both"/>
        <w:rPr>
          <w:rFonts w:ascii="Arial" w:eastAsia="Arial" w:hAnsi="Arial" w:cs="Arial"/>
        </w:rPr>
      </w:pPr>
      <w:r w:rsidRPr="009D3033">
        <w:rPr>
          <w:rFonts w:ascii="Arial" w:eastAsia="Arial" w:hAnsi="Arial" w:cs="Arial"/>
        </w:rPr>
        <w:t>Engaging Generation Y in their ongoing development fosters a culture of growth and innovation, resulting in employees who are better equipped to meet the hotel's changing needs.</w:t>
      </w:r>
    </w:p>
    <w:p w14:paraId="3617D934" w14:textId="77777777" w:rsidR="009D3033" w:rsidRDefault="009D3033" w:rsidP="009D3033">
      <w:pPr>
        <w:spacing w:line="360" w:lineRule="auto"/>
        <w:jc w:val="both"/>
        <w:rPr>
          <w:rFonts w:ascii="Arial" w:eastAsia="Arial" w:hAnsi="Arial" w:cs="Arial"/>
          <w:b/>
          <w:bCs/>
        </w:rPr>
      </w:pPr>
    </w:p>
    <w:p w14:paraId="374FEB8D" w14:textId="17E48D92" w:rsidR="009948C2" w:rsidRPr="009D3033" w:rsidRDefault="009948C2" w:rsidP="009D3033">
      <w:pPr>
        <w:spacing w:line="360" w:lineRule="auto"/>
        <w:jc w:val="both"/>
        <w:rPr>
          <w:rFonts w:ascii="Arial" w:eastAsia="Arial" w:hAnsi="Arial" w:cs="Arial"/>
          <w:b/>
          <w:bCs/>
        </w:rPr>
      </w:pPr>
      <w:r w:rsidRPr="009D3033">
        <w:rPr>
          <w:rFonts w:ascii="Arial" w:eastAsia="Arial" w:hAnsi="Arial" w:cs="Arial"/>
          <w:b/>
          <w:bCs/>
        </w:rPr>
        <w:t>5. Retention:</w:t>
      </w:r>
    </w:p>
    <w:p w14:paraId="42080A98" w14:textId="2F714E51"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Retaining Generation Y employees involves:</w:t>
      </w:r>
    </w:p>
    <w:p w14:paraId="498B2F6D" w14:textId="7777777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Creating clear career paths and opportunities for advancement within the organization.</w:t>
      </w:r>
    </w:p>
    <w:p w14:paraId="5BCEE74C" w14:textId="28D6519E"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Recognizing and rewarding exceptional performance through a variety of means, including monetary incentives, career progression, or public recognition.</w:t>
      </w:r>
    </w:p>
    <w:p w14:paraId="2B8C2DD8" w14:textId="7777777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Engaging Generation Y at this stage leads to increased job satisfaction, lower turnover, and a workforce that is more motivated to contribute to the hotel's success.</w:t>
      </w:r>
    </w:p>
    <w:p w14:paraId="3BC78C23" w14:textId="77777777" w:rsidR="009948C2" w:rsidRPr="009D3033" w:rsidRDefault="009948C2" w:rsidP="009D3033">
      <w:pPr>
        <w:spacing w:line="360" w:lineRule="auto"/>
        <w:jc w:val="both"/>
        <w:rPr>
          <w:rFonts w:ascii="Arial" w:eastAsia="Arial" w:hAnsi="Arial" w:cs="Arial"/>
        </w:rPr>
      </w:pPr>
    </w:p>
    <w:p w14:paraId="57C36C72" w14:textId="3B8B5798" w:rsidR="009948C2" w:rsidRPr="009D3033" w:rsidRDefault="009948C2" w:rsidP="009D3033">
      <w:pPr>
        <w:spacing w:line="360" w:lineRule="auto"/>
        <w:jc w:val="both"/>
        <w:rPr>
          <w:rFonts w:ascii="Arial" w:eastAsia="Arial" w:hAnsi="Arial" w:cs="Arial"/>
          <w:b/>
          <w:bCs/>
        </w:rPr>
      </w:pPr>
      <w:r w:rsidRPr="009D3033">
        <w:rPr>
          <w:rFonts w:ascii="Arial" w:eastAsia="Arial" w:hAnsi="Arial" w:cs="Arial"/>
          <w:b/>
          <w:bCs/>
        </w:rPr>
        <w:t>6. Separation:</w:t>
      </w:r>
    </w:p>
    <w:p w14:paraId="29BEACBC" w14:textId="6BAC2B46"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Even when employees leave the organization, HR can engage Generation Y by:</w:t>
      </w:r>
    </w:p>
    <w:p w14:paraId="12F576C0" w14:textId="7777777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Conducting exit interviews to understand the reasons for departure and gather valuable feedback.</w:t>
      </w:r>
    </w:p>
    <w:p w14:paraId="46F9B1F9" w14:textId="4704FA17" w:rsidR="009948C2" w:rsidRPr="009D3033" w:rsidRDefault="009948C2" w:rsidP="009D3033">
      <w:pPr>
        <w:spacing w:line="360" w:lineRule="auto"/>
        <w:jc w:val="both"/>
        <w:rPr>
          <w:rFonts w:ascii="Arial" w:eastAsia="Arial" w:hAnsi="Arial" w:cs="Arial"/>
        </w:rPr>
      </w:pPr>
      <w:r w:rsidRPr="009D3033">
        <w:rPr>
          <w:rFonts w:ascii="Arial" w:eastAsia="Arial" w:hAnsi="Arial" w:cs="Arial"/>
        </w:rPr>
        <w:t xml:space="preserve">   - Using the feedback to improve retention strategies and make adjustments to policies and practices.</w:t>
      </w:r>
    </w:p>
    <w:p w14:paraId="1082A20F" w14:textId="24FB204B" w:rsidR="009948C2" w:rsidRPr="009D3033" w:rsidRDefault="009948C2" w:rsidP="009D3033">
      <w:pPr>
        <w:spacing w:line="360" w:lineRule="auto"/>
        <w:jc w:val="both"/>
        <w:rPr>
          <w:rFonts w:ascii="Arial" w:eastAsia="Arial" w:hAnsi="Arial" w:cs="Arial"/>
        </w:rPr>
      </w:pPr>
      <w:r w:rsidRPr="009D3033">
        <w:rPr>
          <w:rFonts w:ascii="Arial" w:eastAsia="Arial" w:hAnsi="Arial" w:cs="Arial"/>
        </w:rPr>
        <w:lastRenderedPageBreak/>
        <w:t xml:space="preserve">   Engaging Generation Y during separation not only helps the organization learn and grow but also keeps the door open for possible rehires or positive word-of-mouth recommendations.</w:t>
      </w:r>
    </w:p>
    <w:p w14:paraId="6EB26663" w14:textId="4E192502" w:rsidR="009948C2" w:rsidRPr="009D3033" w:rsidRDefault="009948C2" w:rsidP="009D3033">
      <w:pPr>
        <w:spacing w:line="360" w:lineRule="auto"/>
        <w:jc w:val="both"/>
        <w:rPr>
          <w:rFonts w:ascii="Arial" w:eastAsia="Arial" w:hAnsi="Arial" w:cs="Arial"/>
        </w:rPr>
      </w:pPr>
      <w:r w:rsidRPr="009D3033">
        <w:rPr>
          <w:rFonts w:ascii="Arial" w:eastAsia="Arial" w:hAnsi="Arial" w:cs="Arial"/>
        </w:rPr>
        <w:t>The advantages of engaging Generation Y throughout the employee lifecycle are numerous. They include:</w:t>
      </w:r>
    </w:p>
    <w:p w14:paraId="4C78F36D"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b/>
          <w:bCs/>
          <w:sz w:val="24"/>
          <w:szCs w:val="24"/>
        </w:rPr>
        <w:t>Increased Productivity:</w:t>
      </w:r>
      <w:r w:rsidRPr="009D3033">
        <w:rPr>
          <w:rFonts w:ascii="Arial" w:eastAsia="Arial" w:hAnsi="Arial" w:cs="Arial"/>
          <w:sz w:val="24"/>
          <w:szCs w:val="24"/>
        </w:rPr>
        <w:t xml:space="preserve"> Engaged employees are more motivated, productive, and committed to their work. This leads to higher output and better customer service in the hotel industry.</w:t>
      </w:r>
    </w:p>
    <w:p w14:paraId="33C2561B"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b/>
          <w:bCs/>
          <w:sz w:val="24"/>
          <w:szCs w:val="24"/>
        </w:rPr>
        <w:t>Higher Job Satisfaction:</w:t>
      </w:r>
      <w:r w:rsidRPr="009D3033">
        <w:rPr>
          <w:rFonts w:ascii="Arial" w:eastAsia="Arial" w:hAnsi="Arial" w:cs="Arial"/>
          <w:sz w:val="24"/>
          <w:szCs w:val="24"/>
        </w:rPr>
        <w:t xml:space="preserve"> Generation Y employees who feel engaged are more satisfied with their jobs, leading to lower absenteeism, reduced turnover, and higher levels of morale within the workforce.</w:t>
      </w:r>
    </w:p>
    <w:p w14:paraId="670C0B8E" w14:textId="77777777"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b/>
          <w:bCs/>
          <w:sz w:val="24"/>
          <w:szCs w:val="24"/>
        </w:rPr>
        <w:t>Reduced Turnover:</w:t>
      </w:r>
      <w:r w:rsidRPr="009D3033">
        <w:rPr>
          <w:rFonts w:ascii="Arial" w:eastAsia="Arial" w:hAnsi="Arial" w:cs="Arial"/>
          <w:sz w:val="24"/>
          <w:szCs w:val="24"/>
        </w:rPr>
        <w:t xml:space="preserve"> Engaging Generation Y throughout their employee lifecycle reduces turnover, which is especially critical in the hospitality industry where frequent turnover can negatively impact customer service.</w:t>
      </w:r>
    </w:p>
    <w:p w14:paraId="6B465EE6" w14:textId="506FAB50" w:rsidR="009948C2" w:rsidRPr="009D3033" w:rsidRDefault="009948C2" w:rsidP="009D3033">
      <w:pPr>
        <w:pStyle w:val="ListParagraph"/>
        <w:numPr>
          <w:ilvl w:val="0"/>
          <w:numId w:val="2"/>
        </w:numPr>
        <w:spacing w:line="360" w:lineRule="auto"/>
        <w:jc w:val="both"/>
        <w:rPr>
          <w:rFonts w:ascii="Arial" w:eastAsia="Arial" w:hAnsi="Arial" w:cs="Arial"/>
          <w:sz w:val="24"/>
          <w:szCs w:val="24"/>
        </w:rPr>
      </w:pPr>
      <w:r w:rsidRPr="009D3033">
        <w:rPr>
          <w:rFonts w:ascii="Arial" w:eastAsia="Arial" w:hAnsi="Arial" w:cs="Arial"/>
          <w:b/>
          <w:bCs/>
          <w:sz w:val="24"/>
          <w:szCs w:val="24"/>
        </w:rPr>
        <w:t>Positive Organizational Culture:</w:t>
      </w:r>
      <w:r w:rsidRPr="009D3033">
        <w:rPr>
          <w:rFonts w:ascii="Arial" w:eastAsia="Arial" w:hAnsi="Arial" w:cs="Arial"/>
          <w:sz w:val="24"/>
          <w:szCs w:val="24"/>
        </w:rPr>
        <w:t xml:space="preserve"> Engaging Generation Y fosters a positive organizational culture that values transparency, collaboration, and innovation. This can lead to better teamwork, employee well-being, and a more enjoyable workplace.</w:t>
      </w:r>
    </w:p>
    <w:p w14:paraId="1177C7D3" w14:textId="77777777" w:rsidR="009948C2" w:rsidRPr="009D3033" w:rsidRDefault="009948C2" w:rsidP="009D3033">
      <w:pPr>
        <w:spacing w:line="360" w:lineRule="auto"/>
        <w:jc w:val="both"/>
        <w:rPr>
          <w:rFonts w:ascii="Arial" w:eastAsia="Arial" w:hAnsi="Arial" w:cs="Arial"/>
          <w:b/>
          <w:bCs/>
        </w:rPr>
      </w:pPr>
    </w:p>
    <w:p w14:paraId="0D425EEE" w14:textId="3B39A871" w:rsidR="009948C2" w:rsidRPr="009D3033" w:rsidRDefault="009948C2" w:rsidP="009D3033">
      <w:pPr>
        <w:spacing w:line="360" w:lineRule="auto"/>
        <w:jc w:val="both"/>
        <w:rPr>
          <w:rFonts w:ascii="Arial" w:eastAsia="Arial" w:hAnsi="Arial" w:cs="Arial"/>
          <w:b/>
          <w:bCs/>
        </w:rPr>
      </w:pPr>
      <w:r w:rsidRPr="009D3033">
        <w:rPr>
          <w:rFonts w:ascii="Arial" w:eastAsia="Arial" w:hAnsi="Arial" w:cs="Arial"/>
          <w:b/>
          <w:bCs/>
        </w:rPr>
        <w:t xml:space="preserve"> Employee Engagement Model Implementation</w:t>
      </w:r>
    </w:p>
    <w:p w14:paraId="69A31391" w14:textId="7506A2C4" w:rsidR="009D3033" w:rsidRPr="009D3033" w:rsidRDefault="009948C2" w:rsidP="009D3033">
      <w:pPr>
        <w:spacing w:line="360" w:lineRule="auto"/>
        <w:jc w:val="both"/>
        <w:rPr>
          <w:rFonts w:ascii="Arial" w:eastAsia="Arial" w:hAnsi="Arial" w:cs="Arial"/>
        </w:rPr>
      </w:pPr>
      <w:r w:rsidRPr="009D3033">
        <w:rPr>
          <w:rFonts w:ascii="Arial" w:eastAsia="Arial" w:hAnsi="Arial" w:cs="Arial"/>
        </w:rPr>
        <w:t>To effectively engage Generation Y employees, hotels can employ various employee engagement models. One prominent model</w:t>
      </w:r>
      <w:r w:rsidR="009D3033" w:rsidRPr="009D3033">
        <w:rPr>
          <w:rFonts w:ascii="Arial" w:eastAsia="Arial" w:hAnsi="Arial" w:cs="Arial"/>
        </w:rPr>
        <w:t xml:space="preserve"> that has gained recognition and proven effectiveness is the Gallup Q12 model. This model consists of twelve questions aimed at measuring employee engagement. Implementing the Gallup Q12 model involves the following steps:</w:t>
      </w:r>
    </w:p>
    <w:p w14:paraId="1E2BEC6F" w14:textId="1A9F23FB" w:rsidR="009D3033" w:rsidRPr="009D3033" w:rsidRDefault="009D3033" w:rsidP="009D3033">
      <w:pPr>
        <w:spacing w:line="360" w:lineRule="auto"/>
        <w:jc w:val="both"/>
        <w:rPr>
          <w:rFonts w:ascii="Arial" w:eastAsia="Arial" w:hAnsi="Arial" w:cs="Arial"/>
        </w:rPr>
      </w:pPr>
      <w:r w:rsidRPr="009D3033">
        <w:rPr>
          <w:rFonts w:ascii="Arial" w:eastAsia="Arial" w:hAnsi="Arial" w:cs="Arial"/>
          <w:b/>
          <w:bCs/>
        </w:rPr>
        <w:t>1. Regular Surveys:</w:t>
      </w:r>
      <w:r w:rsidRPr="009D3033">
        <w:rPr>
          <w:rFonts w:ascii="Arial" w:eastAsia="Arial" w:hAnsi="Arial" w:cs="Arial"/>
        </w:rPr>
        <w:t xml:space="preserve"> Hotels should conduct regular surveys, using the Q12 questions as a foundation, to gauge the level of employee engagement within the organization. These surveys can be administered annually or semi-annually.</w:t>
      </w:r>
    </w:p>
    <w:p w14:paraId="04711163" w14:textId="3A11F184" w:rsidR="009D3033" w:rsidRPr="009D3033" w:rsidRDefault="009D3033" w:rsidP="009D3033">
      <w:pPr>
        <w:spacing w:line="360" w:lineRule="auto"/>
        <w:jc w:val="both"/>
        <w:rPr>
          <w:rFonts w:ascii="Arial" w:eastAsia="Arial" w:hAnsi="Arial" w:cs="Arial"/>
        </w:rPr>
      </w:pPr>
      <w:r w:rsidRPr="009D3033">
        <w:rPr>
          <w:rFonts w:ascii="Arial" w:eastAsia="Arial" w:hAnsi="Arial" w:cs="Arial"/>
          <w:b/>
          <w:bCs/>
        </w:rPr>
        <w:t>2. Data Analysis:</w:t>
      </w:r>
      <w:r w:rsidRPr="009D3033">
        <w:rPr>
          <w:rFonts w:ascii="Arial" w:eastAsia="Arial" w:hAnsi="Arial" w:cs="Arial"/>
        </w:rPr>
        <w:t xml:space="preserve"> Once the survey results are collected, HR teams and management should collaborate to analyze the data. This analysis involves identifying trends, areas of strength, and opportunities for improvement.</w:t>
      </w:r>
    </w:p>
    <w:p w14:paraId="2D9A37D0" w14:textId="3B394A18" w:rsidR="009D3033" w:rsidRPr="009D3033" w:rsidRDefault="009D3033" w:rsidP="009D3033">
      <w:pPr>
        <w:spacing w:line="360" w:lineRule="auto"/>
        <w:jc w:val="both"/>
        <w:rPr>
          <w:rFonts w:ascii="Arial" w:eastAsia="Arial" w:hAnsi="Arial" w:cs="Arial"/>
        </w:rPr>
      </w:pPr>
      <w:r w:rsidRPr="009D3033">
        <w:rPr>
          <w:rFonts w:ascii="Arial" w:eastAsia="Arial" w:hAnsi="Arial" w:cs="Arial"/>
          <w:b/>
          <w:bCs/>
        </w:rPr>
        <w:lastRenderedPageBreak/>
        <w:t>3. Action Planning:</w:t>
      </w:r>
      <w:r w:rsidRPr="009D3033">
        <w:rPr>
          <w:rFonts w:ascii="Arial" w:eastAsia="Arial" w:hAnsi="Arial" w:cs="Arial"/>
        </w:rPr>
        <w:t xml:space="preserve"> Based on the analysis, hotels can develop action plans to address areas of concern and build on strengths. This might involve developing specific programs, initiatives, or changes in policies and procedures.</w:t>
      </w:r>
    </w:p>
    <w:p w14:paraId="105BF9D0" w14:textId="47A25F92" w:rsidR="009D3033" w:rsidRPr="009D3033" w:rsidRDefault="009D3033" w:rsidP="009D3033">
      <w:pPr>
        <w:spacing w:line="360" w:lineRule="auto"/>
        <w:jc w:val="both"/>
        <w:rPr>
          <w:rFonts w:ascii="Arial" w:eastAsia="Arial" w:hAnsi="Arial" w:cs="Arial"/>
        </w:rPr>
      </w:pPr>
      <w:r w:rsidRPr="009D3033">
        <w:rPr>
          <w:rFonts w:ascii="Arial" w:eastAsia="Arial" w:hAnsi="Arial" w:cs="Arial"/>
          <w:b/>
          <w:bCs/>
        </w:rPr>
        <w:t>4. Continuous Feedback:</w:t>
      </w:r>
      <w:r w:rsidRPr="009D3033">
        <w:rPr>
          <w:rFonts w:ascii="Arial" w:eastAsia="Arial" w:hAnsi="Arial" w:cs="Arial"/>
        </w:rPr>
        <w:t xml:space="preserve"> Open lines of communication between employees and management should be maintained. Encouraging employees to voice their concerns and ideas is essential in keeping engagement levels high.</w:t>
      </w:r>
    </w:p>
    <w:p w14:paraId="2E2BA1FD" w14:textId="03D6140F" w:rsidR="009D3033" w:rsidRDefault="009D3033" w:rsidP="009D3033">
      <w:pPr>
        <w:spacing w:line="360" w:lineRule="auto"/>
        <w:jc w:val="both"/>
        <w:rPr>
          <w:rFonts w:ascii="Arial" w:eastAsia="Arial" w:hAnsi="Arial" w:cs="Arial"/>
        </w:rPr>
      </w:pPr>
      <w:r w:rsidRPr="009D3033">
        <w:rPr>
          <w:rFonts w:ascii="Arial" w:eastAsia="Arial" w:hAnsi="Arial" w:cs="Arial"/>
          <w:b/>
          <w:bCs/>
        </w:rPr>
        <w:t>5. Regular Follow-Up:</w:t>
      </w:r>
      <w:r w:rsidRPr="009D3033">
        <w:rPr>
          <w:rFonts w:ascii="Arial" w:eastAsia="Arial" w:hAnsi="Arial" w:cs="Arial"/>
        </w:rPr>
        <w:t xml:space="preserve"> After implementing changes, it's important to monitor their impact on employee engagement. Regular follow-up surveys can help determine the effectiveness of the strategies put in place.</w:t>
      </w:r>
    </w:p>
    <w:p w14:paraId="2438AA34" w14:textId="77777777" w:rsidR="009D3033" w:rsidRPr="009D3033" w:rsidRDefault="009D3033" w:rsidP="009D3033">
      <w:pPr>
        <w:spacing w:line="360" w:lineRule="auto"/>
        <w:jc w:val="both"/>
        <w:rPr>
          <w:rFonts w:ascii="Arial" w:eastAsia="Arial" w:hAnsi="Arial" w:cs="Arial"/>
        </w:rPr>
      </w:pPr>
    </w:p>
    <w:p w14:paraId="4BABCE28" w14:textId="77777777" w:rsidR="009D3033" w:rsidRDefault="009D3033" w:rsidP="009D3033">
      <w:pPr>
        <w:spacing w:line="360" w:lineRule="auto"/>
        <w:jc w:val="both"/>
        <w:rPr>
          <w:rFonts w:ascii="Arial" w:eastAsia="Arial" w:hAnsi="Arial" w:cs="Arial"/>
        </w:rPr>
      </w:pPr>
      <w:r w:rsidRPr="009D3033">
        <w:rPr>
          <w:rFonts w:ascii="Arial" w:eastAsia="Arial" w:hAnsi="Arial" w:cs="Arial"/>
        </w:rPr>
        <w:t>The Gallup Q12 model can help hotels measure and improve employee engagement, leading to better job satisfaction and performance among Generation Y employees.</w:t>
      </w:r>
    </w:p>
    <w:p w14:paraId="47A85565" w14:textId="1910B4AB" w:rsidR="009D3033" w:rsidRPr="009D3033" w:rsidRDefault="009D3033" w:rsidP="009D3033">
      <w:pPr>
        <w:spacing w:line="360" w:lineRule="auto"/>
        <w:jc w:val="both"/>
        <w:rPr>
          <w:rFonts w:ascii="Arial" w:eastAsia="Arial" w:hAnsi="Arial" w:cs="Arial"/>
          <w:b/>
          <w:bCs/>
        </w:rPr>
      </w:pPr>
      <w:r w:rsidRPr="009D3033">
        <w:rPr>
          <w:rFonts w:ascii="Arial" w:eastAsia="Arial" w:hAnsi="Arial" w:cs="Arial"/>
          <w:b/>
          <w:bCs/>
        </w:rPr>
        <w:t>Examples from the Hotel Industry</w:t>
      </w:r>
    </w:p>
    <w:p w14:paraId="12740700" w14:textId="652A1199" w:rsidR="009D3033" w:rsidRPr="009D3033" w:rsidRDefault="009D3033" w:rsidP="009D3033">
      <w:pPr>
        <w:spacing w:line="360" w:lineRule="auto"/>
        <w:jc w:val="both"/>
        <w:rPr>
          <w:rFonts w:ascii="Arial" w:eastAsia="Arial" w:hAnsi="Arial" w:cs="Arial"/>
        </w:rPr>
      </w:pPr>
      <w:r w:rsidRPr="009D3033">
        <w:rPr>
          <w:rFonts w:ascii="Arial" w:eastAsia="Arial" w:hAnsi="Arial" w:cs="Arial"/>
        </w:rPr>
        <w:t xml:space="preserve">The hotel industry has recognized the importance of engaging Generation Y employees </w:t>
      </w:r>
      <w:r w:rsidR="002C6986">
        <w:rPr>
          <w:rFonts w:ascii="Arial" w:eastAsia="Arial" w:hAnsi="Arial" w:cs="Arial"/>
        </w:rPr>
        <w:t xml:space="preserve">like Marriot </w:t>
      </w:r>
      <w:r w:rsidRPr="009D3033">
        <w:rPr>
          <w:rFonts w:ascii="Arial" w:eastAsia="Arial" w:hAnsi="Arial" w:cs="Arial"/>
        </w:rPr>
        <w:t>and has implemented various strategies to do so. Here are some real-world examples from the industry:</w:t>
      </w:r>
    </w:p>
    <w:p w14:paraId="3352E04F" w14:textId="48403151" w:rsidR="009D3033" w:rsidRPr="009D3033" w:rsidRDefault="009D3033" w:rsidP="009D3033">
      <w:pPr>
        <w:spacing w:line="360" w:lineRule="auto"/>
        <w:jc w:val="both"/>
        <w:rPr>
          <w:rFonts w:ascii="Arial" w:eastAsia="Arial" w:hAnsi="Arial" w:cs="Arial"/>
        </w:rPr>
      </w:pPr>
      <w:r w:rsidRPr="009D3033">
        <w:rPr>
          <w:rFonts w:ascii="Arial" w:eastAsia="Arial" w:hAnsi="Arial" w:cs="Arial"/>
          <w:b/>
          <w:bCs/>
        </w:rPr>
        <w:t>1. Wellness Programs:</w:t>
      </w:r>
      <w:r w:rsidRPr="009D3033">
        <w:rPr>
          <w:rFonts w:ascii="Arial" w:eastAsia="Arial" w:hAnsi="Arial" w:cs="Arial"/>
        </w:rPr>
        <w:t xml:space="preserve"> Many hotels now offer wellness programs that cater to the physical and mental health needs of their employees. These programs include gym access, yoga classes, stress management workshops, and mental health support. The Hilton hotel chain, for instance, offers an extensive Team Member Assistance Program (TMAP) to provide counseling and support to their employees.</w:t>
      </w:r>
    </w:p>
    <w:p w14:paraId="36C585A9" w14:textId="2F0E0B29" w:rsidR="009D3033" w:rsidRPr="009D3033" w:rsidRDefault="009D3033" w:rsidP="009D3033">
      <w:pPr>
        <w:spacing w:line="360" w:lineRule="auto"/>
        <w:jc w:val="both"/>
        <w:rPr>
          <w:rFonts w:ascii="Arial" w:eastAsia="Arial" w:hAnsi="Arial" w:cs="Arial"/>
        </w:rPr>
      </w:pPr>
      <w:r w:rsidRPr="009D3033">
        <w:rPr>
          <w:rFonts w:ascii="Arial" w:eastAsia="Arial" w:hAnsi="Arial" w:cs="Arial"/>
          <w:b/>
          <w:bCs/>
        </w:rPr>
        <w:t>2. Flexible Work Arrangements:</w:t>
      </w:r>
      <w:r w:rsidRPr="009D3033">
        <w:rPr>
          <w:rFonts w:ascii="Arial" w:eastAsia="Arial" w:hAnsi="Arial" w:cs="Arial"/>
        </w:rPr>
        <w:t xml:space="preserve"> To accommodate Generation Y's desire for work-life balance, hotels have introduced flexible work arrangements. This includes options like compressed workweeks, remote work, and flexible scheduling. The Marriott group has implemented flexible working hours to meet the diverse needs of its employees.</w:t>
      </w:r>
    </w:p>
    <w:p w14:paraId="32BA6C07" w14:textId="48CEF4BE" w:rsidR="009D3033" w:rsidRPr="009D3033" w:rsidRDefault="009D3033" w:rsidP="009D3033">
      <w:pPr>
        <w:spacing w:line="360" w:lineRule="auto"/>
        <w:jc w:val="both"/>
        <w:rPr>
          <w:rFonts w:ascii="Arial" w:eastAsia="Arial" w:hAnsi="Arial" w:cs="Arial"/>
        </w:rPr>
      </w:pPr>
      <w:r w:rsidRPr="009D3033">
        <w:rPr>
          <w:rFonts w:ascii="Arial" w:eastAsia="Arial" w:hAnsi="Arial" w:cs="Arial"/>
          <w:b/>
          <w:bCs/>
        </w:rPr>
        <w:t>3. Sustainability Initiatives:</w:t>
      </w:r>
      <w:r w:rsidRPr="009D3033">
        <w:rPr>
          <w:rFonts w:ascii="Arial" w:eastAsia="Arial" w:hAnsi="Arial" w:cs="Arial"/>
        </w:rPr>
        <w:t xml:space="preserve"> Generation Y is environmentally conscious and gravitates towards employers with a strong commitment to sustainability. Hotels such as AccorHotels have made sustainability a core part of their culture. They engage employees in various green initiatives, contributing to a sense of purpose and environmental responsibility.</w:t>
      </w:r>
    </w:p>
    <w:p w14:paraId="0A3E7194" w14:textId="092B8F48" w:rsidR="009D3033" w:rsidRPr="009D3033" w:rsidRDefault="009D3033" w:rsidP="009D3033">
      <w:pPr>
        <w:spacing w:line="360" w:lineRule="auto"/>
        <w:jc w:val="both"/>
        <w:rPr>
          <w:rFonts w:ascii="Arial" w:eastAsia="Arial" w:hAnsi="Arial" w:cs="Arial"/>
        </w:rPr>
      </w:pPr>
      <w:r w:rsidRPr="009D3033">
        <w:rPr>
          <w:rFonts w:ascii="Arial" w:eastAsia="Arial" w:hAnsi="Arial" w:cs="Arial"/>
          <w:b/>
          <w:bCs/>
        </w:rPr>
        <w:lastRenderedPageBreak/>
        <w:t>4. Professional Development Workshops:</w:t>
      </w:r>
      <w:r w:rsidRPr="009D3033">
        <w:rPr>
          <w:rFonts w:ascii="Arial" w:eastAsia="Arial" w:hAnsi="Arial" w:cs="Arial"/>
        </w:rPr>
        <w:t xml:space="preserve"> Many hotels offer professional development workshops, both internally and externally. These workshops help employees gain new skills and further their careers. Marriott, for example, offers the "Global Pathways" program, which is designed to accelerate the development of future hotel leaders.</w:t>
      </w:r>
    </w:p>
    <w:p w14:paraId="1736F6B9" w14:textId="04F3C525" w:rsidR="009D3033" w:rsidRPr="009D3033" w:rsidRDefault="009D3033" w:rsidP="009D3033">
      <w:pPr>
        <w:spacing w:line="360" w:lineRule="auto"/>
        <w:jc w:val="both"/>
        <w:rPr>
          <w:rFonts w:ascii="Arial" w:eastAsia="Arial" w:hAnsi="Arial" w:cs="Arial"/>
        </w:rPr>
      </w:pPr>
      <w:r w:rsidRPr="009D3033">
        <w:rPr>
          <w:rFonts w:ascii="Arial" w:eastAsia="Arial" w:hAnsi="Arial" w:cs="Arial"/>
          <w:b/>
          <w:bCs/>
        </w:rPr>
        <w:t>5. Community Engagement:</w:t>
      </w:r>
      <w:r w:rsidRPr="009D3033">
        <w:rPr>
          <w:rFonts w:ascii="Arial" w:eastAsia="Arial" w:hAnsi="Arial" w:cs="Arial"/>
        </w:rPr>
        <w:t xml:space="preserve"> Generation Y appreciates opportunities to make a positive impact on their communities. Some hotels encourage their employees to participate in community service projects and volunteer work. The Ritz-Carlton is known for its Community Footprints program, which engages employees in community service activities.</w:t>
      </w:r>
    </w:p>
    <w:p w14:paraId="32A3E762" w14:textId="1A9C9B05" w:rsidR="009D3033" w:rsidRPr="009D3033" w:rsidRDefault="009D3033" w:rsidP="009D3033">
      <w:pPr>
        <w:spacing w:line="360" w:lineRule="auto"/>
        <w:jc w:val="both"/>
        <w:rPr>
          <w:rFonts w:ascii="Arial" w:eastAsia="Arial" w:hAnsi="Arial" w:cs="Arial"/>
        </w:rPr>
      </w:pPr>
      <w:r w:rsidRPr="009D3033">
        <w:rPr>
          <w:rFonts w:ascii="Arial" w:eastAsia="Arial" w:hAnsi="Arial" w:cs="Arial"/>
          <w:b/>
          <w:bCs/>
        </w:rPr>
        <w:t>6. Employee Recognition Programs:</w:t>
      </w:r>
      <w:r w:rsidRPr="009D3033">
        <w:rPr>
          <w:rFonts w:ascii="Arial" w:eastAsia="Arial" w:hAnsi="Arial" w:cs="Arial"/>
        </w:rPr>
        <w:t xml:space="preserve"> Employee recognition programs are used to acknowledge and reward outstanding performance. These programs can include awards, bonuses, and public recognition. The Four Seasons Hotels and Resorts, for instance, has a "Catch Me at My Best" program where employees are recognized and rewarded for their exceptional efforts.</w:t>
      </w:r>
    </w:p>
    <w:p w14:paraId="54F05BB7" w14:textId="77777777" w:rsidR="009D3033" w:rsidRPr="009D3033" w:rsidRDefault="009D3033" w:rsidP="009D3033">
      <w:pPr>
        <w:spacing w:line="360" w:lineRule="auto"/>
        <w:jc w:val="both"/>
        <w:rPr>
          <w:rFonts w:ascii="Arial" w:eastAsia="Arial" w:hAnsi="Arial" w:cs="Arial"/>
        </w:rPr>
      </w:pPr>
    </w:p>
    <w:p w14:paraId="7B21E6AD" w14:textId="16DEC402" w:rsidR="009D3033" w:rsidRPr="009D3033" w:rsidRDefault="009D3033" w:rsidP="009D3033">
      <w:pPr>
        <w:spacing w:line="360" w:lineRule="auto"/>
        <w:jc w:val="both"/>
        <w:rPr>
          <w:rFonts w:ascii="Arial" w:eastAsia="Arial" w:hAnsi="Arial" w:cs="Arial"/>
          <w:b/>
          <w:bCs/>
        </w:rPr>
      </w:pPr>
      <w:r w:rsidRPr="009D3033">
        <w:rPr>
          <w:rFonts w:ascii="Arial" w:eastAsia="Arial" w:hAnsi="Arial" w:cs="Arial"/>
          <w:b/>
          <w:bCs/>
        </w:rPr>
        <w:t>Conclusion</w:t>
      </w:r>
    </w:p>
    <w:p w14:paraId="0AC73656" w14:textId="7B12309A" w:rsidR="009D3033" w:rsidRPr="009D3033" w:rsidRDefault="009D3033" w:rsidP="009D3033">
      <w:pPr>
        <w:spacing w:line="360" w:lineRule="auto"/>
        <w:jc w:val="both"/>
        <w:rPr>
          <w:rFonts w:ascii="Arial" w:eastAsia="Arial" w:hAnsi="Arial" w:cs="Arial"/>
        </w:rPr>
      </w:pPr>
      <w:r w:rsidRPr="009D3033">
        <w:rPr>
          <w:rFonts w:ascii="Arial" w:eastAsia="Arial" w:hAnsi="Arial" w:cs="Arial"/>
        </w:rPr>
        <w:t>In conclusion, engaging Generation Y employees throughout their journey within a large hotel is essential for ensuring the organization's success. The HR department plays a pivotal role in crafting an environment that aligns with the unique characteristics of this generation, such as their digital proficiency, desire for work-life balance, and purpose-driven mentality. Implementing engagement strategies at each stage of the employee lifecycle not only benefits the employees but also contributes to the hotel's success through increased productivity, reduced turnover, and an improved organizational culture.</w:t>
      </w:r>
    </w:p>
    <w:p w14:paraId="146C5818" w14:textId="03DF86C6" w:rsidR="009D3033" w:rsidRPr="009D3033" w:rsidRDefault="009D3033" w:rsidP="009D3033">
      <w:pPr>
        <w:spacing w:line="360" w:lineRule="auto"/>
        <w:jc w:val="both"/>
        <w:rPr>
          <w:rFonts w:ascii="Arial" w:eastAsia="Arial" w:hAnsi="Arial" w:cs="Arial"/>
        </w:rPr>
      </w:pPr>
      <w:r w:rsidRPr="009D3033">
        <w:rPr>
          <w:rFonts w:ascii="Arial" w:eastAsia="Arial" w:hAnsi="Arial" w:cs="Arial"/>
        </w:rPr>
        <w:t>Furthermore, the implementation of employee engagement models, such as the Gallup Q12 model, provides a structured and data-driven approach to fostering a highly engaged workforce. Regular surveys, data analysis, and action planning help in fine-tuning strategies for better engagement.</w:t>
      </w:r>
    </w:p>
    <w:p w14:paraId="0B4DCCF3" w14:textId="3142131A" w:rsidR="009D3033" w:rsidRPr="009D3033" w:rsidRDefault="009D3033" w:rsidP="009D3033">
      <w:pPr>
        <w:spacing w:line="360" w:lineRule="auto"/>
        <w:jc w:val="both"/>
        <w:rPr>
          <w:rFonts w:ascii="Arial" w:eastAsia="Arial" w:hAnsi="Arial" w:cs="Arial"/>
        </w:rPr>
      </w:pPr>
      <w:r w:rsidRPr="009D3033">
        <w:rPr>
          <w:rFonts w:ascii="Arial" w:eastAsia="Arial" w:hAnsi="Arial" w:cs="Arial"/>
        </w:rPr>
        <w:t>Real-world examples from the hotel industry demonstrate that hotels are increasingly recognizing the importance of catering to Generation Y's preferences and values. Initiatives like wellness programs, flexible work arrangements, sustainability efforts, and professional development opportunities contribute to a dynamic and engaged workforce.</w:t>
      </w:r>
    </w:p>
    <w:p w14:paraId="782F3A04" w14:textId="42BC38C7" w:rsidR="009948C2" w:rsidRPr="009D3033" w:rsidRDefault="009D3033" w:rsidP="009D3033">
      <w:pPr>
        <w:spacing w:line="360" w:lineRule="auto"/>
        <w:jc w:val="both"/>
        <w:rPr>
          <w:rFonts w:ascii="Arial" w:eastAsia="Arial" w:hAnsi="Arial" w:cs="Arial"/>
        </w:rPr>
      </w:pPr>
      <w:r w:rsidRPr="009D3033">
        <w:rPr>
          <w:rFonts w:ascii="Arial" w:eastAsia="Arial" w:hAnsi="Arial" w:cs="Arial"/>
        </w:rPr>
        <w:lastRenderedPageBreak/>
        <w:t>In a highly competitive industry like hospitality, the value of employee engagement cannot be overstated. Engaged employees not only provide better service to guests but also contribute to a positive workplace culture. In the long run, engaged Generation Y employees are a key asset in achieving the hotel's mission, providing exceptional experiences to guests, and ultimately thriving in the competitive market.</w:t>
      </w:r>
    </w:p>
    <w:p w14:paraId="0B47DFC2" w14:textId="799720CA" w:rsidR="006E19B4" w:rsidRDefault="7AFF2710" w:rsidP="20E2E752">
      <w:pPr>
        <w:spacing w:line="360" w:lineRule="auto"/>
        <w:jc w:val="both"/>
        <w:rPr>
          <w:rFonts w:ascii="Arial" w:eastAsia="Arial" w:hAnsi="Arial" w:cs="Arial"/>
        </w:rPr>
      </w:pPr>
      <w:r w:rsidRPr="20E2E752">
        <w:rPr>
          <w:rFonts w:ascii="Arial" w:eastAsia="Arial" w:hAnsi="Arial" w:cs="Arial"/>
        </w:rPr>
        <w:t xml:space="preserve"> </w:t>
      </w:r>
    </w:p>
    <w:p w14:paraId="313232DB" w14:textId="77777777" w:rsidR="002C6986" w:rsidRDefault="002C6986" w:rsidP="20E2E752">
      <w:pPr>
        <w:spacing w:line="360" w:lineRule="auto"/>
        <w:jc w:val="both"/>
        <w:rPr>
          <w:rFonts w:ascii="Arial" w:eastAsia="Arial" w:hAnsi="Arial" w:cs="Arial"/>
          <w:color w:val="374151"/>
        </w:rPr>
      </w:pPr>
    </w:p>
    <w:p w14:paraId="1BAD06D5" w14:textId="77777777" w:rsidR="002C6986" w:rsidRDefault="002C6986" w:rsidP="20E2E752">
      <w:pPr>
        <w:spacing w:line="360" w:lineRule="auto"/>
        <w:jc w:val="both"/>
        <w:rPr>
          <w:rFonts w:ascii="Arial" w:eastAsia="Arial" w:hAnsi="Arial" w:cs="Arial"/>
          <w:b/>
          <w:bCs/>
          <w:color w:val="000000" w:themeColor="text1"/>
        </w:rPr>
      </w:pPr>
    </w:p>
    <w:p w14:paraId="0D4C91A8" w14:textId="77777777" w:rsidR="002C6986" w:rsidRDefault="002C6986" w:rsidP="20E2E752">
      <w:pPr>
        <w:spacing w:line="360" w:lineRule="auto"/>
        <w:jc w:val="both"/>
        <w:rPr>
          <w:rFonts w:ascii="Arial" w:eastAsia="Arial" w:hAnsi="Arial" w:cs="Arial"/>
          <w:b/>
          <w:bCs/>
          <w:color w:val="000000" w:themeColor="text1"/>
        </w:rPr>
      </w:pPr>
    </w:p>
    <w:p w14:paraId="3CA1392B" w14:textId="77777777" w:rsidR="002C6986" w:rsidRDefault="002C6986" w:rsidP="20E2E752">
      <w:pPr>
        <w:spacing w:line="360" w:lineRule="auto"/>
        <w:jc w:val="both"/>
        <w:rPr>
          <w:rFonts w:ascii="Arial" w:eastAsia="Arial" w:hAnsi="Arial" w:cs="Arial"/>
          <w:b/>
          <w:bCs/>
          <w:color w:val="000000" w:themeColor="text1"/>
        </w:rPr>
      </w:pPr>
    </w:p>
    <w:p w14:paraId="76E4E0ED" w14:textId="77777777" w:rsidR="002C6986" w:rsidRDefault="002C6986" w:rsidP="20E2E752">
      <w:pPr>
        <w:spacing w:line="360" w:lineRule="auto"/>
        <w:jc w:val="both"/>
        <w:rPr>
          <w:rFonts w:ascii="Arial" w:eastAsia="Arial" w:hAnsi="Arial" w:cs="Arial"/>
          <w:b/>
          <w:bCs/>
          <w:color w:val="000000" w:themeColor="text1"/>
        </w:rPr>
      </w:pPr>
    </w:p>
    <w:p w14:paraId="1E6D7D73" w14:textId="77777777" w:rsidR="002C6986" w:rsidRDefault="002C6986" w:rsidP="20E2E752">
      <w:pPr>
        <w:spacing w:line="360" w:lineRule="auto"/>
        <w:jc w:val="both"/>
        <w:rPr>
          <w:rFonts w:ascii="Arial" w:eastAsia="Arial" w:hAnsi="Arial" w:cs="Arial"/>
          <w:b/>
          <w:bCs/>
          <w:color w:val="000000" w:themeColor="text1"/>
        </w:rPr>
      </w:pPr>
    </w:p>
    <w:p w14:paraId="6440154F" w14:textId="77777777" w:rsidR="002C6986" w:rsidRDefault="002C6986" w:rsidP="20E2E752">
      <w:pPr>
        <w:spacing w:line="360" w:lineRule="auto"/>
        <w:jc w:val="both"/>
        <w:rPr>
          <w:rFonts w:ascii="Arial" w:eastAsia="Arial" w:hAnsi="Arial" w:cs="Arial"/>
          <w:b/>
          <w:bCs/>
          <w:color w:val="000000" w:themeColor="text1"/>
        </w:rPr>
      </w:pPr>
    </w:p>
    <w:p w14:paraId="4E5E490E" w14:textId="77777777" w:rsidR="002C6986" w:rsidRDefault="002C6986" w:rsidP="20E2E752">
      <w:pPr>
        <w:spacing w:line="360" w:lineRule="auto"/>
        <w:jc w:val="both"/>
        <w:rPr>
          <w:rFonts w:ascii="Arial" w:eastAsia="Arial" w:hAnsi="Arial" w:cs="Arial"/>
          <w:b/>
          <w:bCs/>
          <w:color w:val="000000" w:themeColor="text1"/>
        </w:rPr>
      </w:pPr>
    </w:p>
    <w:p w14:paraId="41BBB92D" w14:textId="77777777" w:rsidR="002C6986" w:rsidRDefault="002C6986" w:rsidP="20E2E752">
      <w:pPr>
        <w:spacing w:line="360" w:lineRule="auto"/>
        <w:jc w:val="both"/>
        <w:rPr>
          <w:rFonts w:ascii="Arial" w:eastAsia="Arial" w:hAnsi="Arial" w:cs="Arial"/>
          <w:b/>
          <w:bCs/>
          <w:color w:val="000000" w:themeColor="text1"/>
        </w:rPr>
      </w:pPr>
    </w:p>
    <w:p w14:paraId="14905E0D" w14:textId="77777777" w:rsidR="002C6986" w:rsidRDefault="002C6986" w:rsidP="20E2E752">
      <w:pPr>
        <w:spacing w:line="360" w:lineRule="auto"/>
        <w:jc w:val="both"/>
        <w:rPr>
          <w:rFonts w:ascii="Arial" w:eastAsia="Arial" w:hAnsi="Arial" w:cs="Arial"/>
          <w:b/>
          <w:bCs/>
          <w:color w:val="000000" w:themeColor="text1"/>
        </w:rPr>
      </w:pPr>
    </w:p>
    <w:p w14:paraId="7C3D0A7E" w14:textId="77777777" w:rsidR="002C6986" w:rsidRDefault="002C6986" w:rsidP="20E2E752">
      <w:pPr>
        <w:spacing w:line="360" w:lineRule="auto"/>
        <w:jc w:val="both"/>
        <w:rPr>
          <w:rFonts w:ascii="Arial" w:eastAsia="Arial" w:hAnsi="Arial" w:cs="Arial"/>
          <w:b/>
          <w:bCs/>
          <w:color w:val="000000" w:themeColor="text1"/>
        </w:rPr>
      </w:pPr>
    </w:p>
    <w:p w14:paraId="438A4A62" w14:textId="77777777" w:rsidR="002C6986" w:rsidRDefault="002C6986" w:rsidP="20E2E752">
      <w:pPr>
        <w:spacing w:line="360" w:lineRule="auto"/>
        <w:jc w:val="both"/>
        <w:rPr>
          <w:rFonts w:ascii="Arial" w:eastAsia="Arial" w:hAnsi="Arial" w:cs="Arial"/>
          <w:b/>
          <w:bCs/>
          <w:color w:val="000000" w:themeColor="text1"/>
        </w:rPr>
      </w:pPr>
    </w:p>
    <w:p w14:paraId="631A63A8" w14:textId="77777777" w:rsidR="002C6986" w:rsidRDefault="002C6986" w:rsidP="20E2E752">
      <w:pPr>
        <w:spacing w:line="360" w:lineRule="auto"/>
        <w:jc w:val="both"/>
        <w:rPr>
          <w:rFonts w:ascii="Arial" w:eastAsia="Arial" w:hAnsi="Arial" w:cs="Arial"/>
          <w:b/>
          <w:bCs/>
          <w:color w:val="000000" w:themeColor="text1"/>
        </w:rPr>
      </w:pPr>
    </w:p>
    <w:p w14:paraId="489698CF" w14:textId="77777777" w:rsidR="002C6986" w:rsidRDefault="002C6986" w:rsidP="20E2E752">
      <w:pPr>
        <w:spacing w:line="360" w:lineRule="auto"/>
        <w:jc w:val="both"/>
        <w:rPr>
          <w:rFonts w:ascii="Arial" w:eastAsia="Arial" w:hAnsi="Arial" w:cs="Arial"/>
          <w:b/>
          <w:bCs/>
          <w:color w:val="000000" w:themeColor="text1"/>
        </w:rPr>
      </w:pPr>
    </w:p>
    <w:p w14:paraId="0FE71F52" w14:textId="77777777" w:rsidR="002C6986" w:rsidRDefault="002C6986" w:rsidP="20E2E752">
      <w:pPr>
        <w:spacing w:line="360" w:lineRule="auto"/>
        <w:jc w:val="both"/>
        <w:rPr>
          <w:rFonts w:ascii="Arial" w:eastAsia="Arial" w:hAnsi="Arial" w:cs="Arial"/>
          <w:b/>
          <w:bCs/>
          <w:color w:val="000000" w:themeColor="text1"/>
        </w:rPr>
      </w:pPr>
    </w:p>
    <w:p w14:paraId="66CE70FD" w14:textId="77777777" w:rsidR="002C6986" w:rsidRDefault="002C6986" w:rsidP="20E2E752">
      <w:pPr>
        <w:spacing w:line="360" w:lineRule="auto"/>
        <w:jc w:val="both"/>
        <w:rPr>
          <w:rFonts w:ascii="Arial" w:eastAsia="Arial" w:hAnsi="Arial" w:cs="Arial"/>
          <w:b/>
          <w:bCs/>
          <w:color w:val="000000" w:themeColor="text1"/>
        </w:rPr>
      </w:pPr>
    </w:p>
    <w:p w14:paraId="370D3604" w14:textId="77777777" w:rsidR="002C6986" w:rsidRDefault="002C6986" w:rsidP="20E2E752">
      <w:pPr>
        <w:spacing w:line="360" w:lineRule="auto"/>
        <w:jc w:val="both"/>
        <w:rPr>
          <w:rFonts w:ascii="Arial" w:eastAsia="Arial" w:hAnsi="Arial" w:cs="Arial"/>
          <w:b/>
          <w:bCs/>
          <w:color w:val="000000" w:themeColor="text1"/>
        </w:rPr>
      </w:pPr>
    </w:p>
    <w:p w14:paraId="3252DB88" w14:textId="77777777" w:rsidR="002C6986" w:rsidRDefault="002C6986" w:rsidP="20E2E752">
      <w:pPr>
        <w:spacing w:line="360" w:lineRule="auto"/>
        <w:jc w:val="both"/>
        <w:rPr>
          <w:rFonts w:ascii="Arial" w:eastAsia="Arial" w:hAnsi="Arial" w:cs="Arial"/>
          <w:b/>
          <w:bCs/>
          <w:color w:val="000000" w:themeColor="text1"/>
        </w:rPr>
      </w:pPr>
    </w:p>
    <w:p w14:paraId="76BC1AAC" w14:textId="77777777" w:rsidR="002C6986" w:rsidRDefault="002C6986" w:rsidP="20E2E752">
      <w:pPr>
        <w:spacing w:line="360" w:lineRule="auto"/>
        <w:jc w:val="both"/>
        <w:rPr>
          <w:rFonts w:ascii="Arial" w:eastAsia="Arial" w:hAnsi="Arial" w:cs="Arial"/>
          <w:b/>
          <w:bCs/>
          <w:color w:val="000000" w:themeColor="text1"/>
        </w:rPr>
      </w:pPr>
    </w:p>
    <w:p w14:paraId="34D1D44F" w14:textId="77777777" w:rsidR="002C6986" w:rsidRDefault="002C6986" w:rsidP="20E2E752">
      <w:pPr>
        <w:spacing w:line="360" w:lineRule="auto"/>
        <w:jc w:val="both"/>
        <w:rPr>
          <w:rFonts w:ascii="Arial" w:eastAsia="Arial" w:hAnsi="Arial" w:cs="Arial"/>
          <w:b/>
          <w:bCs/>
          <w:color w:val="000000" w:themeColor="text1"/>
        </w:rPr>
      </w:pPr>
    </w:p>
    <w:p w14:paraId="29B9981C" w14:textId="77777777" w:rsidR="002C6986" w:rsidRDefault="002C6986" w:rsidP="20E2E752">
      <w:pPr>
        <w:spacing w:line="360" w:lineRule="auto"/>
        <w:jc w:val="both"/>
        <w:rPr>
          <w:rFonts w:ascii="Arial" w:eastAsia="Arial" w:hAnsi="Arial" w:cs="Arial"/>
          <w:b/>
          <w:bCs/>
          <w:color w:val="000000" w:themeColor="text1"/>
        </w:rPr>
      </w:pPr>
    </w:p>
    <w:p w14:paraId="27224255" w14:textId="77777777" w:rsidR="002C6986" w:rsidRDefault="002C6986" w:rsidP="20E2E752">
      <w:pPr>
        <w:spacing w:line="360" w:lineRule="auto"/>
        <w:jc w:val="both"/>
        <w:rPr>
          <w:rFonts w:ascii="Arial" w:eastAsia="Arial" w:hAnsi="Arial" w:cs="Arial"/>
          <w:b/>
          <w:bCs/>
          <w:color w:val="000000" w:themeColor="text1"/>
        </w:rPr>
      </w:pPr>
    </w:p>
    <w:p w14:paraId="01FBB8A8" w14:textId="77777777" w:rsidR="002C6986" w:rsidRDefault="002C6986" w:rsidP="20E2E752">
      <w:pPr>
        <w:spacing w:line="360" w:lineRule="auto"/>
        <w:jc w:val="both"/>
        <w:rPr>
          <w:rFonts w:ascii="Arial" w:eastAsia="Arial" w:hAnsi="Arial" w:cs="Arial"/>
          <w:b/>
          <w:bCs/>
          <w:color w:val="000000" w:themeColor="text1"/>
        </w:rPr>
      </w:pPr>
    </w:p>
    <w:p w14:paraId="4710C8B5" w14:textId="77777777" w:rsidR="002C6986" w:rsidRDefault="002C6986" w:rsidP="20E2E752">
      <w:pPr>
        <w:spacing w:line="360" w:lineRule="auto"/>
        <w:jc w:val="both"/>
        <w:rPr>
          <w:rFonts w:ascii="Arial" w:eastAsia="Arial" w:hAnsi="Arial" w:cs="Arial"/>
          <w:b/>
          <w:bCs/>
          <w:color w:val="000000" w:themeColor="text1"/>
        </w:rPr>
      </w:pPr>
    </w:p>
    <w:p w14:paraId="506E2AA3" w14:textId="77777777" w:rsidR="002C6986" w:rsidRDefault="002C6986" w:rsidP="20E2E752">
      <w:pPr>
        <w:spacing w:line="360" w:lineRule="auto"/>
        <w:jc w:val="both"/>
        <w:rPr>
          <w:rFonts w:ascii="Arial" w:eastAsia="Arial" w:hAnsi="Arial" w:cs="Arial"/>
          <w:b/>
          <w:bCs/>
          <w:color w:val="000000" w:themeColor="text1"/>
        </w:rPr>
      </w:pPr>
    </w:p>
    <w:p w14:paraId="7BB7BC5B" w14:textId="69F0A81C" w:rsidR="26ADC2D2" w:rsidRDefault="26ADC2D2" w:rsidP="20E2E752">
      <w:pPr>
        <w:spacing w:line="360" w:lineRule="auto"/>
        <w:jc w:val="both"/>
        <w:rPr>
          <w:rFonts w:ascii="Arial" w:eastAsia="Arial" w:hAnsi="Arial" w:cs="Arial"/>
          <w:b/>
          <w:bCs/>
          <w:color w:val="000000" w:themeColor="text1"/>
        </w:rPr>
      </w:pPr>
      <w:r w:rsidRPr="20E2E752">
        <w:rPr>
          <w:rFonts w:ascii="Arial" w:eastAsia="Arial" w:hAnsi="Arial" w:cs="Arial"/>
          <w:b/>
          <w:bCs/>
          <w:color w:val="000000" w:themeColor="text1"/>
        </w:rPr>
        <w:lastRenderedPageBreak/>
        <w:t xml:space="preserve">References: </w:t>
      </w:r>
    </w:p>
    <w:p w14:paraId="74B1D04C" w14:textId="77777777" w:rsidR="002C6986" w:rsidRPr="000B5F87" w:rsidRDefault="002C6986" w:rsidP="000B5F87">
      <w:pPr>
        <w:spacing w:before="100" w:beforeAutospacing="1" w:after="100" w:afterAutospacing="1" w:line="360" w:lineRule="auto"/>
        <w:jc w:val="both"/>
        <w:rPr>
          <w:rFonts w:ascii="Arial" w:hAnsi="Arial" w:cs="Arial"/>
          <w:color w:val="000000"/>
        </w:rPr>
      </w:pPr>
      <w:r w:rsidRPr="000B5F87">
        <w:rPr>
          <w:rFonts w:ascii="Arial" w:hAnsi="Arial" w:cs="Arial"/>
          <w:color w:val="000000"/>
        </w:rPr>
        <w:t>“The essential role of HR in employee engagement: 10 factors” (2023) </w:t>
      </w:r>
      <w:proofErr w:type="spellStart"/>
      <w:r w:rsidRPr="000B5F87">
        <w:rPr>
          <w:rFonts w:ascii="Arial" w:hAnsi="Arial" w:cs="Arial"/>
          <w:i/>
          <w:iCs/>
          <w:color w:val="000000"/>
        </w:rPr>
        <w:t>HRMorning</w:t>
      </w:r>
      <w:proofErr w:type="spellEnd"/>
      <w:r w:rsidRPr="000B5F87">
        <w:rPr>
          <w:rFonts w:ascii="Arial" w:hAnsi="Arial" w:cs="Arial"/>
          <w:color w:val="000000"/>
        </w:rPr>
        <w:t>, 4 September. Available at: https://www.hrmorning.com/articles/essential-role-of-hr-in-employee-engagement/ (Accessed: October 10, 2023).</w:t>
      </w:r>
    </w:p>
    <w:p w14:paraId="6490DD2E" w14:textId="77777777" w:rsidR="002C6986" w:rsidRPr="000B5F87" w:rsidRDefault="002C6986" w:rsidP="000B5F87">
      <w:pPr>
        <w:spacing w:before="100" w:beforeAutospacing="1" w:after="100" w:afterAutospacing="1" w:line="360" w:lineRule="auto"/>
        <w:jc w:val="both"/>
        <w:rPr>
          <w:rFonts w:ascii="Arial" w:hAnsi="Arial" w:cs="Arial"/>
          <w:color w:val="000000"/>
        </w:rPr>
      </w:pPr>
      <w:r w:rsidRPr="000B5F87">
        <w:rPr>
          <w:rFonts w:ascii="Arial" w:hAnsi="Arial" w:cs="Arial"/>
          <w:i/>
          <w:iCs/>
          <w:color w:val="000000"/>
        </w:rPr>
        <w:t>5 tips: How hotels attract the attention of the Millennials and Generation Z</w:t>
      </w:r>
      <w:r w:rsidRPr="000B5F87">
        <w:rPr>
          <w:rFonts w:ascii="Arial" w:hAnsi="Arial" w:cs="Arial"/>
          <w:color w:val="000000"/>
        </w:rPr>
        <w:t> (2023) </w:t>
      </w:r>
      <w:proofErr w:type="spellStart"/>
      <w:r w:rsidRPr="000B5F87">
        <w:rPr>
          <w:rFonts w:ascii="Arial" w:hAnsi="Arial" w:cs="Arial"/>
          <w:i/>
          <w:iCs/>
          <w:color w:val="000000"/>
        </w:rPr>
        <w:t>Hotelcore</w:t>
      </w:r>
      <w:proofErr w:type="spellEnd"/>
      <w:r w:rsidRPr="000B5F87">
        <w:rPr>
          <w:rFonts w:ascii="Arial" w:hAnsi="Arial" w:cs="Arial"/>
          <w:i/>
          <w:iCs/>
          <w:color w:val="000000"/>
        </w:rPr>
        <w:t xml:space="preserve"> Blog</w:t>
      </w:r>
      <w:r w:rsidRPr="000B5F87">
        <w:rPr>
          <w:rFonts w:ascii="Arial" w:hAnsi="Arial" w:cs="Arial"/>
          <w:color w:val="000000"/>
        </w:rPr>
        <w:t>. Available at: https://blog.gastfreund.net/en/2023/04/05/5-tips-how-hotels-attract-the-attention-of-millennials-and-generation-z/ (Accessed: October 10, 2023).</w:t>
      </w:r>
    </w:p>
    <w:p w14:paraId="24822B5E" w14:textId="77777777" w:rsidR="002C6986" w:rsidRPr="002C6986" w:rsidRDefault="002C6986" w:rsidP="002C6986">
      <w:pPr>
        <w:pStyle w:val="NormalWeb"/>
        <w:spacing w:line="360" w:lineRule="auto"/>
        <w:jc w:val="both"/>
        <w:rPr>
          <w:rFonts w:ascii="Arial" w:hAnsi="Arial" w:cs="Arial"/>
          <w:color w:val="000000" w:themeColor="text1"/>
        </w:rPr>
      </w:pPr>
      <w:r w:rsidRPr="002C6986">
        <w:rPr>
          <w:rFonts w:ascii="Arial" w:hAnsi="Arial" w:cs="Arial"/>
          <w:color w:val="000000" w:themeColor="text1"/>
        </w:rPr>
        <w:t>Boogaard, K. (2021) “4 examples of employee well-being programs in hospitality,”</w:t>
      </w:r>
      <w:r w:rsidRPr="002C6986">
        <w:rPr>
          <w:rStyle w:val="apple-converted-space"/>
          <w:rFonts w:ascii="Arial" w:hAnsi="Arial" w:cs="Arial"/>
          <w:color w:val="000000" w:themeColor="text1"/>
        </w:rPr>
        <w:t> </w:t>
      </w:r>
      <w:r w:rsidRPr="002C6986">
        <w:rPr>
          <w:rFonts w:ascii="Arial" w:hAnsi="Arial" w:cs="Arial"/>
          <w:i/>
          <w:iCs/>
          <w:color w:val="000000" w:themeColor="text1"/>
        </w:rPr>
        <w:t>Hosco.com</w:t>
      </w:r>
      <w:r w:rsidRPr="002C6986">
        <w:rPr>
          <w:rFonts w:ascii="Arial" w:hAnsi="Arial" w:cs="Arial"/>
          <w:color w:val="000000" w:themeColor="text1"/>
        </w:rPr>
        <w:t xml:space="preserve">. </w:t>
      </w:r>
      <w:proofErr w:type="spellStart"/>
      <w:r w:rsidRPr="002C6986">
        <w:rPr>
          <w:rFonts w:ascii="Arial" w:hAnsi="Arial" w:cs="Arial"/>
          <w:color w:val="000000" w:themeColor="text1"/>
        </w:rPr>
        <w:t>Hosco</w:t>
      </w:r>
      <w:proofErr w:type="spellEnd"/>
      <w:r w:rsidRPr="002C6986">
        <w:rPr>
          <w:rFonts w:ascii="Arial" w:hAnsi="Arial" w:cs="Arial"/>
          <w:color w:val="000000" w:themeColor="text1"/>
        </w:rPr>
        <w:t>, 21 April. Available at: https://employers.hosco.com/blog/4-examples-of-employee-well-being-programs-in-hospitality (Accessed: October 17, 2023).</w:t>
      </w:r>
    </w:p>
    <w:p w14:paraId="30C68014" w14:textId="77777777" w:rsidR="002C6986" w:rsidRPr="000B5F87" w:rsidRDefault="002C6986" w:rsidP="000B5F87">
      <w:pPr>
        <w:spacing w:before="100" w:beforeAutospacing="1" w:after="100" w:afterAutospacing="1" w:line="360" w:lineRule="auto"/>
        <w:jc w:val="both"/>
        <w:rPr>
          <w:rFonts w:ascii="Arial" w:hAnsi="Arial" w:cs="Arial"/>
          <w:color w:val="000000"/>
        </w:rPr>
      </w:pPr>
      <w:r w:rsidRPr="000B5F87">
        <w:rPr>
          <w:rFonts w:ascii="Arial" w:hAnsi="Arial" w:cs="Arial"/>
          <w:i/>
          <w:iCs/>
          <w:color w:val="000000"/>
        </w:rPr>
        <w:t>Employee engagement and HR roles</w:t>
      </w:r>
      <w:r w:rsidRPr="000B5F87">
        <w:rPr>
          <w:rFonts w:ascii="Arial" w:hAnsi="Arial" w:cs="Arial"/>
          <w:color w:val="000000"/>
        </w:rPr>
        <w:t> (2022) </w:t>
      </w:r>
      <w:r w:rsidRPr="000B5F87">
        <w:rPr>
          <w:rFonts w:ascii="Arial" w:hAnsi="Arial" w:cs="Arial"/>
          <w:i/>
          <w:iCs/>
          <w:color w:val="000000"/>
        </w:rPr>
        <w:t>The HR Team</w:t>
      </w:r>
      <w:r w:rsidRPr="000B5F87">
        <w:rPr>
          <w:rFonts w:ascii="Arial" w:hAnsi="Arial" w:cs="Arial"/>
          <w:color w:val="000000"/>
        </w:rPr>
        <w:t>. Available at: https://www.thehrteam.com/blog/hr-roles-in-employee-engagement-four-important-considerations-for-todays-workplace/ (Accessed: October 10, 2023).</w:t>
      </w:r>
    </w:p>
    <w:p w14:paraId="4A2C4B51" w14:textId="77777777" w:rsidR="002C6986" w:rsidRPr="000B5F87" w:rsidRDefault="002C6986" w:rsidP="000B5F87">
      <w:pPr>
        <w:spacing w:line="360" w:lineRule="auto"/>
        <w:jc w:val="both"/>
        <w:rPr>
          <w:rFonts w:ascii="Arial" w:eastAsia="system-ui" w:hAnsi="Arial" w:cs="Arial"/>
          <w:i/>
          <w:iCs/>
          <w:color w:val="000000" w:themeColor="text1"/>
        </w:rPr>
      </w:pPr>
      <w:proofErr w:type="spellStart"/>
      <w:r w:rsidRPr="000B5F87">
        <w:rPr>
          <w:rFonts w:ascii="Arial" w:eastAsia="system-ui" w:hAnsi="Arial" w:cs="Arial"/>
          <w:color w:val="000000" w:themeColor="text1"/>
        </w:rPr>
        <w:t>Federman</w:t>
      </w:r>
      <w:proofErr w:type="spellEnd"/>
      <w:r w:rsidRPr="000B5F87">
        <w:rPr>
          <w:rFonts w:ascii="Arial" w:eastAsia="system-ui" w:hAnsi="Arial" w:cs="Arial"/>
          <w:color w:val="000000" w:themeColor="text1"/>
        </w:rPr>
        <w:t xml:space="preserve">, B. (2009). </w:t>
      </w:r>
      <w:r w:rsidRPr="000B5F87">
        <w:rPr>
          <w:rFonts w:ascii="Arial" w:eastAsia="system-ui" w:hAnsi="Arial" w:cs="Arial"/>
          <w:i/>
          <w:iCs/>
          <w:color w:val="000000" w:themeColor="text1"/>
        </w:rPr>
        <w:t>Employee Engagement: A Roadmap for Creating Profits, Optimizing Performance, and Increasing Loyalty</w:t>
      </w:r>
    </w:p>
    <w:p w14:paraId="20524A47" w14:textId="77777777" w:rsidR="002C6986" w:rsidRPr="000B5F87" w:rsidRDefault="002C6986" w:rsidP="000B5F87">
      <w:pPr>
        <w:spacing w:before="100" w:beforeAutospacing="1" w:after="100" w:afterAutospacing="1" w:line="360" w:lineRule="auto"/>
        <w:jc w:val="both"/>
        <w:rPr>
          <w:rFonts w:ascii="Arial" w:hAnsi="Arial" w:cs="Arial"/>
          <w:color w:val="000000"/>
        </w:rPr>
      </w:pPr>
      <w:r w:rsidRPr="000B5F87">
        <w:rPr>
          <w:rFonts w:ascii="Arial" w:hAnsi="Arial" w:cs="Arial"/>
          <w:color w:val="000000"/>
        </w:rPr>
        <w:t>Gallup, Inc (2020) </w:t>
      </w:r>
      <w:r w:rsidRPr="000B5F87">
        <w:rPr>
          <w:rFonts w:ascii="Arial" w:hAnsi="Arial" w:cs="Arial"/>
          <w:i/>
          <w:iCs/>
          <w:color w:val="000000"/>
        </w:rPr>
        <w:t>How to improve employee engagement in the workplace - Gallup</w:t>
      </w:r>
      <w:r w:rsidRPr="000B5F87">
        <w:rPr>
          <w:rFonts w:ascii="Arial" w:hAnsi="Arial" w:cs="Arial"/>
          <w:color w:val="000000"/>
        </w:rPr>
        <w:t>, </w:t>
      </w:r>
      <w:r w:rsidRPr="000B5F87">
        <w:rPr>
          <w:rFonts w:ascii="Arial" w:hAnsi="Arial" w:cs="Arial"/>
          <w:i/>
          <w:iCs/>
          <w:color w:val="000000"/>
        </w:rPr>
        <w:t>Gallup.com</w:t>
      </w:r>
      <w:r w:rsidRPr="000B5F87">
        <w:rPr>
          <w:rFonts w:ascii="Arial" w:hAnsi="Arial" w:cs="Arial"/>
          <w:color w:val="000000"/>
        </w:rPr>
        <w:t>. Gallup. Available at: https://www.gallup.com/workplace/285674/improve-employee-engagement-workplace.aspx (Accessed: October 10, 2023).</w:t>
      </w:r>
    </w:p>
    <w:p w14:paraId="0FF85632" w14:textId="77777777" w:rsidR="002C6986" w:rsidRPr="000B5F87" w:rsidRDefault="002C6986" w:rsidP="000B5F87">
      <w:pPr>
        <w:spacing w:before="100" w:beforeAutospacing="1" w:after="100" w:afterAutospacing="1" w:line="360" w:lineRule="auto"/>
        <w:jc w:val="both"/>
        <w:rPr>
          <w:rFonts w:ascii="Arial" w:hAnsi="Arial" w:cs="Arial"/>
          <w:color w:val="000000"/>
        </w:rPr>
      </w:pPr>
      <w:r w:rsidRPr="000B5F87">
        <w:rPr>
          <w:rFonts w:ascii="Arial" w:hAnsi="Arial" w:cs="Arial"/>
          <w:color w:val="000000"/>
        </w:rPr>
        <w:t>Goss, W. (1467239053000) </w:t>
      </w:r>
      <w:r w:rsidRPr="000B5F87">
        <w:rPr>
          <w:rFonts w:ascii="Arial" w:hAnsi="Arial" w:cs="Arial"/>
          <w:i/>
          <w:iCs/>
          <w:color w:val="000000"/>
        </w:rPr>
        <w:t>The Four Enablers to enhance Employee Engagement briefly explained</w:t>
      </w:r>
      <w:r w:rsidRPr="000B5F87">
        <w:rPr>
          <w:rFonts w:ascii="Arial" w:hAnsi="Arial" w:cs="Arial"/>
          <w:color w:val="000000"/>
        </w:rPr>
        <w:t>, </w:t>
      </w:r>
      <w:r w:rsidRPr="000B5F87">
        <w:rPr>
          <w:rFonts w:ascii="Arial" w:hAnsi="Arial" w:cs="Arial"/>
          <w:i/>
          <w:iCs/>
          <w:color w:val="000000"/>
        </w:rPr>
        <w:t>Linkedin.com</w:t>
      </w:r>
      <w:r w:rsidRPr="000B5F87">
        <w:rPr>
          <w:rFonts w:ascii="Arial" w:hAnsi="Arial" w:cs="Arial"/>
          <w:color w:val="000000"/>
        </w:rPr>
        <w:t>. Available at: https://www.linkedin.com/pulse/four-enablers-enhance-employee-engagement-briefly-explained-will-goss (Accessed: October 10, 2023).</w:t>
      </w:r>
    </w:p>
    <w:p w14:paraId="450F6BD2" w14:textId="77777777" w:rsidR="002C6986" w:rsidRPr="002C6986" w:rsidRDefault="002C6986" w:rsidP="002C6986">
      <w:pPr>
        <w:pStyle w:val="NormalWeb"/>
        <w:spacing w:line="360" w:lineRule="auto"/>
        <w:jc w:val="both"/>
        <w:rPr>
          <w:rFonts w:ascii="Arial" w:hAnsi="Arial" w:cs="Arial"/>
          <w:color w:val="000000" w:themeColor="text1"/>
        </w:rPr>
      </w:pPr>
      <w:proofErr w:type="spellStart"/>
      <w:r w:rsidRPr="002C6986">
        <w:rPr>
          <w:rFonts w:ascii="Arial" w:hAnsi="Arial" w:cs="Arial"/>
          <w:color w:val="000000" w:themeColor="text1"/>
        </w:rPr>
        <w:lastRenderedPageBreak/>
        <w:t>Kreitner</w:t>
      </w:r>
      <w:proofErr w:type="spellEnd"/>
      <w:r w:rsidRPr="002C6986">
        <w:rPr>
          <w:rFonts w:ascii="Arial" w:hAnsi="Arial" w:cs="Arial"/>
          <w:color w:val="000000" w:themeColor="text1"/>
        </w:rPr>
        <w:t>, L. (1695820631000)</w:t>
      </w:r>
      <w:r w:rsidRPr="002C6986">
        <w:rPr>
          <w:rStyle w:val="apple-converted-space"/>
          <w:rFonts w:ascii="Arial" w:hAnsi="Arial" w:cs="Arial"/>
          <w:color w:val="000000" w:themeColor="text1"/>
        </w:rPr>
        <w:t> </w:t>
      </w:r>
      <w:r w:rsidRPr="002C6986">
        <w:rPr>
          <w:rFonts w:ascii="Arial" w:hAnsi="Arial" w:cs="Arial"/>
          <w:i/>
          <w:iCs/>
          <w:color w:val="000000" w:themeColor="text1"/>
        </w:rPr>
        <w:t>The importance of employee recognition in hotels</w:t>
      </w:r>
      <w:r w:rsidRPr="002C6986">
        <w:rPr>
          <w:rFonts w:ascii="Arial" w:hAnsi="Arial" w:cs="Arial"/>
          <w:color w:val="000000" w:themeColor="text1"/>
        </w:rPr>
        <w:t>,</w:t>
      </w:r>
      <w:r w:rsidRPr="002C6986">
        <w:rPr>
          <w:rStyle w:val="apple-converted-space"/>
          <w:rFonts w:ascii="Arial" w:hAnsi="Arial" w:cs="Arial"/>
          <w:color w:val="000000" w:themeColor="text1"/>
        </w:rPr>
        <w:t> </w:t>
      </w:r>
      <w:r w:rsidRPr="002C6986">
        <w:rPr>
          <w:rFonts w:ascii="Arial" w:hAnsi="Arial" w:cs="Arial"/>
          <w:i/>
          <w:iCs/>
          <w:color w:val="000000" w:themeColor="text1"/>
        </w:rPr>
        <w:t>Linkedin.com</w:t>
      </w:r>
      <w:r w:rsidRPr="002C6986">
        <w:rPr>
          <w:rFonts w:ascii="Arial" w:hAnsi="Arial" w:cs="Arial"/>
          <w:color w:val="000000" w:themeColor="text1"/>
        </w:rPr>
        <w:t>. Available at: https://www.linkedin.com/pulse/importance-employee-recognition-hotels-luke-kreitner (Accessed: October 17, 2023).</w:t>
      </w:r>
    </w:p>
    <w:p w14:paraId="7BA81ED8" w14:textId="77777777" w:rsidR="002C6986" w:rsidRPr="000B5F87" w:rsidRDefault="002C6986" w:rsidP="000B5F87">
      <w:pPr>
        <w:spacing w:before="100" w:beforeAutospacing="1" w:after="100" w:afterAutospacing="1" w:line="360" w:lineRule="auto"/>
        <w:jc w:val="both"/>
        <w:rPr>
          <w:rFonts w:ascii="Arial" w:hAnsi="Arial" w:cs="Arial"/>
          <w:color w:val="000000"/>
        </w:rPr>
      </w:pPr>
      <w:r w:rsidRPr="000B5F87">
        <w:rPr>
          <w:rFonts w:ascii="Arial" w:hAnsi="Arial" w:cs="Arial"/>
          <w:color w:val="000000"/>
        </w:rPr>
        <w:t>Kurtzman, J. (no date) </w:t>
      </w:r>
      <w:r w:rsidRPr="000B5F87">
        <w:rPr>
          <w:rFonts w:ascii="Arial" w:hAnsi="Arial" w:cs="Arial"/>
          <w:i/>
          <w:iCs/>
          <w:color w:val="000000"/>
        </w:rPr>
        <w:t xml:space="preserve">Why is employee engagement in the hospitality industry </w:t>
      </w:r>
      <w:proofErr w:type="gramStart"/>
      <w:r w:rsidRPr="000B5F87">
        <w:rPr>
          <w:rFonts w:ascii="Arial" w:hAnsi="Arial" w:cs="Arial"/>
          <w:i/>
          <w:iCs/>
          <w:color w:val="000000"/>
        </w:rPr>
        <w:t>important?</w:t>
      </w:r>
      <w:r w:rsidRPr="000B5F87">
        <w:rPr>
          <w:rFonts w:ascii="Arial" w:hAnsi="Arial" w:cs="Arial"/>
          <w:color w:val="000000"/>
        </w:rPr>
        <w:t>,</w:t>
      </w:r>
      <w:proofErr w:type="gramEnd"/>
      <w:r w:rsidRPr="000B5F87">
        <w:rPr>
          <w:rFonts w:ascii="Arial" w:hAnsi="Arial" w:cs="Arial"/>
          <w:color w:val="000000"/>
        </w:rPr>
        <w:t> </w:t>
      </w:r>
      <w:r w:rsidRPr="000B5F87">
        <w:rPr>
          <w:rFonts w:ascii="Arial" w:hAnsi="Arial" w:cs="Arial"/>
          <w:i/>
          <w:iCs/>
          <w:color w:val="000000"/>
        </w:rPr>
        <w:t>Rewardian.com</w:t>
      </w:r>
      <w:r w:rsidRPr="000B5F87">
        <w:rPr>
          <w:rFonts w:ascii="Arial" w:hAnsi="Arial" w:cs="Arial"/>
          <w:color w:val="000000"/>
        </w:rPr>
        <w:t>. Available at: https://blog.rewardian.com/why-is-employee-engagement-in-the-hospitality-industry-important (Accessed: October 10, 2023).</w:t>
      </w:r>
    </w:p>
    <w:p w14:paraId="7BB43036" w14:textId="77777777" w:rsidR="002C6986" w:rsidRPr="000B5F87" w:rsidRDefault="002C6986" w:rsidP="000B5F87">
      <w:pPr>
        <w:spacing w:before="100" w:beforeAutospacing="1" w:after="100" w:afterAutospacing="1" w:line="360" w:lineRule="auto"/>
        <w:jc w:val="both"/>
        <w:rPr>
          <w:rFonts w:ascii="Arial" w:hAnsi="Arial" w:cs="Arial"/>
          <w:color w:val="000000"/>
        </w:rPr>
      </w:pPr>
      <w:proofErr w:type="spellStart"/>
      <w:r w:rsidRPr="000B5F87">
        <w:rPr>
          <w:rFonts w:ascii="Arial" w:hAnsi="Arial" w:cs="Arial"/>
          <w:color w:val="000000"/>
        </w:rPr>
        <w:t>Lacalle</w:t>
      </w:r>
      <w:proofErr w:type="spellEnd"/>
      <w:r w:rsidRPr="000B5F87">
        <w:rPr>
          <w:rFonts w:ascii="Arial" w:hAnsi="Arial" w:cs="Arial"/>
          <w:color w:val="000000"/>
        </w:rPr>
        <w:t>, E. (2023) “6 hotel employee engagement strategies,” </w:t>
      </w:r>
      <w:r w:rsidRPr="000B5F87">
        <w:rPr>
          <w:rFonts w:ascii="Arial" w:hAnsi="Arial" w:cs="Arial"/>
          <w:i/>
          <w:iCs/>
          <w:color w:val="000000"/>
        </w:rPr>
        <w:t>Mews.com</w:t>
      </w:r>
      <w:r w:rsidRPr="000B5F87">
        <w:rPr>
          <w:rFonts w:ascii="Arial" w:hAnsi="Arial" w:cs="Arial"/>
          <w:color w:val="000000"/>
        </w:rPr>
        <w:t>. Mews Systems LTD, 13 July. Available at: https://www.mews.com/en/blog/employee-engagement-hotels (Accessed: October 10, 2023).</w:t>
      </w:r>
    </w:p>
    <w:p w14:paraId="4AAA8F9D" w14:textId="77777777" w:rsidR="002C6986" w:rsidRPr="000B5F87" w:rsidRDefault="002C6986" w:rsidP="000B5F87">
      <w:pPr>
        <w:spacing w:before="240" w:after="240" w:line="360" w:lineRule="auto"/>
        <w:jc w:val="both"/>
        <w:rPr>
          <w:rFonts w:ascii="Arial" w:eastAsia="system-ui" w:hAnsi="Arial" w:cs="Arial"/>
          <w:color w:val="000000" w:themeColor="text1"/>
        </w:rPr>
      </w:pPr>
      <w:r w:rsidRPr="000B5F87">
        <w:rPr>
          <w:rFonts w:ascii="Arial" w:eastAsia="system-ui" w:hAnsi="Arial" w:cs="Arial"/>
          <w:color w:val="000000" w:themeColor="text1"/>
        </w:rPr>
        <w:t xml:space="preserve">Lambert, E. G., Hogan, N. L., &amp; Barton, S. M. (2001). Strategies for Improving Employee Retention. </w:t>
      </w:r>
      <w:r w:rsidRPr="000B5F87">
        <w:rPr>
          <w:rFonts w:ascii="Arial" w:eastAsia="system-ui" w:hAnsi="Arial" w:cs="Arial"/>
          <w:i/>
          <w:iCs/>
          <w:color w:val="000000" w:themeColor="text1"/>
        </w:rPr>
        <w:t>FBI Law Enforcement Bulletin</w:t>
      </w:r>
      <w:r w:rsidRPr="000B5F87">
        <w:rPr>
          <w:rFonts w:ascii="Arial" w:eastAsia="system-ui" w:hAnsi="Arial" w:cs="Arial"/>
          <w:color w:val="000000" w:themeColor="text1"/>
        </w:rPr>
        <w:t>, 70(3), 1-10.</w:t>
      </w:r>
    </w:p>
    <w:p w14:paraId="0C544797" w14:textId="77777777" w:rsidR="002C6986" w:rsidRPr="000B5F87" w:rsidRDefault="002C6986" w:rsidP="000B5F87">
      <w:pPr>
        <w:spacing w:before="100" w:beforeAutospacing="1" w:after="100" w:afterAutospacing="1" w:line="360" w:lineRule="auto"/>
        <w:jc w:val="both"/>
        <w:rPr>
          <w:rFonts w:ascii="Arial" w:hAnsi="Arial" w:cs="Arial"/>
          <w:color w:val="000000"/>
        </w:rPr>
      </w:pPr>
      <w:r w:rsidRPr="000B5F87">
        <w:rPr>
          <w:rFonts w:ascii="Arial" w:hAnsi="Arial" w:cs="Arial"/>
          <w:color w:val="000000"/>
        </w:rPr>
        <w:t>Lincoln, S. (no date) </w:t>
      </w:r>
      <w:r w:rsidRPr="000B5F87">
        <w:rPr>
          <w:rFonts w:ascii="Arial" w:hAnsi="Arial" w:cs="Arial"/>
          <w:i/>
          <w:iCs/>
          <w:color w:val="000000"/>
        </w:rPr>
        <w:t>HR – The key role in expansion of employee engagement</w:t>
      </w:r>
      <w:r w:rsidRPr="000B5F87">
        <w:rPr>
          <w:rFonts w:ascii="Arial" w:hAnsi="Arial" w:cs="Arial"/>
          <w:color w:val="000000"/>
        </w:rPr>
        <w:t>, </w:t>
      </w:r>
      <w:r w:rsidRPr="000B5F87">
        <w:rPr>
          <w:rFonts w:ascii="Arial" w:hAnsi="Arial" w:cs="Arial"/>
          <w:i/>
          <w:iCs/>
          <w:color w:val="000000"/>
        </w:rPr>
        <w:t>Wearedevelopers.com</w:t>
      </w:r>
      <w:r w:rsidRPr="000B5F87">
        <w:rPr>
          <w:rFonts w:ascii="Arial" w:hAnsi="Arial" w:cs="Arial"/>
          <w:color w:val="000000"/>
        </w:rPr>
        <w:t>. Available at: https://www.wearedevelopers.com/blog/hr-the-key-role-in-expansion-of-employee-engagement (Accessed: October 10, 2023).</w:t>
      </w:r>
    </w:p>
    <w:p w14:paraId="184B1F42" w14:textId="77777777" w:rsidR="002C6986" w:rsidRPr="000B5F87" w:rsidRDefault="002C6986" w:rsidP="000B5F87">
      <w:pPr>
        <w:spacing w:before="100" w:beforeAutospacing="1" w:after="100" w:afterAutospacing="1" w:line="360" w:lineRule="auto"/>
        <w:jc w:val="both"/>
        <w:rPr>
          <w:rFonts w:ascii="Arial" w:hAnsi="Arial" w:cs="Arial"/>
          <w:color w:val="000000"/>
        </w:rPr>
      </w:pPr>
      <w:r w:rsidRPr="000B5F87">
        <w:rPr>
          <w:rFonts w:ascii="Arial" w:hAnsi="Arial" w:cs="Arial"/>
          <w:color w:val="000000"/>
        </w:rPr>
        <w:t>Lipman, A. (2021) </w:t>
      </w:r>
      <w:r w:rsidRPr="000B5F87">
        <w:rPr>
          <w:rFonts w:ascii="Arial" w:hAnsi="Arial" w:cs="Arial"/>
          <w:i/>
          <w:iCs/>
          <w:color w:val="000000"/>
        </w:rPr>
        <w:t>Evolving role of HR in Employee Engagement</w:t>
      </w:r>
      <w:r w:rsidRPr="000B5F87">
        <w:rPr>
          <w:rFonts w:ascii="Arial" w:hAnsi="Arial" w:cs="Arial"/>
          <w:color w:val="000000"/>
        </w:rPr>
        <w:t>, </w:t>
      </w:r>
      <w:proofErr w:type="spellStart"/>
      <w:r w:rsidRPr="000B5F87">
        <w:rPr>
          <w:rFonts w:ascii="Arial" w:hAnsi="Arial" w:cs="Arial"/>
          <w:i/>
          <w:iCs/>
          <w:color w:val="000000"/>
        </w:rPr>
        <w:t>Empuls</w:t>
      </w:r>
      <w:proofErr w:type="spellEnd"/>
      <w:r w:rsidRPr="000B5F87">
        <w:rPr>
          <w:rFonts w:ascii="Arial" w:hAnsi="Arial" w:cs="Arial"/>
          <w:color w:val="000000"/>
        </w:rPr>
        <w:t>. Available at: https://blog.empuls.io/employee-engagement-in-hr/ (Accessed: October 10, 2023).</w:t>
      </w:r>
    </w:p>
    <w:p w14:paraId="14FAF1AF" w14:textId="77777777" w:rsidR="002C6986" w:rsidRPr="002C6986" w:rsidRDefault="002C6986" w:rsidP="002C6986">
      <w:pPr>
        <w:pStyle w:val="NormalWeb"/>
        <w:spacing w:line="360" w:lineRule="auto"/>
        <w:jc w:val="both"/>
        <w:rPr>
          <w:rFonts w:ascii="Arial" w:hAnsi="Arial" w:cs="Arial"/>
          <w:color w:val="000000" w:themeColor="text1"/>
        </w:rPr>
      </w:pPr>
      <w:proofErr w:type="spellStart"/>
      <w:r w:rsidRPr="002C6986">
        <w:rPr>
          <w:rFonts w:ascii="Arial" w:hAnsi="Arial" w:cs="Arial"/>
          <w:color w:val="000000" w:themeColor="text1"/>
        </w:rPr>
        <w:t>Mogelonsky</w:t>
      </w:r>
      <w:proofErr w:type="spellEnd"/>
      <w:r w:rsidRPr="002C6986">
        <w:rPr>
          <w:rFonts w:ascii="Arial" w:hAnsi="Arial" w:cs="Arial"/>
          <w:color w:val="000000" w:themeColor="text1"/>
        </w:rPr>
        <w:t xml:space="preserve">, L. and </w:t>
      </w:r>
      <w:proofErr w:type="spellStart"/>
      <w:r w:rsidRPr="002C6986">
        <w:rPr>
          <w:rFonts w:ascii="Arial" w:hAnsi="Arial" w:cs="Arial"/>
          <w:color w:val="000000" w:themeColor="text1"/>
        </w:rPr>
        <w:t>Mogelonsky</w:t>
      </w:r>
      <w:proofErr w:type="spellEnd"/>
      <w:r w:rsidRPr="002C6986">
        <w:rPr>
          <w:rFonts w:ascii="Arial" w:hAnsi="Arial" w:cs="Arial"/>
          <w:color w:val="000000" w:themeColor="text1"/>
        </w:rPr>
        <w:t>, A. (2023)</w:t>
      </w:r>
      <w:r w:rsidRPr="002C6986">
        <w:rPr>
          <w:rStyle w:val="apple-converted-space"/>
          <w:rFonts w:ascii="Arial" w:hAnsi="Arial" w:cs="Arial"/>
          <w:color w:val="000000" w:themeColor="text1"/>
        </w:rPr>
        <w:t> </w:t>
      </w:r>
      <w:r w:rsidRPr="002C6986">
        <w:rPr>
          <w:rFonts w:ascii="Arial" w:hAnsi="Arial" w:cs="Arial"/>
          <w:i/>
          <w:iCs/>
          <w:color w:val="000000" w:themeColor="text1"/>
        </w:rPr>
        <w:t>Here’s why 2023 needs hotel employee wellness</w:t>
      </w:r>
      <w:r w:rsidRPr="002C6986">
        <w:rPr>
          <w:rFonts w:ascii="Arial" w:hAnsi="Arial" w:cs="Arial"/>
          <w:color w:val="000000" w:themeColor="text1"/>
        </w:rPr>
        <w:t>,</w:t>
      </w:r>
      <w:r w:rsidRPr="002C6986">
        <w:rPr>
          <w:rStyle w:val="apple-converted-space"/>
          <w:rFonts w:ascii="Arial" w:hAnsi="Arial" w:cs="Arial"/>
          <w:color w:val="000000" w:themeColor="text1"/>
        </w:rPr>
        <w:t> </w:t>
      </w:r>
      <w:r w:rsidRPr="002C6986">
        <w:rPr>
          <w:rFonts w:ascii="Arial" w:hAnsi="Arial" w:cs="Arial"/>
          <w:i/>
          <w:iCs/>
          <w:color w:val="000000" w:themeColor="text1"/>
        </w:rPr>
        <w:t>Hospitality Net</w:t>
      </w:r>
      <w:r w:rsidRPr="002C6986">
        <w:rPr>
          <w:rFonts w:ascii="Arial" w:hAnsi="Arial" w:cs="Arial"/>
          <w:color w:val="000000" w:themeColor="text1"/>
        </w:rPr>
        <w:t>. Available at: https://www.hospitalitynet.org/opinion/4114815.html (Accessed: October 17, 2023).</w:t>
      </w:r>
    </w:p>
    <w:p w14:paraId="7A167DB8" w14:textId="77777777" w:rsidR="002C6986" w:rsidRPr="000B5F87" w:rsidRDefault="002C6986" w:rsidP="000B5F87">
      <w:pPr>
        <w:spacing w:before="100" w:beforeAutospacing="1" w:after="100" w:afterAutospacing="1" w:line="360" w:lineRule="auto"/>
        <w:jc w:val="both"/>
        <w:rPr>
          <w:rFonts w:ascii="Arial" w:hAnsi="Arial" w:cs="Arial"/>
          <w:color w:val="000000"/>
        </w:rPr>
      </w:pPr>
      <w:r w:rsidRPr="000B5F87">
        <w:rPr>
          <w:rFonts w:ascii="Arial" w:hAnsi="Arial" w:cs="Arial"/>
          <w:color w:val="000000"/>
        </w:rPr>
        <w:t>Pathak, A. (2020) </w:t>
      </w:r>
      <w:r w:rsidRPr="000B5F87">
        <w:rPr>
          <w:rFonts w:ascii="Arial" w:hAnsi="Arial" w:cs="Arial"/>
          <w:i/>
          <w:iCs/>
          <w:color w:val="000000"/>
        </w:rPr>
        <w:t xml:space="preserve">Employee engagement in HR: What it </w:t>
      </w:r>
      <w:proofErr w:type="gramStart"/>
      <w:r w:rsidRPr="000B5F87">
        <w:rPr>
          <w:rFonts w:ascii="Arial" w:hAnsi="Arial" w:cs="Arial"/>
          <w:i/>
          <w:iCs/>
          <w:color w:val="000000"/>
        </w:rPr>
        <w:t>entails?</w:t>
      </w:r>
      <w:r w:rsidRPr="000B5F87">
        <w:rPr>
          <w:rFonts w:ascii="Arial" w:hAnsi="Arial" w:cs="Arial"/>
          <w:color w:val="000000"/>
        </w:rPr>
        <w:t>,</w:t>
      </w:r>
      <w:proofErr w:type="gramEnd"/>
      <w:r w:rsidRPr="000B5F87">
        <w:rPr>
          <w:rFonts w:ascii="Arial" w:hAnsi="Arial" w:cs="Arial"/>
          <w:color w:val="000000"/>
        </w:rPr>
        <w:t> </w:t>
      </w:r>
      <w:r w:rsidRPr="000B5F87">
        <w:rPr>
          <w:rFonts w:ascii="Arial" w:hAnsi="Arial" w:cs="Arial"/>
          <w:i/>
          <w:iCs/>
          <w:color w:val="000000"/>
        </w:rPr>
        <w:t>Nurture an Engaged and Satisfied Workforce | Vantage Circle HR Blog</w:t>
      </w:r>
      <w:r w:rsidRPr="000B5F87">
        <w:rPr>
          <w:rFonts w:ascii="Arial" w:hAnsi="Arial" w:cs="Arial"/>
          <w:color w:val="000000"/>
        </w:rPr>
        <w:t>. Available at: https://blog.vantagecircle.com/employee-engagement-in-hr/ (Accessed: October 10, 2023).</w:t>
      </w:r>
    </w:p>
    <w:p w14:paraId="4BE1F00F" w14:textId="77777777" w:rsidR="002C6986" w:rsidRPr="000B5F87" w:rsidRDefault="002C6986" w:rsidP="000B5F87">
      <w:pPr>
        <w:spacing w:before="100" w:beforeAutospacing="1" w:after="100" w:afterAutospacing="1" w:line="360" w:lineRule="auto"/>
        <w:jc w:val="both"/>
        <w:rPr>
          <w:rFonts w:ascii="Arial" w:hAnsi="Arial" w:cs="Arial"/>
          <w:color w:val="000000"/>
        </w:rPr>
      </w:pPr>
      <w:proofErr w:type="spellStart"/>
      <w:r w:rsidRPr="000B5F87">
        <w:rPr>
          <w:rFonts w:ascii="Arial" w:hAnsi="Arial" w:cs="Arial"/>
          <w:color w:val="000000"/>
        </w:rPr>
        <w:t>Ramgade</w:t>
      </w:r>
      <w:proofErr w:type="spellEnd"/>
      <w:r w:rsidRPr="000B5F87">
        <w:rPr>
          <w:rFonts w:ascii="Arial" w:hAnsi="Arial" w:cs="Arial"/>
          <w:color w:val="000000"/>
        </w:rPr>
        <w:t>, A., Kumar, A. and Patil, D. Y. (no date) </w:t>
      </w:r>
      <w:r w:rsidRPr="000B5F87">
        <w:rPr>
          <w:rFonts w:ascii="Arial" w:hAnsi="Arial" w:cs="Arial"/>
          <w:i/>
          <w:iCs/>
          <w:color w:val="000000"/>
        </w:rPr>
        <w:t xml:space="preserve">Changing trends of hospitality industry: Emergence of millennials and gen z as future customers and their influence on the </w:t>
      </w:r>
      <w:r w:rsidRPr="000B5F87">
        <w:rPr>
          <w:rFonts w:ascii="Arial" w:hAnsi="Arial" w:cs="Arial"/>
          <w:i/>
          <w:iCs/>
          <w:color w:val="000000"/>
        </w:rPr>
        <w:lastRenderedPageBreak/>
        <w:t>hospitality industry</w:t>
      </w:r>
      <w:r w:rsidRPr="000B5F87">
        <w:rPr>
          <w:rFonts w:ascii="Arial" w:hAnsi="Arial" w:cs="Arial"/>
          <w:color w:val="000000"/>
        </w:rPr>
        <w:t>, </w:t>
      </w:r>
      <w:r w:rsidRPr="000B5F87">
        <w:rPr>
          <w:rFonts w:ascii="Arial" w:hAnsi="Arial" w:cs="Arial"/>
          <w:i/>
          <w:iCs/>
          <w:color w:val="000000"/>
        </w:rPr>
        <w:t>Edu.in</w:t>
      </w:r>
      <w:r w:rsidRPr="000B5F87">
        <w:rPr>
          <w:rFonts w:ascii="Arial" w:hAnsi="Arial" w:cs="Arial"/>
          <w:color w:val="000000"/>
        </w:rPr>
        <w:t>. Available at: https://hmct.dypvp.edu.in/Documents/research_publications/41.pdf (Accessed: October 10, 2023).</w:t>
      </w:r>
    </w:p>
    <w:p w14:paraId="35C33ECD" w14:textId="77777777" w:rsidR="002C6986" w:rsidRPr="000B5F87" w:rsidRDefault="002C6986" w:rsidP="000B5F87">
      <w:pPr>
        <w:spacing w:before="240" w:after="240" w:line="360" w:lineRule="auto"/>
        <w:jc w:val="both"/>
        <w:rPr>
          <w:rFonts w:ascii="Arial" w:eastAsia="system-ui" w:hAnsi="Arial" w:cs="Arial"/>
          <w:color w:val="000000" w:themeColor="text1"/>
        </w:rPr>
      </w:pPr>
      <w:r w:rsidRPr="000B5F87">
        <w:rPr>
          <w:rFonts w:ascii="Arial" w:eastAsia="system-ui" w:hAnsi="Arial" w:cs="Arial"/>
          <w:color w:val="000000" w:themeColor="text1"/>
        </w:rPr>
        <w:t xml:space="preserve">Twenge, J. M., &amp; Campbell, S. M. (2008). Generational Differences in Work Values: Leisure and Extrinsic Values Increasing, Social and Intrinsic Values Decreasing. </w:t>
      </w:r>
      <w:r w:rsidRPr="000B5F87">
        <w:rPr>
          <w:rFonts w:ascii="Arial" w:eastAsia="system-ui" w:hAnsi="Arial" w:cs="Arial"/>
          <w:i/>
          <w:iCs/>
          <w:color w:val="000000" w:themeColor="text1"/>
        </w:rPr>
        <w:t>Journal of Management</w:t>
      </w:r>
      <w:r w:rsidRPr="000B5F87">
        <w:rPr>
          <w:rFonts w:ascii="Arial" w:eastAsia="system-ui" w:hAnsi="Arial" w:cs="Arial"/>
          <w:color w:val="000000" w:themeColor="text1"/>
        </w:rPr>
        <w:t>, 34(2), 200-223.</w:t>
      </w:r>
    </w:p>
    <w:p w14:paraId="1E4CFFAA" w14:textId="77777777" w:rsidR="002C6986" w:rsidRPr="000B5F87" w:rsidRDefault="002C6986" w:rsidP="000B5F87">
      <w:pPr>
        <w:spacing w:before="240" w:after="240" w:line="360" w:lineRule="auto"/>
        <w:jc w:val="both"/>
        <w:rPr>
          <w:rFonts w:ascii="Arial" w:eastAsia="system-ui" w:hAnsi="Arial" w:cs="Arial"/>
          <w:color w:val="000000" w:themeColor="text1"/>
        </w:rPr>
      </w:pPr>
      <w:r w:rsidRPr="000B5F87">
        <w:rPr>
          <w:rFonts w:ascii="Arial" w:eastAsia="system-ui" w:hAnsi="Arial" w:cs="Arial"/>
          <w:color w:val="000000" w:themeColor="text1"/>
        </w:rPr>
        <w:t xml:space="preserve">Wang, D., &amp; Li, Y. (2016). The Impact of Employee Engagement on Job Performance and Organizational Commitment in the Hotel Industry. </w:t>
      </w:r>
      <w:r w:rsidRPr="000B5F87">
        <w:rPr>
          <w:rFonts w:ascii="Arial" w:eastAsia="system-ui" w:hAnsi="Arial" w:cs="Arial"/>
          <w:i/>
          <w:iCs/>
          <w:color w:val="000000" w:themeColor="text1"/>
        </w:rPr>
        <w:t>International Journal of Contemporary Hospitality Management</w:t>
      </w:r>
      <w:r w:rsidRPr="000B5F87">
        <w:rPr>
          <w:rFonts w:ascii="Arial" w:eastAsia="system-ui" w:hAnsi="Arial" w:cs="Arial"/>
          <w:color w:val="000000" w:themeColor="text1"/>
        </w:rPr>
        <w:t>, 28(3), 453-472.</w:t>
      </w:r>
    </w:p>
    <w:p w14:paraId="0AF8D149" w14:textId="77777777" w:rsidR="002C6986" w:rsidRPr="002C6986" w:rsidRDefault="002C6986" w:rsidP="002C6986">
      <w:pPr>
        <w:pStyle w:val="NormalWeb"/>
        <w:spacing w:line="360" w:lineRule="auto"/>
        <w:jc w:val="both"/>
        <w:rPr>
          <w:rFonts w:ascii="Arial" w:hAnsi="Arial" w:cs="Arial"/>
          <w:color w:val="000000" w:themeColor="text1"/>
        </w:rPr>
      </w:pPr>
      <w:r w:rsidRPr="002C6986">
        <w:rPr>
          <w:rFonts w:ascii="Arial" w:hAnsi="Arial" w:cs="Arial"/>
          <w:color w:val="000000" w:themeColor="text1"/>
        </w:rPr>
        <w:t>Wilson, M. (2022)</w:t>
      </w:r>
      <w:r w:rsidRPr="002C6986">
        <w:rPr>
          <w:rStyle w:val="apple-converted-space"/>
          <w:rFonts w:ascii="Arial" w:hAnsi="Arial" w:cs="Arial"/>
          <w:color w:val="000000" w:themeColor="text1"/>
        </w:rPr>
        <w:t> </w:t>
      </w:r>
      <w:r w:rsidRPr="002C6986">
        <w:rPr>
          <w:rFonts w:ascii="Arial" w:hAnsi="Arial" w:cs="Arial"/>
          <w:i/>
          <w:iCs/>
          <w:color w:val="000000" w:themeColor="text1"/>
        </w:rPr>
        <w:t>How employee recognition and rewards can help incentivize hospitality workers in 2022</w:t>
      </w:r>
      <w:r w:rsidRPr="002C6986">
        <w:rPr>
          <w:rFonts w:ascii="Arial" w:hAnsi="Arial" w:cs="Arial"/>
          <w:color w:val="000000" w:themeColor="text1"/>
        </w:rPr>
        <w:t>,</w:t>
      </w:r>
      <w:r w:rsidRPr="002C6986">
        <w:rPr>
          <w:rStyle w:val="apple-converted-space"/>
          <w:rFonts w:ascii="Arial" w:hAnsi="Arial" w:cs="Arial"/>
          <w:color w:val="000000" w:themeColor="text1"/>
        </w:rPr>
        <w:t> </w:t>
      </w:r>
      <w:proofErr w:type="spellStart"/>
      <w:r w:rsidRPr="002C6986">
        <w:rPr>
          <w:rFonts w:ascii="Arial" w:hAnsi="Arial" w:cs="Arial"/>
          <w:i/>
          <w:iCs/>
          <w:color w:val="000000" w:themeColor="text1"/>
        </w:rPr>
        <w:t>Bucketlist</w:t>
      </w:r>
      <w:proofErr w:type="spellEnd"/>
      <w:r w:rsidRPr="002C6986">
        <w:rPr>
          <w:rFonts w:ascii="Arial" w:hAnsi="Arial" w:cs="Arial"/>
          <w:color w:val="000000" w:themeColor="text1"/>
        </w:rPr>
        <w:t>. Available at: https://bucketlistrewards.com/blog/how-employee-recognition-and-rewards-can-help-incentivize-hospitality-workers-in-2022/ (Accessed: October 17, 2023).</w:t>
      </w:r>
    </w:p>
    <w:p w14:paraId="06819DA9" w14:textId="77777777" w:rsidR="002C6986" w:rsidRDefault="002C6986" w:rsidP="000B5F87">
      <w:pPr>
        <w:spacing w:before="100" w:beforeAutospacing="1" w:after="100" w:afterAutospacing="1" w:line="360" w:lineRule="auto"/>
        <w:jc w:val="both"/>
        <w:rPr>
          <w:rFonts w:ascii="Arial" w:hAnsi="Arial" w:cs="Arial"/>
          <w:color w:val="000000"/>
        </w:rPr>
      </w:pPr>
      <w:r w:rsidRPr="000B5F87">
        <w:rPr>
          <w:rFonts w:ascii="Arial" w:hAnsi="Arial" w:cs="Arial"/>
          <w:color w:val="000000"/>
        </w:rPr>
        <w:t>Wing, E. (1682017774000) </w:t>
      </w:r>
      <w:r w:rsidRPr="000B5F87">
        <w:rPr>
          <w:rFonts w:ascii="Arial" w:hAnsi="Arial" w:cs="Arial"/>
          <w:i/>
          <w:iCs/>
          <w:color w:val="000000"/>
        </w:rPr>
        <w:t>Recruiting &amp; retaining different generations in the Hospitality Industry</w:t>
      </w:r>
      <w:r w:rsidRPr="000B5F87">
        <w:rPr>
          <w:rFonts w:ascii="Arial" w:hAnsi="Arial" w:cs="Arial"/>
          <w:color w:val="000000"/>
        </w:rPr>
        <w:t>, </w:t>
      </w:r>
      <w:r w:rsidRPr="000B5F87">
        <w:rPr>
          <w:rFonts w:ascii="Arial" w:hAnsi="Arial" w:cs="Arial"/>
          <w:i/>
          <w:iCs/>
          <w:color w:val="000000"/>
        </w:rPr>
        <w:t>Linkedin.com</w:t>
      </w:r>
      <w:r w:rsidRPr="000B5F87">
        <w:rPr>
          <w:rFonts w:ascii="Arial" w:hAnsi="Arial" w:cs="Arial"/>
          <w:color w:val="000000"/>
        </w:rPr>
        <w:t>. Available at: https://www.linkedin.com/pulse/recruiting-retaining-different-generations-hospitality-emily-wing (Accessed: October 10, 2023).</w:t>
      </w:r>
    </w:p>
    <w:p w14:paraId="2FF4657D" w14:textId="77777777" w:rsidR="002C6986" w:rsidRDefault="002C6986" w:rsidP="002C6986"/>
    <w:p w14:paraId="0907D477" w14:textId="77777777" w:rsidR="002C6986" w:rsidRPr="000B5F87" w:rsidRDefault="002C6986" w:rsidP="000B5F87">
      <w:pPr>
        <w:spacing w:before="100" w:beforeAutospacing="1" w:after="100" w:afterAutospacing="1" w:line="360" w:lineRule="auto"/>
        <w:jc w:val="both"/>
        <w:rPr>
          <w:rFonts w:ascii="Arial" w:hAnsi="Arial" w:cs="Arial"/>
          <w:color w:val="000000"/>
        </w:rPr>
      </w:pPr>
    </w:p>
    <w:p w14:paraId="679C74CB" w14:textId="77777777" w:rsidR="000B5F87" w:rsidRPr="000B5F87" w:rsidRDefault="000B5F87" w:rsidP="000B5F87"/>
    <w:p w14:paraId="7E9BD85E" w14:textId="6675E78E" w:rsidR="20E2E752" w:rsidRDefault="20E2E752" w:rsidP="20E2E752">
      <w:pPr>
        <w:spacing w:line="360" w:lineRule="auto"/>
        <w:jc w:val="both"/>
        <w:rPr>
          <w:rFonts w:ascii="system-ui" w:eastAsia="system-ui" w:hAnsi="system-ui" w:cs="system-ui"/>
        </w:rPr>
      </w:pPr>
    </w:p>
    <w:p w14:paraId="203F6D29" w14:textId="5A102DAB" w:rsidR="20E2E752" w:rsidRDefault="20E2E752" w:rsidP="20E2E752">
      <w:pPr>
        <w:spacing w:line="360" w:lineRule="auto"/>
        <w:jc w:val="both"/>
        <w:rPr>
          <w:rFonts w:ascii="system-ui" w:eastAsia="system-ui" w:hAnsi="system-ui" w:cs="system-ui"/>
        </w:rPr>
      </w:pPr>
    </w:p>
    <w:p w14:paraId="57CBDD47" w14:textId="38E07CEC" w:rsidR="20E2E752" w:rsidRDefault="20E2E752" w:rsidP="20E2E752">
      <w:pPr>
        <w:spacing w:line="360" w:lineRule="auto"/>
        <w:jc w:val="both"/>
        <w:rPr>
          <w:rFonts w:ascii="system-ui" w:eastAsia="system-ui" w:hAnsi="system-ui" w:cs="system-ui"/>
        </w:rPr>
      </w:pPr>
    </w:p>
    <w:p w14:paraId="1EA4ABBA" w14:textId="48ED91C0" w:rsidR="20E2E752" w:rsidRDefault="20E2E752" w:rsidP="20E2E752">
      <w:pPr>
        <w:spacing w:line="360" w:lineRule="auto"/>
        <w:jc w:val="both"/>
        <w:rPr>
          <w:rFonts w:ascii="system-ui" w:eastAsia="system-ui" w:hAnsi="system-ui" w:cs="system-ui"/>
        </w:rPr>
      </w:pPr>
    </w:p>
    <w:p w14:paraId="441F9C39" w14:textId="44B51C8B" w:rsidR="20E2E752" w:rsidRDefault="20E2E752" w:rsidP="20E2E752">
      <w:pPr>
        <w:spacing w:line="360" w:lineRule="auto"/>
        <w:jc w:val="both"/>
        <w:rPr>
          <w:rFonts w:ascii="system-ui" w:eastAsia="system-ui" w:hAnsi="system-ui" w:cs="system-ui"/>
        </w:rPr>
      </w:pPr>
    </w:p>
    <w:sectPr w:rsidR="20E2E7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system-ui">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E407B"/>
    <w:multiLevelType w:val="hybridMultilevel"/>
    <w:tmpl w:val="4D18E342"/>
    <w:lvl w:ilvl="0" w:tplc="205A9EAE">
      <w:start w:val="1"/>
      <w:numFmt w:val="bullet"/>
      <w:lvlText w:val=""/>
      <w:lvlJc w:val="left"/>
      <w:pPr>
        <w:ind w:left="720" w:hanging="360"/>
      </w:pPr>
      <w:rPr>
        <w:rFonts w:ascii="Symbol" w:hAnsi="Symbol" w:hint="default"/>
      </w:rPr>
    </w:lvl>
    <w:lvl w:ilvl="1" w:tplc="010A470A">
      <w:start w:val="1"/>
      <w:numFmt w:val="bullet"/>
      <w:lvlText w:val="o"/>
      <w:lvlJc w:val="left"/>
      <w:pPr>
        <w:ind w:left="1440" w:hanging="360"/>
      </w:pPr>
      <w:rPr>
        <w:rFonts w:ascii="Courier New" w:hAnsi="Courier New" w:hint="default"/>
      </w:rPr>
    </w:lvl>
    <w:lvl w:ilvl="2" w:tplc="C7A0FFE4">
      <w:start w:val="1"/>
      <w:numFmt w:val="bullet"/>
      <w:lvlText w:val=""/>
      <w:lvlJc w:val="left"/>
      <w:pPr>
        <w:ind w:left="2160" w:hanging="360"/>
      </w:pPr>
      <w:rPr>
        <w:rFonts w:ascii="Wingdings" w:hAnsi="Wingdings" w:hint="default"/>
      </w:rPr>
    </w:lvl>
    <w:lvl w:ilvl="3" w:tplc="93267B30">
      <w:start w:val="1"/>
      <w:numFmt w:val="bullet"/>
      <w:lvlText w:val=""/>
      <w:lvlJc w:val="left"/>
      <w:pPr>
        <w:ind w:left="2880" w:hanging="360"/>
      </w:pPr>
      <w:rPr>
        <w:rFonts w:ascii="Symbol" w:hAnsi="Symbol" w:hint="default"/>
      </w:rPr>
    </w:lvl>
    <w:lvl w:ilvl="4" w:tplc="539C2150">
      <w:start w:val="1"/>
      <w:numFmt w:val="bullet"/>
      <w:lvlText w:val="o"/>
      <w:lvlJc w:val="left"/>
      <w:pPr>
        <w:ind w:left="3600" w:hanging="360"/>
      </w:pPr>
      <w:rPr>
        <w:rFonts w:ascii="Courier New" w:hAnsi="Courier New" w:hint="default"/>
      </w:rPr>
    </w:lvl>
    <w:lvl w:ilvl="5" w:tplc="74B0003C">
      <w:start w:val="1"/>
      <w:numFmt w:val="bullet"/>
      <w:lvlText w:val=""/>
      <w:lvlJc w:val="left"/>
      <w:pPr>
        <w:ind w:left="4320" w:hanging="360"/>
      </w:pPr>
      <w:rPr>
        <w:rFonts w:ascii="Wingdings" w:hAnsi="Wingdings" w:hint="default"/>
      </w:rPr>
    </w:lvl>
    <w:lvl w:ilvl="6" w:tplc="69E4C5A0">
      <w:start w:val="1"/>
      <w:numFmt w:val="bullet"/>
      <w:lvlText w:val=""/>
      <w:lvlJc w:val="left"/>
      <w:pPr>
        <w:ind w:left="5040" w:hanging="360"/>
      </w:pPr>
      <w:rPr>
        <w:rFonts w:ascii="Symbol" w:hAnsi="Symbol" w:hint="default"/>
      </w:rPr>
    </w:lvl>
    <w:lvl w:ilvl="7" w:tplc="0A3601EE">
      <w:start w:val="1"/>
      <w:numFmt w:val="bullet"/>
      <w:lvlText w:val="o"/>
      <w:lvlJc w:val="left"/>
      <w:pPr>
        <w:ind w:left="5760" w:hanging="360"/>
      </w:pPr>
      <w:rPr>
        <w:rFonts w:ascii="Courier New" w:hAnsi="Courier New" w:hint="default"/>
      </w:rPr>
    </w:lvl>
    <w:lvl w:ilvl="8" w:tplc="7D3A941A">
      <w:start w:val="1"/>
      <w:numFmt w:val="bullet"/>
      <w:lvlText w:val=""/>
      <w:lvlJc w:val="left"/>
      <w:pPr>
        <w:ind w:left="6480" w:hanging="360"/>
      </w:pPr>
      <w:rPr>
        <w:rFonts w:ascii="Wingdings" w:hAnsi="Wingdings" w:hint="default"/>
      </w:rPr>
    </w:lvl>
  </w:abstractNum>
  <w:abstractNum w:abstractNumId="1" w15:restartNumberingAfterBreak="0">
    <w:nsid w:val="243131C6"/>
    <w:multiLevelType w:val="hybridMultilevel"/>
    <w:tmpl w:val="C9BE1272"/>
    <w:lvl w:ilvl="0" w:tplc="95904FF4">
      <w:start w:val="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9902267">
    <w:abstractNumId w:val="0"/>
  </w:num>
  <w:num w:numId="2" w16cid:durableId="272053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0757DF"/>
    <w:rsid w:val="000B5F87"/>
    <w:rsid w:val="002C6986"/>
    <w:rsid w:val="006E19B4"/>
    <w:rsid w:val="00764074"/>
    <w:rsid w:val="009948C2"/>
    <w:rsid w:val="009D3033"/>
    <w:rsid w:val="00B4189E"/>
    <w:rsid w:val="00C457C7"/>
    <w:rsid w:val="01AC3C47"/>
    <w:rsid w:val="024FE8FF"/>
    <w:rsid w:val="031649C9"/>
    <w:rsid w:val="0498F1CD"/>
    <w:rsid w:val="04B21A2A"/>
    <w:rsid w:val="0634C22E"/>
    <w:rsid w:val="07D0928F"/>
    <w:rsid w:val="0A19F56C"/>
    <w:rsid w:val="0A6AC764"/>
    <w:rsid w:val="107F8E95"/>
    <w:rsid w:val="110757DF"/>
    <w:rsid w:val="11E945DC"/>
    <w:rsid w:val="15DBB40E"/>
    <w:rsid w:val="16EEC581"/>
    <w:rsid w:val="1868A64C"/>
    <w:rsid w:val="186FBED7"/>
    <w:rsid w:val="19BC371F"/>
    <w:rsid w:val="1A266643"/>
    <w:rsid w:val="1CF3D7E1"/>
    <w:rsid w:val="20E2E752"/>
    <w:rsid w:val="22683335"/>
    <w:rsid w:val="22B31E71"/>
    <w:rsid w:val="2349F108"/>
    <w:rsid w:val="23D540A7"/>
    <w:rsid w:val="25ACE0E9"/>
    <w:rsid w:val="26ADC2D2"/>
    <w:rsid w:val="27DDED0C"/>
    <w:rsid w:val="2C4D6214"/>
    <w:rsid w:val="31355F60"/>
    <w:rsid w:val="32D11007"/>
    <w:rsid w:val="378B7887"/>
    <w:rsid w:val="38696284"/>
    <w:rsid w:val="392748E8"/>
    <w:rsid w:val="3A91566A"/>
    <w:rsid w:val="3B03771E"/>
    <w:rsid w:val="3B1A955E"/>
    <w:rsid w:val="3DFABA0B"/>
    <w:rsid w:val="40C0665C"/>
    <w:rsid w:val="420337D8"/>
    <w:rsid w:val="439F0839"/>
    <w:rsid w:val="4F04A0C8"/>
    <w:rsid w:val="51415B5A"/>
    <w:rsid w:val="51CA4D19"/>
    <w:rsid w:val="521E3F7C"/>
    <w:rsid w:val="531EDADB"/>
    <w:rsid w:val="557D9483"/>
    <w:rsid w:val="58769CC6"/>
    <w:rsid w:val="58925AB1"/>
    <w:rsid w:val="5B580702"/>
    <w:rsid w:val="5E8FA7C4"/>
    <w:rsid w:val="64472A02"/>
    <w:rsid w:val="64C7170E"/>
    <w:rsid w:val="654177BF"/>
    <w:rsid w:val="65E5B89A"/>
    <w:rsid w:val="6D6AB4C7"/>
    <w:rsid w:val="6F9F138F"/>
    <w:rsid w:val="6FF0F26F"/>
    <w:rsid w:val="7175F538"/>
    <w:rsid w:val="71B42D40"/>
    <w:rsid w:val="72005238"/>
    <w:rsid w:val="72F83878"/>
    <w:rsid w:val="759C4834"/>
    <w:rsid w:val="75F7FB88"/>
    <w:rsid w:val="786F8924"/>
    <w:rsid w:val="7AFF2710"/>
    <w:rsid w:val="7B441367"/>
    <w:rsid w:val="7BA729E6"/>
    <w:rsid w:val="7C5724DA"/>
    <w:rsid w:val="7DB290D8"/>
    <w:rsid w:val="7FDEA9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757DF"/>
  <w15:chartTrackingRefBased/>
  <w15:docId w15:val="{DAB846C2-CBCE-4C46-9D60-E8FDB4F7B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986"/>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9948C2"/>
    <w:pPr>
      <w:spacing w:after="160" w:line="259" w:lineRule="auto"/>
      <w:ind w:left="720"/>
      <w:contextualSpacing/>
    </w:pPr>
    <w:rPr>
      <w:rFonts w:asciiTheme="minorHAnsi" w:eastAsiaTheme="minorHAnsi" w:hAnsiTheme="minorHAnsi" w:cstheme="minorBidi"/>
      <w:sz w:val="22"/>
      <w:szCs w:val="22"/>
      <w:lang w:val="en-US" w:eastAsia="en-US"/>
    </w:rPr>
  </w:style>
  <w:style w:type="character" w:styleId="FollowedHyperlink">
    <w:name w:val="FollowedHyperlink"/>
    <w:basedOn w:val="DefaultParagraphFont"/>
    <w:uiPriority w:val="99"/>
    <w:semiHidden/>
    <w:unhideWhenUsed/>
    <w:rsid w:val="000B5F87"/>
    <w:rPr>
      <w:color w:val="954F72" w:themeColor="followedHyperlink"/>
      <w:u w:val="single"/>
    </w:rPr>
  </w:style>
  <w:style w:type="paragraph" w:styleId="NormalWeb">
    <w:name w:val="Normal (Web)"/>
    <w:basedOn w:val="Normal"/>
    <w:uiPriority w:val="99"/>
    <w:unhideWhenUsed/>
    <w:rsid w:val="000B5F87"/>
    <w:pPr>
      <w:spacing w:before="100" w:beforeAutospacing="1" w:after="100" w:afterAutospacing="1"/>
    </w:pPr>
  </w:style>
  <w:style w:type="character" w:customStyle="1" w:styleId="apple-converted-space">
    <w:name w:val="apple-converted-space"/>
    <w:basedOn w:val="DefaultParagraphFont"/>
    <w:rsid w:val="000B5F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191581">
      <w:bodyDiv w:val="1"/>
      <w:marLeft w:val="0"/>
      <w:marRight w:val="0"/>
      <w:marTop w:val="0"/>
      <w:marBottom w:val="0"/>
      <w:divBdr>
        <w:top w:val="none" w:sz="0" w:space="0" w:color="auto"/>
        <w:left w:val="none" w:sz="0" w:space="0" w:color="auto"/>
        <w:bottom w:val="none" w:sz="0" w:space="0" w:color="auto"/>
        <w:right w:val="none" w:sz="0" w:space="0" w:color="auto"/>
      </w:divBdr>
      <w:divsChild>
        <w:div w:id="1660425158">
          <w:marLeft w:val="0"/>
          <w:marRight w:val="0"/>
          <w:marTop w:val="0"/>
          <w:marBottom w:val="0"/>
          <w:divBdr>
            <w:top w:val="none" w:sz="0" w:space="0" w:color="auto"/>
            <w:left w:val="none" w:sz="0" w:space="0" w:color="auto"/>
            <w:bottom w:val="none" w:sz="0" w:space="0" w:color="auto"/>
            <w:right w:val="none" w:sz="0" w:space="0" w:color="auto"/>
          </w:divBdr>
          <w:divsChild>
            <w:div w:id="1412195744">
              <w:marLeft w:val="0"/>
              <w:marRight w:val="0"/>
              <w:marTop w:val="0"/>
              <w:marBottom w:val="0"/>
              <w:divBdr>
                <w:top w:val="none" w:sz="0" w:space="0" w:color="auto"/>
                <w:left w:val="none" w:sz="0" w:space="0" w:color="auto"/>
                <w:bottom w:val="none" w:sz="0" w:space="0" w:color="auto"/>
                <w:right w:val="none" w:sz="0" w:space="0" w:color="auto"/>
              </w:divBdr>
            </w:div>
            <w:div w:id="1470124543">
              <w:marLeft w:val="0"/>
              <w:marRight w:val="0"/>
              <w:marTop w:val="0"/>
              <w:marBottom w:val="0"/>
              <w:divBdr>
                <w:top w:val="none" w:sz="0" w:space="0" w:color="auto"/>
                <w:left w:val="none" w:sz="0" w:space="0" w:color="auto"/>
                <w:bottom w:val="none" w:sz="0" w:space="0" w:color="auto"/>
                <w:right w:val="none" w:sz="0" w:space="0" w:color="auto"/>
              </w:divBdr>
            </w:div>
            <w:div w:id="855508015">
              <w:marLeft w:val="0"/>
              <w:marRight w:val="0"/>
              <w:marTop w:val="0"/>
              <w:marBottom w:val="0"/>
              <w:divBdr>
                <w:top w:val="none" w:sz="0" w:space="0" w:color="auto"/>
                <w:left w:val="none" w:sz="0" w:space="0" w:color="auto"/>
                <w:bottom w:val="none" w:sz="0" w:space="0" w:color="auto"/>
                <w:right w:val="none" w:sz="0" w:space="0" w:color="auto"/>
              </w:divBdr>
            </w:div>
            <w:div w:id="122701409">
              <w:marLeft w:val="0"/>
              <w:marRight w:val="0"/>
              <w:marTop w:val="0"/>
              <w:marBottom w:val="0"/>
              <w:divBdr>
                <w:top w:val="none" w:sz="0" w:space="0" w:color="auto"/>
                <w:left w:val="none" w:sz="0" w:space="0" w:color="auto"/>
                <w:bottom w:val="none" w:sz="0" w:space="0" w:color="auto"/>
                <w:right w:val="none" w:sz="0" w:space="0" w:color="auto"/>
              </w:divBdr>
            </w:div>
            <w:div w:id="657343285">
              <w:marLeft w:val="0"/>
              <w:marRight w:val="0"/>
              <w:marTop w:val="0"/>
              <w:marBottom w:val="0"/>
              <w:divBdr>
                <w:top w:val="none" w:sz="0" w:space="0" w:color="auto"/>
                <w:left w:val="none" w:sz="0" w:space="0" w:color="auto"/>
                <w:bottom w:val="none" w:sz="0" w:space="0" w:color="auto"/>
                <w:right w:val="none" w:sz="0" w:space="0" w:color="auto"/>
              </w:divBdr>
            </w:div>
            <w:div w:id="1514874539">
              <w:marLeft w:val="0"/>
              <w:marRight w:val="0"/>
              <w:marTop w:val="0"/>
              <w:marBottom w:val="0"/>
              <w:divBdr>
                <w:top w:val="none" w:sz="0" w:space="0" w:color="auto"/>
                <w:left w:val="none" w:sz="0" w:space="0" w:color="auto"/>
                <w:bottom w:val="none" w:sz="0" w:space="0" w:color="auto"/>
                <w:right w:val="none" w:sz="0" w:space="0" w:color="auto"/>
              </w:divBdr>
            </w:div>
            <w:div w:id="46151548">
              <w:marLeft w:val="0"/>
              <w:marRight w:val="0"/>
              <w:marTop w:val="0"/>
              <w:marBottom w:val="0"/>
              <w:divBdr>
                <w:top w:val="none" w:sz="0" w:space="0" w:color="auto"/>
                <w:left w:val="none" w:sz="0" w:space="0" w:color="auto"/>
                <w:bottom w:val="none" w:sz="0" w:space="0" w:color="auto"/>
                <w:right w:val="none" w:sz="0" w:space="0" w:color="auto"/>
              </w:divBdr>
            </w:div>
            <w:div w:id="873421402">
              <w:marLeft w:val="0"/>
              <w:marRight w:val="0"/>
              <w:marTop w:val="0"/>
              <w:marBottom w:val="0"/>
              <w:divBdr>
                <w:top w:val="none" w:sz="0" w:space="0" w:color="auto"/>
                <w:left w:val="none" w:sz="0" w:space="0" w:color="auto"/>
                <w:bottom w:val="none" w:sz="0" w:space="0" w:color="auto"/>
                <w:right w:val="none" w:sz="0" w:space="0" w:color="auto"/>
              </w:divBdr>
            </w:div>
            <w:div w:id="1328243223">
              <w:marLeft w:val="0"/>
              <w:marRight w:val="0"/>
              <w:marTop w:val="0"/>
              <w:marBottom w:val="0"/>
              <w:divBdr>
                <w:top w:val="none" w:sz="0" w:space="0" w:color="auto"/>
                <w:left w:val="none" w:sz="0" w:space="0" w:color="auto"/>
                <w:bottom w:val="none" w:sz="0" w:space="0" w:color="auto"/>
                <w:right w:val="none" w:sz="0" w:space="0" w:color="auto"/>
              </w:divBdr>
            </w:div>
            <w:div w:id="907496279">
              <w:marLeft w:val="0"/>
              <w:marRight w:val="0"/>
              <w:marTop w:val="0"/>
              <w:marBottom w:val="0"/>
              <w:divBdr>
                <w:top w:val="none" w:sz="0" w:space="0" w:color="auto"/>
                <w:left w:val="none" w:sz="0" w:space="0" w:color="auto"/>
                <w:bottom w:val="none" w:sz="0" w:space="0" w:color="auto"/>
                <w:right w:val="none" w:sz="0" w:space="0" w:color="auto"/>
              </w:divBdr>
            </w:div>
            <w:div w:id="161385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446679">
      <w:bodyDiv w:val="1"/>
      <w:marLeft w:val="0"/>
      <w:marRight w:val="0"/>
      <w:marTop w:val="0"/>
      <w:marBottom w:val="0"/>
      <w:divBdr>
        <w:top w:val="none" w:sz="0" w:space="0" w:color="auto"/>
        <w:left w:val="none" w:sz="0" w:space="0" w:color="auto"/>
        <w:bottom w:val="none" w:sz="0" w:space="0" w:color="auto"/>
        <w:right w:val="none" w:sz="0" w:space="0" w:color="auto"/>
      </w:divBdr>
      <w:divsChild>
        <w:div w:id="1403329256">
          <w:marLeft w:val="0"/>
          <w:marRight w:val="0"/>
          <w:marTop w:val="0"/>
          <w:marBottom w:val="0"/>
          <w:divBdr>
            <w:top w:val="none" w:sz="0" w:space="0" w:color="auto"/>
            <w:left w:val="none" w:sz="0" w:space="0" w:color="auto"/>
            <w:bottom w:val="none" w:sz="0" w:space="0" w:color="auto"/>
            <w:right w:val="none" w:sz="0" w:space="0" w:color="auto"/>
          </w:divBdr>
          <w:divsChild>
            <w:div w:id="1067611871">
              <w:marLeft w:val="0"/>
              <w:marRight w:val="0"/>
              <w:marTop w:val="0"/>
              <w:marBottom w:val="0"/>
              <w:divBdr>
                <w:top w:val="none" w:sz="0" w:space="0" w:color="auto"/>
                <w:left w:val="none" w:sz="0" w:space="0" w:color="auto"/>
                <w:bottom w:val="none" w:sz="0" w:space="0" w:color="auto"/>
                <w:right w:val="none" w:sz="0" w:space="0" w:color="auto"/>
              </w:divBdr>
            </w:div>
            <w:div w:id="2102145363">
              <w:marLeft w:val="0"/>
              <w:marRight w:val="0"/>
              <w:marTop w:val="0"/>
              <w:marBottom w:val="0"/>
              <w:divBdr>
                <w:top w:val="none" w:sz="0" w:space="0" w:color="auto"/>
                <w:left w:val="none" w:sz="0" w:space="0" w:color="auto"/>
                <w:bottom w:val="none" w:sz="0" w:space="0" w:color="auto"/>
                <w:right w:val="none" w:sz="0" w:space="0" w:color="auto"/>
              </w:divBdr>
            </w:div>
            <w:div w:id="139561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12</Pages>
  <Words>2851</Words>
  <Characters>16254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Galen Atanasov</dc:creator>
  <cp:keywords/>
  <dc:description/>
  <cp:lastModifiedBy>Microsoft Office User</cp:lastModifiedBy>
  <cp:revision>6</cp:revision>
  <dcterms:created xsi:type="dcterms:W3CDTF">2023-10-06T04:00:00Z</dcterms:created>
  <dcterms:modified xsi:type="dcterms:W3CDTF">2023-10-17T08:57:00Z</dcterms:modified>
</cp:coreProperties>
</file>