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itemProps2.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mc:AlternateContent>
          <mc:Choice Requires="wpg">
            <w:drawing>
              <wp:anchor behindDoc="1" distT="0" distB="0" distL="114300" distR="114300" simplePos="0" locked="0" layoutInCell="0" allowOverlap="1" relativeHeight="4">
                <wp:simplePos x="0" y="0"/>
                <wp:positionH relativeFrom="page">
                  <wp:align>center</wp:align>
                </wp:positionH>
                <wp:positionV relativeFrom="page">
                  <wp:posOffset>0</wp:posOffset>
                </wp:positionV>
                <wp:extent cx="7315200" cy="1215390"/>
                <wp:effectExtent l="635" t="0" r="0" b="0"/>
                <wp:wrapNone/>
                <wp:docPr id="1" name="Group 149"/>
                <a:graphic xmlns:a="http://schemas.openxmlformats.org/drawingml/2006/main">
                  <a:graphicData uri="http://schemas.microsoft.com/office/word/2010/wordprocessingGroup">
                    <wpg:wgp>
                      <wpg:cNvGrpSpPr/>
                      <wpg:grpSpPr>
                        <a:xfrm>
                          <a:off x="0" y="0"/>
                          <a:ext cx="7315200" cy="1215360"/>
                          <a:chOff x="0" y="0"/>
                          <a:chExt cx="7315200" cy="1215360"/>
                        </a:xfrm>
                      </wpg:grpSpPr>
                      <wps:wsp>
                        <wps:cNvSpPr/>
                        <wps:spPr>
                          <a:xfrm>
                            <a:off x="0" y="0"/>
                            <a:ext cx="7315200" cy="1129680"/>
                          </a:xfrm>
                          <a:custGeom>
                            <a:avLst/>
                            <a:gdLst/>
                            <a:ahLst/>
                            <a:rect l="0" t="0" r="r" b="b"/>
                            <a:pathLst>
                              <a:path w="20320" h="3138">
                                <a:moveTo>
                                  <a:pt x="0" y="0"/>
                                </a:moveTo>
                                <a:lnTo>
                                  <a:pt x="20320" y="0"/>
                                </a:lnTo>
                                <a:lnTo>
                                  <a:pt x="20320" y="3138"/>
                                </a:lnTo>
                                <a:lnTo>
                                  <a:pt x="10058" y="2037"/>
                                </a:lnTo>
                                <a:lnTo>
                                  <a:pt x="0" y="3032"/>
                                </a:lnTo>
                                <a:lnTo>
                                  <a:pt x="0" y="0"/>
                                </a:lnTo>
                                <a:close/>
                              </a:path>
                            </a:pathLst>
                          </a:custGeom>
                          <a:solidFill>
                            <a:srgbClr val="4472c4"/>
                          </a:solidFill>
                          <a:ln w="0">
                            <a:noFill/>
                          </a:ln>
                        </wps:spPr>
                        <wps:bodyPr/>
                      </wps:wsp>
                      <wps:wsp>
                        <wps:cNvSpPr/>
                        <wps:nvSpPr>
                          <wps:cNvPr id="0" name="Rectangle 151"/>
                          <wps:cNvSpPr/>
                        </wps:nvSpPr>
                        <wps:spPr>
                          <a:xfrm>
                            <a:off x="0" y="0"/>
                            <a:ext cx="7315200" cy="1215360"/>
                          </a:xfrm>
                          <a:prstGeom prst="rect">
                            <a:avLst/>
                          </a:prstGeom>
                          <a:blipFill rotWithShape="0">
                            <a:blip r:embed="rId2"/>
                            <a:stretch>
                              <a:fillRect/>
                            </a:stretch>
                          </a:blipFill>
                          <a:ln w="0">
                            <a:noFill/>
                          </a:ln>
                        </wps:spPr>
                        <wps:bodyPr/>
                      </wps:wsp>
                    </wpg:wgp>
                  </a:graphicData>
                </a:graphic>
              </wp:anchor>
            </w:drawing>
          </mc:Choice>
          <mc:Fallback>
            <w:pict>
              <v:group id="shape_0" alt="Group 149" style="position:absolute;margin-left:9.65pt;margin-top:0pt;width:576.05pt;height:95.7pt" coordorigin="193,0" coordsize="11521,1914">
                <v:shape id="shape_0" ID="Rectangle 51" coordsize="20321,3139" path="m0,0l20320,0l20320,3138l10058,2037l0,3032l0,0e" fillcolor="#4472c4" stroked="f" o:allowincell="f" style="position:absolute;left:193;top:0;width:11519;height:1778;mso-wrap-style:none;v-text-anchor:middle;mso-position-horizontal:center;mso-position-horizontal-relative:page;mso-position-vertical-relative:page">
                  <v:fill o:detectmouseclick="t" type="solid" color2="#bb8d3b"/>
                  <v:stroke color="#3465a4" joinstyle="round" endcap="flat"/>
                  <w10:wrap type="none"/>
                </v:shape>
                <v:rect id="shape_0" ID="Rectangle 151" stroked="f" o:allowincell="f" style="position:absolute;left:193;top:0;width:11519;height:1913;mso-wrap-style:none;v-text-anchor:middle;mso-position-horizontal:center;mso-position-horizontal-relative:page;mso-position-vertical-relative:page">
                  <v:imagedata r:id="rId3" o:detectmouseclick="t"/>
                  <v:stroke color="#3465a4" joinstyle="round" endcap="flat"/>
                  <w10:wrap type="none"/>
                </v:rect>
              </v:group>
            </w:pict>
          </mc:Fallback>
        </mc:AlternateContent>
      </w:r>
      <w:r>
        <mc:AlternateContent>
          <mc:Choice Requires="wps">
            <w:drawing>
              <wp:anchor behindDoc="0" distT="0" distB="0" distL="114300" distR="114300" simplePos="0" locked="0" layoutInCell="0" allowOverlap="1" relativeHeight="2">
                <wp:simplePos x="0" y="0"/>
                <wp:positionH relativeFrom="page">
                  <wp:align>center</wp:align>
                </wp:positionH>
                <wp:positionV relativeFrom="page">
                  <wp:posOffset>0</wp:posOffset>
                </wp:positionV>
                <wp:extent cx="7315200" cy="3638550"/>
                <wp:effectExtent l="0" t="0" r="0" b="0"/>
                <wp:wrapSquare wrapText="bothSides"/>
                <wp:docPr id="2" name="Frame2"/>
                <a:graphic xmlns:a="http://schemas.openxmlformats.org/drawingml/2006/main">
                  <a:graphicData uri="http://schemas.microsoft.com/office/word/2010/wordprocessingShape">
                    <wps:wsp>
                      <wps:cNvSpPr txBox="1"/>
                      <wps:spPr>
                        <a:xfrm>
                          <a:off x="0" y="0"/>
                          <a:ext cx="7315200" cy="3638550"/>
                        </a:xfrm>
                        <a:prstGeom prst="rect"/>
                        <a:solidFill>
                          <a:srgbClr val="FFFFFF">
                            <a:alpha val="0"/>
                          </a:srgbClr>
                        </a:solidFill>
                      </wps:spPr>
                      <wps:txbx>
                        <w:txbxContent>
                          <w:p>
                            <w:pPr>
                              <w:pStyle w:val="FrameContents"/>
                              <w:jc w:val="right"/>
                              <w:rPr>
                                <w:color w:val="4472C4" w:themeColor="accent1"/>
                                <w:sz w:val="56"/>
                                <w:szCs w:val="56"/>
                              </w:rPr>
                            </w:pPr>
                            <w:r>
                              <w:rPr>
                                <w:caps/>
                                <w:color w:val="4472C4" w:themeColor="accent1"/>
                                <w:sz w:val="56"/>
                                <w:szCs w:val="56"/>
                              </w:rPr>
                              <w:t>Personal Development Plan</w:t>
                            </w:r>
                          </w:p>
                          <w:p>
                            <w:pPr>
                              <w:pStyle w:val="FrameContents"/>
                              <w:spacing w:before="0" w:after="160"/>
                              <w:jc w:val="right"/>
                              <w:rPr>
                                <w:smallCaps/>
                                <w:color w:val="404040" w:themeColor="text1" w:themeTint="bf"/>
                                <w:sz w:val="36"/>
                                <w:szCs w:val="36"/>
                              </w:rPr>
                            </w:pPr>
                            <w:r>
                              <w:rPr>
                                <w:color w:val="404040" w:themeColor="text1" w:themeTint="bf"/>
                                <w:sz w:val="36"/>
                                <w:szCs w:val="36"/>
                              </w:rPr>
                              <w:t>Learning in the Digital Era – BMPL4007/BMPS4009</w:t>
                            </w:r>
                          </w:p>
                        </w:txbxContent>
                      </wps:txbx>
                      <wps:bodyPr anchor="t" lIns="1600200" tIns="0" rIns="685800" bIns="0">
                        <a:noAutofit/>
                      </wps:bodyPr>
                    </wps:wsp>
                  </a:graphicData>
                </a:graphic>
              </wp:anchor>
            </w:drawing>
          </mc:Choice>
          <mc:Fallback>
            <w:pict>
              <v:rect stroked="f" strokeweight="0pt" style="position:absolute;rotation:-0;width:576pt;height:286.5pt;mso-wrap-distance-left:9pt;mso-wrap-distance-right:9pt;mso-wrap-distance-top:0pt;mso-wrap-distance-bottom:0pt;margin-top:0pt;mso-position-vertical-relative:page;margin-left:9.65pt;mso-position-horizontal:center;mso-position-horizontal-relative:page">
                <v:textbox inset="1.75in,0in,0.75in,0in">
                  <w:txbxContent>
                    <w:p>
                      <w:pPr>
                        <w:pStyle w:val="FrameContents"/>
                        <w:jc w:val="right"/>
                        <w:rPr>
                          <w:color w:val="4472C4" w:themeColor="accent1"/>
                          <w:sz w:val="56"/>
                          <w:szCs w:val="56"/>
                        </w:rPr>
                      </w:pPr>
                      <w:r>
                        <w:rPr>
                          <w:caps/>
                          <w:color w:val="4472C4" w:themeColor="accent1"/>
                          <w:sz w:val="56"/>
                          <w:szCs w:val="56"/>
                        </w:rPr>
                        <w:t>Personal Development Plan</w:t>
                      </w:r>
                    </w:p>
                    <w:p>
                      <w:pPr>
                        <w:pStyle w:val="FrameContents"/>
                        <w:spacing w:before="0" w:after="160"/>
                        <w:jc w:val="right"/>
                        <w:rPr>
                          <w:smallCaps/>
                          <w:color w:val="404040" w:themeColor="text1" w:themeTint="bf"/>
                          <w:sz w:val="36"/>
                          <w:szCs w:val="36"/>
                        </w:rPr>
                      </w:pPr>
                      <w:r>
                        <w:rPr>
                          <w:color w:val="404040" w:themeColor="text1" w:themeTint="bf"/>
                          <w:sz w:val="36"/>
                          <w:szCs w:val="36"/>
                        </w:rPr>
                        <w:t>Learning in the Digital Era – BMPL4007/BMPS4009</w:t>
                      </w:r>
                    </w:p>
                  </w:txbxContent>
                </v:textbox>
                <w10:wrap type="square"/>
              </v:rect>
            </w:pict>
          </mc:Fallback>
        </mc:AlternateContent>
      </w:r>
      <w:r>
        <mc:AlternateContent>
          <mc:Choice Requires="wps">
            <w:drawing>
              <wp:anchor behindDoc="0" distT="0" distB="0" distL="114300" distR="114300" simplePos="0" locked="0" layoutInCell="0" allowOverlap="1" relativeHeight="3">
                <wp:simplePos x="0" y="0"/>
                <wp:positionH relativeFrom="page">
                  <wp:align>center</wp:align>
                </wp:positionH>
                <wp:positionV relativeFrom="page">
                  <wp:posOffset>0</wp:posOffset>
                </wp:positionV>
                <wp:extent cx="7315200" cy="914400"/>
                <wp:effectExtent l="0" t="0" r="0" b="0"/>
                <wp:wrapSquare wrapText="bothSides"/>
                <wp:docPr id="3" name="Frame1"/>
                <a:graphic xmlns:a="http://schemas.openxmlformats.org/drawingml/2006/main">
                  <a:graphicData uri="http://schemas.microsoft.com/office/word/2010/wordprocessingShape">
                    <wps:wsp>
                      <wps:cNvSpPr txBox="1"/>
                      <wps:spPr>
                        <a:xfrm>
                          <a:off x="0" y="0"/>
                          <a:ext cx="7315200" cy="914400"/>
                        </a:xfrm>
                        <a:prstGeom prst="rect"/>
                        <a:solidFill>
                          <a:srgbClr val="FFFFFF">
                            <a:alpha val="0"/>
                          </a:srgbClr>
                        </a:solidFill>
                      </wps:spPr>
                      <wps:txbx>
                        <w:txbxContent>
                          <w:sdt>
                            <w:sdtPr>
                              <w:docPartObj>
                                <w:docPartGallery w:val="Cover Pages"/>
                                <w:docPartUnique w:val="true"/>
                              </w:docPartObj>
                              <w:id w:val="1185294874"/>
                            </w:sdtPr>
                            <w:sdtContent>
                              <w:p>
                                <w:pPr>
                                  <w:pStyle w:val="NoSpacing"/>
                                  <w:jc w:val="right"/>
                                  <w:rPr>
                                    <w:color w:val="595959" w:themeColor="text1" w:themeTint="a6"/>
                                    <w:sz w:val="28"/>
                                    <w:szCs w:val="28"/>
                                  </w:rPr>
                                </w:pPr>
                                <w:r>
                                  <w:rPr>
                                    <w:color w:val="595959" w:themeColor="text1" w:themeTint="a6"/>
                                    <w:sz w:val="28"/>
                                    <w:szCs w:val="28"/>
                                  </w:rPr>
                                  <w:t>Name</w:t>
                                </w:r>
                              </w:p>
                              <w:p>
                                <w:pPr>
                                  <w:pStyle w:val="NoSpacing"/>
                                  <w:jc w:val="right"/>
                                  <w:rPr>
                                    <w:color w:val="595959" w:themeColor="text1" w:themeTint="a6"/>
                                    <w:sz w:val="18"/>
                                    <w:szCs w:val="18"/>
                                  </w:rPr>
                                </w:pPr>
                                <w:r>
                                  <w:rPr>
                                    <w:color w:val="595959" w:themeColor="text1" w:themeTint="a6"/>
                                    <w:sz w:val="18"/>
                                    <w:szCs w:val="18"/>
                                  </w:rPr>
                                  <w:t>Student number</w:t>
                                </w:r>
                              </w:p>
                            </w:sdtContent>
                          </w:sdt>
                        </w:txbxContent>
                      </wps:txbx>
                      <wps:bodyPr anchor="t" lIns="1600200" tIns="0" rIns="685800" bIns="0">
                        <a:noAutofit/>
                      </wps:bodyPr>
                    </wps:wsp>
                  </a:graphicData>
                </a:graphic>
              </wp:anchor>
            </w:drawing>
          </mc:Choice>
          <mc:Fallback>
            <w:pict>
              <v:rect stroked="f" strokeweight="0pt" style="position:absolute;rotation:-0;width:576pt;height:72pt;mso-wrap-distance-left:9pt;mso-wrap-distance-right:9pt;mso-wrap-distance-top:0pt;mso-wrap-distance-bottom:0pt;margin-top:0pt;mso-position-vertical-relative:page;margin-left:9.65pt;mso-position-horizontal:center;mso-position-horizontal-relative:page">
                <v:textbox inset="1.75in,0in,0.75in,0in">
                  <w:txbxContent>
                    <w:sdt>
                      <w:sdtPr>
                        <w:docPartObj>
                          <w:docPartGallery w:val="Cover Pages"/>
                          <w:docPartUnique w:val="true"/>
                        </w:docPartObj>
                        <w:id w:val="1589081749"/>
                      </w:sdtPr>
                      <w:sdtContent>
                        <w:p>
                          <w:pPr>
                            <w:pStyle w:val="NoSpacing"/>
                            <w:jc w:val="right"/>
                            <w:rPr>
                              <w:color w:val="595959" w:themeColor="text1" w:themeTint="a6"/>
                              <w:sz w:val="28"/>
                              <w:szCs w:val="28"/>
                            </w:rPr>
                          </w:pPr>
                          <w:r>
                            <w:rPr>
                              <w:color w:val="595959" w:themeColor="text1" w:themeTint="a6"/>
                              <w:sz w:val="28"/>
                              <w:szCs w:val="28"/>
                            </w:rPr>
                            <w:t>Name</w:t>
                          </w:r>
                        </w:p>
                        <w:p>
                          <w:pPr>
                            <w:pStyle w:val="NoSpacing"/>
                            <w:jc w:val="right"/>
                            <w:rPr>
                              <w:color w:val="595959" w:themeColor="text1" w:themeTint="a6"/>
                              <w:sz w:val="18"/>
                              <w:szCs w:val="18"/>
                            </w:rPr>
                          </w:pPr>
                          <w:r>
                            <w:rPr>
                              <w:color w:val="595959" w:themeColor="text1" w:themeTint="a6"/>
                              <w:sz w:val="18"/>
                              <w:szCs w:val="18"/>
                            </w:rPr>
                            <w:t>Student number</w:t>
                          </w:r>
                        </w:p>
                      </w:sdtContent>
                    </w:sdt>
                  </w:txbxContent>
                </v:textbox>
                <w10:wrap type="square"/>
              </v:rect>
            </w:pict>
          </mc:Fallback>
        </mc:AlternateContent>
      </w:r>
    </w:p>
    <w:p>
      <w:pPr>
        <w:pStyle w:val="Normal"/>
        <w:rPr>
          <w:rFonts w:eastAsia="" w:eastAsiaTheme="minorEastAsia"/>
          <w:color w:val="2F5496" w:themeColor="accent1" w:themeShade="bf"/>
          <w:sz w:val="24"/>
          <w:szCs w:val="24"/>
          <w:lang w:val="en-US"/>
        </w:rPr>
      </w:pPr>
      <w:r>
        <w:rPr>
          <w:rFonts w:eastAsia="" w:eastAsiaTheme="minorEastAsia"/>
          <w:color w:val="2F5496" w:themeColor="accent1" w:themeShade="bf"/>
          <w:sz w:val="24"/>
          <w:szCs w:val="24"/>
          <w:lang w:val="en-US"/>
        </w:rPr>
      </w:r>
      <w:r>
        <w:br w:type="page"/>
      </w:r>
    </w:p>
    <w:p>
      <w:pPr>
        <w:pStyle w:val="Heading1"/>
        <w:spacing w:before="120" w:after="120"/>
        <w:rPr/>
      </w:pPr>
      <w:r>
        <w:rPr/>
        <w:t>Task 1 - Reflection</w:t>
      </w:r>
    </w:p>
    <w:p>
      <w:pPr>
        <w:pStyle w:val="Normal1"/>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Discussion</w:t>
      </w:r>
    </w:p>
    <w:p>
      <w:pPr>
        <w:pStyle w:val="NormalWeb"/>
        <w:spacing w:lineRule="auto" w:line="360" w:beforeAutospacing="0" w:before="0" w:afterAutospacing="0" w:after="0"/>
        <w:jc w:val="both"/>
        <w:rPr/>
      </w:pPr>
      <w:r>
        <w:rPr/>
        <w:t>In the module, I have gained clear knowledge regarding the learning procedures in the digital era. Throughout the world education technologies are enabling students to perform certain tasks which ensure that they grow effectively in their respective fields. I have understood that learning in the digital era will be the most important opportunity for me so that I can share my ideas effectively with my peers. Moreover, I am very certain that I will increase efficiency in my transferable skills. The two competencies that I have understood as the most important factor in this regard are self-regulating learning and scientific and computational injury practices (</w:t>
      </w:r>
      <w:r>
        <w:rPr>
          <w:color w:val="222222"/>
          <w:shd w:fill="FFFFFF" w:val="clear"/>
        </w:rPr>
        <w:t>Samuel et al., 2019</w:t>
      </w:r>
      <w:r>
        <w:rPr/>
        <w:t xml:space="preserve">). There are various transferable skills that are developed by me during the course such as collaboration, communication, problem-solving, self-control, and many more. The underlying concepts and principles in this course have helped me a lot in developing these skills. The aspect of self-regulating learning has helped me in understanding that through monitoring my metacognitive, behavioral, cognitive, affective, and motivational processes I will be able to control them during the learning process.   </w:t>
      </w:r>
    </w:p>
    <w:p>
      <w:pPr>
        <w:pStyle w:val="Normal1"/>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Feelings</w:t>
      </w:r>
    </w:p>
    <w:p>
      <w:pPr>
        <w:pStyle w:val="NormalWeb"/>
        <w:spacing w:lineRule="auto" w:line="360" w:beforeAutospacing="0" w:before="0" w:afterAutospacing="0" w:after="0"/>
        <w:jc w:val="both"/>
        <w:rPr/>
      </w:pPr>
      <w:r>
        <w:rPr/>
        <w:t>I certainly feel that the above-mentioned transferable skills will be helpful for me in meeting my future goals. Computers are currently playing an ever-increasing role in every workforce; thus, it is highly required for future aspirants like me to become digitally proficient. I am very certain that I will be able to acquire more skills and knowledge in the future also. In this regard, the theories and models that helped me the most are the RAT model, SAMR model, connectivism, and Bloom's taxonomy (</w:t>
      </w:r>
      <w:r>
        <w:rPr>
          <w:color w:val="222222"/>
          <w:shd w:fill="FFFFFF" w:val="clear"/>
        </w:rPr>
        <w:t>Surahman et al., 2020</w:t>
      </w:r>
      <w:r>
        <w:rPr/>
        <w:t>). According to the RAT model, I have determined that replacement, amplification, and transformation in the technological field are enabling the education sector to become more efficient. However, I feel that the main theory that has contributed to my learning process the most is Bloom's Taxonomy. Through this theory, I have determined that it is very important to think at a higher-level during learning something so that I can achieve mastery in my learning journey. In this regard, I am certain that my transferable skills will help me apply the concepts in my learning journey along with analyzing, and evaluating them. Through this, I will be enabled in creating new habits that will be helpful for me in meeting my goals related to my future actions (</w:t>
      </w:r>
      <w:r>
        <w:rPr>
          <w:color w:val="222222"/>
          <w:shd w:fill="FFFFFF" w:val="clear"/>
        </w:rPr>
        <w:t>Jones and Sharma, 2020</w:t>
      </w:r>
      <w:r>
        <w:rPr/>
        <w:t xml:space="preserve">). Moreover, through effective learning of the concept of connectivism I have understood that technology ensures rapid access to information. Thus, I can use this wide sphere of knowledge through effective collaboration and learning from diverse sources in which social media is most important.    </w:t>
      </w:r>
    </w:p>
    <w:p>
      <w:pPr>
        <w:pStyle w:val="Normal1"/>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Evaluation</w:t>
      </w:r>
    </w:p>
    <w:p>
      <w:pPr>
        <w:pStyle w:val="NormalWeb"/>
        <w:spacing w:lineRule="auto" w:line="360" w:beforeAutospacing="0" w:before="0" w:afterAutospacing="0" w:after="0"/>
        <w:jc w:val="both"/>
        <w:rPr/>
      </w:pPr>
      <w:r>
        <w:rPr/>
        <w:t>The theories have helped me very much however, by considering the different principles, and concepts I have identified a few gaps in my skills. The thing in which I lacked the most is confidence. However, currently, I am trying very hard to overcome this problem so that I can bring efficiency to my critical thinking skills (</w:t>
      </w:r>
      <w:r>
        <w:rPr>
          <w:color w:val="222222"/>
          <w:shd w:fill="FFFFFF" w:val="clear"/>
        </w:rPr>
        <w:t>Zulkarnain et al., 2020, October</w:t>
      </w:r>
      <w:r>
        <w:rPr/>
        <w:t xml:space="preserve">). I am very certain that by developing my confidence and critical thinking skills I will become more efficient in critically reflecting and understanding my point of view. Based on my understanding and observation I will effectively figure out the world. Apart from that, there are various transferable skills such as collaboration, communication, and problem-solving which, according to me, have the capability of enabling me to obtain the best outcome from digital learning. Communicating on the digital platform with my peers I am currently getting many insights regarding the various spheres of learning.  </w:t>
      </w:r>
    </w:p>
    <w:p>
      <w:pPr>
        <w:pStyle w:val="Normal1"/>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Analysis</w:t>
      </w:r>
    </w:p>
    <w:p>
      <w:pPr>
        <w:pStyle w:val="NormalWeb"/>
        <w:spacing w:lineRule="auto" w:line="360" w:beforeAutospacing="0" w:before="0" w:afterAutospacing="0" w:after="0"/>
        <w:jc w:val="both"/>
        <w:rPr/>
      </w:pPr>
      <w:r>
        <w:rPr/>
        <w:t>Currently, I am highly focusing on including the learning’s from theories in my daily activities. Communication is the main medium that is considered by me in the process of clearly expressing my ideas to peers. Moreover, my continuous focus is on developing my confidence so that I can ask relevant questions to the professors as well as students along with maintaining respect and building trust (</w:t>
      </w:r>
      <w:r>
        <w:rPr>
          <w:color w:val="222222"/>
          <w:shd w:fill="FFFFFF" w:val="clear"/>
        </w:rPr>
        <w:t>Naidoo, 2020</w:t>
      </w:r>
      <w:r>
        <w:rPr/>
        <w:t xml:space="preserve">). Moreover, the problem-solving skills that I have developed the most during the course has help me in examining my ideas chasing after knowledge, and continually improving my learning journey. I am very certain that I will develop my imagination for making effective choices so that I don't have to find tools suitable for increasing my performance.  </w:t>
      </w:r>
    </w:p>
    <w:p>
      <w:pPr>
        <w:pStyle w:val="Normal1"/>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Conclusion </w:t>
      </w:r>
    </w:p>
    <w:p>
      <w:pPr>
        <w:pStyle w:val="Normal"/>
        <w:spacing w:lineRule="auto" w:line="360"/>
        <w:jc w:val="both"/>
        <w:rPr/>
      </w:pPr>
      <w:r>
        <w:rPr>
          <w:rFonts w:eastAsia="Times New Roman" w:cs="Times New Roman" w:ascii="Times New Roman" w:hAnsi="Times New Roman"/>
          <w:sz w:val="24"/>
          <w:szCs w:val="24"/>
        </w:rPr>
        <w:t xml:space="preserve">The main skills that I need to improve for becoming more effective in my learning journey are my self-controlling skills for increasing confidence and critical thinking skills for becoming more productive. The theories that are considered by me help me effectively understand this gap that needs to be developed by me in the future.   </w:t>
      </w:r>
    </w:p>
    <w:p>
      <w:pPr>
        <w:pStyle w:val="Title"/>
        <w:rPr>
          <w:rFonts w:ascii="Arial" w:hAnsi="Arial" w:cs="Arial"/>
        </w:rPr>
      </w:pPr>
      <w:r>
        <w:rPr>
          <w:rFonts w:cs="Arial" w:ascii="Arial" w:hAnsi="Arial"/>
        </w:rPr>
      </w:r>
    </w:p>
    <w:p>
      <w:pPr>
        <w:sectPr>
          <w:footerReference w:type="default" r:id="rId4"/>
          <w:type w:val="nextPage"/>
          <w:pgSz w:w="11906" w:h="16838"/>
          <w:pgMar w:left="1440" w:right="1440" w:gutter="0" w:header="0" w:top="1440" w:footer="708" w:bottom="1440"/>
          <w:pgNumType w:start="0" w:fmt="decimal"/>
          <w:formProt w:val="false"/>
          <w:titlePg/>
          <w:textDirection w:val="lrTb"/>
          <w:docGrid w:type="default" w:linePitch="360" w:charSpace="4096"/>
        </w:sectPr>
        <w:pStyle w:val="Title"/>
        <w:rPr>
          <w:rFonts w:ascii="Arial" w:hAnsi="Arial" w:cs="Arial"/>
        </w:rPr>
      </w:pPr>
      <w:r>
        <w:rPr>
          <w:rFonts w:cs="Arial" w:ascii="Arial" w:hAnsi="Arial"/>
        </w:rPr>
      </w:r>
    </w:p>
    <w:p>
      <w:pPr>
        <w:pStyle w:val="Heading1"/>
        <w:spacing w:before="120" w:after="120"/>
        <w:contextualSpacing/>
        <w:rPr/>
      </w:pPr>
      <w:r>
        <w:rPr/>
        <w:t>Task 2 – Personal Development Plan</w:t>
      </w:r>
    </w:p>
    <w:p>
      <w:pPr>
        <w:pStyle w:val="Normal"/>
        <w:rPr/>
      </w:pPr>
      <w:r>
        <w:rPr/>
      </w:r>
    </w:p>
    <w:tbl>
      <w:tblPr>
        <w:tblStyle w:val="TableGrid"/>
        <w:tblW w:w="13948" w:type="dxa"/>
        <w:jc w:val="left"/>
        <w:tblInd w:w="0" w:type="dxa"/>
        <w:tblLayout w:type="fixed"/>
        <w:tblCellMar>
          <w:top w:w="0" w:type="dxa"/>
          <w:left w:w="108" w:type="dxa"/>
          <w:bottom w:w="0" w:type="dxa"/>
          <w:right w:w="108" w:type="dxa"/>
        </w:tblCellMar>
        <w:tblLook w:val="04a0"/>
      </w:tblPr>
      <w:tblGrid>
        <w:gridCol w:w="2789"/>
        <w:gridCol w:w="1317"/>
        <w:gridCol w:w="1473"/>
        <w:gridCol w:w="1361"/>
        <w:gridCol w:w="1428"/>
        <w:gridCol w:w="2790"/>
        <w:gridCol w:w="2790"/>
      </w:tblGrid>
      <w:tr>
        <w:trPr/>
        <w:tc>
          <w:tcPr>
            <w:tcW w:w="4106" w:type="dxa"/>
            <w:gridSpan w:val="2"/>
            <w:tcBorders/>
            <w:shd w:color="auto" w:fill="D9E2F3" w:themeFill="accent1" w:themeFillTint="33" w:val="clear"/>
          </w:tcPr>
          <w:p>
            <w:pPr>
              <w:pStyle w:val="Normal"/>
              <w:widowControl/>
              <w:spacing w:lineRule="auto" w:line="240" w:before="0" w:after="0"/>
              <w:jc w:val="center"/>
              <w:rPr>
                <w:rFonts w:ascii="Arial" w:hAnsi="Arial" w:cs="Arial"/>
                <w:b/>
                <w:b/>
                <w:bCs/>
                <w:sz w:val="24"/>
                <w:szCs w:val="24"/>
              </w:rPr>
            </w:pPr>
            <w:r>
              <w:rPr>
                <w:rFonts w:eastAsia="Calibri" w:cs="Arial" w:ascii="Arial" w:hAnsi="Arial"/>
                <w:b/>
                <w:bCs/>
                <w:kern w:val="0"/>
                <w:sz w:val="24"/>
                <w:szCs w:val="24"/>
                <w:lang w:val="en-GB" w:eastAsia="en-US" w:bidi="ar-SA"/>
              </w:rPr>
              <w:t>Student Name</w:t>
            </w:r>
          </w:p>
        </w:tc>
        <w:tc>
          <w:tcPr>
            <w:tcW w:w="2834" w:type="dxa"/>
            <w:gridSpan w:val="2"/>
            <w:tcBorders/>
            <w:shd w:color="auto" w:fill="D9E2F3" w:themeFill="accent1" w:themeFillTint="33" w:val="clear"/>
          </w:tcPr>
          <w:p>
            <w:pPr>
              <w:pStyle w:val="Normal"/>
              <w:widowControl/>
              <w:spacing w:lineRule="auto" w:line="240" w:before="0" w:after="0"/>
              <w:jc w:val="center"/>
              <w:rPr>
                <w:rFonts w:ascii="Arial" w:hAnsi="Arial" w:cs="Arial"/>
                <w:b/>
                <w:b/>
                <w:bCs/>
                <w:sz w:val="24"/>
                <w:szCs w:val="24"/>
              </w:rPr>
            </w:pPr>
            <w:r>
              <w:rPr>
                <w:rFonts w:eastAsia="Calibri" w:cs="Arial" w:ascii="Arial" w:hAnsi="Arial"/>
                <w:b/>
                <w:bCs/>
                <w:kern w:val="0"/>
                <w:sz w:val="24"/>
                <w:szCs w:val="24"/>
                <w:lang w:val="en-GB" w:eastAsia="en-US" w:bidi="ar-SA"/>
              </w:rPr>
              <w:t>Student Number</w:t>
            </w:r>
          </w:p>
        </w:tc>
        <w:tc>
          <w:tcPr>
            <w:tcW w:w="4218" w:type="dxa"/>
            <w:gridSpan w:val="2"/>
            <w:tcBorders/>
            <w:shd w:color="auto" w:fill="D9E2F3" w:themeFill="accent1" w:themeFillTint="33" w:val="clear"/>
          </w:tcPr>
          <w:p>
            <w:pPr>
              <w:pStyle w:val="Normal"/>
              <w:widowControl/>
              <w:spacing w:lineRule="auto" w:line="240" w:before="0" w:after="0"/>
              <w:jc w:val="center"/>
              <w:rPr>
                <w:rFonts w:ascii="Arial" w:hAnsi="Arial" w:cs="Arial"/>
                <w:b/>
                <w:b/>
                <w:bCs/>
                <w:sz w:val="24"/>
                <w:szCs w:val="24"/>
              </w:rPr>
            </w:pPr>
            <w:r>
              <w:rPr>
                <w:rFonts w:eastAsia="Calibri" w:cs="Arial" w:ascii="Arial" w:hAnsi="Arial"/>
                <w:b/>
                <w:bCs/>
                <w:kern w:val="0"/>
                <w:sz w:val="24"/>
                <w:szCs w:val="24"/>
                <w:lang w:val="en-GB" w:eastAsia="en-US" w:bidi="ar-SA"/>
              </w:rPr>
              <w:t>Module</w:t>
            </w:r>
          </w:p>
        </w:tc>
        <w:tc>
          <w:tcPr>
            <w:tcW w:w="2790" w:type="dxa"/>
            <w:tcBorders/>
            <w:shd w:color="auto" w:fill="D9E2F3" w:themeFill="accent1" w:themeFillTint="33" w:val="clear"/>
          </w:tcPr>
          <w:p>
            <w:pPr>
              <w:pStyle w:val="Normal"/>
              <w:widowControl/>
              <w:spacing w:lineRule="auto" w:line="240" w:before="0" w:after="0"/>
              <w:jc w:val="center"/>
              <w:rPr>
                <w:rFonts w:ascii="Arial" w:hAnsi="Arial" w:cs="Arial"/>
                <w:b/>
                <w:b/>
                <w:bCs/>
                <w:sz w:val="24"/>
                <w:szCs w:val="24"/>
              </w:rPr>
            </w:pPr>
            <w:r>
              <w:rPr>
                <w:rFonts w:eastAsia="Calibri" w:cs="Arial" w:ascii="Arial" w:hAnsi="Arial"/>
                <w:b/>
                <w:bCs/>
                <w:kern w:val="0"/>
                <w:sz w:val="24"/>
                <w:szCs w:val="24"/>
                <w:lang w:val="en-GB" w:eastAsia="en-US" w:bidi="ar-SA"/>
              </w:rPr>
              <w:t>Code</w:t>
            </w:r>
          </w:p>
        </w:tc>
      </w:tr>
      <w:tr>
        <w:trPr/>
        <w:tc>
          <w:tcPr>
            <w:tcW w:w="4106" w:type="dxa"/>
            <w:gridSpan w:val="2"/>
            <w:tcBorders/>
            <w:shd w:color="auto" w:fill="D9E2F3" w:themeFill="accent1" w:themeFillTint="33" w:val="clear"/>
          </w:tcPr>
          <w:p>
            <w:pPr>
              <w:pStyle w:val="Normal"/>
              <w:widowControl/>
              <w:spacing w:lineRule="auto" w:line="240" w:before="0" w:after="0"/>
              <w:jc w:val="left"/>
              <w:rPr>
                <w:rFonts w:ascii="Arial" w:hAnsi="Arial" w:cs="Arial"/>
                <w:sz w:val="24"/>
                <w:szCs w:val="24"/>
              </w:rPr>
            </w:pPr>
            <w:r>
              <w:rPr>
                <w:rFonts w:eastAsia="Calibri" w:cs="Arial" w:ascii="Arial" w:hAnsi="Arial"/>
                <w:kern w:val="0"/>
                <w:sz w:val="22"/>
                <w:szCs w:val="22"/>
                <w:lang w:val="en-GB" w:eastAsia="en-US" w:bidi="ar-SA"/>
              </w:rPr>
              <w:t>Gabriel Pop</w:t>
            </w:r>
          </w:p>
        </w:tc>
        <w:tc>
          <w:tcPr>
            <w:tcW w:w="2834" w:type="dxa"/>
            <w:gridSpan w:val="2"/>
            <w:tcBorders/>
            <w:shd w:color="auto" w:fill="D9E2F3" w:themeFill="accent1" w:themeFillTint="33" w:val="clear"/>
          </w:tcPr>
          <w:p>
            <w:pPr>
              <w:pStyle w:val="Normal"/>
              <w:widowControl/>
              <w:spacing w:lineRule="auto" w:line="240" w:before="0" w:after="0"/>
              <w:jc w:val="left"/>
              <w:rPr>
                <w:rFonts w:ascii="Arial" w:hAnsi="Arial" w:cs="Arial"/>
                <w:sz w:val="24"/>
                <w:szCs w:val="24"/>
              </w:rPr>
            </w:pPr>
            <w:r>
              <w:rPr>
                <w:rFonts w:eastAsia="Calibri" w:cs="Arial" w:ascii="sans-serif" w:hAnsi="sans-serif"/>
                <w:b w:val="false"/>
                <w:i w:val="false"/>
                <w:caps w:val="false"/>
                <w:smallCaps w:val="false"/>
                <w:color w:val="333333"/>
                <w:spacing w:val="0"/>
                <w:kern w:val="0"/>
                <w:sz w:val="24"/>
                <w:szCs w:val="22"/>
                <w:lang w:val="en-GB" w:eastAsia="en-US" w:bidi="ar-SA"/>
              </w:rPr>
              <w:t xml:space="preserve">            </w:t>
            </w:r>
            <w:r>
              <w:rPr>
                <w:rFonts w:eastAsia="Calibri" w:cs="Arial" w:ascii="sans-serif" w:hAnsi="sans-serif"/>
                <w:b w:val="false"/>
                <w:i w:val="false"/>
                <w:caps w:val="false"/>
                <w:smallCaps w:val="false"/>
                <w:color w:val="333333"/>
                <w:spacing w:val="0"/>
                <w:kern w:val="0"/>
                <w:sz w:val="24"/>
                <w:szCs w:val="22"/>
                <w:lang w:val="en-GB" w:eastAsia="en-US" w:bidi="ar-SA"/>
              </w:rPr>
              <w:t>2214097</w:t>
            </w:r>
            <w:r>
              <w:rPr>
                <w:rFonts w:eastAsia="Calibri" w:cs="Arial" w:ascii="Arial" w:hAnsi="Arial"/>
                <w:kern w:val="0"/>
                <w:sz w:val="22"/>
                <w:szCs w:val="22"/>
                <w:lang w:val="en-GB" w:eastAsia="en-US" w:bidi="ar-SA"/>
              </w:rPr>
              <w:t xml:space="preserve"> </w:t>
            </w:r>
          </w:p>
        </w:tc>
        <w:tc>
          <w:tcPr>
            <w:tcW w:w="4218" w:type="dxa"/>
            <w:gridSpan w:val="2"/>
            <w:tcBorders/>
            <w:shd w:color="auto" w:fill="D9E2F3" w:themeFill="accent1" w:themeFillTint="33" w:val="clear"/>
          </w:tcPr>
          <w:p>
            <w:pPr>
              <w:pStyle w:val="Normal"/>
              <w:widowControl/>
              <w:spacing w:lineRule="auto" w:line="240" w:before="0" w:after="0"/>
              <w:jc w:val="left"/>
              <w:rPr>
                <w:rFonts w:ascii="Arial" w:hAnsi="Arial" w:cs="Arial"/>
                <w:sz w:val="24"/>
                <w:szCs w:val="24"/>
              </w:rPr>
            </w:pPr>
            <w:r>
              <w:rPr>
                <w:rFonts w:eastAsia="Calibri" w:cs="Arial" w:ascii="Arial" w:hAnsi="Arial"/>
                <w:kern w:val="0"/>
                <w:sz w:val="24"/>
                <w:szCs w:val="24"/>
                <w:lang w:val="en-GB" w:eastAsia="en-US" w:bidi="ar-SA"/>
              </w:rPr>
              <w:t>Learning in the Digital Era</w:t>
            </w:r>
          </w:p>
        </w:tc>
        <w:tc>
          <w:tcPr>
            <w:tcW w:w="2790" w:type="dxa"/>
            <w:tcBorders/>
            <w:shd w:color="auto" w:fill="D9E2F3" w:themeFill="accent1" w:themeFillTint="33" w:val="clear"/>
          </w:tcPr>
          <w:p>
            <w:pPr>
              <w:pStyle w:val="Normal"/>
              <w:widowControl/>
              <w:spacing w:lineRule="auto" w:line="240" w:before="0" w:after="0"/>
              <w:jc w:val="left"/>
              <w:rPr>
                <w:rFonts w:ascii="Arial" w:hAnsi="Arial" w:cs="Arial"/>
                <w:sz w:val="24"/>
                <w:szCs w:val="24"/>
              </w:rPr>
            </w:pPr>
            <w:r>
              <w:rPr>
                <w:rFonts w:eastAsia="Calibri" w:cs="Arial" w:ascii="Arial" w:hAnsi="Arial"/>
                <w:kern w:val="0"/>
                <w:sz w:val="24"/>
                <w:szCs w:val="24"/>
                <w:lang w:val="en-GB" w:eastAsia="en-US" w:bidi="ar-SA"/>
              </w:rPr>
              <w:t>BMPL4007</w:t>
            </w:r>
          </w:p>
          <w:p>
            <w:pPr>
              <w:pStyle w:val="Normal"/>
              <w:widowControl/>
              <w:spacing w:lineRule="auto" w:line="240" w:before="0" w:after="0"/>
              <w:jc w:val="left"/>
              <w:rPr>
                <w:rFonts w:ascii="Arial" w:hAnsi="Arial" w:cs="Arial"/>
                <w:sz w:val="24"/>
                <w:szCs w:val="24"/>
              </w:rPr>
            </w:pPr>
            <w:r>
              <w:rPr>
                <w:rFonts w:eastAsia="Calibri" w:cs="Arial" w:ascii="Arial" w:hAnsi="Arial"/>
                <w:kern w:val="0"/>
                <w:sz w:val="24"/>
                <w:szCs w:val="24"/>
                <w:lang w:val="en-GB" w:eastAsia="en-US" w:bidi="ar-SA"/>
              </w:rPr>
              <w:t>BMPS4009</w:t>
            </w:r>
          </w:p>
        </w:tc>
      </w:tr>
      <w:tr>
        <w:trPr/>
        <w:tc>
          <w:tcPr>
            <w:tcW w:w="2789" w:type="dxa"/>
            <w:tcBorders/>
            <w:shd w:color="auto" w:fill="C5E0B3" w:themeFill="accent6" w:themeFillTint="66" w:val="clear"/>
          </w:tcPr>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4"/>
                <w:szCs w:val="24"/>
                <w:lang w:val="en-GB" w:eastAsia="en-US" w:bidi="ar-SA"/>
              </w:rPr>
              <w:t>What goals do I want to achieve?</w:t>
            </w:r>
          </w:p>
          <w:p>
            <w:pPr>
              <w:pStyle w:val="Normal"/>
              <w:widowControl/>
              <w:spacing w:lineRule="auto" w:line="240" w:before="0" w:after="0"/>
              <w:jc w:val="left"/>
              <w:rPr>
                <w:rFonts w:ascii="Arial" w:hAnsi="Arial" w:cs="Arial"/>
                <w:sz w:val="24"/>
                <w:szCs w:val="24"/>
              </w:rPr>
            </w:pPr>
            <w:r>
              <w:rPr>
                <w:rFonts w:eastAsia="Calibri" w:cs="Arial" w:ascii="Arial" w:hAnsi="Arial"/>
                <w:kern w:val="0"/>
                <w:sz w:val="22"/>
                <w:szCs w:val="22"/>
                <w:lang w:val="en-GB" w:eastAsia="en-US" w:bidi="ar-SA"/>
              </w:rPr>
            </w:r>
          </w:p>
        </w:tc>
        <w:tc>
          <w:tcPr>
            <w:tcW w:w="2790" w:type="dxa"/>
            <w:gridSpan w:val="2"/>
            <w:tcBorders/>
            <w:shd w:color="auto" w:fill="C5E0B3" w:themeFill="accent6" w:themeFillTint="66" w:val="clear"/>
          </w:tcPr>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4"/>
                <w:szCs w:val="24"/>
                <w:lang w:val="en-GB" w:eastAsia="en-US" w:bidi="ar-SA"/>
              </w:rPr>
              <w:t>How will I measure my progress?</w:t>
            </w:r>
          </w:p>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2"/>
                <w:szCs w:val="22"/>
                <w:lang w:val="en-GB" w:eastAsia="en-US" w:bidi="ar-SA"/>
              </w:rPr>
            </w:r>
          </w:p>
          <w:p>
            <w:pPr>
              <w:pStyle w:val="Normal"/>
              <w:widowControl/>
              <w:spacing w:lineRule="auto" w:line="240" w:before="0" w:after="0"/>
              <w:jc w:val="left"/>
              <w:rPr>
                <w:rFonts w:ascii="Arial" w:hAnsi="Arial" w:cs="Arial"/>
                <w:b/>
                <w:b/>
                <w:sz w:val="24"/>
                <w:szCs w:val="24"/>
              </w:rPr>
            </w:pPr>
            <w:r>
              <w:rPr>
                <w:rFonts w:eastAsia="Calibri" w:cs="Arial" w:ascii="Arial" w:hAnsi="Arial"/>
                <w:b/>
                <w:kern w:val="0"/>
                <w:sz w:val="22"/>
                <w:szCs w:val="22"/>
                <w:lang w:val="en-GB" w:eastAsia="en-US" w:bidi="ar-SA"/>
              </w:rPr>
            </w:r>
          </w:p>
        </w:tc>
        <w:tc>
          <w:tcPr>
            <w:tcW w:w="2789" w:type="dxa"/>
            <w:gridSpan w:val="2"/>
            <w:tcBorders/>
            <w:shd w:color="auto" w:fill="C5E0B3" w:themeFill="accent6" w:themeFillTint="66" w:val="clear"/>
          </w:tcPr>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4"/>
                <w:szCs w:val="24"/>
                <w:lang w:val="en-GB" w:eastAsia="en-US" w:bidi="ar-SA"/>
              </w:rPr>
              <w:t>What resources or support will I need?</w:t>
            </w:r>
          </w:p>
          <w:p>
            <w:pPr>
              <w:pStyle w:val="Normal"/>
              <w:widowControl/>
              <w:spacing w:lineRule="auto" w:line="240" w:before="0" w:after="0"/>
              <w:jc w:val="left"/>
              <w:rPr>
                <w:rFonts w:ascii="Arial" w:hAnsi="Arial" w:cs="Arial"/>
                <w:sz w:val="24"/>
                <w:szCs w:val="24"/>
              </w:rPr>
            </w:pPr>
            <w:r>
              <w:rPr>
                <w:rFonts w:eastAsia="Calibri" w:cs="Arial" w:ascii="Arial" w:hAnsi="Arial"/>
                <w:kern w:val="0"/>
                <w:sz w:val="22"/>
                <w:szCs w:val="22"/>
                <w:lang w:val="en-GB" w:eastAsia="en-US" w:bidi="ar-SA"/>
              </w:rPr>
            </w:r>
          </w:p>
        </w:tc>
        <w:tc>
          <w:tcPr>
            <w:tcW w:w="2790" w:type="dxa"/>
            <w:tcBorders/>
            <w:shd w:color="auto" w:fill="C5E0B3" w:themeFill="accent6" w:themeFillTint="66" w:val="clear"/>
          </w:tcPr>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4"/>
                <w:szCs w:val="24"/>
                <w:lang w:val="en-GB" w:eastAsia="en-US" w:bidi="ar-SA"/>
              </w:rPr>
              <w:t>How is the objective relevant to my personal aspirations?</w:t>
            </w:r>
          </w:p>
          <w:p>
            <w:pPr>
              <w:pStyle w:val="Normal"/>
              <w:widowControl/>
              <w:spacing w:lineRule="auto" w:line="240" w:before="0" w:after="0"/>
              <w:jc w:val="left"/>
              <w:rPr>
                <w:rFonts w:ascii="Arial" w:hAnsi="Arial" w:cs="Arial"/>
                <w:b/>
                <w:b/>
                <w:bCs/>
                <w:sz w:val="24"/>
                <w:szCs w:val="24"/>
              </w:rPr>
            </w:pPr>
            <w:r>
              <w:rPr>
                <w:rFonts w:eastAsia="Calibri" w:cs="Arial" w:ascii="Arial" w:hAnsi="Arial"/>
                <w:b/>
                <w:bCs/>
                <w:kern w:val="0"/>
                <w:sz w:val="22"/>
                <w:szCs w:val="22"/>
                <w:lang w:val="en-GB" w:eastAsia="en-US" w:bidi="ar-SA"/>
              </w:rPr>
            </w:r>
          </w:p>
        </w:tc>
        <w:tc>
          <w:tcPr>
            <w:tcW w:w="2790" w:type="dxa"/>
            <w:tcBorders/>
            <w:shd w:color="auto" w:fill="C5E0B3" w:themeFill="accent6" w:themeFillTint="66" w:val="clear"/>
          </w:tcPr>
          <w:p>
            <w:pPr>
              <w:pStyle w:val="Normal"/>
              <w:widowControl/>
              <w:spacing w:lineRule="auto" w:line="240" w:before="0" w:after="0"/>
              <w:jc w:val="center"/>
              <w:rPr>
                <w:rFonts w:ascii="Arial" w:hAnsi="Arial" w:cs="Arial"/>
                <w:b/>
                <w:b/>
                <w:sz w:val="24"/>
                <w:szCs w:val="24"/>
              </w:rPr>
            </w:pPr>
            <w:r>
              <w:rPr>
                <w:rFonts w:eastAsia="Calibri" w:cs="Arial" w:ascii="Arial" w:hAnsi="Arial"/>
                <w:b/>
                <w:kern w:val="0"/>
                <w:sz w:val="24"/>
                <w:szCs w:val="24"/>
                <w:lang w:val="en-GB" w:eastAsia="en-US" w:bidi="ar-SA"/>
              </w:rPr>
              <w:t>What is the timeframe for the achievement of my goals?</w:t>
            </w:r>
          </w:p>
          <w:p>
            <w:pPr>
              <w:pStyle w:val="Normal"/>
              <w:widowControl/>
              <w:spacing w:lineRule="auto" w:line="240" w:before="0" w:after="0"/>
              <w:jc w:val="left"/>
              <w:rPr>
                <w:rFonts w:ascii="Arial" w:hAnsi="Arial" w:cs="Arial"/>
                <w:sz w:val="24"/>
                <w:szCs w:val="24"/>
              </w:rPr>
            </w:pPr>
            <w:r>
              <w:rPr>
                <w:rFonts w:eastAsia="Calibri" w:cs="Arial" w:ascii="Arial" w:hAnsi="Arial"/>
                <w:kern w:val="0"/>
                <w:sz w:val="22"/>
                <w:szCs w:val="22"/>
                <w:lang w:val="en-GB" w:eastAsia="en-US" w:bidi="ar-SA"/>
              </w:rPr>
            </w:r>
          </w:p>
        </w:tc>
      </w:tr>
      <w:tr>
        <w:trPr/>
        <w:tc>
          <w:tcPr>
            <w:tcW w:w="2789" w:type="dxa"/>
            <w:tcBorders/>
            <w:shd w:color="auto" w:fill="F7CAAC" w:themeFill="accent2" w:themeFillTint="66" w:val="clear"/>
          </w:tcPr>
          <w:p>
            <w:pPr>
              <w:pStyle w:val="Normal"/>
              <w:widowControl/>
              <w:spacing w:lineRule="auto" w:line="240" w:before="0" w:after="0"/>
              <w:jc w:val="center"/>
              <w:rPr>
                <w:rFonts w:ascii="Arial" w:hAnsi="Arial" w:cs="Arial"/>
                <w:b/>
                <w:b/>
              </w:rPr>
            </w:pPr>
            <w:r>
              <w:rPr>
                <w:rFonts w:eastAsia="Calibri" w:cs="Arial" w:ascii="Arial" w:hAnsi="Arial"/>
                <w:b/>
                <w:kern w:val="0"/>
                <w:sz w:val="22"/>
                <w:szCs w:val="22"/>
                <w:lang w:val="en-GB" w:eastAsia="en-US" w:bidi="ar-SA"/>
              </w:rPr>
              <w:t>Specific</w:t>
            </w:r>
          </w:p>
        </w:tc>
        <w:tc>
          <w:tcPr>
            <w:tcW w:w="2790" w:type="dxa"/>
            <w:gridSpan w:val="2"/>
            <w:tcBorders/>
            <w:shd w:color="auto" w:fill="F7CAAC" w:themeFill="accent2" w:themeFillTint="66" w:val="clear"/>
          </w:tcPr>
          <w:p>
            <w:pPr>
              <w:pStyle w:val="Normal"/>
              <w:widowControl/>
              <w:spacing w:lineRule="auto" w:line="240" w:before="0" w:after="0"/>
              <w:jc w:val="center"/>
              <w:rPr>
                <w:rFonts w:ascii="Arial" w:hAnsi="Arial" w:cs="Arial"/>
                <w:b/>
                <w:b/>
              </w:rPr>
            </w:pPr>
            <w:r>
              <w:rPr>
                <w:rFonts w:eastAsia="Calibri" w:cs="Arial" w:ascii="Arial" w:hAnsi="Arial"/>
                <w:b/>
                <w:kern w:val="0"/>
                <w:sz w:val="22"/>
                <w:szCs w:val="22"/>
                <w:lang w:val="en-GB" w:eastAsia="en-US" w:bidi="ar-SA"/>
              </w:rPr>
              <w:t>Measurable</w:t>
            </w:r>
          </w:p>
        </w:tc>
        <w:tc>
          <w:tcPr>
            <w:tcW w:w="2789" w:type="dxa"/>
            <w:gridSpan w:val="2"/>
            <w:tcBorders/>
            <w:shd w:color="auto" w:fill="F7CAAC" w:themeFill="accent2" w:themeFillTint="66" w:val="clear"/>
          </w:tcPr>
          <w:p>
            <w:pPr>
              <w:pStyle w:val="Normal"/>
              <w:widowControl/>
              <w:spacing w:lineRule="auto" w:line="240" w:before="0" w:after="0"/>
              <w:jc w:val="center"/>
              <w:rPr>
                <w:rFonts w:ascii="Arial" w:hAnsi="Arial" w:cs="Arial"/>
                <w:b/>
                <w:b/>
              </w:rPr>
            </w:pPr>
            <w:r>
              <w:rPr>
                <w:rFonts w:eastAsia="Calibri" w:cs="Arial" w:ascii="Arial" w:hAnsi="Arial"/>
                <w:b/>
                <w:kern w:val="0"/>
                <w:sz w:val="22"/>
                <w:szCs w:val="22"/>
                <w:lang w:val="en-GB" w:eastAsia="en-US" w:bidi="ar-SA"/>
              </w:rPr>
              <w:t>Achievable</w:t>
            </w:r>
          </w:p>
        </w:tc>
        <w:tc>
          <w:tcPr>
            <w:tcW w:w="2790" w:type="dxa"/>
            <w:tcBorders/>
            <w:shd w:color="auto" w:fill="F7CAAC" w:themeFill="accent2" w:themeFillTint="66" w:val="clear"/>
          </w:tcPr>
          <w:p>
            <w:pPr>
              <w:pStyle w:val="Normal"/>
              <w:widowControl/>
              <w:spacing w:lineRule="auto" w:line="240" w:before="0" w:after="0"/>
              <w:jc w:val="center"/>
              <w:rPr>
                <w:rFonts w:ascii="Arial" w:hAnsi="Arial" w:cs="Arial"/>
                <w:b/>
                <w:b/>
              </w:rPr>
            </w:pPr>
            <w:r>
              <w:rPr>
                <w:rFonts w:eastAsia="Calibri" w:cs="Arial" w:ascii="Arial" w:hAnsi="Arial"/>
                <w:b/>
                <w:bCs/>
                <w:kern w:val="0"/>
                <w:sz w:val="22"/>
                <w:szCs w:val="22"/>
                <w:lang w:val="en-GB" w:eastAsia="en-US" w:bidi="ar-SA"/>
              </w:rPr>
              <w:t>Relevant</w:t>
            </w:r>
          </w:p>
        </w:tc>
        <w:tc>
          <w:tcPr>
            <w:tcW w:w="2790" w:type="dxa"/>
            <w:tcBorders/>
            <w:shd w:color="auto" w:fill="F7CAAC" w:themeFill="accent2" w:themeFillTint="66" w:val="clear"/>
          </w:tcPr>
          <w:p>
            <w:pPr>
              <w:pStyle w:val="Normal"/>
              <w:widowControl/>
              <w:spacing w:lineRule="auto" w:line="240" w:before="0" w:after="0"/>
              <w:jc w:val="center"/>
              <w:rPr>
                <w:rFonts w:ascii="Arial" w:hAnsi="Arial" w:cs="Arial"/>
                <w:b/>
                <w:b/>
              </w:rPr>
            </w:pPr>
            <w:r>
              <w:rPr>
                <w:rFonts w:eastAsia="Calibri" w:cs="Arial" w:ascii="Arial" w:hAnsi="Arial"/>
                <w:b/>
                <w:kern w:val="0"/>
                <w:sz w:val="22"/>
                <w:szCs w:val="22"/>
                <w:lang w:val="en-GB" w:eastAsia="en-US" w:bidi="ar-SA"/>
              </w:rPr>
              <w:t>Timebound</w:t>
            </w:r>
          </w:p>
        </w:tc>
      </w:tr>
      <w:tr>
        <w:trPr>
          <w:trHeight w:val="3907" w:hRule="atLeast"/>
        </w:trPr>
        <w:tc>
          <w:tcPr>
            <w:tcW w:w="2789" w:type="dxa"/>
            <w:tcBorders/>
          </w:tcPr>
          <w:p>
            <w:pPr>
              <w:pStyle w:val="NormalWeb"/>
              <w:widowControl/>
              <w:spacing w:lineRule="auto" w:line="360" w:beforeAutospacing="0" w:before="0" w:afterAutospacing="0" w:after="0"/>
              <w:contextualSpacing/>
              <w:jc w:val="both"/>
              <w:rPr>
                <w:kern w:val="0"/>
                <w:lang w:eastAsia="en-US" w:bidi="ar-SA"/>
              </w:rPr>
            </w:pPr>
            <w:r>
              <w:rPr>
                <w:kern w:val="0"/>
                <w:lang w:eastAsia="en-US" w:bidi="ar-SA"/>
              </w:rPr>
              <w:t>The goal that I want to achieve in the future is to build my confidence in my learning journey. In the above-prepared reflection, I have identified that it is the main gap that is restricting me from succeeding in my learning journey. Thus, in this regard, the skill that I aimed at developing is self-controlling (</w:t>
            </w:r>
            <w:r>
              <w:rPr>
                <w:color w:val="222222"/>
                <w:kern w:val="0"/>
                <w:shd w:fill="FFFFFF" w:val="clear"/>
                <w:lang w:eastAsia="en-US" w:bidi="ar-SA"/>
              </w:rPr>
              <w:t>Putrawangsa and Hasanah, 2020, October</w:t>
            </w:r>
            <w:r>
              <w:rPr>
                <w:kern w:val="0"/>
                <w:lang w:eastAsia="en-US" w:bidi="ar-SA"/>
              </w:rPr>
              <w:t xml:space="preserve">). Apart from that, I will also ensure to develop my critical thinking skills. Fulfillment of all these goals is very important for me so that I can fulfill the requirements for my future aspirations. The world is becoming very competitive and learning is also becoming very digital platform oriented. Thus, by constantly improving my transferable skills I can stay competent among others. I also want to develop foresight which can be useful for me in taking rational and relevant decisions in different situations. This foresight is needed in the future for predicting actions regarding a certain decision.       </w:t>
            </w:r>
          </w:p>
        </w:tc>
        <w:tc>
          <w:tcPr>
            <w:tcW w:w="2790" w:type="dxa"/>
            <w:gridSpan w:val="2"/>
            <w:tcBorders/>
          </w:tcPr>
          <w:p>
            <w:pPr>
              <w:pStyle w:val="NormalWeb"/>
              <w:widowControl/>
              <w:spacing w:lineRule="auto" w:line="360" w:beforeAutospacing="0" w:before="0" w:afterAutospacing="0" w:after="0"/>
              <w:contextualSpacing/>
              <w:jc w:val="both"/>
              <w:rPr>
                <w:kern w:val="0"/>
                <w:lang w:eastAsia="en-US" w:bidi="ar-SA"/>
              </w:rPr>
            </w:pPr>
            <w:r>
              <w:rPr>
                <w:kern w:val="0"/>
                <w:lang w:eastAsia="en-US" w:bidi="ar-SA"/>
              </w:rPr>
              <w:t>The measures that will be considered by me for measuring my progress by evaluating my awareness regarding critical thinking skills. This will certainly be helpful for me in identifying those strategies that could help me in developing these skills (</w:t>
            </w:r>
            <w:r>
              <w:rPr>
                <w:color w:val="222222"/>
                <w:kern w:val="0"/>
                <w:shd w:fill="FFFFFF" w:val="clear"/>
                <w:lang w:eastAsia="en-US" w:bidi="ar-SA"/>
              </w:rPr>
              <w:t>Hikmah, 2019</w:t>
            </w:r>
            <w:r>
              <w:rPr>
                <w:kern w:val="0"/>
                <w:lang w:eastAsia="en-US" w:bidi="ar-SA"/>
              </w:rPr>
              <w:t xml:space="preserve">). Moreover, confidence will be measured by my preparing a self-evaluating chart. Moreover, this confidence will be built through applying for various job opportunities where digital skills are highly required. Apart from that, I will focus more on the timetable so that I can input more time reading new theories and concepts. That gathered knowledge will enable me in completing various assigned tasks along with maintaining competency among my peers. Apart from that, a clear vision will be obtained by me while doing different tasks along with increasing my ability to have foresight.   </w:t>
            </w:r>
          </w:p>
        </w:tc>
        <w:tc>
          <w:tcPr>
            <w:tcW w:w="2789" w:type="dxa"/>
            <w:gridSpan w:val="2"/>
            <w:tcBorders/>
          </w:tcPr>
          <w:p>
            <w:pPr>
              <w:pStyle w:val="NormalWeb"/>
              <w:widowControl/>
              <w:spacing w:lineRule="auto" w:line="360" w:beforeAutospacing="0" w:before="0" w:afterAutospacing="0" w:after="0"/>
              <w:contextualSpacing/>
              <w:jc w:val="both"/>
              <w:rPr>
                <w:kern w:val="0"/>
                <w:lang w:eastAsia="en-US" w:bidi="ar-SA"/>
              </w:rPr>
            </w:pPr>
            <w:r>
              <w:rPr>
                <w:kern w:val="0"/>
                <w:lang w:eastAsia="en-US" w:bidi="ar-SA"/>
              </w:rPr>
              <w:t>Various supports and resources will be needed for improving self-control skills. The main support and resources in this regard will be training and exercise kits. This is very important as through this module I have understood that it is important to become physically flexible for bringing mental flexibility (</w:t>
            </w:r>
            <w:r>
              <w:rPr>
                <w:color w:val="222222"/>
                <w:kern w:val="0"/>
                <w:shd w:fill="FFFFFF" w:val="clear"/>
                <w:lang w:eastAsia="en-US" w:bidi="ar-SA"/>
              </w:rPr>
              <w:t>Anastasiadis et al., 2018</w:t>
            </w:r>
            <w:r>
              <w:rPr>
                <w:kern w:val="0"/>
                <w:lang w:eastAsia="en-US" w:bidi="ar-SA"/>
              </w:rPr>
              <w:t>). Apart from that, planners will be helpful for me so that I keep monitoring my development. Moreover, by staying prepared by maintaining proper planning I will be able to manage my stress in difficult situations. This is very important for not only staying calm and confident but also for take rational and relevant decisions (</w:t>
            </w:r>
            <w:r>
              <w:rPr>
                <w:color w:val="222222"/>
                <w:kern w:val="0"/>
                <w:shd w:fill="FFFFFF" w:val="clear"/>
                <w:lang w:eastAsia="en-US" w:bidi="ar-SA"/>
              </w:rPr>
              <w:t>Susilawati and Supriyatno, 2020</w:t>
            </w:r>
            <w:r>
              <w:rPr>
                <w:kern w:val="0"/>
                <w:lang w:eastAsia="en-US" w:bidi="ar-SA"/>
              </w:rPr>
              <w:t xml:space="preserve">). The support that I need for developing my critical thinking skills is knowledge of existing evidence. Previously, I have gathered a lot of knowledge from my experiences. These experiences will be helpful for me in conducting proper research and sorting facts. Thus, my critical thinking skills as well as problem-solving skills will be improved through this.         </w:t>
            </w:r>
          </w:p>
        </w:tc>
        <w:tc>
          <w:tcPr>
            <w:tcW w:w="2790" w:type="dxa"/>
            <w:tcBorders/>
          </w:tcPr>
          <w:p>
            <w:pPr>
              <w:pStyle w:val="NormalWeb"/>
              <w:widowControl/>
              <w:spacing w:lineRule="auto" w:line="360" w:beforeAutospacing="0" w:before="0" w:afterAutospacing="0" w:after="0"/>
              <w:contextualSpacing/>
              <w:jc w:val="both"/>
              <w:rPr>
                <w:kern w:val="0"/>
                <w:lang w:eastAsia="en-US" w:bidi="ar-SA"/>
              </w:rPr>
            </w:pPr>
            <w:r>
              <w:rPr>
                <w:kern w:val="0"/>
                <w:lang w:eastAsia="en-US" w:bidi="ar-SA"/>
              </w:rPr>
              <w:t>The main objective that is relevant to my aspirations is to see myself in a better spot in the future. I want to be professionally successful and for that, it is very important to gather more knowledge about the digital sphere as well as increase my confidence. Moreover, I also want to increase efficiency in my academic skills through this so that I can get better marks. This is also very necessary to secure a good job in the future. Apart from that, I will be enabled in becoming more positive throughout my professional journey (</w:t>
            </w:r>
            <w:r>
              <w:rPr>
                <w:color w:val="222222"/>
                <w:kern w:val="0"/>
                <w:shd w:fill="FFFFFF" w:val="clear"/>
                <w:lang w:eastAsia="en-US" w:bidi="ar-SA"/>
              </w:rPr>
              <w:t>Huda et al., 2018</w:t>
            </w:r>
            <w:r>
              <w:rPr>
                <w:kern w:val="0"/>
                <w:lang w:eastAsia="en-US" w:bidi="ar-SA"/>
              </w:rPr>
              <w:t xml:space="preserve">). This will help me in making more accurate decisions so that I can increase my productivity skills. Apart from that, I also understand the importance of foresight in becoming successful. This will be included by me in the future course of work. Moreover, it is very necessary to continuously improve the core skills otherwise anyone can become irrelevant in the modern workforce. Thus, through building confidence I will certainly improve my capability to learn new things along with becoming more proficient in digital platforms. Through this proficiency, I will increase my ability to learn new things for bringing effectiveness to my academic journey.     </w:t>
            </w:r>
          </w:p>
        </w:tc>
        <w:tc>
          <w:tcPr>
            <w:tcW w:w="2790" w:type="dxa"/>
            <w:tcBorders/>
          </w:tcPr>
          <w:p>
            <w:pPr>
              <w:pStyle w:val="Normal1"/>
              <w:widowControl w:val="false"/>
              <w:pBdr/>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kern w:val="0"/>
                <w:sz w:val="24"/>
                <w:szCs w:val="24"/>
                <w:lang w:val="en-GB" w:eastAsia="en-US" w:bidi="ar-SA"/>
              </w:rPr>
              <w:t>The timeframe for achieving the goals will be 1 year. According to me, this timeframe is justified for maintaining the relevance of the goals. It is very necessary to fulfil</w:t>
            </w:r>
            <w:bookmarkStart w:id="0" w:name="_GoBack"/>
            <w:bookmarkEnd w:id="0"/>
            <w:r>
              <w:rPr>
                <w:rFonts w:eastAsia="Times New Roman" w:cs="Times New Roman" w:ascii="Times New Roman" w:hAnsi="Times New Roman"/>
                <w:kern w:val="0"/>
                <w:sz w:val="24"/>
                <w:szCs w:val="24"/>
                <w:lang w:val="en-GB" w:eastAsia="en-US" w:bidi="ar-SA"/>
              </w:rPr>
              <w:t xml:space="preserve"> the goals as soon as possible. Otherwise, I will not learn more things from a range of theories apart from those which are considered by me in the above reflection. Moreover, I can also not be more accustomed to the digital platform. Thus, the desired time frame is fully justified as per my desired goals.  </w:t>
            </w:r>
          </w:p>
        </w:tc>
      </w:tr>
    </w:tbl>
    <w:p>
      <w:pPr>
        <w:sectPr>
          <w:footerReference w:type="default" r:id="rId5"/>
          <w:type w:val="nextPage"/>
          <w:pgSz w:orient="landscape" w:w="16838" w:h="11906"/>
          <w:pgMar w:left="1440" w:right="1440" w:gutter="0" w:header="0" w:top="1440" w:footer="708" w:bottom="1440"/>
          <w:pgNumType w:fmt="decimal"/>
          <w:formProt w:val="false"/>
          <w:textDirection w:val="lrTb"/>
          <w:docGrid w:type="default" w:linePitch="360" w:charSpace="4096"/>
        </w:sectPr>
        <w:pStyle w:val="Normal"/>
        <w:rPr>
          <w:rFonts w:ascii="Arial" w:hAnsi="Arial" w:cs="Arial"/>
        </w:rPr>
      </w:pPr>
      <w:r>
        <w:rPr>
          <w:rFonts w:cs="Arial" w:ascii="Arial" w:hAnsi="Arial"/>
        </w:rPr>
      </w:r>
    </w:p>
    <w:p>
      <w:pPr>
        <w:pStyle w:val="Heading1"/>
        <w:rPr/>
      </w:pPr>
      <w:r>
        <w:rPr/>
        <w:t>Reference list</w:t>
      </w:r>
      <w:r>
        <w:rPr>
          <w:rFonts w:cs="Times New Roman" w:ascii="Times New Roman" w:hAnsi="Times New Roman"/>
          <w:color w:val="222222"/>
          <w:sz w:val="24"/>
          <w:szCs w:val="24"/>
          <w:shd w:fill="FFFFFF" w:val="clear"/>
        </w:rPr>
        <w:t> </w:t>
      </w:r>
    </w:p>
    <w:p>
      <w:pPr>
        <w:pStyle w:val="NormalWeb"/>
        <w:spacing w:lineRule="auto" w:line="360" w:beforeAutospacing="0" w:before="0" w:afterAutospacing="0" w:after="0"/>
        <w:jc w:val="both"/>
        <w:rPr/>
      </w:pPr>
      <w:r>
        <w:rPr>
          <w:color w:val="222222"/>
          <w:shd w:fill="FFFFFF" w:val="clear"/>
        </w:rPr>
        <w:t xml:space="preserve">Anastasiadis, T., Lampropoulos, G. and Siakas, K., 2018. Digital game-based learning and serious games in education. </w:t>
      </w:r>
      <w:r>
        <w:rPr>
          <w:i/>
          <w:iCs/>
          <w:color w:val="222222"/>
          <w:shd w:fill="FFFFFF" w:val="clear"/>
        </w:rPr>
        <w:t>International Journal of Advances in Scientific Research and Engineering</w:t>
      </w:r>
      <w:r>
        <w:rPr>
          <w:color w:val="222222"/>
          <w:shd w:fill="FFFFFF" w:val="clear"/>
        </w:rPr>
        <w:t xml:space="preserve">, </w:t>
      </w:r>
      <w:r>
        <w:rPr>
          <w:i/>
          <w:iCs/>
          <w:color w:val="222222"/>
          <w:shd w:fill="FFFFFF" w:val="clear"/>
        </w:rPr>
        <w:t>4</w:t>
      </w:r>
      <w:r>
        <w:rPr>
          <w:color w:val="222222"/>
          <w:shd w:fill="FFFFFF" w:val="clear"/>
        </w:rPr>
        <w:t xml:space="preserve">(12), pp.139-144. Available at: </w:t>
      </w:r>
      <w:hyperlink r:id="rId6">
        <w:r>
          <w:rPr>
            <w:rStyle w:val="InternetLink"/>
            <w:color w:val="1155CC"/>
            <w:shd w:fill="FFFFFF" w:val="clear"/>
          </w:rPr>
          <w:t>https://www.researchgate.net/profile/Georgios-Lampropoulos/publication/329921232_Digital_Game-based_Learning_and_Serious_Games_in_Education/links/5c25f3f1a6fdccfc706d48f5/Digital-Game-based-Learning-and-Serious-Games-in-Education.pdf</w:t>
        </w:r>
      </w:hyperlink>
    </w:p>
    <w:p>
      <w:pPr>
        <w:pStyle w:val="NormalWeb"/>
        <w:spacing w:lineRule="auto" w:line="360" w:beforeAutospacing="0" w:before="0" w:afterAutospacing="0" w:after="0"/>
        <w:jc w:val="both"/>
        <w:rPr/>
      </w:pPr>
      <w:r>
        <w:rPr>
          <w:color w:val="222222"/>
          <w:shd w:fill="FFFFFF" w:val="clear"/>
        </w:rPr>
        <w:t xml:space="preserve">Hikmah, D., 2019. Media For Language Teaching and Learning in Digital Era. </w:t>
      </w:r>
      <w:r>
        <w:rPr>
          <w:i/>
          <w:iCs/>
          <w:color w:val="222222"/>
          <w:shd w:fill="FFFFFF" w:val="clear"/>
        </w:rPr>
        <w:t>International Journal of English Education and Linguistics</w:t>
      </w:r>
      <w:r>
        <w:rPr>
          <w:color w:val="222222"/>
          <w:shd w:fill="FFFFFF" w:val="clear"/>
        </w:rPr>
        <w:t xml:space="preserve">, </w:t>
      </w:r>
      <w:r>
        <w:rPr>
          <w:i/>
          <w:iCs/>
          <w:color w:val="222222"/>
          <w:shd w:fill="FFFFFF" w:val="clear"/>
        </w:rPr>
        <w:t>1</w:t>
      </w:r>
      <w:r>
        <w:rPr>
          <w:color w:val="222222"/>
          <w:shd w:fill="FFFFFF" w:val="clear"/>
        </w:rPr>
        <w:t xml:space="preserve">, pp.36-41. Available at: </w:t>
      </w:r>
      <w:hyperlink r:id="rId7">
        <w:r>
          <w:rPr>
            <w:rStyle w:val="InternetLink"/>
            <w:color w:val="1155CC"/>
            <w:shd w:fill="FFFFFF" w:val="clear"/>
          </w:rPr>
          <w:t>http://download.garuda.kemdikbud.go.id/article.php?article=1475725&amp;val=17767&amp;title=Media%20For%20Language%20Teaching%20and%20Learning%20in%20Digital%20Era</w:t>
        </w:r>
      </w:hyperlink>
    </w:p>
    <w:p>
      <w:pPr>
        <w:pStyle w:val="NormalWeb"/>
        <w:spacing w:lineRule="auto" w:line="360" w:beforeAutospacing="0" w:before="0" w:afterAutospacing="0" w:after="0"/>
        <w:jc w:val="both"/>
        <w:rPr/>
      </w:pPr>
      <w:r>
        <w:rPr>
          <w:color w:val="222222"/>
          <w:shd w:fill="FFFFFF" w:val="clear"/>
        </w:rPr>
        <w:t xml:space="preserve">Huda, M., Maseleno, A., Teh, K.S.M., Don, A.G., Basiron, B., Jasmi, K.A., Mustari, M.I., Nasir, B.M. and Ahmad, R., 2018. Understanding Modern Learning Environment (MLE) in Big Data Era. </w:t>
      </w:r>
      <w:r>
        <w:rPr>
          <w:i/>
          <w:iCs/>
          <w:color w:val="222222"/>
          <w:shd w:fill="FFFFFF" w:val="clear"/>
        </w:rPr>
        <w:t>International Journal of Emerging Technologies in Learning</w:t>
      </w:r>
      <w:r>
        <w:rPr>
          <w:color w:val="222222"/>
          <w:shd w:fill="FFFFFF" w:val="clear"/>
        </w:rPr>
        <w:t xml:space="preserve">, </w:t>
      </w:r>
      <w:r>
        <w:rPr>
          <w:i/>
          <w:iCs/>
          <w:color w:val="222222"/>
          <w:shd w:fill="FFFFFF" w:val="clear"/>
        </w:rPr>
        <w:t>13</w:t>
      </w:r>
      <w:r>
        <w:rPr>
          <w:color w:val="222222"/>
          <w:shd w:fill="FFFFFF" w:val="clear"/>
        </w:rPr>
        <w:t xml:space="preserve">(5). Available at: </w:t>
      </w:r>
      <w:hyperlink r:id="rId8">
        <w:r>
          <w:rPr>
            <w:rStyle w:val="InternetLink"/>
            <w:color w:val="1155CC"/>
            <w:shd w:fill="FFFFFF" w:val="clear"/>
          </w:rPr>
          <w:t>https://d1wqtxts1xzle7.cloudfront.net/67407742/4930-libre.pdf?1621787132=&amp;response-content-disposition=inline%3B+filename%3DUnderstanding_Modern_Learning_Environmen.pdf&amp;Expires=1672139109&amp;Signature=QDF~7VMvwRUfmy-ctMl7JJuvt2L1WRRLiMTJdJjE475tteXAs5sew84AltBupCX~4l5R9U5Rv3pV12DJHqvX6ub~U4kod57nZpt3XEYyY3k97iJU4UHxZZSjrVmPKH9gTnGY2tKZ9t91plj1wLeDPsVC9ciNzxoy7m9GPYUShx6VYH~I7aPaWqKXAfZe2j3IxJYzMsXFAwSDILIFyraix5clN7nlvkmXm-k~4NFi2Jsd9vINOtvzZqdu6bY9pL3cxxwnuBlm7PelfXQy~M7~w0fYuAcZG0ycoCtDf2L67H9A9UcKqAmCbT5MnBORgJb1zTlIdE2pfxXbuL2f2hqlIQ__&amp;Key-Pair-Id=APKAJLOHF5GGSLRBV4ZA</w:t>
        </w:r>
      </w:hyperlink>
    </w:p>
    <w:p>
      <w:pPr>
        <w:pStyle w:val="NormalWeb"/>
        <w:spacing w:lineRule="auto" w:line="360" w:beforeAutospacing="0" w:before="0" w:afterAutospacing="0" w:after="0"/>
        <w:jc w:val="both"/>
        <w:rPr/>
      </w:pPr>
      <w:r>
        <w:rPr>
          <w:color w:val="222222"/>
          <w:shd w:fill="FFFFFF" w:val="clear"/>
        </w:rPr>
        <w:t xml:space="preserve">Jones, K. and Sharma, R., 2020. On reimagining a future for online learning in the post-COVID era. </w:t>
      </w:r>
      <w:r>
        <w:rPr>
          <w:i/>
          <w:iCs/>
          <w:color w:val="222222"/>
          <w:shd w:fill="FFFFFF" w:val="clear"/>
        </w:rPr>
        <w:t>Kevin Jones &amp; Ravi Sharma (2020). Reimagining A Future For Online Learning In The Post-COVID Era. First posted on medium. Com</w:t>
      </w:r>
      <w:r>
        <w:rPr>
          <w:color w:val="222222"/>
          <w:shd w:fill="FFFFFF" w:val="clear"/>
        </w:rPr>
        <w:t xml:space="preserve">. Available at: </w:t>
      </w:r>
      <w:hyperlink r:id="rId9">
        <w:r>
          <w:rPr>
            <w:rStyle w:val="InternetLink"/>
            <w:color w:val="1155CC"/>
            <w:shd w:fill="FFFFFF" w:val="clear"/>
          </w:rPr>
          <w:t>https://www.researchgate.net/profile/Ravi-Sharma-32/publication/340914277_On_Reimagining_a_Future_for_Online_Learning_in_the_Post-COVID_Era/links/5eb13e30a6fdcc7050a99977/On-Reimagining-a-Future-for-Online-Learning-in-the-Post-COVID-Era.pdf</w:t>
        </w:r>
      </w:hyperlink>
    </w:p>
    <w:p>
      <w:pPr>
        <w:pStyle w:val="NormalWeb"/>
        <w:spacing w:lineRule="auto" w:line="360" w:beforeAutospacing="0" w:before="0" w:afterAutospacing="0" w:after="0"/>
        <w:jc w:val="both"/>
        <w:rPr/>
      </w:pPr>
      <w:r>
        <w:rPr>
          <w:color w:val="222222"/>
          <w:shd w:fill="FFFFFF" w:val="clear"/>
        </w:rPr>
        <w:t xml:space="preserve">Naidoo, J., 2020. Postgraduate mathematics education students' experiences of using digital platforms for learning within the COVID-19 pandemic era. </w:t>
      </w:r>
      <w:r>
        <w:rPr>
          <w:i/>
          <w:iCs/>
          <w:color w:val="222222"/>
          <w:shd w:fill="FFFFFF" w:val="clear"/>
        </w:rPr>
        <w:t>Pythagoras</w:t>
      </w:r>
      <w:r>
        <w:rPr>
          <w:color w:val="222222"/>
          <w:shd w:fill="FFFFFF" w:val="clear"/>
        </w:rPr>
        <w:t xml:space="preserve">, </w:t>
      </w:r>
      <w:r>
        <w:rPr>
          <w:i/>
          <w:iCs/>
          <w:color w:val="222222"/>
          <w:shd w:fill="FFFFFF" w:val="clear"/>
        </w:rPr>
        <w:t>41</w:t>
      </w:r>
      <w:r>
        <w:rPr>
          <w:color w:val="222222"/>
          <w:shd w:fill="FFFFFF" w:val="clear"/>
        </w:rPr>
        <w:t xml:space="preserve">(1), p.568. Available at: </w:t>
      </w:r>
      <w:hyperlink r:id="rId10">
        <w:r>
          <w:rPr>
            <w:rStyle w:val="InternetLink"/>
            <w:color w:val="1155CC"/>
            <w:shd w:fill="FFFFFF" w:val="clear"/>
          </w:rPr>
          <w:t>https://files.eric.ed.gov/fulltext/EJ1286885.pdf</w:t>
        </w:r>
      </w:hyperlink>
    </w:p>
    <w:p>
      <w:pPr>
        <w:pStyle w:val="NormalWeb"/>
        <w:spacing w:lineRule="auto" w:line="360" w:beforeAutospacing="0" w:before="0" w:afterAutospacing="0" w:after="0"/>
        <w:jc w:val="both"/>
        <w:rPr/>
      </w:pPr>
      <w:r>
        <w:rPr>
          <w:color w:val="222222"/>
          <w:shd w:fill="FFFFFF" w:val="clear"/>
        </w:rPr>
        <w:t xml:space="preserve">Putrawangsa, S. and Hasanah, U., 2020, October. Mathematics education in digital era: utilizing spatialized instrumentation in digital learning tools to promote conceptual understanding. In </w:t>
      </w:r>
      <w:r>
        <w:rPr>
          <w:i/>
          <w:iCs/>
          <w:color w:val="222222"/>
          <w:shd w:fill="FFFFFF" w:val="clear"/>
        </w:rPr>
        <w:t>Journal of Physics: Conference Series</w:t>
      </w:r>
      <w:r>
        <w:rPr>
          <w:color w:val="222222"/>
          <w:shd w:fill="FFFFFF" w:val="clear"/>
        </w:rPr>
        <w:t xml:space="preserve"> (Vol. 1657, No. 1, p. 012086). IOP Publishing. Available at: </w:t>
      </w:r>
      <w:hyperlink r:id="rId11">
        <w:r>
          <w:rPr>
            <w:rStyle w:val="InternetLink"/>
            <w:color w:val="1155CC"/>
            <w:shd w:fill="FFFFFF" w:val="clear"/>
          </w:rPr>
          <w:t>https://iopscience.iop.org/article/10.1088/1742-6596/1657/1/012086/pdf</w:t>
        </w:r>
      </w:hyperlink>
    </w:p>
    <w:p>
      <w:pPr>
        <w:pStyle w:val="NormalWeb"/>
        <w:spacing w:lineRule="auto" w:line="360" w:beforeAutospacing="0" w:before="0" w:afterAutospacing="0" w:after="0"/>
        <w:jc w:val="both"/>
        <w:rPr/>
      </w:pPr>
      <w:r>
        <w:rPr>
          <w:color w:val="222222"/>
          <w:shd w:fill="FFFFFF" w:val="clear"/>
        </w:rPr>
        <w:t xml:space="preserve">Samuel, N., Onasanya, S.A. and Yusuf, M.O., 2019. Engagement, Learning Styles and Challenges of Learning in the Digital Era among Nigerian Secondary School Students. </w:t>
      </w:r>
      <w:r>
        <w:rPr>
          <w:i/>
          <w:iCs/>
          <w:color w:val="222222"/>
          <w:shd w:fill="FFFFFF" w:val="clear"/>
        </w:rPr>
        <w:t>International Journal of Education and Development using Information and Communication Technology</w:t>
      </w:r>
      <w:r>
        <w:rPr>
          <w:color w:val="222222"/>
          <w:shd w:fill="FFFFFF" w:val="clear"/>
        </w:rPr>
        <w:t xml:space="preserve">, </w:t>
      </w:r>
      <w:r>
        <w:rPr>
          <w:i/>
          <w:iCs/>
          <w:color w:val="222222"/>
          <w:shd w:fill="FFFFFF" w:val="clear"/>
        </w:rPr>
        <w:t>15</w:t>
      </w:r>
      <w:r>
        <w:rPr>
          <w:color w:val="222222"/>
          <w:shd w:fill="FFFFFF" w:val="clear"/>
        </w:rPr>
        <w:t xml:space="preserve">(4), pp.35-43. Available at: </w:t>
      </w:r>
      <w:hyperlink r:id="rId12">
        <w:r>
          <w:rPr>
            <w:rStyle w:val="InternetLink"/>
            <w:color w:val="1155CC"/>
            <w:shd w:fill="FFFFFF" w:val="clear"/>
          </w:rPr>
          <w:t>https://files.eric.ed.gov/fulltext/EJ1239637.pdf</w:t>
        </w:r>
      </w:hyperlink>
    </w:p>
    <w:p>
      <w:pPr>
        <w:pStyle w:val="NormalWeb"/>
        <w:spacing w:lineRule="auto" w:line="360" w:beforeAutospacing="0" w:before="0" w:afterAutospacing="0" w:after="0"/>
        <w:jc w:val="both"/>
        <w:rPr/>
      </w:pPr>
      <w:r>
        <w:rPr>
          <w:color w:val="222222"/>
          <w:shd w:fill="FFFFFF" w:val="clear"/>
        </w:rPr>
        <w:t xml:space="preserve">Surahman, E., Sulthoni, A. and Putra, A.P., 2020. Components and Patterns of Hypercontent Textbook Design as Innovative Learning Resources in Digital Learning Era. </w:t>
      </w:r>
      <w:r>
        <w:rPr>
          <w:i/>
          <w:iCs/>
          <w:color w:val="222222"/>
          <w:shd w:fill="FFFFFF" w:val="clear"/>
        </w:rPr>
        <w:t>world</w:t>
      </w:r>
      <w:r>
        <w:rPr>
          <w:color w:val="222222"/>
          <w:shd w:fill="FFFFFF" w:val="clear"/>
        </w:rPr>
        <w:t xml:space="preserve">, </w:t>
      </w:r>
      <w:r>
        <w:rPr>
          <w:i/>
          <w:iCs/>
          <w:color w:val="222222"/>
          <w:shd w:fill="FFFFFF" w:val="clear"/>
        </w:rPr>
        <w:t>7</w:t>
      </w:r>
      <w:r>
        <w:rPr>
          <w:color w:val="222222"/>
          <w:shd w:fill="FFFFFF" w:val="clear"/>
        </w:rPr>
        <w:t xml:space="preserve">, p.8. Available at: </w:t>
      </w:r>
      <w:hyperlink r:id="rId13">
        <w:r>
          <w:rPr>
            <w:rStyle w:val="InternetLink"/>
            <w:color w:val="1155CC"/>
            <w:shd w:fill="FFFFFF" w:val="clear"/>
          </w:rPr>
          <w:t>https://www.researchgate.net/profile/Ence-Surahman/publication/350728047_Components_and_Patterns_of_Hypercontent_Textbook_Design_as_Innovative_Learning_Resources_in_Digital_Learning_Era/links/60eb17530fbf460db8fd8fb8/Components-and-Patterns-of-Hypercontent-Textbook-Design-as-Innovative-Learning-Resources-in-Digital-Learning-Era.pdf</w:t>
        </w:r>
      </w:hyperlink>
    </w:p>
    <w:p>
      <w:pPr>
        <w:pStyle w:val="NormalWeb"/>
        <w:spacing w:lineRule="auto" w:line="360" w:beforeAutospacing="0" w:before="0" w:afterAutospacing="0" w:after="0"/>
        <w:jc w:val="both"/>
        <w:rPr/>
      </w:pPr>
      <w:r>
        <w:rPr>
          <w:color w:val="222222"/>
          <w:shd w:fill="FFFFFF" w:val="clear"/>
        </w:rPr>
        <w:t xml:space="preserve">Susilawati, S. and Supriyatno, T., 2020. Online learning through WhatsApp group in improving learning motivation in the era and post pandemic COVID-19. </w:t>
      </w:r>
      <w:r>
        <w:rPr>
          <w:i/>
          <w:iCs/>
          <w:color w:val="222222"/>
          <w:shd w:fill="FFFFFF" w:val="clear"/>
        </w:rPr>
        <w:t>Jurnal Pendidikan: Teori, Penelitian, dan Pengembangan</w:t>
      </w:r>
      <w:r>
        <w:rPr>
          <w:color w:val="222222"/>
          <w:shd w:fill="FFFFFF" w:val="clear"/>
        </w:rPr>
        <w:t xml:space="preserve">, </w:t>
      </w:r>
      <w:r>
        <w:rPr>
          <w:i/>
          <w:iCs/>
          <w:color w:val="222222"/>
          <w:shd w:fill="FFFFFF" w:val="clear"/>
        </w:rPr>
        <w:t>5</w:t>
      </w:r>
      <w:r>
        <w:rPr>
          <w:color w:val="222222"/>
          <w:shd w:fill="FFFFFF" w:val="clear"/>
        </w:rPr>
        <w:t xml:space="preserve">(6), pp.852-859. Available at: </w:t>
      </w:r>
      <w:hyperlink r:id="rId14">
        <w:r>
          <w:rPr>
            <w:rStyle w:val="InternetLink"/>
            <w:color w:val="1155CC"/>
            <w:shd w:fill="FFFFFF" w:val="clear"/>
          </w:rPr>
          <w:t>http://repository.uin-malang.ac.id/6923/1/6923%20jurnal%20UM%202020%2013670-20567-1-SM.pdf</w:t>
        </w:r>
      </w:hyperlink>
    </w:p>
    <w:p>
      <w:pPr>
        <w:pStyle w:val="NormalWeb"/>
        <w:spacing w:lineRule="auto" w:line="360" w:beforeAutospacing="0" w:before="0" w:afterAutospacing="0" w:after="0"/>
        <w:jc w:val="both"/>
        <w:rPr/>
      </w:pPr>
      <w:r>
        <w:rPr>
          <w:color w:val="222222"/>
          <w:shd w:fill="FFFFFF" w:val="clear"/>
        </w:rPr>
        <w:t xml:space="preserve">Zulkarnain, Z., Heleni, S. and Thahir, M., 2020, October. Digital literacy skills of math students through e-learning in COVID-19 era: a case study in Universitas Riau. In </w:t>
      </w:r>
      <w:r>
        <w:rPr>
          <w:i/>
          <w:iCs/>
          <w:color w:val="222222"/>
          <w:shd w:fill="FFFFFF" w:val="clear"/>
        </w:rPr>
        <w:t>Journal of Physics: Conference Series</w:t>
      </w:r>
      <w:r>
        <w:rPr>
          <w:color w:val="222222"/>
          <w:shd w:fill="FFFFFF" w:val="clear"/>
        </w:rPr>
        <w:t xml:space="preserve"> (Vol. 1663, No. 1, p. 012015). IOP Publishing. Available at: </w:t>
      </w:r>
      <w:hyperlink r:id="rId15">
        <w:r>
          <w:rPr>
            <w:rStyle w:val="InternetLink"/>
            <w:color w:val="1155CC"/>
            <w:shd w:fill="FFFFFF" w:val="clear"/>
          </w:rPr>
          <w:t>https://iopscience.iop.org/article/10.1088/1742-6596/1663/1/012015/pdf</w:t>
        </w:r>
      </w:hyperlink>
    </w:p>
    <w:p>
      <w:pPr>
        <w:pStyle w:val="Normal"/>
        <w:widowControl/>
        <w:bidi w:val="0"/>
        <w:spacing w:lineRule="auto" w:line="259" w:before="0" w:after="160"/>
        <w:jc w:val="left"/>
        <w:rPr/>
      </w:pPr>
      <w:r>
        <w:rPr/>
      </w:r>
    </w:p>
    <w:sectPr>
      <w:footerReference w:type="default" r:id="rId16"/>
      <w:type w:val="nextPage"/>
      <w:pgSz w:w="11906" w:h="16838"/>
      <w:pgMar w:left="1440" w:right="1440" w:gutter="0" w:header="0" w:top="1440" w:footer="708"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sans-serif">
    <w:altName w:val="Arial"/>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771558770"/>
    </w:sdtPr>
    <w:sdtContent>
      <w:p>
        <w:pPr>
          <w:pStyle w:val="Footer"/>
          <w:jc w:val="right"/>
          <w:rPr/>
        </w:pPr>
        <w:r>
          <w:rPr/>
          <w:t xml:space="preserve">Page </w:t>
        </w:r>
        <w:r>
          <w:rPr>
            <w:b/>
            <w:bCs/>
            <w:sz w:val="24"/>
            <w:szCs w:val="24"/>
          </w:rPr>
          <w:fldChar w:fldCharType="begin"/>
        </w:r>
        <w:r>
          <w:rPr>
            <w:sz w:val="24"/>
            <w:b/>
            <w:szCs w:val="24"/>
            <w:bCs/>
          </w:rPr>
          <w:instrText xml:space="preserve"> PAGE </w:instrText>
        </w:r>
        <w:r>
          <w:rPr>
            <w:sz w:val="24"/>
            <w:b/>
            <w:szCs w:val="24"/>
            <w:bCs/>
          </w:rPr>
          <w:fldChar w:fldCharType="separate"/>
        </w:r>
        <w:r>
          <w:rPr>
            <w:sz w:val="24"/>
            <w:b/>
            <w:szCs w:val="24"/>
            <w:bCs/>
          </w:rPr>
          <w:t>2</w:t>
        </w:r>
        <w:r>
          <w:rPr>
            <w:sz w:val="24"/>
            <w:b/>
            <w:szCs w:val="24"/>
            <w:bCs/>
          </w:rPr>
          <w:fldChar w:fldCharType="end"/>
        </w:r>
        <w:r>
          <w:rPr/>
          <w:t xml:space="preserve"> of </w:t>
        </w:r>
        <w:r>
          <w:rPr>
            <w:b/>
            <w:bCs/>
            <w:sz w:val="24"/>
            <w:szCs w:val="24"/>
          </w:rPr>
          <w:fldChar w:fldCharType="begin"/>
        </w:r>
        <w:r>
          <w:rPr>
            <w:sz w:val="24"/>
            <w:b/>
            <w:szCs w:val="24"/>
            <w:bCs/>
          </w:rPr>
          <w:instrText xml:space="preserve"> NUMPAGES </w:instrText>
        </w:r>
        <w:r>
          <w:rPr>
            <w:sz w:val="24"/>
            <w:b/>
            <w:szCs w:val="24"/>
            <w:bCs/>
          </w:rPr>
          <w:fldChar w:fldCharType="separate"/>
        </w:r>
        <w:r>
          <w:rPr>
            <w:sz w:val="24"/>
            <w:b/>
            <w:szCs w:val="24"/>
            <w:bCs/>
          </w:rPr>
          <w:t>8</w:t>
        </w:r>
        <w:r>
          <w:rPr>
            <w:sz w:val="24"/>
            <w:b/>
            <w:szCs w:val="24"/>
            <w:bCs/>
          </w:rPr>
          <w:fldChar w:fldCharType="end"/>
        </w:r>
      </w:p>
      <w:p>
        <w:pPr>
          <w:pStyle w:val="Footer"/>
          <w:rPr/>
        </w:pPr>
        <w:r>
          <w:rPr/>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2026908478"/>
    </w:sdtPr>
    <w:sdtContent>
      <w:p>
        <w:pPr>
          <w:pStyle w:val="Footer"/>
          <w:jc w:val="right"/>
          <w:rPr/>
        </w:pPr>
        <w:r>
          <w:rPr/>
          <w:t xml:space="preserve">Page </w:t>
        </w:r>
        <w:r>
          <w:rPr>
            <w:b/>
            <w:bCs/>
            <w:sz w:val="24"/>
            <w:szCs w:val="24"/>
          </w:rPr>
          <w:fldChar w:fldCharType="begin"/>
        </w:r>
        <w:r>
          <w:rPr>
            <w:sz w:val="24"/>
            <w:b/>
            <w:szCs w:val="24"/>
            <w:bCs/>
          </w:rPr>
          <w:instrText xml:space="preserve"> PAGE </w:instrText>
        </w:r>
        <w:r>
          <w:rPr>
            <w:sz w:val="24"/>
            <w:b/>
            <w:szCs w:val="24"/>
            <w:bCs/>
          </w:rPr>
          <w:fldChar w:fldCharType="separate"/>
        </w:r>
        <w:r>
          <w:rPr>
            <w:sz w:val="24"/>
            <w:b/>
            <w:szCs w:val="24"/>
            <w:bCs/>
          </w:rPr>
          <w:t>5</w:t>
        </w:r>
        <w:r>
          <w:rPr>
            <w:sz w:val="24"/>
            <w:b/>
            <w:szCs w:val="24"/>
            <w:bCs/>
          </w:rPr>
          <w:fldChar w:fldCharType="end"/>
        </w:r>
        <w:r>
          <w:rPr/>
          <w:t xml:space="preserve"> of </w:t>
        </w:r>
        <w:r>
          <w:rPr>
            <w:b/>
            <w:bCs/>
            <w:sz w:val="24"/>
            <w:szCs w:val="24"/>
          </w:rPr>
          <w:fldChar w:fldCharType="begin"/>
        </w:r>
        <w:r>
          <w:rPr>
            <w:sz w:val="24"/>
            <w:b/>
            <w:szCs w:val="24"/>
            <w:bCs/>
          </w:rPr>
          <w:instrText xml:space="preserve"> NUMPAGES </w:instrText>
        </w:r>
        <w:r>
          <w:rPr>
            <w:sz w:val="24"/>
            <w:b/>
            <w:szCs w:val="24"/>
            <w:bCs/>
          </w:rPr>
          <w:fldChar w:fldCharType="separate"/>
        </w:r>
        <w:r>
          <w:rPr>
            <w:sz w:val="24"/>
            <w:b/>
            <w:szCs w:val="24"/>
            <w:bCs/>
          </w:rPr>
          <w:t>8</w:t>
        </w:r>
        <w:r>
          <w:rPr>
            <w:sz w:val="24"/>
            <w:b/>
            <w:szCs w:val="24"/>
            <w:bCs/>
          </w:rPr>
          <w:fldChar w:fldCharType="end"/>
        </w:r>
      </w:p>
      <w:p>
        <w:pPr>
          <w:pStyle w:val="Footer"/>
          <w:rPr/>
        </w:pPr>
        <w:r>
          <w:rPr/>
        </w:r>
      </w:p>
    </w:sdtContent>
  </w:sdt>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867165728"/>
    </w:sdtPr>
    <w:sdtContent>
      <w:p>
        <w:pPr>
          <w:pStyle w:val="Footer"/>
          <w:jc w:val="right"/>
          <w:rPr/>
        </w:pPr>
        <w:r>
          <w:rPr/>
          <w:t xml:space="preserve">Page </w:t>
        </w:r>
        <w:r>
          <w:rPr>
            <w:b/>
            <w:bCs/>
            <w:sz w:val="24"/>
            <w:szCs w:val="24"/>
          </w:rPr>
          <w:fldChar w:fldCharType="begin"/>
        </w:r>
        <w:r>
          <w:rPr>
            <w:sz w:val="24"/>
            <w:b/>
            <w:szCs w:val="24"/>
            <w:bCs/>
          </w:rPr>
          <w:instrText xml:space="preserve"> PAGE </w:instrText>
        </w:r>
        <w:r>
          <w:rPr>
            <w:sz w:val="24"/>
            <w:b/>
            <w:szCs w:val="24"/>
            <w:bCs/>
          </w:rPr>
          <w:fldChar w:fldCharType="separate"/>
        </w:r>
        <w:r>
          <w:rPr>
            <w:sz w:val="24"/>
            <w:b/>
            <w:szCs w:val="24"/>
            <w:bCs/>
          </w:rPr>
          <w:t>7</w:t>
        </w:r>
        <w:r>
          <w:rPr>
            <w:sz w:val="24"/>
            <w:b/>
            <w:szCs w:val="24"/>
            <w:bCs/>
          </w:rPr>
          <w:fldChar w:fldCharType="end"/>
        </w:r>
        <w:r>
          <w:rPr/>
          <w:t xml:space="preserve"> of </w:t>
        </w:r>
        <w:r>
          <w:rPr>
            <w:b/>
            <w:bCs/>
            <w:sz w:val="24"/>
            <w:szCs w:val="24"/>
          </w:rPr>
          <w:fldChar w:fldCharType="begin"/>
        </w:r>
        <w:r>
          <w:rPr>
            <w:sz w:val="24"/>
            <w:b/>
            <w:szCs w:val="24"/>
            <w:bCs/>
          </w:rPr>
          <w:instrText xml:space="preserve"> NUMPAGES </w:instrText>
        </w:r>
        <w:r>
          <w:rPr>
            <w:sz w:val="24"/>
            <w:b/>
            <w:szCs w:val="24"/>
            <w:bCs/>
          </w:rPr>
          <w:fldChar w:fldCharType="separate"/>
        </w:r>
        <w:r>
          <w:rPr>
            <w:sz w:val="24"/>
            <w:b/>
            <w:szCs w:val="24"/>
            <w:bCs/>
          </w:rPr>
          <w:t>8</w:t>
        </w:r>
        <w:r>
          <w:rPr>
            <w:sz w:val="24"/>
            <w:b/>
            <w:szCs w:val="24"/>
            <w:bCs/>
          </w:rPr>
          <w:fldChar w:fldCharType="end"/>
        </w:r>
      </w:p>
      <w:p>
        <w:pPr>
          <w:pStyle w:val="Footer"/>
          <w:rPr/>
        </w:pPr>
        <w:r>
          <w:rPr/>
        </w:r>
      </w:p>
    </w:sdtContent>
  </w:sdt>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e697c"/>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0f5f62"/>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2">
    <w:name w:val="Heading 2"/>
    <w:basedOn w:val="Normal"/>
    <w:next w:val="Normal"/>
    <w:link w:val="Heading2Char"/>
    <w:qFormat/>
    <w:rsid w:val="004e634d"/>
    <w:pPr>
      <w:keepNext w:val="true"/>
      <w:spacing w:lineRule="auto" w:line="240" w:before="0" w:after="0"/>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qFormat/>
    <w:rsid w:val="004e634d"/>
    <w:rPr>
      <w:rFonts w:ascii="Arial" w:hAnsi="Arial" w:eastAsia="Times New Roman" w:cs="Times New Roman"/>
      <w:b/>
      <w:sz w:val="20"/>
      <w:szCs w:val="20"/>
    </w:rPr>
  </w:style>
  <w:style w:type="character" w:styleId="TitleChar" w:customStyle="1">
    <w:name w:val="Title Char"/>
    <w:basedOn w:val="DefaultParagraphFont"/>
    <w:link w:val="Title"/>
    <w:uiPriority w:val="10"/>
    <w:qFormat/>
    <w:rsid w:val="00bc063b"/>
    <w:rPr>
      <w:rFonts w:ascii="Calibri Light" w:hAnsi="Calibri Light" w:eastAsia="" w:cs="" w:asciiTheme="majorHAnsi" w:cstheme="majorBidi" w:eastAsiaTheme="majorEastAsia" w:hAnsiTheme="majorHAnsi"/>
      <w:spacing w:val="-10"/>
      <w:kern w:val="2"/>
      <w:sz w:val="56"/>
      <w:szCs w:val="56"/>
    </w:rPr>
  </w:style>
  <w:style w:type="character" w:styleId="InternetLink">
    <w:name w:val="Hyperlink"/>
    <w:basedOn w:val="DefaultParagraphFont"/>
    <w:uiPriority w:val="99"/>
    <w:unhideWhenUsed/>
    <w:rsid w:val="00527117"/>
    <w:rPr>
      <w:color w:val="0563C1" w:themeColor="hyperlink"/>
      <w:u w:val="single"/>
    </w:rPr>
  </w:style>
  <w:style w:type="character" w:styleId="UnresolvedMention1" w:customStyle="1">
    <w:name w:val="Unresolved Mention1"/>
    <w:basedOn w:val="DefaultParagraphFont"/>
    <w:uiPriority w:val="99"/>
    <w:semiHidden/>
    <w:unhideWhenUsed/>
    <w:qFormat/>
    <w:rsid w:val="00527117"/>
    <w:rPr>
      <w:color w:val="605E5C"/>
      <w:shd w:fill="E1DFDD" w:val="clear"/>
    </w:rPr>
  </w:style>
  <w:style w:type="character" w:styleId="VisitedInternet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qFormat/>
    <w:rsid w:val="000f5f62"/>
    <w:rPr>
      <w:rFonts w:ascii="Calibri Light" w:hAnsi="Calibri Light" w:eastAsia="" w:cs="" w:asciiTheme="majorHAnsi" w:cstheme="majorBidi" w:eastAsiaTheme="majorEastAsia" w:hAnsiTheme="majorHAnsi"/>
      <w:color w:val="2F5496" w:themeColor="accent1" w:themeShade="bf"/>
      <w:sz w:val="32"/>
      <w:szCs w:val="32"/>
    </w:rPr>
  </w:style>
  <w:style w:type="character" w:styleId="HeaderChar" w:customStyle="1">
    <w:name w:val="Header Char"/>
    <w:basedOn w:val="DefaultParagraphFont"/>
    <w:link w:val="Header"/>
    <w:uiPriority w:val="99"/>
    <w:qFormat/>
    <w:rsid w:val="004e333b"/>
    <w:rPr/>
  </w:style>
  <w:style w:type="character" w:styleId="FooterChar" w:customStyle="1">
    <w:name w:val="Footer Char"/>
    <w:basedOn w:val="DefaultParagraphFont"/>
    <w:link w:val="Footer"/>
    <w:uiPriority w:val="99"/>
    <w:qFormat/>
    <w:rsid w:val="004e333b"/>
    <w:rPr/>
  </w:style>
  <w:style w:type="character" w:styleId="NoSpacingChar" w:customStyle="1">
    <w:name w:val="No Spacing Char"/>
    <w:basedOn w:val="DefaultParagraphFont"/>
    <w:link w:val="NoSpacing"/>
    <w:uiPriority w:val="1"/>
    <w:qFormat/>
    <w:rsid w:val="003c1dd6"/>
    <w:rPr>
      <w:rFonts w:eastAsia="" w:eastAsiaTheme="minorEastAsia"/>
      <w:lang w:val="en-US"/>
    </w:rPr>
  </w:style>
  <w:style w:type="character" w:styleId="BalloonTextChar" w:customStyle="1">
    <w:name w:val="Balloon Text Char"/>
    <w:basedOn w:val="DefaultParagraphFont"/>
    <w:link w:val="BalloonText"/>
    <w:uiPriority w:val="99"/>
    <w:semiHidden/>
    <w:qFormat/>
    <w:rsid w:val="00fa798b"/>
    <w:rPr>
      <w:rFonts w:ascii="Tahoma" w:hAnsi="Tahoma" w:cs="Tahoma"/>
      <w:sz w:val="16"/>
      <w:szCs w:val="16"/>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Title">
    <w:name w:val="Title"/>
    <w:basedOn w:val="Normal"/>
    <w:next w:val="Normal"/>
    <w:link w:val="TitleChar"/>
    <w:uiPriority w:val="10"/>
    <w:qFormat/>
    <w:rsid w:val="00bc063b"/>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paragraph" w:styleId="ListParagraph">
    <w:name w:val="List Paragraph"/>
    <w:basedOn w:val="Normal"/>
    <w:uiPriority w:val="34"/>
    <w:qFormat/>
    <w:rsid w:val="009501f8"/>
    <w:pPr>
      <w:spacing w:before="0" w:after="16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4e333b"/>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e333b"/>
    <w:pPr>
      <w:tabs>
        <w:tab w:val="clear" w:pos="720"/>
        <w:tab w:val="center" w:pos="4513" w:leader="none"/>
        <w:tab w:val="right" w:pos="9026" w:leader="none"/>
      </w:tabs>
      <w:spacing w:lineRule="auto" w:line="240" w:before="0" w:after="0"/>
    </w:pPr>
    <w:rPr/>
  </w:style>
  <w:style w:type="paragraph" w:styleId="NoSpacing">
    <w:name w:val="No Spacing"/>
    <w:link w:val="NoSpacingChar"/>
    <w:uiPriority w:val="1"/>
    <w:qFormat/>
    <w:rsid w:val="003c1dd6"/>
    <w:pPr>
      <w:widowControl/>
      <w:bidi w:val="0"/>
      <w:spacing w:lineRule="auto" w:line="240" w:before="0" w:after="0"/>
      <w:jc w:val="left"/>
    </w:pPr>
    <w:rPr>
      <w:rFonts w:eastAsia="" w:eastAsiaTheme="minorEastAsia" w:ascii="Calibri" w:hAnsi="Calibri" w:cs=""/>
      <w:color w:val="auto"/>
      <w:kern w:val="0"/>
      <w:sz w:val="22"/>
      <w:szCs w:val="22"/>
      <w:lang w:val="en-US" w:eastAsia="en-US" w:bidi="ar-SA"/>
    </w:rPr>
  </w:style>
  <w:style w:type="paragraph" w:styleId="BalloonText">
    <w:name w:val="Balloon Text"/>
    <w:basedOn w:val="Normal"/>
    <w:link w:val="BalloonTextChar"/>
    <w:uiPriority w:val="99"/>
    <w:semiHidden/>
    <w:unhideWhenUsed/>
    <w:qFormat/>
    <w:rsid w:val="00fa798b"/>
    <w:pPr>
      <w:spacing w:lineRule="auto" w:line="240" w:before="0" w:after="0"/>
    </w:pPr>
    <w:rPr>
      <w:rFonts w:ascii="Tahoma" w:hAnsi="Tahoma" w:cs="Tahoma"/>
      <w:sz w:val="16"/>
      <w:szCs w:val="16"/>
    </w:rPr>
  </w:style>
  <w:style w:type="paragraph" w:styleId="Normal1" w:customStyle="1">
    <w:name w:val="Normal1"/>
    <w:qFormat/>
    <w:rsid w:val="00fa798b"/>
    <w:pPr>
      <w:widowControl/>
      <w:bidi w:val="0"/>
      <w:spacing w:lineRule="auto" w:line="276" w:before="0" w:after="0"/>
      <w:jc w:val="left"/>
    </w:pPr>
    <w:rPr>
      <w:rFonts w:ascii="Arial" w:hAnsi="Arial" w:eastAsia="Arial" w:cs="Arial"/>
      <w:color w:val="auto"/>
      <w:kern w:val="0"/>
      <w:sz w:val="22"/>
      <w:szCs w:val="22"/>
      <w:lang w:val="en-GB" w:eastAsia="en-US" w:bidi="ar-SA"/>
    </w:rPr>
  </w:style>
  <w:style w:type="paragraph" w:styleId="NormalWeb">
    <w:name w:val="Normal (Web)"/>
    <w:basedOn w:val="Normal"/>
    <w:uiPriority w:val="99"/>
    <w:unhideWhenUsed/>
    <w:qFormat/>
    <w:rsid w:val="00fa798b"/>
    <w:pPr>
      <w:spacing w:lineRule="auto" w:line="240" w:beforeAutospacing="1" w:afterAutospacing="1"/>
    </w:pPr>
    <w:rPr>
      <w:rFonts w:ascii="Times New Roman" w:hAnsi="Times New Roman" w:eastAsia="Times New Roman" w:cs="Times New Roman"/>
      <w:sz w:val="24"/>
      <w:szCs w:val="24"/>
      <w:lang w:val="en-US"/>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CellMar>
        <w:top w:w="0" w:type="dxa"/>
        <w:left w:w="108" w:type="dxa"/>
        <w:bottom w:w="0" w:type="dxa"/>
        <w:right w:w="108" w:type="dxa"/>
      </w:tblCellMar>
    </w:tblPr>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hyperlink" Target="https://www.researchgate.net/profile/Georgios-Lampropoulos/publication/329921232_Digital_Game-based_Learning_and_Serious_Games_in_Education/links/5c25f3f1a6fdccfc706d48f5/Digital-Game-based-Learning-and-Serious-Games-in-Education.pdf" TargetMode="External"/><Relationship Id="rId7" Type="http://schemas.openxmlformats.org/officeDocument/2006/relationships/hyperlink" Target="http://download.garuda.kemdikbud.go.id/article.php?article=1475725&amp;val=17767&amp;title=Media For Language Teaching and Learning in Digital Era" TargetMode="External"/><Relationship Id="rId8" Type="http://schemas.openxmlformats.org/officeDocument/2006/relationships/hyperlink" Target="https://d1wqtxts1xzle7.cloudfront.net/67407742/4930-libre.pdf?1621787132=&amp;response-content-disposition=inline%3B+filename%3DUnderstanding_Modern_Learning_Environmen.pdf&amp;Expires=1672139109&amp;Signature=QDF~7VMvwRUfmy-ctMl7JJuvt2L1WRRLiMTJdJjE475tteXAs5sew84AltBupCX~4l5R9U5Rv3pV12DJHqvX6ub~U4kod57nZpt3XEYyY3k97iJU4UHxZZSjrVmPKH9gTnGY2tKZ9t91plj1wLeDPsVC9ciNzxoy7m9GPYUShx6VYH~I7aPaWqKXAfZe2j3IxJYzMsXFAwSDILIFyraix5clN7nlvkmXm-k~4NFi2Jsd9vINOtvzZqdu6bY9pL3cxxwnuBlm7PelfXQy~M7~w0fYuAcZG0ycoCtDf2L67H9A9UcKqAmCbT5MnBORgJb1zTlIdE2pfxXbuL2f2hqlIQ__&amp;Key-Pair-Id=APKAJLOHF5GGSLRBV4ZA" TargetMode="External"/><Relationship Id="rId9" Type="http://schemas.openxmlformats.org/officeDocument/2006/relationships/hyperlink" Target="https://www.researchgate.net/profile/Ravi-Sharma-32/publication/340914277_On_Reimagining_a_Future_for_Online_Learning_in_the_Post-COVID_Era/links/5eb13e30a6fdcc7050a99977/On-Reimagining-a-Future-for-Online-Learning-in-the-Post-COVID-Era.pdf" TargetMode="External"/><Relationship Id="rId10" Type="http://schemas.openxmlformats.org/officeDocument/2006/relationships/hyperlink" Target="https://files.eric.ed.gov/fulltext/EJ1286885.pdf" TargetMode="External"/><Relationship Id="rId11" Type="http://schemas.openxmlformats.org/officeDocument/2006/relationships/hyperlink" Target="https://iopscience.iop.org/article/10.1088/1742-6596/1657/1/012086/pdf" TargetMode="External"/><Relationship Id="rId12" Type="http://schemas.openxmlformats.org/officeDocument/2006/relationships/hyperlink" Target="https://files.eric.ed.gov/fulltext/EJ1239637.pdf" TargetMode="External"/><Relationship Id="rId13" Type="http://schemas.openxmlformats.org/officeDocument/2006/relationships/hyperlink" Target="https://www.researchgate.net/profile/Ence-Surahman/publication/350728047_Components_and_Patterns_of_Hypercontent_Textbook_Design_as_Innovative_Learning_Resources_in_Digital_Learning_Era/links/60eb17530fbf460db8fd8fb8/Components-and-Patterns-of-Hypercontent-Textbook-Design-as-Innovative-Learning-Resources-in-Digital-Learning-Era.pdf" TargetMode="External"/><Relationship Id="rId14" Type="http://schemas.openxmlformats.org/officeDocument/2006/relationships/hyperlink" Target="http://repository.uin-malang.ac.id/6923/1/6923 jurnal UM 2020 13670-20567-1-SM.pdf" TargetMode="External"/><Relationship Id="rId15" Type="http://schemas.openxmlformats.org/officeDocument/2006/relationships/hyperlink" Target="https://iopscience.iop.org/article/10.1088/1742-6596/1663/1/012015/pdf" TargetMode="Externa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Relationship Id="rId20" Type="http://schemas.openxmlformats.org/officeDocument/2006/relationships/customXml" Target="../customXml/item1.xml"/><Relationship Id="rId21" Type="http://schemas.openxmlformats.org/officeDocument/2006/relationships/customXml" Target="../customXml/item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FF446482-0201-4399-AA9C-ADEEB757D8A8}">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EasyOffice/7.4.1.2.0$Windows_X86_64 LibreOffice_project/a2821865dbda20afc0f3893178a1c6c4f3471238</Application>
  <AppVersion>15.0000</AppVersion>
  <Pages>8</Pages>
  <Words>1956</Words>
  <Characters>12323</Characters>
  <CharactersWithSpaces>14282</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2023-01-05T16:28:00Z</dcterms:created>
  <dc:creator/>
  <dc:description/>
  <dc:language>en-GB</dc:language>
  <cp:lastModifiedBy/>
  <dcterms:modified xsi:type="dcterms:W3CDTF">2023-01-13T18:34:20Z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