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64ECF" w14:textId="6F5A005B" w:rsidR="009F1385" w:rsidRDefault="009F1385" w:rsidP="00D46C9E">
      <w:pPr>
        <w:spacing w:line="240" w:lineRule="auto"/>
        <w:rPr>
          <w:b/>
          <w:bCs/>
          <w:u w:val="single"/>
        </w:rPr>
      </w:pPr>
      <w:r>
        <w:rPr>
          <w:b/>
          <w:bCs/>
          <w:u w:val="single"/>
        </w:rPr>
        <w:t>H</w:t>
      </w:r>
      <w:r w:rsidRPr="009F1385">
        <w:rPr>
          <w:b/>
          <w:bCs/>
          <w:u w:val="single"/>
        </w:rPr>
        <w:t>ow evidence-based practice and analytics are used by the people function to inform sound decisions</w:t>
      </w:r>
      <w:r>
        <w:rPr>
          <w:b/>
          <w:bCs/>
          <w:u w:val="single"/>
        </w:rPr>
        <w:t>.</w:t>
      </w:r>
    </w:p>
    <w:p w14:paraId="34164DDB" w14:textId="77777777" w:rsidR="00D35B50" w:rsidRDefault="00D35B50" w:rsidP="00D46C9E">
      <w:pPr>
        <w:spacing w:line="240" w:lineRule="auto"/>
        <w:rPr>
          <w:b/>
          <w:bCs/>
          <w:u w:val="single"/>
        </w:rPr>
      </w:pPr>
    </w:p>
    <w:p w14:paraId="45CC1014" w14:textId="28B586FD" w:rsidR="00D52607" w:rsidRPr="00D52607" w:rsidRDefault="00D52607" w:rsidP="00D46C9E">
      <w:pPr>
        <w:spacing w:line="240" w:lineRule="auto"/>
        <w:rPr>
          <w:b/>
          <w:bCs/>
          <w:u w:val="single"/>
        </w:rPr>
      </w:pPr>
      <w:r w:rsidRPr="00D52607">
        <w:rPr>
          <w:b/>
          <w:bCs/>
          <w:u w:val="single"/>
        </w:rPr>
        <w:t>Section 1</w:t>
      </w:r>
    </w:p>
    <w:p w14:paraId="2E61EA5F" w14:textId="77777777" w:rsidR="00D52607" w:rsidRDefault="00D52607" w:rsidP="00D46C9E">
      <w:pPr>
        <w:spacing w:line="240" w:lineRule="auto"/>
        <w:ind w:left="360"/>
      </w:pPr>
    </w:p>
    <w:p w14:paraId="5379F612" w14:textId="77777777" w:rsidR="00D35B50" w:rsidRDefault="00D35B50" w:rsidP="00D46C9E">
      <w:pPr>
        <w:spacing w:line="240" w:lineRule="auto"/>
      </w:pPr>
      <w:r>
        <w:t xml:space="preserve">Q1 - </w:t>
      </w:r>
      <w:r w:rsidR="00D52607">
        <w:t>(AC 1.1)</w:t>
      </w:r>
    </w:p>
    <w:p w14:paraId="0AC0A103" w14:textId="08E20462" w:rsidR="0021522D" w:rsidRDefault="0096237B" w:rsidP="00D46C9E">
      <w:pPr>
        <w:spacing w:line="240" w:lineRule="auto"/>
      </w:pPr>
      <w:r>
        <w:t>Waite et al. (2021) defines evidence-based practice as the process of making informed decisions by using reliable sources, “Evidence-based practice promotes critical thinking where the reader judges and appraises sources of evidence to determine their relevance to the matter in hand.” Using evidence that is proven from a reliable source will “develop knowledge and understanding to inform practice”.</w:t>
      </w:r>
      <w:r w:rsidR="00B45600">
        <w:t xml:space="preserve"> Barends, Rousseau and Briner</w:t>
      </w:r>
      <w:r>
        <w:t xml:space="preserve"> (20</w:t>
      </w:r>
      <w:r w:rsidR="00B45600">
        <w:t>14</w:t>
      </w:r>
      <w:r>
        <w:t xml:space="preserve">) </w:t>
      </w:r>
      <w:r w:rsidR="0021522D">
        <w:t>define</w:t>
      </w:r>
      <w:r>
        <w:t xml:space="preserve"> it as</w:t>
      </w:r>
      <w:r w:rsidR="00B45600">
        <w:t xml:space="preserve"> “making decisions through the conscientious, explicit and judicious use of the best available evidence from multiple sources” this is key that any evidence used to influence a decision within an organisation must be based on multiple sources, such as “</w:t>
      </w:r>
      <w:r w:rsidR="00B45600" w:rsidRPr="00B45600">
        <w:t>facts or data supporting (or contradicting) a claim, assumption or hypothesis</w:t>
      </w:r>
      <w:r w:rsidR="00B45600">
        <w:t xml:space="preserve">” (CIPD, 2023). </w:t>
      </w:r>
      <w:r>
        <w:t xml:space="preserve">A widely used </w:t>
      </w:r>
      <w:r w:rsidR="00B45600">
        <w:t>process of evidence-based decision-making is by using the 6-steps outlined by Briner (2019)</w:t>
      </w:r>
      <w:r w:rsidR="0076190F">
        <w:t>,</w:t>
      </w:r>
    </w:p>
    <w:p w14:paraId="6E47AF9A" w14:textId="320B985D" w:rsidR="0021522D" w:rsidRDefault="001F2B17" w:rsidP="00D46C9E">
      <w:pPr>
        <w:pStyle w:val="ListParagraph"/>
        <w:numPr>
          <w:ilvl w:val="0"/>
          <w:numId w:val="7"/>
        </w:numPr>
        <w:spacing w:line="240" w:lineRule="auto"/>
      </w:pPr>
      <w:r>
        <w:t>A</w:t>
      </w:r>
      <w:r w:rsidR="0076190F">
        <w:t xml:space="preserve">sking, realising what the problem is and making it an answerable </w:t>
      </w:r>
      <w:r w:rsidR="0021522D">
        <w:t>question;</w:t>
      </w:r>
      <w:r>
        <w:t xml:space="preserve"> the </w:t>
      </w:r>
      <w:r w:rsidR="0021522D">
        <w:t xml:space="preserve">people function </w:t>
      </w:r>
      <w:r>
        <w:t xml:space="preserve">may </w:t>
      </w:r>
      <w:r w:rsidR="0021522D">
        <w:t>recognise a trend in absences and ask the question of why there are so many absences on certain days.</w:t>
      </w:r>
    </w:p>
    <w:p w14:paraId="051E3096" w14:textId="17AAF617" w:rsidR="0021522D" w:rsidRDefault="001F2B17" w:rsidP="00D46C9E">
      <w:pPr>
        <w:pStyle w:val="ListParagraph"/>
        <w:numPr>
          <w:ilvl w:val="0"/>
          <w:numId w:val="7"/>
        </w:numPr>
        <w:spacing w:line="240" w:lineRule="auto"/>
      </w:pPr>
      <w:r>
        <w:t>A</w:t>
      </w:r>
      <w:r w:rsidR="0076190F">
        <w:t xml:space="preserve">cquiring, collecting the evidence from multiple </w:t>
      </w:r>
      <w:r w:rsidR="0021522D">
        <w:t>sources; this could be the opportunity to do some research into the absence trends of the company and read books and articles on engaging staff to avoid absences.</w:t>
      </w:r>
    </w:p>
    <w:p w14:paraId="1AEE87C0" w14:textId="4209A7FD" w:rsidR="0021522D" w:rsidRDefault="001F2B17" w:rsidP="00D46C9E">
      <w:pPr>
        <w:pStyle w:val="ListParagraph"/>
        <w:numPr>
          <w:ilvl w:val="0"/>
          <w:numId w:val="7"/>
        </w:numPr>
        <w:spacing w:line="240" w:lineRule="auto"/>
      </w:pPr>
      <w:r>
        <w:t>A</w:t>
      </w:r>
      <w:r w:rsidR="0076190F">
        <w:t xml:space="preserve">ppraising, evaluating whether the sources are reliable, this could also be the time to analyse the data </w:t>
      </w:r>
      <w:r w:rsidR="0021522D">
        <w:t xml:space="preserve">collected; it is important to evaluate even internal data, high absence rates might be a </w:t>
      </w:r>
      <w:proofErr w:type="gramStart"/>
      <w:r w:rsidR="0021522D">
        <w:t>trend</w:t>
      </w:r>
      <w:proofErr w:type="gramEnd"/>
      <w:r w:rsidR="0021522D">
        <w:t xml:space="preserve"> or it could be a current spike due to external factors.</w:t>
      </w:r>
    </w:p>
    <w:p w14:paraId="08A88675" w14:textId="1CF73EC4" w:rsidR="0021522D" w:rsidRDefault="001F2B17" w:rsidP="00D46C9E">
      <w:pPr>
        <w:pStyle w:val="ListParagraph"/>
        <w:numPr>
          <w:ilvl w:val="0"/>
          <w:numId w:val="7"/>
        </w:numPr>
        <w:spacing w:line="240" w:lineRule="auto"/>
      </w:pPr>
      <w:r>
        <w:t>A</w:t>
      </w:r>
      <w:r w:rsidR="0076190F">
        <w:t xml:space="preserve">ggregating, pulling all the evidence </w:t>
      </w:r>
      <w:r w:rsidR="0021522D">
        <w:t xml:space="preserve">together; by collating all the information the people function would be able to </w:t>
      </w:r>
      <w:r w:rsidR="00624C95">
        <w:t>make an informed recommendation</w:t>
      </w:r>
      <w:r w:rsidR="0021522D">
        <w:t>.</w:t>
      </w:r>
    </w:p>
    <w:p w14:paraId="3F720118" w14:textId="297ED560" w:rsidR="0021522D" w:rsidRDefault="001F2B17" w:rsidP="00D46C9E">
      <w:pPr>
        <w:pStyle w:val="ListParagraph"/>
        <w:numPr>
          <w:ilvl w:val="0"/>
          <w:numId w:val="7"/>
        </w:numPr>
        <w:spacing w:line="240" w:lineRule="auto"/>
      </w:pPr>
      <w:r>
        <w:t>A</w:t>
      </w:r>
      <w:r w:rsidR="0076190F">
        <w:t xml:space="preserve">pplying, </w:t>
      </w:r>
      <w:r w:rsidR="0021522D">
        <w:t>making a recommendation for the organisation based on the evidence</w:t>
      </w:r>
      <w:r w:rsidR="00624C95">
        <w:t>; the organisation would then implement the recommendation</w:t>
      </w:r>
      <w:r w:rsidR="0021522D">
        <w:t>.</w:t>
      </w:r>
    </w:p>
    <w:p w14:paraId="278F3673" w14:textId="01E0E8C1" w:rsidR="0096237B" w:rsidRDefault="0021522D" w:rsidP="00D46C9E">
      <w:pPr>
        <w:pStyle w:val="ListParagraph"/>
        <w:numPr>
          <w:ilvl w:val="0"/>
          <w:numId w:val="7"/>
        </w:numPr>
        <w:spacing w:line="240" w:lineRule="auto"/>
      </w:pPr>
      <w:r>
        <w:t>A</w:t>
      </w:r>
      <w:r w:rsidR="0076190F">
        <w:t>ssessing</w:t>
      </w:r>
      <w:r>
        <w:t>, evaluating whether the implementation was successful</w:t>
      </w:r>
      <w:r w:rsidR="00624C95">
        <w:t>; it is crucial to evaluate whether the recommendation was successful, and if not reevaluate what the issue might be</w:t>
      </w:r>
      <w:r>
        <w:t>.</w:t>
      </w:r>
    </w:p>
    <w:p w14:paraId="2D2E0A5F" w14:textId="77777777" w:rsidR="00D52607" w:rsidRDefault="00D52607" w:rsidP="00D46C9E">
      <w:pPr>
        <w:spacing w:line="240" w:lineRule="auto"/>
      </w:pPr>
    </w:p>
    <w:p w14:paraId="5A50AD1C" w14:textId="0E1416EC" w:rsidR="00D52607" w:rsidRDefault="00D35B50" w:rsidP="00D46C9E">
      <w:pPr>
        <w:spacing w:line="240" w:lineRule="auto"/>
      </w:pPr>
      <w:r>
        <w:t xml:space="preserve">Q2 - </w:t>
      </w:r>
      <w:r w:rsidR="00D52607">
        <w:t>(AC 1.2)</w:t>
      </w:r>
    </w:p>
    <w:p w14:paraId="3234CBE8" w14:textId="4A6EEF17" w:rsidR="00E102E6" w:rsidRDefault="00C7304C" w:rsidP="00F62015">
      <w:pPr>
        <w:spacing w:line="240" w:lineRule="auto"/>
      </w:pPr>
      <w:r>
        <w:t xml:space="preserve">Waite et al. (2021) explains that </w:t>
      </w:r>
      <w:r w:rsidR="00C54A86">
        <w:t>“accessing and using a wide variety of data helps us to develop factual knowledge and understanding on a wide range of organisational and people issues” which nurtures a positive workplace culture which leads to higher employee performance which in turn leads to a “positive internal and external perception of the organisation”.</w:t>
      </w:r>
      <w:r w:rsidR="00880AE3">
        <w:t xml:space="preserve"> If an organisation wanted to collect data it is important that the data is reliable and valid some ways of ensuring this is to ensure there is a wide range of different data sources, the way the data is collected is varied and the data is collected over time and different time periods. For example, if an organisation asked employees to complete an employee satisfaction questionnaire but only 25% of employees completed it, this would not give an accurate overview of the satisfaction of all employees. Another example is looking at employee turnover, this alone, may indicate an issue with a certain department, but without further evidence the people function could not provide an appropriate </w:t>
      </w:r>
      <w:r w:rsidR="00880AE3">
        <w:lastRenderedPageBreak/>
        <w:t xml:space="preserve">recommendation, the next step may be performing exit </w:t>
      </w:r>
      <w:r w:rsidR="009A07C0">
        <w:t>interviews</w:t>
      </w:r>
      <w:r w:rsidR="00880AE3">
        <w:t xml:space="preserve"> this may indicate a specific issue within the department. </w:t>
      </w:r>
      <w:r w:rsidR="009A07C0">
        <w:t>Having inaccurate data or using unreliable and invalid data to create a recommendation may end up being costly for the organisation. It could mean that the wrong change has been implemented at an unnecessary cost, or that the change has adversely affected the organisation’s reputation. Waite et al. (2021) also explains that certain data may be a result of a specific spike as opposed to a change in the organisation, so it is crucial to check the data is accurate.</w:t>
      </w:r>
    </w:p>
    <w:p w14:paraId="640DF9C4" w14:textId="77777777" w:rsidR="00D52607" w:rsidRDefault="00D52607" w:rsidP="00D46C9E">
      <w:pPr>
        <w:spacing w:line="240" w:lineRule="auto"/>
      </w:pPr>
    </w:p>
    <w:p w14:paraId="0733B1F1" w14:textId="5D681109" w:rsidR="00D52607" w:rsidRDefault="00D35B50" w:rsidP="00D46C9E">
      <w:pPr>
        <w:spacing w:line="240" w:lineRule="auto"/>
      </w:pPr>
      <w:r>
        <w:t>Q3 -</w:t>
      </w:r>
      <w:r w:rsidR="00D52607">
        <w:t xml:space="preserve"> (AC 1.3)</w:t>
      </w:r>
    </w:p>
    <w:p w14:paraId="506A971A" w14:textId="671D8043" w:rsidR="00B33E32" w:rsidRPr="002C664A" w:rsidRDefault="00B33E32" w:rsidP="00D46C9E">
      <w:pPr>
        <w:spacing w:line="240" w:lineRule="auto"/>
      </w:pPr>
      <w:r>
        <w:t xml:space="preserve">There are 2 main types of </w:t>
      </w:r>
      <w:r w:rsidRPr="002C664A">
        <w:t>data that can be measured, quantitative and qualitative, which can further be broken down into different types of analytics, descriptive, diagnostic, predictive and prescriptive (Waite et al. 2021).</w:t>
      </w:r>
    </w:p>
    <w:p w14:paraId="6EE673FD" w14:textId="4C52EE7E" w:rsidR="00B33E32" w:rsidRDefault="00B33E32" w:rsidP="00D46C9E">
      <w:pPr>
        <w:spacing w:line="240" w:lineRule="auto"/>
      </w:pPr>
      <w:r w:rsidRPr="002C664A">
        <w:t xml:space="preserve">Quantitative data </w:t>
      </w:r>
      <w:r w:rsidR="002C664A" w:rsidRPr="002C664A">
        <w:t>are the facts and figures, it is especially useful when measuring trends and/or patterns over a certain timescale. Often this</w:t>
      </w:r>
      <w:r w:rsidR="002C664A">
        <w:t xml:space="preserve"> data is collected through “surveys or through data held on computerised HR Systems or HR dashboard” Waite et al. (2021). The data could </w:t>
      </w:r>
      <w:r w:rsidR="00E102E6">
        <w:t>include</w:t>
      </w:r>
      <w:r w:rsidR="002C664A">
        <w:t xml:space="preserve"> absences, turnover, </w:t>
      </w:r>
      <w:proofErr w:type="gramStart"/>
      <w:r w:rsidR="00E102E6">
        <w:t>diversity</w:t>
      </w:r>
      <w:proofErr w:type="gramEnd"/>
      <w:r w:rsidR="00E102E6">
        <w:t xml:space="preserve"> </w:t>
      </w:r>
      <w:r w:rsidR="002C664A">
        <w:t xml:space="preserve">and inclusion This data is usually the first step in recognising an </w:t>
      </w:r>
      <w:r w:rsidR="00E102E6">
        <w:t>issue but</w:t>
      </w:r>
      <w:r w:rsidR="002C664A">
        <w:t xml:space="preserve"> would need further evidence in order to make a recommendation for an organisation</w:t>
      </w:r>
      <w:r w:rsidR="00E102E6">
        <w:t>.</w:t>
      </w:r>
    </w:p>
    <w:p w14:paraId="7DE96E1B" w14:textId="7F320E4C" w:rsidR="00D46C9E" w:rsidRDefault="002C664A" w:rsidP="00D46C9E">
      <w:pPr>
        <w:spacing w:line="240" w:lineRule="auto"/>
      </w:pPr>
      <w:r>
        <w:t>Qualitative data doesn’t tend to include statistics, it is usually based on feedback, this can further explain a trend that has appeared in the quantitative data. This data would usually be collected through interviews, smaller focus groups or sometimes surveys for example interview records, performance reviews or written feedback.</w:t>
      </w:r>
    </w:p>
    <w:p w14:paraId="043A2946" w14:textId="05EE6066" w:rsidR="00B33E32" w:rsidRDefault="00B33E32" w:rsidP="00D46C9E">
      <w:pPr>
        <w:spacing w:line="240" w:lineRule="auto"/>
      </w:pPr>
      <w:r>
        <w:t>Quantitative data can be collected when looking at the turnover or a certain department for example, this alone would not provide an overall picture of what is going on, but by performing exit interviews, the department would also be able to collect qualitative data</w:t>
      </w:r>
      <w:r w:rsidR="002C664A">
        <w:t>,</w:t>
      </w:r>
      <w:r>
        <w:t xml:space="preserve"> along with looking at evidence-based practice</w:t>
      </w:r>
      <w:r w:rsidR="002C664A">
        <w:t xml:space="preserve"> </w:t>
      </w:r>
      <w:r>
        <w:t>this could lead to a recommendation within the department on certain aspects</w:t>
      </w:r>
      <w:r w:rsidR="002C664A">
        <w:t xml:space="preserve"> leading to less turnover of staff</w:t>
      </w:r>
      <w:r w:rsidR="00E102E6">
        <w:t xml:space="preserve"> and better performance overall</w:t>
      </w:r>
      <w:r>
        <w:t>.</w:t>
      </w:r>
    </w:p>
    <w:p w14:paraId="182D9022" w14:textId="6B29CC10" w:rsidR="00E102E6" w:rsidRDefault="00E102E6" w:rsidP="00D46C9E">
      <w:pPr>
        <w:spacing w:line="240" w:lineRule="auto"/>
      </w:pPr>
      <w:r>
        <w:t xml:space="preserve">Analytics of data from both quantitative or qualitative could be descriptive, </w:t>
      </w:r>
      <w:r w:rsidR="00D46C9E">
        <w:t>this usually involves looking at the data in order to describe past results; d</w:t>
      </w:r>
      <w:r>
        <w:t xml:space="preserve">iagnostic, mainly uses quantitative data to </w:t>
      </w:r>
      <w:r w:rsidR="00D46C9E">
        <w:t xml:space="preserve">focus on what has happened and work out how to stop it or to ensure it doesn’t happen again, or if it is positive maintain that trend; </w:t>
      </w:r>
      <w:r>
        <w:t xml:space="preserve">predictive, this would aim towards predicting future trends by looking at the past ones and potentially building a future business plan based on this; prescriptive, where a recommendation would be made based on the data. </w:t>
      </w:r>
    </w:p>
    <w:p w14:paraId="653E26F1" w14:textId="77777777" w:rsidR="00D52607" w:rsidRDefault="00D52607" w:rsidP="00D46C9E">
      <w:pPr>
        <w:spacing w:line="240" w:lineRule="auto"/>
      </w:pPr>
    </w:p>
    <w:p w14:paraId="1C68D4D4" w14:textId="171DD9B8" w:rsidR="00D52607" w:rsidRDefault="00D35B50" w:rsidP="00D46C9E">
      <w:pPr>
        <w:spacing w:line="240" w:lineRule="auto"/>
      </w:pPr>
      <w:r>
        <w:t>Q4 -</w:t>
      </w:r>
      <w:r w:rsidR="00D52607">
        <w:t xml:space="preserve"> (AC 1.6)</w:t>
      </w:r>
    </w:p>
    <w:p w14:paraId="5890638F" w14:textId="164214AF" w:rsidR="00D4232D" w:rsidRDefault="00CC662A" w:rsidP="00D46C9E">
      <w:pPr>
        <w:spacing w:line="240" w:lineRule="auto"/>
      </w:pPr>
      <w:r>
        <w:t xml:space="preserve">When considering evidence-based practice, therefore collecting, </w:t>
      </w:r>
      <w:proofErr w:type="gramStart"/>
      <w:r>
        <w:t>analysing</w:t>
      </w:r>
      <w:proofErr w:type="gramEnd"/>
      <w:r>
        <w:t xml:space="preserve"> and storing data, it is important to ensure that organisations follow ethical approaches and maintain </w:t>
      </w:r>
      <w:r w:rsidRPr="00CC662A">
        <w:t>legal</w:t>
      </w:r>
      <w:r>
        <w:t xml:space="preserve"> standards</w:t>
      </w:r>
      <w:r w:rsidR="00D4232D">
        <w:t xml:space="preserve"> (Waite et al. 2021)</w:t>
      </w:r>
      <w:r>
        <w:t>.</w:t>
      </w:r>
      <w:r w:rsidR="00D4232D">
        <w:t xml:space="preserve"> By ensuring an organisation is implementing agreed policies and procedures, they are ensuring compliance and fairness, there is a risk that without these or if they are not being implemented correctly, the organisation would be working in an unethical way and potentially going against employment law.</w:t>
      </w:r>
    </w:p>
    <w:p w14:paraId="70F7AF82" w14:textId="4B4890FC" w:rsidR="00C35F66" w:rsidRDefault="00C35F66" w:rsidP="00D46C9E">
      <w:pPr>
        <w:spacing w:line="240" w:lineRule="auto"/>
      </w:pPr>
      <w:r>
        <w:t>The key reasons that Waite et al. (2021) outline as the importance of effective policies and procedures are “so that the organisation safeguards compliance with the necessary legal requirements, demonstrates credibility of the organisation to all stakeholders and maintains sound ethical practice”.</w:t>
      </w:r>
    </w:p>
    <w:p w14:paraId="0D4CF52B" w14:textId="3F7C1518" w:rsidR="00D4232D" w:rsidRDefault="00D4232D" w:rsidP="00D46C9E">
      <w:pPr>
        <w:spacing w:line="240" w:lineRule="auto"/>
      </w:pPr>
      <w:r>
        <w:lastRenderedPageBreak/>
        <w:t xml:space="preserve">An example of where evidence-based practice may affect a policy could be relating to </w:t>
      </w:r>
      <w:r w:rsidR="00C35F66">
        <w:t>a</w:t>
      </w:r>
      <w:r>
        <w:t xml:space="preserve"> disciplinary policy, </w:t>
      </w:r>
      <w:r w:rsidR="00C35F66">
        <w:t>if an employee’s contract was terminated following a disciplinary but the policy was not detailed enough to include those specific reasons the employee could take the organisation to an employment tribunal leading to financial impact on the business. All policies and procedures should be in place based on evidence-based practice to protect the employees and the employer.</w:t>
      </w:r>
    </w:p>
    <w:p w14:paraId="0B5DF7F9" w14:textId="3AE87B65" w:rsidR="00214DD9" w:rsidRDefault="00214DD9" w:rsidP="00D46C9E">
      <w:pPr>
        <w:spacing w:line="240" w:lineRule="auto"/>
      </w:pPr>
      <w:r>
        <w:t>Although data is essential for maintaining and improving any organisation, it is important that the collection and storage complies with legal requirements, such as the Data Protection Act (2018), Freedom of Information Act (2000) and the Human Rights Act (1998).</w:t>
      </w:r>
    </w:p>
    <w:p w14:paraId="741791DD" w14:textId="5D378DAE" w:rsidR="00D52607" w:rsidRDefault="00D35B50" w:rsidP="00D46C9E">
      <w:pPr>
        <w:spacing w:line="240" w:lineRule="auto"/>
      </w:pPr>
      <w:r>
        <w:t>Q5 -</w:t>
      </w:r>
      <w:r w:rsidR="00D52607">
        <w:t xml:space="preserve"> (AC 2.1)</w:t>
      </w:r>
    </w:p>
    <w:p w14:paraId="6CDBC908" w14:textId="134688FA" w:rsidR="00214DD9" w:rsidRDefault="00214DD9" w:rsidP="00D46C9E">
      <w:pPr>
        <w:spacing w:line="240" w:lineRule="auto"/>
      </w:pPr>
      <w:r>
        <w:t xml:space="preserve">Every department and every aspect of an organisation is intertwined, and the people professionals form part of this, they are all working towards providing the best service for their stakeholders including their customers. Stakeholders may include customers, the board of directors, partners, but also include the employees. </w:t>
      </w:r>
      <w:r w:rsidR="00216639">
        <w:t>As people professionals the role of creating and implementing strong policies and procedures is to ensure that all employees feel safe and supported, in doing so it is important that managers and the organisation ensures a “systematic induction process for new employees, allow employees access to decision-making and job autonomy, gathering employees’ views and opinions on work matters and information sharing, rewarding performance and developing employees” (Waite et al. 2021) this all leads to greater engagement of employees.</w:t>
      </w:r>
    </w:p>
    <w:p w14:paraId="0CBBDBC4" w14:textId="409035D7" w:rsidR="00216639" w:rsidRDefault="00216639" w:rsidP="00D46C9E">
      <w:pPr>
        <w:spacing w:line="240" w:lineRule="auto"/>
      </w:pPr>
      <w:r>
        <w:t>If employees feel valued and supported in their workplace this will show through with their work, leading to better performance which will show through in their direct work and effort with customers leading to greater value in stakeholders and the wider organisation.</w:t>
      </w:r>
    </w:p>
    <w:p w14:paraId="0E6765EB" w14:textId="510496D7" w:rsidR="009D361F" w:rsidRDefault="006B2758" w:rsidP="00D46C9E">
      <w:pPr>
        <w:spacing w:line="240" w:lineRule="auto"/>
      </w:pPr>
      <w:r>
        <w:t>People professionals support this in an array of ways from</w:t>
      </w:r>
      <w:r w:rsidR="009D361F">
        <w:t xml:space="preserve"> recruitment, learning and development, well-being, engagement and many more (Waite et al. 2021). The key part is using the data collected to implement changes within the organisation. Collecting and storing data on performance, for example, is important to ensure all departments are implementing SMART objectives to “meet the organisation’s business strategy” and whether departments and employees are being rewarded accordingly with the policies and procedures in place.</w:t>
      </w:r>
    </w:p>
    <w:p w14:paraId="4743C066" w14:textId="77777777" w:rsidR="00D52607" w:rsidRDefault="00D52607" w:rsidP="00D46C9E">
      <w:pPr>
        <w:spacing w:line="240" w:lineRule="auto"/>
      </w:pPr>
    </w:p>
    <w:p w14:paraId="43B22269" w14:textId="1B5CB3DB" w:rsidR="000A56D2" w:rsidRDefault="00D35B50" w:rsidP="00D46C9E">
      <w:pPr>
        <w:spacing w:line="240" w:lineRule="auto"/>
      </w:pPr>
      <w:r>
        <w:t>Q6 -</w:t>
      </w:r>
      <w:r w:rsidR="00D52607">
        <w:t xml:space="preserve"> (AC 2.2)</w:t>
      </w:r>
    </w:p>
    <w:p w14:paraId="76C19994" w14:textId="77777777" w:rsidR="00CE2EF8" w:rsidRDefault="00216639" w:rsidP="00D46C9E">
      <w:pPr>
        <w:spacing w:line="240" w:lineRule="auto"/>
      </w:pPr>
      <w:r>
        <w:t xml:space="preserve">Waite et al. (2021) defines creating value as two elements, structural </w:t>
      </w:r>
      <w:proofErr w:type="gramStart"/>
      <w:r>
        <w:t>capital</w:t>
      </w:r>
      <w:proofErr w:type="gramEnd"/>
      <w:r>
        <w:t xml:space="preserve"> and human capital. Over the Covid-19 pandemic the Farmers’ Union of Wales has to make significant changes in structural capital as there was a lockdown, the</w:t>
      </w:r>
      <w:r w:rsidR="00CE2EF8">
        <w:t xml:space="preserve"> IT equipment was quickly improved to allow for working from home in a secure way and so were processes such as the use of Zoom for meetings. The Farmers’ Union of Wales is very customer focused therefore the need to communicate and engage with members has always been key.</w:t>
      </w:r>
    </w:p>
    <w:p w14:paraId="45CF6A97" w14:textId="643AC9AD" w:rsidR="00216639" w:rsidRDefault="00CE2EF8" w:rsidP="00D46C9E">
      <w:pPr>
        <w:spacing w:line="240" w:lineRule="auto"/>
      </w:pPr>
      <w:r>
        <w:t xml:space="preserve">Human capital has always been an ongoing development which is true for all organisations. Although the development of new skills and knowledge was needed when the structural capital changed in 2020, the Farmers’ Union of Wales is continually changing based on what the Welsh Government is asking of </w:t>
      </w:r>
      <w:r w:rsidR="006B2758">
        <w:t>its</w:t>
      </w:r>
      <w:r>
        <w:t xml:space="preserve"> farmers and therefore the abilities and expertise of the employees are developed concurrently.</w:t>
      </w:r>
    </w:p>
    <w:p w14:paraId="3B81DBF8" w14:textId="62C315A8" w:rsidR="00CE2EF8" w:rsidRDefault="00CE2EF8" w:rsidP="00D46C9E">
      <w:pPr>
        <w:spacing w:line="240" w:lineRule="auto"/>
      </w:pPr>
      <w:r>
        <w:t xml:space="preserve">Without these structural and human </w:t>
      </w:r>
      <w:r w:rsidR="006B2758">
        <w:t>capital,</w:t>
      </w:r>
      <w:r>
        <w:t xml:space="preserve"> the Union would cease to meet the customer’s needs and would fall below the standards expected of the staff. Ensuring a thriving and supportive workplace ensures that staff can develop with the needs of the organisation.</w:t>
      </w:r>
    </w:p>
    <w:p w14:paraId="2B7EDF26" w14:textId="1AE9B5BE" w:rsidR="006B2758" w:rsidRDefault="006B2758" w:rsidP="00D46C9E">
      <w:pPr>
        <w:spacing w:line="240" w:lineRule="auto"/>
      </w:pPr>
      <w:r>
        <w:t xml:space="preserve">Collecting data from employees is key to ensuring a thriving workplace culture, but it is also important to collect data from other stakeholders such as customers/members. The CIPD Profession </w:t>
      </w:r>
      <w:r>
        <w:lastRenderedPageBreak/>
        <w:t>Map notes the importance of creating “a culture that prioritises the understanding of customer needs to enhance customer value”.</w:t>
      </w:r>
    </w:p>
    <w:p w14:paraId="3C1C2832" w14:textId="77777777" w:rsidR="00D52607" w:rsidRDefault="00D52607" w:rsidP="00D46C9E">
      <w:pPr>
        <w:pStyle w:val="ListParagraph"/>
        <w:spacing w:line="240" w:lineRule="auto"/>
      </w:pPr>
    </w:p>
    <w:p w14:paraId="335C083D" w14:textId="77777777" w:rsidR="00F606D3" w:rsidRDefault="00D52607" w:rsidP="00D46C9E">
      <w:pPr>
        <w:spacing w:line="240" w:lineRule="auto"/>
        <w:rPr>
          <w:b/>
          <w:bCs/>
          <w:u w:val="single"/>
        </w:rPr>
      </w:pPr>
      <w:r w:rsidRPr="00D52607">
        <w:rPr>
          <w:b/>
          <w:bCs/>
          <w:u w:val="single"/>
        </w:rPr>
        <w:t>Section 2</w:t>
      </w:r>
    </w:p>
    <w:p w14:paraId="68D12F9A" w14:textId="0EF7378D" w:rsidR="00D52607" w:rsidRDefault="00F606D3" w:rsidP="00D46C9E">
      <w:pPr>
        <w:spacing w:line="240" w:lineRule="auto"/>
        <w:rPr>
          <w:b/>
          <w:bCs/>
          <w:u w:val="single"/>
        </w:rPr>
      </w:pPr>
      <w:r w:rsidRPr="00F606D3">
        <w:t>AC 1.4</w:t>
      </w:r>
      <w:r w:rsidR="0079422C">
        <w:rPr>
          <w:noProof/>
        </w:rPr>
        <w:drawing>
          <wp:inline distT="0" distB="0" distL="0" distR="0" wp14:anchorId="6BDEF61D" wp14:editId="5487849C">
            <wp:extent cx="5731510" cy="5293360"/>
            <wp:effectExtent l="0" t="0" r="2540" b="2540"/>
            <wp:docPr id="577524979" name="Chart 1">
              <a:extLst xmlns:a="http://schemas.openxmlformats.org/drawingml/2006/main">
                <a:ext uri="{FF2B5EF4-FFF2-40B4-BE49-F238E27FC236}">
                  <a16:creationId xmlns:a16="http://schemas.microsoft.com/office/drawing/2014/main" id="{D72029F4-61ED-45D5-C40A-1DB7870070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3D432DF" w14:textId="06EA6DB9" w:rsidR="00D52607" w:rsidRDefault="00B37278" w:rsidP="00D46C9E">
      <w:pPr>
        <w:spacing w:line="240" w:lineRule="auto"/>
        <w:rPr>
          <w:b/>
          <w:bCs/>
          <w:u w:val="single"/>
        </w:rPr>
      </w:pPr>
      <w:r>
        <w:rPr>
          <w:noProof/>
        </w:rPr>
        <w:lastRenderedPageBreak/>
        <w:drawing>
          <wp:inline distT="0" distB="0" distL="0" distR="0" wp14:anchorId="5564B4DC" wp14:editId="07CAC78C">
            <wp:extent cx="5745192" cy="3985260"/>
            <wp:effectExtent l="0" t="0" r="8255" b="15240"/>
            <wp:docPr id="76719223" name="Chart 1">
              <a:extLst xmlns:a="http://schemas.openxmlformats.org/drawingml/2006/main">
                <a:ext uri="{FF2B5EF4-FFF2-40B4-BE49-F238E27FC236}">
                  <a16:creationId xmlns:a16="http://schemas.microsoft.com/office/drawing/2014/main" id="{02B8C085-E007-81B8-E3B1-79D946DA14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79422C" w:rsidRPr="0079422C">
        <w:rPr>
          <w:noProof/>
        </w:rPr>
        <w:t xml:space="preserve"> </w:t>
      </w:r>
    </w:p>
    <w:p w14:paraId="630F1EA1" w14:textId="77777777" w:rsidR="00B37278" w:rsidRDefault="00B37278" w:rsidP="00D46C9E">
      <w:pPr>
        <w:spacing w:line="240" w:lineRule="auto"/>
        <w:rPr>
          <w:b/>
          <w:bCs/>
          <w:u w:val="single"/>
        </w:rPr>
      </w:pPr>
    </w:p>
    <w:p w14:paraId="409F960A" w14:textId="57085114" w:rsidR="00D52607" w:rsidRPr="00D52607" w:rsidRDefault="00D52607" w:rsidP="00D46C9E">
      <w:pPr>
        <w:spacing w:line="240" w:lineRule="auto"/>
      </w:pPr>
    </w:p>
    <w:p w14:paraId="47B52C97" w14:textId="3BC4A8CB" w:rsidR="00D52607" w:rsidRDefault="00D52607" w:rsidP="00D46C9E">
      <w:pPr>
        <w:spacing w:line="240" w:lineRule="auto"/>
      </w:pPr>
      <w:r w:rsidRPr="00D52607">
        <w:t>AC 1.5</w:t>
      </w:r>
    </w:p>
    <w:p w14:paraId="0F1D6569" w14:textId="15136AC4" w:rsidR="003177F2" w:rsidRDefault="003177F2" w:rsidP="00D46C9E">
      <w:pPr>
        <w:spacing w:line="240" w:lineRule="auto"/>
      </w:pPr>
      <w:r>
        <w:t xml:space="preserve">In order to continually develop an organisation people professionals must use data to </w:t>
      </w:r>
      <w:r w:rsidRPr="003177F2">
        <w:t>mak</w:t>
      </w:r>
      <w:r>
        <w:t>e</w:t>
      </w:r>
      <w:r w:rsidRPr="003177F2">
        <w:t xml:space="preserve"> </w:t>
      </w:r>
      <w:r>
        <w:t>“</w:t>
      </w:r>
      <w:r w:rsidRPr="003177F2">
        <w:t>decisions through the conscientious, explicit and judicious use of the best available evidence from multiple sources”</w:t>
      </w:r>
      <w:r>
        <w:t xml:space="preserve"> (</w:t>
      </w:r>
      <w:r w:rsidRPr="003177F2">
        <w:t>Barends, Rousseau and Briner 2014)</w:t>
      </w:r>
      <w:r>
        <w:t xml:space="preserve"> the key phrase here being multiple sources. Although the above graphs present 2 different sets of information, it has all derived from one source, likely an exportation from a HR system.</w:t>
      </w:r>
    </w:p>
    <w:p w14:paraId="318FD262" w14:textId="4339EC0B" w:rsidR="003177F2" w:rsidRDefault="003177F2" w:rsidP="00D46C9E">
      <w:pPr>
        <w:spacing w:line="240" w:lineRule="auto"/>
      </w:pPr>
      <w:r>
        <w:t>This form of data can be extremely useful in targeting issues and improving the organisation but alone there is only so much this information can give people professionals</w:t>
      </w:r>
      <w:r w:rsidR="001F2B17">
        <w:t xml:space="preserve"> as they are both </w:t>
      </w:r>
      <w:r>
        <w:t>derived from quantitative data</w:t>
      </w:r>
      <w:r w:rsidR="001F2B17">
        <w:t xml:space="preserve">. Although </w:t>
      </w:r>
      <w:r>
        <w:t xml:space="preserve">it can show whether there is a trend or a pattern emerging within a Team, these would be descriptive but if we could </w:t>
      </w:r>
      <w:r w:rsidR="008A1430">
        <w:t>aggregate this data with other forms of data it would indicate a much wider picture of the organisation in order to make an informed recommendation.</w:t>
      </w:r>
    </w:p>
    <w:p w14:paraId="697B10DD" w14:textId="7385E750" w:rsidR="008A1430" w:rsidRDefault="008A1430" w:rsidP="00D46C9E">
      <w:pPr>
        <w:spacing w:line="240" w:lineRule="auto"/>
      </w:pPr>
      <w:r>
        <w:t>One key piece of data which would be beneficial in this example would be to collect data from exit interviews to gain a greater understanding of the reasons for leaving. There are some reasons for leaving that would appear straightforward, but it is always important to fully understand the situation. For example, there were 6% of employees that retired, this would appear a reasonable leaver, but pairing this with some further information there could be a pattern of employees taking early retirement due to a change in management.</w:t>
      </w:r>
    </w:p>
    <w:p w14:paraId="32D03C2E" w14:textId="1AA00A80" w:rsidR="008A1430" w:rsidRDefault="008A1430" w:rsidP="00D46C9E">
      <w:pPr>
        <w:spacing w:line="240" w:lineRule="auto"/>
      </w:pPr>
      <w:r>
        <w:t>Th</w:t>
      </w:r>
      <w:r w:rsidR="001F2B17">
        <w:t>e</w:t>
      </w:r>
      <w:r>
        <w:t xml:space="preserve"> </w:t>
      </w:r>
      <w:r w:rsidR="00B630DA">
        <w:t xml:space="preserve">main </w:t>
      </w:r>
      <w:r>
        <w:t xml:space="preserve">reason for leaving was resignation due to pay or was benefits related, this should prompt management to look into the benefits offered to staff, </w:t>
      </w:r>
      <w:r w:rsidR="00B630DA">
        <w:t>i</w:t>
      </w:r>
      <w:r w:rsidR="00B630DA">
        <w:t>t would also be beneficial for the organisation to conduct a salary benchmarking</w:t>
      </w:r>
      <w:r w:rsidR="00B630DA">
        <w:t xml:space="preserve"> exercise to ensure that they are comparable to other </w:t>
      </w:r>
      <w:r w:rsidR="00B630DA">
        <w:lastRenderedPageBreak/>
        <w:t>organisations. I</w:t>
      </w:r>
      <w:r>
        <w:t xml:space="preserve">t would also be beneficial here to look at the exit interviews as it may be a case of benefits being offered but not given once employment has started. </w:t>
      </w:r>
    </w:p>
    <w:p w14:paraId="45825FA7" w14:textId="0DBC2BEA" w:rsidR="00B630DA" w:rsidRDefault="00B630DA" w:rsidP="00D46C9E">
      <w:pPr>
        <w:spacing w:line="240" w:lineRule="auto"/>
      </w:pPr>
      <w:r>
        <w:t xml:space="preserve">If the organisation wanted to evaluate which Team was doing best based on length of service, although this data would give them an idea, the Regeneration </w:t>
      </w:r>
      <w:r w:rsidR="001F2B17">
        <w:t>T</w:t>
      </w:r>
      <w:r>
        <w:t xml:space="preserve">eam would appear to be performing </w:t>
      </w:r>
      <w:r w:rsidR="001F2B17">
        <w:t>lowest</w:t>
      </w:r>
      <w:r>
        <w:t>. By looking deeper into the data, although the average length of service for the Regeneration Team was 11 months on average compared to the Property Team’s 95.41 months on average, there was only 1 leaver in the Regeneration Team, whereas the Property Team saw 17 leavers this does not make it an effective comparison of how the Teams are performing.</w:t>
      </w:r>
    </w:p>
    <w:p w14:paraId="54638822" w14:textId="15BA64F3" w:rsidR="008A1430" w:rsidRDefault="00B630DA" w:rsidP="00D46C9E">
      <w:pPr>
        <w:spacing w:line="240" w:lineRule="auto"/>
      </w:pPr>
      <w:r>
        <w:t xml:space="preserve">13% of leavers were marked as </w:t>
      </w:r>
      <w:r w:rsidR="007B4617">
        <w:t>‘</w:t>
      </w:r>
      <w:r>
        <w:t>resignation</w:t>
      </w:r>
      <w:r w:rsidR="007B4617">
        <w:t>’</w:t>
      </w:r>
      <w:r>
        <w:t xml:space="preserve">, this does not clearly indicate the reason for leaving therefore the exit interviews would be key here. </w:t>
      </w:r>
    </w:p>
    <w:p w14:paraId="7B6E6458" w14:textId="1F892C1E" w:rsidR="00F606D3" w:rsidRDefault="007B4617" w:rsidP="00D46C9E">
      <w:pPr>
        <w:spacing w:line="240" w:lineRule="auto"/>
      </w:pPr>
      <w:r>
        <w:t>There were three leavers due to dismissal, although all three came from different Teams, they were all from a three-month period, people professionals should question whether this was due to a new disciplinary policy and whether the</w:t>
      </w:r>
      <w:r w:rsidR="008A1430">
        <w:t xml:space="preserve"> process </w:t>
      </w:r>
      <w:r>
        <w:t xml:space="preserve">may be </w:t>
      </w:r>
      <w:r w:rsidR="001F2B17">
        <w:t>too</w:t>
      </w:r>
      <w:r w:rsidR="008A1430">
        <w:t xml:space="preserve"> severe</w:t>
      </w:r>
      <w:r>
        <w:t>.</w:t>
      </w:r>
    </w:p>
    <w:p w14:paraId="0C26C72F" w14:textId="70739350" w:rsidR="00F606D3" w:rsidRDefault="007B4617" w:rsidP="00D46C9E">
      <w:pPr>
        <w:spacing w:line="240" w:lineRule="auto"/>
      </w:pPr>
      <w:r>
        <w:t xml:space="preserve">Across the Teams, </w:t>
      </w:r>
      <w:r w:rsidR="00F606D3">
        <w:t xml:space="preserve">11% </w:t>
      </w:r>
      <w:r>
        <w:t>of leaver</w:t>
      </w:r>
      <w:r w:rsidR="00C42FCD">
        <w:t>s</w:t>
      </w:r>
      <w:r>
        <w:t xml:space="preserve"> were because ‘</w:t>
      </w:r>
      <w:r w:rsidR="00F606D3">
        <w:t>job not as expected</w:t>
      </w:r>
      <w:r>
        <w:t>’</w:t>
      </w:r>
      <w:r w:rsidR="00F606D3">
        <w:t xml:space="preserve"> </w:t>
      </w:r>
      <w:r>
        <w:t xml:space="preserve">this should trigger the </w:t>
      </w:r>
      <w:r w:rsidR="00F606D3">
        <w:t xml:space="preserve">organisation </w:t>
      </w:r>
      <w:r>
        <w:t>to</w:t>
      </w:r>
      <w:r w:rsidR="00F606D3">
        <w:t xml:space="preserve"> reevalu</w:t>
      </w:r>
      <w:r>
        <w:t>a</w:t>
      </w:r>
      <w:r w:rsidR="00F606D3">
        <w:t>te the onboarding process and possibly look at the quality of their job adverts and job descriptions</w:t>
      </w:r>
      <w:r>
        <w:t xml:space="preserve"> to ensure they are appropriate for the job in question.</w:t>
      </w:r>
    </w:p>
    <w:p w14:paraId="233E3299" w14:textId="1395A12F" w:rsidR="00F606D3" w:rsidRDefault="007B4617" w:rsidP="00D46C9E">
      <w:pPr>
        <w:spacing w:line="240" w:lineRule="auto"/>
      </w:pPr>
      <w:r>
        <w:t xml:space="preserve">Finally, there were 2 leavers due to ‘end of contract’ this may pose the question whether </w:t>
      </w:r>
      <w:r w:rsidR="00F606D3">
        <w:t xml:space="preserve">short term contracts </w:t>
      </w:r>
      <w:r>
        <w:t xml:space="preserve">are </w:t>
      </w:r>
      <w:r w:rsidR="00F606D3">
        <w:t>right for th</w:t>
      </w:r>
      <w:r>
        <w:t>e</w:t>
      </w:r>
      <w:r w:rsidR="00F606D3">
        <w:t xml:space="preserve"> organisation</w:t>
      </w:r>
      <w:r>
        <w:t xml:space="preserve"> since </w:t>
      </w:r>
      <w:r w:rsidR="00F606D3">
        <w:t>the process of onboarding can be expensive.</w:t>
      </w:r>
    </w:p>
    <w:p w14:paraId="78922471" w14:textId="581567AB" w:rsidR="007B4617" w:rsidRDefault="007B4617" w:rsidP="00D46C9E">
      <w:pPr>
        <w:spacing w:line="240" w:lineRule="auto"/>
      </w:pPr>
      <w:r>
        <w:t xml:space="preserve">To conclude it is important to collect as much data from different sources as possible, </w:t>
      </w:r>
      <w:r w:rsidR="00C42FCD">
        <w:t>but also to collate this data to make an informed recommendation</w:t>
      </w:r>
      <w:r>
        <w:t xml:space="preserve"> (Waite et al. 2021).</w:t>
      </w:r>
    </w:p>
    <w:p w14:paraId="2E9A8DBC" w14:textId="77777777" w:rsidR="00C8013A" w:rsidRDefault="00C8013A" w:rsidP="00D46C9E">
      <w:pPr>
        <w:spacing w:line="240" w:lineRule="auto"/>
      </w:pPr>
    </w:p>
    <w:p w14:paraId="7DF6C6B9" w14:textId="77777777" w:rsidR="00C8013A" w:rsidRDefault="00C8013A" w:rsidP="00D46C9E">
      <w:pPr>
        <w:spacing w:line="240" w:lineRule="auto"/>
      </w:pPr>
    </w:p>
    <w:p w14:paraId="6CE4040D" w14:textId="77777777" w:rsidR="00C8013A" w:rsidRPr="00C8013A" w:rsidRDefault="00C8013A" w:rsidP="00C8013A">
      <w:pPr>
        <w:spacing w:line="240" w:lineRule="auto"/>
        <w:rPr>
          <w:u w:val="single"/>
        </w:rPr>
      </w:pPr>
      <w:r w:rsidRPr="00C8013A">
        <w:rPr>
          <w:u w:val="single"/>
        </w:rPr>
        <w:t>Reference List</w:t>
      </w:r>
    </w:p>
    <w:p w14:paraId="027C4A15" w14:textId="77777777" w:rsidR="00C8013A" w:rsidRDefault="00C8013A" w:rsidP="00C8013A">
      <w:pPr>
        <w:spacing w:line="240" w:lineRule="auto"/>
      </w:pPr>
      <w:r>
        <w:t>Barends, E., Rousseau, D.M., &amp; Briner, R.B. (2014) Evidence Based Management: The Basic Principles. Amsterdam: Centre for Evidence-Based Management.</w:t>
      </w:r>
    </w:p>
    <w:p w14:paraId="7532B5B5" w14:textId="77777777" w:rsidR="00C8013A" w:rsidRDefault="00C8013A" w:rsidP="00C8013A">
      <w:pPr>
        <w:spacing w:line="240" w:lineRule="auto"/>
      </w:pPr>
      <w:r>
        <w:t>Briner, R. (2019) ‘The basics of evidence-based practice’, People &amp; Strategy, pp. 4-6 Available at: https://web-p-ebscohost-com.ezproxy.uwtsd.ac.uk/ehost/pdfviewer/pdfviewer?vid=0&amp;sid=f3d64654-02e0-42f9-82bf-c599e2e7c1a4%40redis (Accessed: 10 December 2023)</w:t>
      </w:r>
    </w:p>
    <w:p w14:paraId="3571D5CC" w14:textId="77777777" w:rsidR="00C8013A" w:rsidRDefault="00C8013A" w:rsidP="00C8013A">
      <w:pPr>
        <w:spacing w:line="240" w:lineRule="auto"/>
      </w:pPr>
      <w:r>
        <w:t>CIPD. (2022) Evidence-based practice for effective decision-making. London: Chartered Institute of Personnel and Development.</w:t>
      </w:r>
    </w:p>
    <w:p w14:paraId="6B23B305" w14:textId="77777777" w:rsidR="00C8013A" w:rsidRDefault="00C8013A" w:rsidP="00C8013A">
      <w:pPr>
        <w:spacing w:line="240" w:lineRule="auto"/>
      </w:pPr>
      <w:r>
        <w:t>CIPD. (2023) Evidence-based practice for effective decision-making. Available at: https://www.cipd.org/uk/knowledge/factsheets/evidence-based-practice-factsheet/ (Accessed: 9 December 2023)</w:t>
      </w:r>
    </w:p>
    <w:p w14:paraId="5397C4B2" w14:textId="77777777" w:rsidR="00C8013A" w:rsidRDefault="00C8013A" w:rsidP="00C8013A">
      <w:pPr>
        <w:spacing w:line="240" w:lineRule="auto"/>
      </w:pPr>
      <w:r>
        <w:t>CIPD. (2023) People analytics. Available at: https://www.cipd.org/uk/knowledge/factsheets/analytics-factsheet/#gref (Accessed: 10 December 2023)</w:t>
      </w:r>
    </w:p>
    <w:p w14:paraId="0061C080" w14:textId="77777777" w:rsidR="00C8013A" w:rsidRDefault="00C8013A" w:rsidP="00C8013A">
      <w:pPr>
        <w:spacing w:line="240" w:lineRule="auto"/>
      </w:pPr>
      <w:r>
        <w:t>CIPD. (2023) The Profession Map. London: Chartered Institute of Personnel and Development. Available at: https://www.cipd.org/uk/the-people-profession/the-profession-map/explore-the-profession-map/ (Accessed: 9 December 2023)</w:t>
      </w:r>
    </w:p>
    <w:p w14:paraId="720A4D82" w14:textId="4122AE30" w:rsidR="00C8013A" w:rsidRPr="00D52607" w:rsidRDefault="00C8013A" w:rsidP="00C8013A">
      <w:pPr>
        <w:spacing w:line="240" w:lineRule="auto"/>
      </w:pPr>
      <w:r>
        <w:t>Waite, K., Beevers, K., Small, N., Tomlinson, K. and Hussain, S. (2021) People practice: a complete guide. London: Kogan Page Limited.</w:t>
      </w:r>
    </w:p>
    <w:sectPr w:rsidR="00C8013A" w:rsidRPr="00D526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D2096"/>
    <w:multiLevelType w:val="hybridMultilevel"/>
    <w:tmpl w:val="C860A55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1516B62"/>
    <w:multiLevelType w:val="hybridMultilevel"/>
    <w:tmpl w:val="9A401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A0104D"/>
    <w:multiLevelType w:val="hybridMultilevel"/>
    <w:tmpl w:val="3D987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FC5806"/>
    <w:multiLevelType w:val="hybridMultilevel"/>
    <w:tmpl w:val="563EE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22D2B"/>
    <w:multiLevelType w:val="hybridMultilevel"/>
    <w:tmpl w:val="EA52EE60"/>
    <w:lvl w:ilvl="0" w:tplc="0809000F">
      <w:start w:val="1"/>
      <w:numFmt w:val="decimal"/>
      <w:lvlText w:val="%1."/>
      <w:lvlJc w:val="lef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5" w15:restartNumberingAfterBreak="0">
    <w:nsid w:val="4B4A07A3"/>
    <w:multiLevelType w:val="hybridMultilevel"/>
    <w:tmpl w:val="5D88A4DA"/>
    <w:lvl w:ilvl="0" w:tplc="E07A2ADA">
      <w:start w:val="1"/>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6" w15:restartNumberingAfterBreak="0">
    <w:nsid w:val="77E97370"/>
    <w:multiLevelType w:val="hybridMultilevel"/>
    <w:tmpl w:val="D2CEA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478440">
    <w:abstractNumId w:val="3"/>
  </w:num>
  <w:num w:numId="2" w16cid:durableId="425157165">
    <w:abstractNumId w:val="2"/>
  </w:num>
  <w:num w:numId="3" w16cid:durableId="1492477203">
    <w:abstractNumId w:val="0"/>
  </w:num>
  <w:num w:numId="4" w16cid:durableId="1763599327">
    <w:abstractNumId w:val="1"/>
  </w:num>
  <w:num w:numId="5" w16cid:durableId="653224379">
    <w:abstractNumId w:val="6"/>
  </w:num>
  <w:num w:numId="6" w16cid:durableId="204298013">
    <w:abstractNumId w:val="4"/>
  </w:num>
  <w:num w:numId="7" w16cid:durableId="1171919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E5E"/>
    <w:rsid w:val="000A56D2"/>
    <w:rsid w:val="00136748"/>
    <w:rsid w:val="001F2B17"/>
    <w:rsid w:val="00214DD9"/>
    <w:rsid w:val="0021522D"/>
    <w:rsid w:val="00216639"/>
    <w:rsid w:val="002C664A"/>
    <w:rsid w:val="003131B4"/>
    <w:rsid w:val="003177F2"/>
    <w:rsid w:val="00395AD0"/>
    <w:rsid w:val="003B2E5E"/>
    <w:rsid w:val="004A3644"/>
    <w:rsid w:val="00624C95"/>
    <w:rsid w:val="006B2758"/>
    <w:rsid w:val="0076190F"/>
    <w:rsid w:val="0079422C"/>
    <w:rsid w:val="007B4617"/>
    <w:rsid w:val="00880AE3"/>
    <w:rsid w:val="008A1430"/>
    <w:rsid w:val="0096237B"/>
    <w:rsid w:val="009A07C0"/>
    <w:rsid w:val="009D361F"/>
    <w:rsid w:val="009F1385"/>
    <w:rsid w:val="00B33E32"/>
    <w:rsid w:val="00B37278"/>
    <w:rsid w:val="00B45600"/>
    <w:rsid w:val="00B630DA"/>
    <w:rsid w:val="00C35F66"/>
    <w:rsid w:val="00C42FCD"/>
    <w:rsid w:val="00C54A86"/>
    <w:rsid w:val="00C7304C"/>
    <w:rsid w:val="00C8013A"/>
    <w:rsid w:val="00CC662A"/>
    <w:rsid w:val="00CE2EF8"/>
    <w:rsid w:val="00D35B50"/>
    <w:rsid w:val="00D4232D"/>
    <w:rsid w:val="00D46C9E"/>
    <w:rsid w:val="00D52607"/>
    <w:rsid w:val="00E102E6"/>
    <w:rsid w:val="00F606D3"/>
    <w:rsid w:val="00F620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571E9"/>
  <w15:chartTrackingRefBased/>
  <w15:docId w15:val="{C68FA145-E40C-4181-B82B-963A2769D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6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3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20Setup\Google%20Drive\HR%20Level%203\Principles%20of%20analytics%20(BMPD3001)\Leaver%20data%20-%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20Setup\Google%20Drive\HR%20Level%203\Principles%20of%20analytics%20(BMPD3001)\Leaver%20data%20-%20assignmen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rPr>
              <a:t>Number of Leavers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Sheet5!$B$1</c:f>
              <c:strCache>
                <c:ptCount val="1"/>
                <c:pt idx="0">
                  <c:v>Number of Leavers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BC9-447A-84C0-9F9C20CCF7D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BC9-447A-84C0-9F9C20CCF7D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BC9-447A-84C0-9F9C20CCF7D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BC9-447A-84C0-9F9C20CCF7D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BC9-447A-84C0-9F9C20CCF7D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BC9-447A-84C0-9F9C20CCF7DE}"/>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1BC9-447A-84C0-9F9C20CCF7DE}"/>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1BC9-447A-84C0-9F9C20CCF7DE}"/>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1BC9-447A-84C0-9F9C20CCF7DE}"/>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1BC9-447A-84C0-9F9C20CCF7DE}"/>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1BC9-447A-84C0-9F9C20CCF7DE}"/>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1BC9-447A-84C0-9F9C20CCF7DE}"/>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19-1BC9-447A-84C0-9F9C20CCF7DE}"/>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1B-1BC9-447A-84C0-9F9C20CCF7DE}"/>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01D-1BC9-447A-84C0-9F9C20CCF7DE}"/>
              </c:ext>
            </c:extLst>
          </c:dPt>
          <c:dLbls>
            <c:dLbl>
              <c:idx val="0"/>
              <c:layout>
                <c:manualLayout>
                  <c:x val="-0.26609899309182072"/>
                  <c:y val="-3.0824339221430367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BC9-447A-84C0-9F9C20CCF7DE}"/>
                </c:ext>
              </c:extLst>
            </c:dLbl>
            <c:dLbl>
              <c:idx val="3"/>
              <c:layout>
                <c:manualLayout>
                  <c:x val="0.16716997128835406"/>
                  <c:y val="-3.029672724621685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BC9-447A-84C0-9F9C20CCF7DE}"/>
                </c:ext>
              </c:extLst>
            </c:dLbl>
            <c:dLbl>
              <c:idx val="6"/>
              <c:tx>
                <c:rich>
                  <a:bodyPr/>
                  <a:lstStyle/>
                  <a:p>
                    <a:fld id="{0B604F79-29AF-41D3-B327-76B9A378920F}" type="CATEGORYNAME">
                      <a:rPr lang="en-US">
                        <a:solidFill>
                          <a:schemeClr val="bg1"/>
                        </a:solidFill>
                      </a:rPr>
                      <a:pPr/>
                      <a:t>[CATEGORY NAME]</a:t>
                    </a:fld>
                    <a:r>
                      <a:rPr lang="en-US" baseline="0">
                        <a:solidFill>
                          <a:schemeClr val="bg1"/>
                        </a:solidFill>
                      </a:rPr>
                      <a:t>
</a:t>
                    </a:r>
                    <a:fld id="{30464E5E-6BF8-48DA-9009-B441E8B380B7}" type="PERCENTAGE">
                      <a:rPr lang="en-US" baseline="0">
                        <a:solidFill>
                          <a:schemeClr val="bg1"/>
                        </a:solidFill>
                      </a:rPr>
                      <a:pPr/>
                      <a:t>[PERCENTAGE]</a:t>
                    </a:fld>
                    <a:endParaRPr lang="en-US" baseline="0">
                      <a:solidFill>
                        <a:schemeClr val="bg1"/>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1BC9-447A-84C0-9F9C20CCF7DE}"/>
                </c:ext>
              </c:extLst>
            </c:dLbl>
            <c:dLbl>
              <c:idx val="7"/>
              <c:tx>
                <c:rich>
                  <a:bodyPr/>
                  <a:lstStyle/>
                  <a:p>
                    <a:fld id="{A46C352A-A961-4380-9BDD-CF452CDE892D}" type="CATEGORYNAME">
                      <a:rPr lang="en-US">
                        <a:solidFill>
                          <a:schemeClr val="bg1"/>
                        </a:solidFill>
                      </a:rPr>
                      <a:pPr/>
                      <a:t>[CATEGORY NAME]</a:t>
                    </a:fld>
                    <a:r>
                      <a:rPr lang="en-US" baseline="0">
                        <a:solidFill>
                          <a:schemeClr val="bg1"/>
                        </a:solidFill>
                      </a:rPr>
                      <a:t>
</a:t>
                    </a:r>
                    <a:fld id="{B572866A-4D11-444C-B885-D0441F288DE2}" type="PERCENTAGE">
                      <a:rPr lang="en-US" baseline="0">
                        <a:solidFill>
                          <a:schemeClr val="bg1"/>
                        </a:solidFill>
                      </a:rPr>
                      <a:pPr/>
                      <a:t>[PERCENTAGE]</a:t>
                    </a:fld>
                    <a:endParaRPr lang="en-US" baseline="0">
                      <a:solidFill>
                        <a:schemeClr val="bg1"/>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1BC9-447A-84C0-9F9C20CCF7DE}"/>
                </c:ext>
              </c:extLst>
            </c:dLbl>
            <c:dLbl>
              <c:idx val="8"/>
              <c:tx>
                <c:rich>
                  <a:bodyPr/>
                  <a:lstStyle/>
                  <a:p>
                    <a:fld id="{9ED8CB19-F660-4796-8A8D-0B09AC2A8373}" type="CATEGORYNAME">
                      <a:rPr lang="en-US">
                        <a:solidFill>
                          <a:schemeClr val="bg1"/>
                        </a:solidFill>
                      </a:rPr>
                      <a:pPr/>
                      <a:t>[CATEGORY NAME]</a:t>
                    </a:fld>
                    <a:r>
                      <a:rPr lang="en-US" baseline="0">
                        <a:solidFill>
                          <a:schemeClr val="bg1"/>
                        </a:solidFill>
                      </a:rPr>
                      <a:t>
</a:t>
                    </a:r>
                    <a:fld id="{3BFE2D42-5D58-463E-88E2-4376C32D3CDD}" type="PERCENTAGE">
                      <a:rPr lang="en-US" baseline="0">
                        <a:solidFill>
                          <a:schemeClr val="bg1"/>
                        </a:solidFill>
                      </a:rPr>
                      <a:pPr/>
                      <a:t>[PERCENTAGE]</a:t>
                    </a:fld>
                    <a:endParaRPr lang="en-US" baseline="0">
                      <a:solidFill>
                        <a:schemeClr val="bg1"/>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1-1BC9-447A-84C0-9F9C20CCF7DE}"/>
                </c:ext>
              </c:extLst>
            </c:dLbl>
            <c:dLbl>
              <c:idx val="9"/>
              <c:tx>
                <c:rich>
                  <a:bodyPr/>
                  <a:lstStyle/>
                  <a:p>
                    <a:fld id="{D1A927F7-CCA4-4F8C-8F01-FE4C37CF8F0D}" type="CATEGORYNAME">
                      <a:rPr lang="en-US">
                        <a:solidFill>
                          <a:schemeClr val="bg1"/>
                        </a:solidFill>
                      </a:rPr>
                      <a:pPr/>
                      <a:t>[CATEGORY NAME]</a:t>
                    </a:fld>
                    <a:r>
                      <a:rPr lang="en-US" baseline="0">
                        <a:solidFill>
                          <a:schemeClr val="bg1"/>
                        </a:solidFill>
                      </a:rPr>
                      <a:t>
</a:t>
                    </a:r>
                    <a:fld id="{3BE91F25-FA81-41A0-8F2E-DBA7FE33990D}" type="PERCENTAGE">
                      <a:rPr lang="en-US" baseline="0">
                        <a:solidFill>
                          <a:schemeClr val="bg1"/>
                        </a:solidFill>
                      </a:rPr>
                      <a:pPr/>
                      <a:t>[PERCENTAGE]</a:t>
                    </a:fld>
                    <a:endParaRPr lang="en-US" baseline="0">
                      <a:solidFill>
                        <a:schemeClr val="bg1"/>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3-1BC9-447A-84C0-9F9C20CCF7DE}"/>
                </c:ext>
              </c:extLst>
            </c:dLbl>
            <c:dLbl>
              <c:idx val="10"/>
              <c:tx>
                <c:rich>
                  <a:bodyPr/>
                  <a:lstStyle/>
                  <a:p>
                    <a:fld id="{D8E17DB2-B584-4925-8D92-1B00067D1884}" type="CATEGORYNAME">
                      <a:rPr lang="en-US">
                        <a:solidFill>
                          <a:schemeClr val="bg1"/>
                        </a:solidFill>
                      </a:rPr>
                      <a:pPr/>
                      <a:t>[CATEGORY NAME]</a:t>
                    </a:fld>
                    <a:r>
                      <a:rPr lang="en-US" baseline="0">
                        <a:solidFill>
                          <a:schemeClr val="bg1"/>
                        </a:solidFill>
                      </a:rPr>
                      <a:t>
</a:t>
                    </a:r>
                    <a:fld id="{C7E2BE85-AA0A-4086-9541-F4A4CAFC4F5A}" type="PERCENTAGE">
                      <a:rPr lang="en-US" baseline="0">
                        <a:solidFill>
                          <a:schemeClr val="bg1"/>
                        </a:solidFill>
                      </a:rPr>
                      <a:pPr/>
                      <a:t>[PERCENTAGE]</a:t>
                    </a:fld>
                    <a:endParaRPr lang="en-US" baseline="0">
                      <a:solidFill>
                        <a:schemeClr val="bg1"/>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5-1BC9-447A-84C0-9F9C20CCF7DE}"/>
                </c:ext>
              </c:extLst>
            </c:dLbl>
            <c:dLbl>
              <c:idx val="11"/>
              <c:tx>
                <c:rich>
                  <a:bodyPr/>
                  <a:lstStyle/>
                  <a:p>
                    <a:fld id="{3ACEB3BE-4415-4045-AB01-04FF26C31105}" type="CATEGORYNAME">
                      <a:rPr lang="en-US">
                        <a:solidFill>
                          <a:schemeClr val="bg1"/>
                        </a:solidFill>
                      </a:rPr>
                      <a:pPr/>
                      <a:t>[CATEGORY NAME]</a:t>
                    </a:fld>
                    <a:r>
                      <a:rPr lang="en-US" baseline="0">
                        <a:solidFill>
                          <a:schemeClr val="bg1"/>
                        </a:solidFill>
                      </a:rPr>
                      <a:t>
</a:t>
                    </a:r>
                    <a:fld id="{74570E18-15F2-4882-85D5-562C84869D12}" type="PERCENTAGE">
                      <a:rPr lang="en-US" baseline="0">
                        <a:solidFill>
                          <a:schemeClr val="bg1"/>
                        </a:solidFill>
                      </a:rPr>
                      <a:pPr/>
                      <a:t>[PERCENTAGE]</a:t>
                    </a:fld>
                    <a:endParaRPr lang="en-US" baseline="0">
                      <a:solidFill>
                        <a:schemeClr val="bg1"/>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7-1BC9-447A-84C0-9F9C20CCF7D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Sheet5!$A$2:$A$16</c:f>
              <c:strCache>
                <c:ptCount val="15"/>
                <c:pt idx="0">
                  <c:v>Failed Probation Period</c:v>
                </c:pt>
                <c:pt idx="1">
                  <c:v>Redundancy</c:v>
                </c:pt>
                <c:pt idx="2">
                  <c:v>Resignation - Caring Responsibilities</c:v>
                </c:pt>
                <c:pt idx="3">
                  <c:v>Resignation - Whilst under Investigation</c:v>
                </c:pt>
                <c:pt idx="4">
                  <c:v>End of Contract</c:v>
                </c:pt>
                <c:pt idx="5">
                  <c:v>Maternity non returner</c:v>
                </c:pt>
                <c:pt idx="6">
                  <c:v>Resignation - Moving from the Area</c:v>
                </c:pt>
                <c:pt idx="7">
                  <c:v>Dismissal - Summary</c:v>
                </c:pt>
                <c:pt idx="8">
                  <c:v>Retirement</c:v>
                </c:pt>
                <c:pt idx="9">
                  <c:v>Resignation - Promotion</c:v>
                </c:pt>
                <c:pt idx="10">
                  <c:v>Resignation - Change of Career</c:v>
                </c:pt>
                <c:pt idx="11">
                  <c:v>Ill Health</c:v>
                </c:pt>
                <c:pt idx="12">
                  <c:v>Resignation - Job not as expected</c:v>
                </c:pt>
                <c:pt idx="13">
                  <c:v>Resignation</c:v>
                </c:pt>
                <c:pt idx="14">
                  <c:v>Resignation - Pay / Benefits related</c:v>
                </c:pt>
              </c:strCache>
            </c:strRef>
          </c:cat>
          <c:val>
            <c:numRef>
              <c:f>Sheet5!$B$2:$B$16</c:f>
              <c:numCache>
                <c:formatCode>General</c:formatCode>
                <c:ptCount val="15"/>
                <c:pt idx="0">
                  <c:v>1</c:v>
                </c:pt>
                <c:pt idx="1">
                  <c:v>1</c:v>
                </c:pt>
                <c:pt idx="2">
                  <c:v>1</c:v>
                </c:pt>
                <c:pt idx="3">
                  <c:v>1</c:v>
                </c:pt>
                <c:pt idx="4">
                  <c:v>2</c:v>
                </c:pt>
                <c:pt idx="5">
                  <c:v>2</c:v>
                </c:pt>
                <c:pt idx="6">
                  <c:v>2</c:v>
                </c:pt>
                <c:pt idx="7">
                  <c:v>3</c:v>
                </c:pt>
                <c:pt idx="8">
                  <c:v>3</c:v>
                </c:pt>
                <c:pt idx="9">
                  <c:v>4</c:v>
                </c:pt>
                <c:pt idx="10">
                  <c:v>5</c:v>
                </c:pt>
                <c:pt idx="11">
                  <c:v>6</c:v>
                </c:pt>
                <c:pt idx="12">
                  <c:v>6</c:v>
                </c:pt>
                <c:pt idx="13">
                  <c:v>7</c:v>
                </c:pt>
                <c:pt idx="14">
                  <c:v>10</c:v>
                </c:pt>
              </c:numCache>
            </c:numRef>
          </c:val>
          <c:extLst>
            <c:ext xmlns:c16="http://schemas.microsoft.com/office/drawing/2014/chart" uri="{C3380CC4-5D6E-409C-BE32-E72D297353CC}">
              <c16:uniqueId val="{0000001E-1BC9-447A-84C0-9F9C20CCF7DE}"/>
            </c:ext>
          </c:extLst>
        </c:ser>
        <c:dLbls>
          <c:dLblPos val="bestFit"/>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Average length of service per team</a:t>
            </a:r>
          </a:p>
        </c:rich>
      </c:tx>
      <c:layout>
        <c:manualLayout>
          <c:xMode val="edge"/>
          <c:yMode val="edge"/>
          <c:x val="0.18084011373578301"/>
          <c:y val="2.3148148148148147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Length of Service</c:v>
                </c:pt>
              </c:strCache>
            </c:strRef>
          </c:tx>
          <c:spPr>
            <a:gradFill rotWithShape="1">
              <a:gsLst>
                <a:gs pos="0">
                  <a:schemeClr val="accent1">
                    <a:shade val="65000"/>
                    <a:satMod val="103000"/>
                    <a:lumMod val="102000"/>
                    <a:tint val="94000"/>
                  </a:schemeClr>
                </a:gs>
                <a:gs pos="50000">
                  <a:schemeClr val="accent1">
                    <a:shade val="65000"/>
                    <a:satMod val="110000"/>
                    <a:lumMod val="100000"/>
                    <a:shade val="100000"/>
                  </a:schemeClr>
                </a:gs>
                <a:gs pos="100000">
                  <a:schemeClr val="accent1">
                    <a:shade val="65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Sheet1!$A$2:$A$56</c:f>
              <c:strCache>
                <c:ptCount val="14"/>
                <c:pt idx="0">
                  <c:v>Regeneration</c:v>
                </c:pt>
                <c:pt idx="1">
                  <c:v>Lettings</c:v>
                </c:pt>
                <c:pt idx="2">
                  <c:v>Supported Housing</c:v>
                </c:pt>
                <c:pt idx="3">
                  <c:v>Income</c:v>
                </c:pt>
                <c:pt idx="4">
                  <c:v>Finance</c:v>
                </c:pt>
                <c:pt idx="5">
                  <c:v>Green Spaces</c:v>
                </c:pt>
                <c:pt idx="6">
                  <c:v>Tenancy Team</c:v>
                </c:pt>
                <c:pt idx="7">
                  <c:v>People Services</c:v>
                </c:pt>
                <c:pt idx="8">
                  <c:v>Housing</c:v>
                </c:pt>
                <c:pt idx="9">
                  <c:v>Community Engagement and Partnerships</c:v>
                </c:pt>
                <c:pt idx="10">
                  <c:v>Governance</c:v>
                </c:pt>
                <c:pt idx="11">
                  <c:v>Customer Services</c:v>
                </c:pt>
                <c:pt idx="12">
                  <c:v>Business Services</c:v>
                </c:pt>
                <c:pt idx="13">
                  <c:v>Property Team</c:v>
                </c:pt>
              </c:strCache>
            </c:strRef>
          </c:cat>
          <c:val>
            <c:numRef>
              <c:f>Sheet1!$B$2:$B$56</c:f>
            </c:numRef>
          </c:val>
          <c:extLst>
            <c:ext xmlns:c16="http://schemas.microsoft.com/office/drawing/2014/chart" uri="{C3380CC4-5D6E-409C-BE32-E72D297353CC}">
              <c16:uniqueId val="{00000000-73F7-4CD1-A0CF-35565096981F}"/>
            </c:ext>
          </c:extLst>
        </c:ser>
        <c:ser>
          <c:idx val="1"/>
          <c:order val="1"/>
          <c:tx>
            <c:strRef>
              <c:f>Sheet1!$C$1</c:f>
              <c:strCache>
                <c:ptCount val="1"/>
                <c:pt idx="0">
                  <c:v>Average length of service per team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Sheet1!$A$2:$A$56</c:f>
              <c:strCache>
                <c:ptCount val="14"/>
                <c:pt idx="0">
                  <c:v>Regeneration</c:v>
                </c:pt>
                <c:pt idx="1">
                  <c:v>Lettings</c:v>
                </c:pt>
                <c:pt idx="2">
                  <c:v>Supported Housing</c:v>
                </c:pt>
                <c:pt idx="3">
                  <c:v>Income</c:v>
                </c:pt>
                <c:pt idx="4">
                  <c:v>Finance</c:v>
                </c:pt>
                <c:pt idx="5">
                  <c:v>Green Spaces</c:v>
                </c:pt>
                <c:pt idx="6">
                  <c:v>Tenancy Team</c:v>
                </c:pt>
                <c:pt idx="7">
                  <c:v>People Services</c:v>
                </c:pt>
                <c:pt idx="8">
                  <c:v>Housing</c:v>
                </c:pt>
                <c:pt idx="9">
                  <c:v>Community Engagement and Partnerships</c:v>
                </c:pt>
                <c:pt idx="10">
                  <c:v>Governance</c:v>
                </c:pt>
                <c:pt idx="11">
                  <c:v>Customer Services</c:v>
                </c:pt>
                <c:pt idx="12">
                  <c:v>Business Services</c:v>
                </c:pt>
                <c:pt idx="13">
                  <c:v>Property Team</c:v>
                </c:pt>
              </c:strCache>
            </c:strRef>
          </c:cat>
          <c:val>
            <c:numRef>
              <c:f>Sheet1!$C$2:$C$56</c:f>
            </c:numRef>
          </c:val>
          <c:extLst>
            <c:ext xmlns:c16="http://schemas.microsoft.com/office/drawing/2014/chart" uri="{C3380CC4-5D6E-409C-BE32-E72D297353CC}">
              <c16:uniqueId val="{00000001-73F7-4CD1-A0CF-35565096981F}"/>
            </c:ext>
          </c:extLst>
        </c:ser>
        <c:ser>
          <c:idx val="2"/>
          <c:order val="2"/>
          <c:tx>
            <c:strRef>
              <c:f>Sheet1!$D$1</c:f>
              <c:strCache>
                <c:ptCount val="1"/>
                <c:pt idx="0">
                  <c:v>Average length of service per team</c:v>
                </c:pt>
              </c:strCache>
            </c:strRef>
          </c:tx>
          <c:spPr>
            <a:gradFill rotWithShape="1">
              <a:gsLst>
                <a:gs pos="0">
                  <a:schemeClr val="accent1">
                    <a:tint val="65000"/>
                    <a:satMod val="103000"/>
                    <a:lumMod val="102000"/>
                    <a:tint val="94000"/>
                  </a:schemeClr>
                </a:gs>
                <a:gs pos="50000">
                  <a:schemeClr val="accent1">
                    <a:tint val="65000"/>
                    <a:satMod val="110000"/>
                    <a:lumMod val="100000"/>
                    <a:shade val="100000"/>
                  </a:schemeClr>
                </a:gs>
                <a:gs pos="100000">
                  <a:schemeClr val="accent1">
                    <a:tint val="65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Sheet1!$A$2:$A$56</c:f>
              <c:strCache>
                <c:ptCount val="14"/>
                <c:pt idx="0">
                  <c:v>Regeneration</c:v>
                </c:pt>
                <c:pt idx="1">
                  <c:v>Lettings</c:v>
                </c:pt>
                <c:pt idx="2">
                  <c:v>Supported Housing</c:v>
                </c:pt>
                <c:pt idx="3">
                  <c:v>Income</c:v>
                </c:pt>
                <c:pt idx="4">
                  <c:v>Finance</c:v>
                </c:pt>
                <c:pt idx="5">
                  <c:v>Green Spaces</c:v>
                </c:pt>
                <c:pt idx="6">
                  <c:v>Tenancy Team</c:v>
                </c:pt>
                <c:pt idx="7">
                  <c:v>People Services</c:v>
                </c:pt>
                <c:pt idx="8">
                  <c:v>Housing</c:v>
                </c:pt>
                <c:pt idx="9">
                  <c:v>Community Engagement and Partnerships</c:v>
                </c:pt>
                <c:pt idx="10">
                  <c:v>Governance</c:v>
                </c:pt>
                <c:pt idx="11">
                  <c:v>Customer Services</c:v>
                </c:pt>
                <c:pt idx="12">
                  <c:v>Business Services</c:v>
                </c:pt>
                <c:pt idx="13">
                  <c:v>Property Team</c:v>
                </c:pt>
              </c:strCache>
            </c:strRef>
          </c:cat>
          <c:val>
            <c:numRef>
              <c:f>Sheet1!$D$2:$D$56</c:f>
              <c:numCache>
                <c:formatCode>General</c:formatCode>
                <c:ptCount val="15"/>
                <c:pt idx="0">
                  <c:v>11</c:v>
                </c:pt>
                <c:pt idx="1">
                  <c:v>14.5</c:v>
                </c:pt>
                <c:pt idx="2">
                  <c:v>21.33</c:v>
                </c:pt>
                <c:pt idx="3">
                  <c:v>22</c:v>
                </c:pt>
                <c:pt idx="4">
                  <c:v>23.5</c:v>
                </c:pt>
                <c:pt idx="5">
                  <c:v>24.17</c:v>
                </c:pt>
                <c:pt idx="6">
                  <c:v>26</c:v>
                </c:pt>
                <c:pt idx="7">
                  <c:v>33</c:v>
                </c:pt>
                <c:pt idx="8">
                  <c:v>73</c:v>
                </c:pt>
                <c:pt idx="9">
                  <c:v>74.67</c:v>
                </c:pt>
                <c:pt idx="10">
                  <c:v>79</c:v>
                </c:pt>
                <c:pt idx="11">
                  <c:v>89.25</c:v>
                </c:pt>
                <c:pt idx="12">
                  <c:v>94.5</c:v>
                </c:pt>
                <c:pt idx="13">
                  <c:v>95.41</c:v>
                </c:pt>
              </c:numCache>
            </c:numRef>
          </c:val>
          <c:extLst>
            <c:ext xmlns:c16="http://schemas.microsoft.com/office/drawing/2014/chart" uri="{C3380CC4-5D6E-409C-BE32-E72D297353CC}">
              <c16:uniqueId val="{00000002-73F7-4CD1-A0CF-35565096981F}"/>
            </c:ext>
          </c:extLst>
        </c:ser>
        <c:dLbls>
          <c:dLblPos val="outEnd"/>
          <c:showLegendKey val="0"/>
          <c:showVal val="1"/>
          <c:showCatName val="0"/>
          <c:showSerName val="0"/>
          <c:showPercent val="0"/>
          <c:showBubbleSize val="0"/>
        </c:dLbls>
        <c:gapWidth val="100"/>
        <c:overlap val="-24"/>
        <c:axId val="612809400"/>
        <c:axId val="612810120"/>
      </c:barChart>
      <c:catAx>
        <c:axId val="612809400"/>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Team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12810120"/>
        <c:crosses val="autoZero"/>
        <c:auto val="1"/>
        <c:lblAlgn val="ctr"/>
        <c:lblOffset val="100"/>
        <c:noMultiLvlLbl val="0"/>
      </c:catAx>
      <c:valAx>
        <c:axId val="61281012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Length of service</a:t>
                </a:r>
              </a:p>
              <a:p>
                <a:pPr>
                  <a:defRPr/>
                </a:pPr>
                <a:r>
                  <a:rPr lang="en-GB"/>
                  <a:t>(months)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12809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1477</TotalTime>
  <Pages>6</Pages>
  <Words>2305</Words>
  <Characters>13143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9</cp:revision>
  <dcterms:created xsi:type="dcterms:W3CDTF">2023-12-16T14:40:00Z</dcterms:created>
  <dcterms:modified xsi:type="dcterms:W3CDTF">2023-12-18T20:04:00Z</dcterms:modified>
</cp:coreProperties>
</file>