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79DA2A" w14:textId="6619261D" w:rsidR="00AA6A9D" w:rsidRPr="00AA6A9D" w:rsidRDefault="00AA6A9D" w:rsidP="00AA6A9D">
      <w:pPr>
        <w:jc w:val="center"/>
        <w:rPr>
          <w:rStyle w:val="Strong"/>
          <w:b w:val="0"/>
          <w:bCs w:val="0"/>
        </w:rPr>
      </w:pPr>
      <w:r w:rsidRPr="00467D62">
        <w:drawing>
          <wp:inline distT="0" distB="0" distL="0" distR="0" wp14:anchorId="118187EA" wp14:editId="3147C5BE">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4A82B4C" w14:textId="77777777" w:rsidR="00AA6A9D" w:rsidRPr="00AA6A9D" w:rsidRDefault="00AA6A9D" w:rsidP="00AA6A9D">
      <w:pPr>
        <w:jc w:val="center"/>
        <w:rPr>
          <w:rStyle w:val="Strong"/>
          <w:sz w:val="32"/>
        </w:rPr>
      </w:pPr>
      <w:r w:rsidRPr="00AA6A9D">
        <w:rPr>
          <w:rStyle w:val="Strong"/>
          <w:sz w:val="32"/>
        </w:rPr>
        <w:t>Banking Financial Management and Financial Markets (LCMB7012)</w:t>
      </w:r>
    </w:p>
    <w:p w14:paraId="19D189B0" w14:textId="77777777" w:rsidR="00AA6A9D" w:rsidRDefault="00AA6A9D" w:rsidP="00AA6A9D">
      <w:pPr>
        <w:spacing w:line="480" w:lineRule="auto"/>
        <w:rPr>
          <w:rFonts w:ascii="Times New Roman" w:hAnsi="Times New Roman" w:cs="Times New Roman"/>
          <w:b/>
          <w:bCs/>
          <w:sz w:val="24"/>
          <w:szCs w:val="24"/>
        </w:rPr>
      </w:pPr>
    </w:p>
    <w:p w14:paraId="73711030" w14:textId="77777777" w:rsidR="00AA6A9D" w:rsidRPr="00AA6A9D" w:rsidRDefault="00AA6A9D" w:rsidP="00AA6A9D">
      <w:pPr>
        <w:spacing w:line="480" w:lineRule="auto"/>
        <w:rPr>
          <w:rFonts w:ascii="Times New Roman" w:hAnsi="Times New Roman" w:cs="Times New Roman"/>
          <w:b/>
          <w:bCs/>
          <w:sz w:val="28"/>
          <w:szCs w:val="24"/>
        </w:rPr>
      </w:pPr>
    </w:p>
    <w:p w14:paraId="78343A1A" w14:textId="169BD618" w:rsidR="00AA6A9D" w:rsidRPr="00AA6A9D" w:rsidRDefault="00AA6A9D" w:rsidP="00AA6A9D">
      <w:pPr>
        <w:spacing w:line="480" w:lineRule="auto"/>
        <w:jc w:val="center"/>
        <w:rPr>
          <w:rFonts w:ascii="Times New Roman" w:hAnsi="Times New Roman" w:cs="Times New Roman"/>
          <w:b/>
          <w:bCs/>
          <w:sz w:val="28"/>
          <w:szCs w:val="24"/>
        </w:rPr>
      </w:pPr>
      <w:r w:rsidRPr="00AA6A9D">
        <w:rPr>
          <w:rFonts w:ascii="Times New Roman" w:hAnsi="Times New Roman" w:cs="Times New Roman"/>
          <w:b/>
          <w:bCs/>
          <w:sz w:val="28"/>
          <w:szCs w:val="24"/>
        </w:rPr>
        <w:t>IMPACT OF POST-2008 FINANCIAL CRISIS REFORMS ON GOLDMAN SACHS BUSINESS MODEL</w:t>
      </w:r>
    </w:p>
    <w:p w14:paraId="7383A6EE" w14:textId="3CEA00FA" w:rsidR="00AA6A9D" w:rsidRDefault="00AA6A9D" w:rsidP="00AA6A9D">
      <w:pPr>
        <w:jc w:val="center"/>
        <w:rPr>
          <w:rFonts w:ascii="Arial Black" w:hAnsi="Arial Black" w:cs="Times New Roman"/>
          <w:sz w:val="40"/>
          <w:szCs w:val="40"/>
        </w:rPr>
      </w:pPr>
    </w:p>
    <w:p w14:paraId="1CA7F020" w14:textId="77777777" w:rsidR="00AA6A9D" w:rsidRDefault="00AA6A9D" w:rsidP="00AA6A9D">
      <w:pPr>
        <w:jc w:val="center"/>
        <w:rPr>
          <w:rFonts w:ascii="Arial Black" w:hAnsi="Arial Black" w:cs="Times New Roman"/>
          <w:sz w:val="40"/>
          <w:szCs w:val="40"/>
        </w:rPr>
      </w:pPr>
    </w:p>
    <w:p w14:paraId="71B3B23F" w14:textId="77777777" w:rsidR="00AA6A9D" w:rsidRPr="00467D62" w:rsidRDefault="00AA6A9D" w:rsidP="00AA6A9D">
      <w:pPr>
        <w:jc w:val="right"/>
        <w:rPr>
          <w:rFonts w:cs="Times New Roman"/>
          <w:szCs w:val="24"/>
        </w:rPr>
      </w:pPr>
    </w:p>
    <w:p w14:paraId="15CA04B0" w14:textId="77777777" w:rsidR="00AA6A9D" w:rsidRDefault="00AA6A9D" w:rsidP="00AA6A9D">
      <w:pPr>
        <w:jc w:val="right"/>
        <w:rPr>
          <w:rFonts w:cs="Times New Roman"/>
          <w:szCs w:val="24"/>
        </w:rPr>
      </w:pPr>
    </w:p>
    <w:p w14:paraId="022299B3" w14:textId="77777777" w:rsidR="00AA6A9D" w:rsidRDefault="00AA6A9D" w:rsidP="00AA6A9D">
      <w:pPr>
        <w:jc w:val="right"/>
        <w:rPr>
          <w:rFonts w:cs="Times New Roman"/>
          <w:szCs w:val="24"/>
        </w:rPr>
      </w:pPr>
    </w:p>
    <w:p w14:paraId="046F1FA1" w14:textId="77777777" w:rsidR="00AA6A9D" w:rsidRDefault="00AA6A9D" w:rsidP="00AA6A9D">
      <w:pPr>
        <w:jc w:val="right"/>
        <w:rPr>
          <w:rFonts w:cs="Times New Roman"/>
          <w:szCs w:val="24"/>
        </w:rPr>
      </w:pPr>
    </w:p>
    <w:p w14:paraId="361D0E6D" w14:textId="77777777" w:rsidR="00AA6A9D" w:rsidRDefault="00AA6A9D" w:rsidP="00AA6A9D">
      <w:pPr>
        <w:jc w:val="right"/>
        <w:rPr>
          <w:rFonts w:cs="Times New Roman"/>
          <w:szCs w:val="24"/>
        </w:rPr>
      </w:pPr>
    </w:p>
    <w:p w14:paraId="13BF3924" w14:textId="77777777" w:rsidR="00AA6A9D" w:rsidRPr="00467D62" w:rsidRDefault="00AA6A9D" w:rsidP="00AA6A9D">
      <w:pPr>
        <w:rPr>
          <w:rFonts w:cs="Times New Roman"/>
          <w:sz w:val="28"/>
          <w:szCs w:val="28"/>
        </w:rPr>
      </w:pPr>
      <w:r w:rsidRPr="00467D62">
        <w:rPr>
          <w:rFonts w:cs="Times New Roman"/>
          <w:sz w:val="28"/>
          <w:szCs w:val="28"/>
        </w:rPr>
        <w:t xml:space="preserve">Student name: </w:t>
      </w:r>
      <w:r>
        <w:rPr>
          <w:rFonts w:cs="Times New Roman"/>
          <w:sz w:val="28"/>
          <w:szCs w:val="28"/>
        </w:rPr>
        <w:t>Isaac Hammond</w:t>
      </w:r>
    </w:p>
    <w:p w14:paraId="29FFE48F" w14:textId="77777777" w:rsidR="00AA6A9D" w:rsidRPr="00467D62" w:rsidRDefault="00AA6A9D" w:rsidP="00AA6A9D">
      <w:pPr>
        <w:rPr>
          <w:rFonts w:cs="Times New Roman"/>
          <w:sz w:val="28"/>
          <w:szCs w:val="28"/>
        </w:rPr>
      </w:pPr>
      <w:r w:rsidRPr="00467D62">
        <w:rPr>
          <w:rFonts w:cs="Times New Roman"/>
          <w:sz w:val="28"/>
          <w:szCs w:val="28"/>
        </w:rPr>
        <w:t xml:space="preserve">Student Number: </w:t>
      </w:r>
      <w:r w:rsidRPr="008F4BFF">
        <w:rPr>
          <w:rFonts w:cs="Times New Roman"/>
          <w:color w:val="242130"/>
          <w:sz w:val="28"/>
          <w:szCs w:val="28"/>
          <w:shd w:val="clear" w:color="auto" w:fill="FFFFFF"/>
        </w:rPr>
        <w:t>2246334</w:t>
      </w:r>
    </w:p>
    <w:p w14:paraId="0BD1C3CE" w14:textId="1456856B" w:rsidR="00AA6A9D" w:rsidRPr="00467D62" w:rsidRDefault="00AA6A9D" w:rsidP="00AA6A9D">
      <w:pPr>
        <w:rPr>
          <w:rFonts w:cs="Times New Roman"/>
          <w:sz w:val="28"/>
          <w:szCs w:val="28"/>
        </w:rPr>
      </w:pPr>
      <w:r w:rsidRPr="00467D62">
        <w:rPr>
          <w:rFonts w:cs="Times New Roman"/>
          <w:sz w:val="28"/>
          <w:szCs w:val="28"/>
        </w:rPr>
        <w:t xml:space="preserve">Lecturer: </w:t>
      </w:r>
      <w:r w:rsidRPr="00AA6A9D">
        <w:rPr>
          <w:b/>
          <w:sz w:val="24"/>
        </w:rPr>
        <w:t>David Coker</w:t>
      </w:r>
      <w:r w:rsidRPr="00AA6A9D">
        <w:rPr>
          <w:sz w:val="24"/>
        </w:rPr>
        <w:t xml:space="preserve"> </w:t>
      </w:r>
    </w:p>
    <w:p w14:paraId="09515DA0" w14:textId="6F2DFCEF" w:rsidR="00AA6A9D" w:rsidRDefault="00AA6A9D" w:rsidP="00AA6A9D">
      <w:pPr>
        <w:rPr>
          <w:rFonts w:cs="Times New Roman"/>
          <w:sz w:val="28"/>
          <w:szCs w:val="28"/>
        </w:rPr>
      </w:pPr>
      <w:r w:rsidRPr="00467D62">
        <w:rPr>
          <w:rFonts w:cs="Times New Roman"/>
          <w:sz w:val="28"/>
          <w:szCs w:val="28"/>
        </w:rPr>
        <w:t xml:space="preserve">Submission Date: </w:t>
      </w:r>
      <w:r w:rsidR="00DC32A1">
        <w:rPr>
          <w:rFonts w:cs="Times New Roman"/>
          <w:sz w:val="28"/>
          <w:szCs w:val="28"/>
        </w:rPr>
        <w:t>31/12/2023</w:t>
      </w:r>
      <w:bookmarkStart w:id="0" w:name="_GoBack"/>
      <w:bookmarkEnd w:id="0"/>
    </w:p>
    <w:p w14:paraId="32E75C84" w14:textId="77777777" w:rsidR="006F4F55" w:rsidRDefault="006F4F55" w:rsidP="006F4F55">
      <w:pPr>
        <w:jc w:val="center"/>
        <w:rPr>
          <w:rFonts w:ascii="Times New Roman" w:hAnsi="Times New Roman" w:cs="Times New Roman"/>
          <w:b/>
          <w:bCs/>
          <w:sz w:val="24"/>
          <w:szCs w:val="24"/>
        </w:rPr>
      </w:pPr>
    </w:p>
    <w:p w14:paraId="3593980B" w14:textId="77777777" w:rsidR="006F4F55" w:rsidRDefault="006F4F55" w:rsidP="006F4F55">
      <w:pPr>
        <w:jc w:val="center"/>
        <w:rPr>
          <w:rFonts w:ascii="Times New Roman" w:hAnsi="Times New Roman" w:cs="Times New Roman"/>
          <w:b/>
          <w:bCs/>
          <w:sz w:val="24"/>
          <w:szCs w:val="24"/>
        </w:rPr>
      </w:pPr>
    </w:p>
    <w:p w14:paraId="05F26397" w14:textId="77777777" w:rsidR="006F4F55" w:rsidRDefault="006F4F55" w:rsidP="006F4F55">
      <w:pPr>
        <w:jc w:val="center"/>
        <w:rPr>
          <w:rFonts w:ascii="Times New Roman" w:hAnsi="Times New Roman" w:cs="Times New Roman"/>
          <w:b/>
          <w:bCs/>
          <w:sz w:val="24"/>
          <w:szCs w:val="24"/>
        </w:rPr>
      </w:pPr>
    </w:p>
    <w:p w14:paraId="5D94F8F1" w14:textId="77777777" w:rsidR="006F4F55" w:rsidRDefault="006F4F55" w:rsidP="006F4F55">
      <w:pPr>
        <w:jc w:val="both"/>
        <w:rPr>
          <w:rFonts w:ascii="Times New Roman" w:hAnsi="Times New Roman" w:cs="Times New Roman"/>
          <w:b/>
          <w:bCs/>
          <w:sz w:val="24"/>
          <w:szCs w:val="24"/>
        </w:rPr>
      </w:pPr>
    </w:p>
    <w:p w14:paraId="5852FA60" w14:textId="77777777" w:rsidR="006F4F55" w:rsidRDefault="006F4F55" w:rsidP="006F4F55">
      <w:pPr>
        <w:jc w:val="both"/>
        <w:rPr>
          <w:rFonts w:ascii="Times New Roman" w:hAnsi="Times New Roman" w:cs="Times New Roman"/>
          <w:b/>
          <w:bCs/>
          <w:sz w:val="24"/>
          <w:szCs w:val="24"/>
        </w:rPr>
      </w:pPr>
    </w:p>
    <w:sdt>
      <w:sdtPr>
        <w:rPr>
          <w:rFonts w:ascii="Times New Roman" w:eastAsiaTheme="minorEastAsia" w:hAnsi="Times New Roman" w:cs="Times New Roman"/>
          <w:b w:val="0"/>
          <w:bCs w:val="0"/>
          <w:color w:val="auto"/>
          <w:sz w:val="24"/>
          <w:szCs w:val="24"/>
        </w:rPr>
        <w:id w:val="548650231"/>
        <w:docPartObj>
          <w:docPartGallery w:val="Table of Contents"/>
          <w:docPartUnique/>
        </w:docPartObj>
      </w:sdtPr>
      <w:sdtEndPr>
        <w:rPr>
          <w:noProof/>
        </w:rPr>
      </w:sdtEndPr>
      <w:sdtContent>
        <w:p w14:paraId="59869CD1" w14:textId="27000AC4" w:rsidR="009E6E91" w:rsidRPr="009E6E91" w:rsidRDefault="009E6E91" w:rsidP="009E6E91">
          <w:pPr>
            <w:pStyle w:val="TOCHeading"/>
            <w:jc w:val="center"/>
            <w:rPr>
              <w:rFonts w:ascii="Times New Roman" w:hAnsi="Times New Roman" w:cs="Times New Roman"/>
              <w:color w:val="auto"/>
              <w:sz w:val="24"/>
              <w:szCs w:val="24"/>
            </w:rPr>
          </w:pPr>
          <w:r w:rsidRPr="009E6E91">
            <w:rPr>
              <w:rFonts w:ascii="Times New Roman" w:hAnsi="Times New Roman" w:cs="Times New Roman"/>
              <w:color w:val="auto"/>
              <w:sz w:val="24"/>
              <w:szCs w:val="24"/>
            </w:rPr>
            <w:t>Contents</w:t>
          </w:r>
        </w:p>
        <w:p w14:paraId="16193DCF" w14:textId="58B039C9" w:rsidR="009E6E91" w:rsidRPr="009E6E91" w:rsidRDefault="009E6E91">
          <w:pPr>
            <w:pStyle w:val="TOC1"/>
            <w:tabs>
              <w:tab w:val="right" w:leader="dot" w:pos="8630"/>
            </w:tabs>
            <w:rPr>
              <w:rFonts w:ascii="Times New Roman" w:hAnsi="Times New Roman" w:cs="Times New Roman"/>
              <w:noProof/>
              <w:sz w:val="24"/>
              <w:szCs w:val="24"/>
            </w:rPr>
          </w:pPr>
          <w:r w:rsidRPr="009E6E91">
            <w:rPr>
              <w:rFonts w:ascii="Times New Roman" w:hAnsi="Times New Roman" w:cs="Times New Roman"/>
              <w:sz w:val="24"/>
              <w:szCs w:val="24"/>
            </w:rPr>
            <w:fldChar w:fldCharType="begin"/>
          </w:r>
          <w:r w:rsidRPr="009E6E91">
            <w:rPr>
              <w:rFonts w:ascii="Times New Roman" w:hAnsi="Times New Roman" w:cs="Times New Roman"/>
              <w:sz w:val="24"/>
              <w:szCs w:val="24"/>
            </w:rPr>
            <w:instrText xml:space="preserve"> TOC \o "1-3" \h \z \u </w:instrText>
          </w:r>
          <w:r w:rsidRPr="009E6E91">
            <w:rPr>
              <w:rFonts w:ascii="Times New Roman" w:hAnsi="Times New Roman" w:cs="Times New Roman"/>
              <w:sz w:val="24"/>
              <w:szCs w:val="24"/>
            </w:rPr>
            <w:fldChar w:fldCharType="separate"/>
          </w:r>
          <w:hyperlink w:anchor="_Toc154836851" w:history="1">
            <w:r w:rsidRPr="009E6E91">
              <w:rPr>
                <w:rStyle w:val="Hyperlink"/>
                <w:rFonts w:ascii="Times New Roman" w:hAnsi="Times New Roman" w:cs="Times New Roman"/>
                <w:noProof/>
                <w:sz w:val="24"/>
                <w:szCs w:val="24"/>
              </w:rPr>
              <w:t>1. Key Laws, Regulations, and Contracts Enacted by US Regulatory Agencies</w:t>
            </w:r>
            <w:r w:rsidRPr="009E6E91">
              <w:rPr>
                <w:rFonts w:ascii="Times New Roman" w:hAnsi="Times New Roman" w:cs="Times New Roman"/>
                <w:noProof/>
                <w:webHidden/>
                <w:sz w:val="24"/>
                <w:szCs w:val="24"/>
              </w:rPr>
              <w:tab/>
            </w:r>
            <w:r w:rsidRPr="009E6E91">
              <w:rPr>
                <w:rFonts w:ascii="Times New Roman" w:hAnsi="Times New Roman" w:cs="Times New Roman"/>
                <w:noProof/>
                <w:webHidden/>
                <w:sz w:val="24"/>
                <w:szCs w:val="24"/>
              </w:rPr>
              <w:fldChar w:fldCharType="begin"/>
            </w:r>
            <w:r w:rsidRPr="009E6E91">
              <w:rPr>
                <w:rFonts w:ascii="Times New Roman" w:hAnsi="Times New Roman" w:cs="Times New Roman"/>
                <w:noProof/>
                <w:webHidden/>
                <w:sz w:val="24"/>
                <w:szCs w:val="24"/>
              </w:rPr>
              <w:instrText xml:space="preserve"> PAGEREF _Toc154836851 \h </w:instrText>
            </w:r>
            <w:r w:rsidRPr="009E6E91">
              <w:rPr>
                <w:rFonts w:ascii="Times New Roman" w:hAnsi="Times New Roman" w:cs="Times New Roman"/>
                <w:noProof/>
                <w:webHidden/>
                <w:sz w:val="24"/>
                <w:szCs w:val="24"/>
              </w:rPr>
            </w:r>
            <w:r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1</w:t>
            </w:r>
            <w:r w:rsidRPr="009E6E91">
              <w:rPr>
                <w:rFonts w:ascii="Times New Roman" w:hAnsi="Times New Roman" w:cs="Times New Roman"/>
                <w:noProof/>
                <w:webHidden/>
                <w:sz w:val="24"/>
                <w:szCs w:val="24"/>
              </w:rPr>
              <w:fldChar w:fldCharType="end"/>
            </w:r>
          </w:hyperlink>
        </w:p>
        <w:p w14:paraId="6164DB9B" w14:textId="21AC18D3" w:rsidR="009E6E91" w:rsidRPr="009E6E91" w:rsidRDefault="008F4DDF">
          <w:pPr>
            <w:pStyle w:val="TOC2"/>
            <w:tabs>
              <w:tab w:val="right" w:leader="dot" w:pos="8630"/>
            </w:tabs>
            <w:rPr>
              <w:rFonts w:ascii="Times New Roman" w:hAnsi="Times New Roman" w:cs="Times New Roman"/>
              <w:noProof/>
              <w:sz w:val="24"/>
              <w:szCs w:val="24"/>
            </w:rPr>
          </w:pPr>
          <w:hyperlink w:anchor="_Toc154836852" w:history="1">
            <w:r w:rsidR="009E6E91" w:rsidRPr="009E6E91">
              <w:rPr>
                <w:rStyle w:val="Hyperlink"/>
                <w:rFonts w:ascii="Times New Roman" w:hAnsi="Times New Roman" w:cs="Times New Roman"/>
                <w:noProof/>
                <w:sz w:val="24"/>
                <w:szCs w:val="24"/>
              </w:rPr>
              <w:t>1.1 Dodd-Frank Wall Street Reform and Consumer Protection Act</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_Toc154836852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1</w:t>
            </w:r>
            <w:r w:rsidR="009E6E91" w:rsidRPr="009E6E91">
              <w:rPr>
                <w:rFonts w:ascii="Times New Roman" w:hAnsi="Times New Roman" w:cs="Times New Roman"/>
                <w:noProof/>
                <w:webHidden/>
                <w:sz w:val="24"/>
                <w:szCs w:val="24"/>
              </w:rPr>
              <w:fldChar w:fldCharType="end"/>
            </w:r>
          </w:hyperlink>
        </w:p>
        <w:p w14:paraId="7549A5FE" w14:textId="75DD9242" w:rsidR="009E6E91" w:rsidRPr="009E6E91" w:rsidRDefault="008F4DDF">
          <w:pPr>
            <w:pStyle w:val="TOC2"/>
            <w:tabs>
              <w:tab w:val="right" w:leader="dot" w:pos="8630"/>
            </w:tabs>
            <w:rPr>
              <w:rFonts w:ascii="Times New Roman" w:hAnsi="Times New Roman" w:cs="Times New Roman"/>
              <w:noProof/>
              <w:sz w:val="24"/>
              <w:szCs w:val="24"/>
            </w:rPr>
          </w:pPr>
          <w:hyperlink w:anchor="_Toc154836853" w:history="1">
            <w:r w:rsidR="009E6E91" w:rsidRPr="009E6E91">
              <w:rPr>
                <w:rStyle w:val="Hyperlink"/>
                <w:rFonts w:ascii="Times New Roman" w:hAnsi="Times New Roman" w:cs="Times New Roman"/>
                <w:noProof/>
                <w:sz w:val="24"/>
                <w:szCs w:val="24"/>
              </w:rPr>
              <w:t>1.2 Volcker Rule</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_Toc154836853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1</w:t>
            </w:r>
            <w:r w:rsidR="009E6E91" w:rsidRPr="009E6E91">
              <w:rPr>
                <w:rFonts w:ascii="Times New Roman" w:hAnsi="Times New Roman" w:cs="Times New Roman"/>
                <w:noProof/>
                <w:webHidden/>
                <w:sz w:val="24"/>
                <w:szCs w:val="24"/>
              </w:rPr>
              <w:fldChar w:fldCharType="end"/>
            </w:r>
          </w:hyperlink>
        </w:p>
        <w:p w14:paraId="2571F590" w14:textId="654634BC" w:rsidR="009E6E91" w:rsidRPr="009E6E91" w:rsidRDefault="008F4DDF">
          <w:pPr>
            <w:pStyle w:val="TOC2"/>
            <w:tabs>
              <w:tab w:val="right" w:leader="dot" w:pos="8630"/>
            </w:tabs>
            <w:rPr>
              <w:rFonts w:ascii="Times New Roman" w:hAnsi="Times New Roman" w:cs="Times New Roman"/>
              <w:noProof/>
              <w:sz w:val="24"/>
              <w:szCs w:val="24"/>
            </w:rPr>
          </w:pPr>
          <w:hyperlink w:anchor="_Toc154836854" w:history="1">
            <w:r w:rsidR="009E6E91" w:rsidRPr="009E6E91">
              <w:rPr>
                <w:rStyle w:val="Hyperlink"/>
                <w:rFonts w:ascii="Times New Roman" w:hAnsi="Times New Roman" w:cs="Times New Roman"/>
                <w:noProof/>
                <w:sz w:val="24"/>
                <w:szCs w:val="24"/>
              </w:rPr>
              <w:t>1.3 Financial Stability Oversight Council (FSOC)</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_Toc154836854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1</w:t>
            </w:r>
            <w:r w:rsidR="009E6E91" w:rsidRPr="009E6E91">
              <w:rPr>
                <w:rFonts w:ascii="Times New Roman" w:hAnsi="Times New Roman" w:cs="Times New Roman"/>
                <w:noProof/>
                <w:webHidden/>
                <w:sz w:val="24"/>
                <w:szCs w:val="24"/>
              </w:rPr>
              <w:fldChar w:fldCharType="end"/>
            </w:r>
          </w:hyperlink>
        </w:p>
        <w:p w14:paraId="1FE66B8F" w14:textId="34A22F6A" w:rsidR="009E6E91" w:rsidRPr="009E6E91" w:rsidRDefault="008F4DDF">
          <w:pPr>
            <w:pStyle w:val="TOC2"/>
            <w:tabs>
              <w:tab w:val="right" w:leader="dot" w:pos="8630"/>
            </w:tabs>
            <w:rPr>
              <w:rFonts w:ascii="Times New Roman" w:hAnsi="Times New Roman" w:cs="Times New Roman"/>
              <w:noProof/>
              <w:sz w:val="24"/>
              <w:szCs w:val="24"/>
            </w:rPr>
          </w:pPr>
          <w:hyperlink w:anchor="_Toc154836855" w:history="1">
            <w:r w:rsidR="009E6E91" w:rsidRPr="009E6E91">
              <w:rPr>
                <w:rStyle w:val="Hyperlink"/>
                <w:rFonts w:ascii="Times New Roman" w:hAnsi="Times New Roman" w:cs="Times New Roman"/>
                <w:noProof/>
                <w:sz w:val="24"/>
                <w:szCs w:val="24"/>
              </w:rPr>
              <w:t>1.4 Securities and Exchange Commission (SEC) Regulations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_Toc154836855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2</w:t>
            </w:r>
            <w:r w:rsidR="009E6E91" w:rsidRPr="009E6E91">
              <w:rPr>
                <w:rFonts w:ascii="Times New Roman" w:hAnsi="Times New Roman" w:cs="Times New Roman"/>
                <w:noProof/>
                <w:webHidden/>
                <w:sz w:val="24"/>
                <w:szCs w:val="24"/>
              </w:rPr>
              <w:fldChar w:fldCharType="end"/>
            </w:r>
          </w:hyperlink>
        </w:p>
        <w:p w14:paraId="65B9030C" w14:textId="56B65AF2" w:rsidR="009E6E91" w:rsidRPr="009E6E91" w:rsidRDefault="008F4DDF">
          <w:pPr>
            <w:pStyle w:val="TOC1"/>
            <w:tabs>
              <w:tab w:val="right" w:leader="dot" w:pos="8630"/>
            </w:tabs>
            <w:rPr>
              <w:rFonts w:ascii="Times New Roman" w:hAnsi="Times New Roman" w:cs="Times New Roman"/>
              <w:noProof/>
              <w:sz w:val="24"/>
              <w:szCs w:val="24"/>
            </w:rPr>
          </w:pPr>
          <w:hyperlink w:anchor="_Toc154836856" w:history="1">
            <w:r w:rsidR="009E6E91" w:rsidRPr="009E6E91">
              <w:rPr>
                <w:rStyle w:val="Hyperlink"/>
                <w:rFonts w:ascii="Times New Roman" w:hAnsi="Times New Roman" w:cs="Times New Roman"/>
                <w:noProof/>
                <w:sz w:val="24"/>
                <w:szCs w:val="24"/>
              </w:rPr>
              <w:t>2. Key Laws, Regulations, and Contracts Enacted by a Global Player</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_Toc154836856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2</w:t>
            </w:r>
            <w:r w:rsidR="009E6E91" w:rsidRPr="009E6E91">
              <w:rPr>
                <w:rFonts w:ascii="Times New Roman" w:hAnsi="Times New Roman" w:cs="Times New Roman"/>
                <w:noProof/>
                <w:webHidden/>
                <w:sz w:val="24"/>
                <w:szCs w:val="24"/>
              </w:rPr>
              <w:fldChar w:fldCharType="end"/>
            </w:r>
          </w:hyperlink>
        </w:p>
        <w:p w14:paraId="05B6C2BF" w14:textId="24ED6E42" w:rsidR="009E6E91" w:rsidRPr="009E6E91" w:rsidRDefault="008F4DDF">
          <w:pPr>
            <w:pStyle w:val="TOC2"/>
            <w:tabs>
              <w:tab w:val="right" w:leader="dot" w:pos="8630"/>
            </w:tabs>
            <w:rPr>
              <w:rFonts w:ascii="Times New Roman" w:hAnsi="Times New Roman" w:cs="Times New Roman"/>
              <w:noProof/>
              <w:sz w:val="24"/>
              <w:szCs w:val="24"/>
            </w:rPr>
          </w:pPr>
          <w:hyperlink w:anchor="_Toc154836857" w:history="1">
            <w:r w:rsidR="009E6E91" w:rsidRPr="009E6E91">
              <w:rPr>
                <w:rStyle w:val="Hyperlink"/>
                <w:rFonts w:ascii="Times New Roman" w:hAnsi="Times New Roman" w:cs="Times New Roman"/>
                <w:noProof/>
                <w:sz w:val="24"/>
                <w:szCs w:val="24"/>
              </w:rPr>
              <w:t>2.1 United Kingdom's Financial Services Act 2012</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_Toc154836857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2</w:t>
            </w:r>
            <w:r w:rsidR="009E6E91" w:rsidRPr="009E6E91">
              <w:rPr>
                <w:rFonts w:ascii="Times New Roman" w:hAnsi="Times New Roman" w:cs="Times New Roman"/>
                <w:noProof/>
                <w:webHidden/>
                <w:sz w:val="24"/>
                <w:szCs w:val="24"/>
              </w:rPr>
              <w:fldChar w:fldCharType="end"/>
            </w:r>
          </w:hyperlink>
        </w:p>
        <w:p w14:paraId="4F59D5A1" w14:textId="2921B883" w:rsidR="009E6E91" w:rsidRPr="009E6E91" w:rsidRDefault="008F4DDF">
          <w:pPr>
            <w:pStyle w:val="TOC2"/>
            <w:tabs>
              <w:tab w:val="right" w:leader="dot" w:pos="8630"/>
            </w:tabs>
            <w:rPr>
              <w:rFonts w:ascii="Times New Roman" w:hAnsi="Times New Roman" w:cs="Times New Roman"/>
              <w:noProof/>
              <w:sz w:val="24"/>
              <w:szCs w:val="24"/>
            </w:rPr>
          </w:pPr>
          <w:hyperlink w:anchor="_Toc154836858" w:history="1">
            <w:r w:rsidR="009E6E91" w:rsidRPr="009E6E91">
              <w:rPr>
                <w:rStyle w:val="Hyperlink"/>
                <w:rFonts w:ascii="Times New Roman" w:hAnsi="Times New Roman" w:cs="Times New Roman"/>
                <w:noProof/>
                <w:sz w:val="24"/>
                <w:szCs w:val="24"/>
              </w:rPr>
              <w:t>2.2 European Union's Capital Requirements Directive (CRD IV)</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_Toc154836858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3</w:t>
            </w:r>
            <w:r w:rsidR="009E6E91" w:rsidRPr="009E6E91">
              <w:rPr>
                <w:rFonts w:ascii="Times New Roman" w:hAnsi="Times New Roman" w:cs="Times New Roman"/>
                <w:noProof/>
                <w:webHidden/>
                <w:sz w:val="24"/>
                <w:szCs w:val="24"/>
              </w:rPr>
              <w:fldChar w:fldCharType="end"/>
            </w:r>
          </w:hyperlink>
        </w:p>
        <w:p w14:paraId="44655CD3" w14:textId="3B72CEB3" w:rsidR="009E6E91" w:rsidRPr="009E6E91" w:rsidRDefault="008F4DDF">
          <w:pPr>
            <w:pStyle w:val="TOC2"/>
            <w:tabs>
              <w:tab w:val="right" w:leader="dot" w:pos="8630"/>
            </w:tabs>
            <w:rPr>
              <w:rFonts w:ascii="Times New Roman" w:hAnsi="Times New Roman" w:cs="Times New Roman"/>
              <w:noProof/>
              <w:sz w:val="24"/>
              <w:szCs w:val="24"/>
            </w:rPr>
          </w:pPr>
          <w:hyperlink w:anchor="_Toc154836859" w:history="1">
            <w:r w:rsidR="009E6E91" w:rsidRPr="009E6E91">
              <w:rPr>
                <w:rStyle w:val="Hyperlink"/>
                <w:rFonts w:ascii="Times New Roman" w:hAnsi="Times New Roman" w:cs="Times New Roman"/>
                <w:noProof/>
                <w:sz w:val="24"/>
                <w:szCs w:val="24"/>
              </w:rPr>
              <w:t>2.3 Japan's Financial Services Agency (FSA) Regulations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_Toc154836859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3</w:t>
            </w:r>
            <w:r w:rsidR="009E6E91" w:rsidRPr="009E6E91">
              <w:rPr>
                <w:rFonts w:ascii="Times New Roman" w:hAnsi="Times New Roman" w:cs="Times New Roman"/>
                <w:noProof/>
                <w:webHidden/>
                <w:sz w:val="24"/>
                <w:szCs w:val="24"/>
              </w:rPr>
              <w:fldChar w:fldCharType="end"/>
            </w:r>
          </w:hyperlink>
        </w:p>
        <w:p w14:paraId="7FA6F499" w14:textId="7E9E21B4" w:rsidR="009E6E91" w:rsidRPr="009E6E91" w:rsidRDefault="008F4DDF">
          <w:pPr>
            <w:pStyle w:val="TOC2"/>
            <w:tabs>
              <w:tab w:val="right" w:leader="dot" w:pos="8630"/>
            </w:tabs>
            <w:rPr>
              <w:rFonts w:ascii="Times New Roman" w:hAnsi="Times New Roman" w:cs="Times New Roman"/>
              <w:noProof/>
              <w:sz w:val="24"/>
              <w:szCs w:val="24"/>
            </w:rPr>
          </w:pPr>
          <w:hyperlink w:anchor="_Toc154836860" w:history="1">
            <w:r w:rsidR="009E6E91" w:rsidRPr="009E6E91">
              <w:rPr>
                <w:rStyle w:val="Hyperlink"/>
                <w:rFonts w:ascii="Times New Roman" w:hAnsi="Times New Roman" w:cs="Times New Roman"/>
                <w:noProof/>
                <w:sz w:val="24"/>
                <w:szCs w:val="24"/>
              </w:rPr>
              <w:t>2.4. China's Banking and Insurance Regulatory Commission (CBIRC) Measures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_Toc154836860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3</w:t>
            </w:r>
            <w:r w:rsidR="009E6E91" w:rsidRPr="009E6E91">
              <w:rPr>
                <w:rFonts w:ascii="Times New Roman" w:hAnsi="Times New Roman" w:cs="Times New Roman"/>
                <w:noProof/>
                <w:webHidden/>
                <w:sz w:val="24"/>
                <w:szCs w:val="24"/>
              </w:rPr>
              <w:fldChar w:fldCharType="end"/>
            </w:r>
          </w:hyperlink>
        </w:p>
        <w:p w14:paraId="43028BA4" w14:textId="2E46A100" w:rsidR="009E6E91" w:rsidRPr="009E6E91" w:rsidRDefault="008F4DDF">
          <w:pPr>
            <w:pStyle w:val="TOC1"/>
            <w:tabs>
              <w:tab w:val="right" w:leader="dot" w:pos="8630"/>
            </w:tabs>
            <w:rPr>
              <w:rFonts w:ascii="Times New Roman" w:hAnsi="Times New Roman" w:cs="Times New Roman"/>
              <w:noProof/>
              <w:sz w:val="24"/>
              <w:szCs w:val="24"/>
            </w:rPr>
          </w:pPr>
          <w:hyperlink w:anchor="_Toc154836861" w:history="1">
            <w:r w:rsidR="009E6E91" w:rsidRPr="009E6E91">
              <w:rPr>
                <w:rStyle w:val="Hyperlink"/>
                <w:rFonts w:ascii="Times New Roman" w:hAnsi="Times New Roman" w:cs="Times New Roman"/>
                <w:noProof/>
                <w:sz w:val="24"/>
                <w:szCs w:val="24"/>
              </w:rPr>
              <w:t>3. Contribution of Reforms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_Toc154836861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4</w:t>
            </w:r>
            <w:r w:rsidR="009E6E91" w:rsidRPr="009E6E91">
              <w:rPr>
                <w:rFonts w:ascii="Times New Roman" w:hAnsi="Times New Roman" w:cs="Times New Roman"/>
                <w:noProof/>
                <w:webHidden/>
                <w:sz w:val="24"/>
                <w:szCs w:val="24"/>
              </w:rPr>
              <w:fldChar w:fldCharType="end"/>
            </w:r>
          </w:hyperlink>
        </w:p>
        <w:p w14:paraId="53B3E85F" w14:textId="6E3480BC" w:rsidR="009E6E91" w:rsidRPr="009E6E91" w:rsidRDefault="008F4DDF">
          <w:pPr>
            <w:pStyle w:val="TOC2"/>
            <w:tabs>
              <w:tab w:val="right" w:leader="dot" w:pos="8630"/>
            </w:tabs>
            <w:rPr>
              <w:rFonts w:ascii="Times New Roman" w:hAnsi="Times New Roman" w:cs="Times New Roman"/>
              <w:noProof/>
              <w:sz w:val="24"/>
              <w:szCs w:val="24"/>
            </w:rPr>
          </w:pPr>
          <w:hyperlink w:anchor="_Toc154836862" w:history="1">
            <w:r w:rsidR="009E6E91" w:rsidRPr="009E6E91">
              <w:rPr>
                <w:rStyle w:val="Hyperlink"/>
                <w:rFonts w:ascii="Times New Roman" w:hAnsi="Times New Roman" w:cs="Times New Roman"/>
                <w:noProof/>
                <w:sz w:val="24"/>
                <w:szCs w:val="24"/>
              </w:rPr>
              <w:t>3.1 Contribution of Reforms in Stabilizing the Financial System</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_Toc154836862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4</w:t>
            </w:r>
            <w:r w:rsidR="009E6E91" w:rsidRPr="009E6E91">
              <w:rPr>
                <w:rFonts w:ascii="Times New Roman" w:hAnsi="Times New Roman" w:cs="Times New Roman"/>
                <w:noProof/>
                <w:webHidden/>
                <w:sz w:val="24"/>
                <w:szCs w:val="24"/>
              </w:rPr>
              <w:fldChar w:fldCharType="end"/>
            </w:r>
          </w:hyperlink>
        </w:p>
        <w:p w14:paraId="37E65D87" w14:textId="5DBA6EAA" w:rsidR="009E6E91" w:rsidRPr="009E6E91" w:rsidRDefault="008F4DDF">
          <w:pPr>
            <w:pStyle w:val="TOC3"/>
            <w:tabs>
              <w:tab w:val="right" w:leader="dot" w:pos="8630"/>
            </w:tabs>
            <w:rPr>
              <w:rFonts w:ascii="Times New Roman" w:hAnsi="Times New Roman" w:cs="Times New Roman"/>
              <w:noProof/>
              <w:sz w:val="24"/>
              <w:szCs w:val="24"/>
            </w:rPr>
          </w:pPr>
          <w:hyperlink w:anchor="_Toc154836863" w:history="1">
            <w:r w:rsidR="009E6E91" w:rsidRPr="009E6E91">
              <w:rPr>
                <w:rStyle w:val="Hyperlink"/>
                <w:rFonts w:ascii="Times New Roman" w:hAnsi="Times New Roman" w:cs="Times New Roman"/>
                <w:noProof/>
                <w:sz w:val="24"/>
                <w:szCs w:val="24"/>
              </w:rPr>
              <w:t>3.1.1 Strengthened Capital and Liquidity Requirements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_Toc154836863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4</w:t>
            </w:r>
            <w:r w:rsidR="009E6E91" w:rsidRPr="009E6E91">
              <w:rPr>
                <w:rFonts w:ascii="Times New Roman" w:hAnsi="Times New Roman" w:cs="Times New Roman"/>
                <w:noProof/>
                <w:webHidden/>
                <w:sz w:val="24"/>
                <w:szCs w:val="24"/>
              </w:rPr>
              <w:fldChar w:fldCharType="end"/>
            </w:r>
          </w:hyperlink>
        </w:p>
        <w:p w14:paraId="1B9ED5CB" w14:textId="76FDACF9" w:rsidR="009E6E91" w:rsidRPr="009E6E91" w:rsidRDefault="008F4DDF">
          <w:pPr>
            <w:pStyle w:val="TOC3"/>
            <w:tabs>
              <w:tab w:val="right" w:leader="dot" w:pos="8630"/>
            </w:tabs>
            <w:rPr>
              <w:rFonts w:ascii="Times New Roman" w:hAnsi="Times New Roman" w:cs="Times New Roman"/>
              <w:noProof/>
              <w:sz w:val="24"/>
              <w:szCs w:val="24"/>
            </w:rPr>
          </w:pPr>
          <w:hyperlink w:anchor="_Toc154836864" w:history="1">
            <w:r w:rsidR="009E6E91" w:rsidRPr="009E6E91">
              <w:rPr>
                <w:rStyle w:val="Hyperlink"/>
                <w:rFonts w:ascii="Times New Roman" w:hAnsi="Times New Roman" w:cs="Times New Roman"/>
                <w:noProof/>
                <w:sz w:val="24"/>
                <w:szCs w:val="24"/>
              </w:rPr>
              <w:t>3.1.2 Enhanced Risk Management Practices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_Toc154836864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4</w:t>
            </w:r>
            <w:r w:rsidR="009E6E91" w:rsidRPr="009E6E91">
              <w:rPr>
                <w:rFonts w:ascii="Times New Roman" w:hAnsi="Times New Roman" w:cs="Times New Roman"/>
                <w:noProof/>
                <w:webHidden/>
                <w:sz w:val="24"/>
                <w:szCs w:val="24"/>
              </w:rPr>
              <w:fldChar w:fldCharType="end"/>
            </w:r>
          </w:hyperlink>
        </w:p>
        <w:p w14:paraId="377C86BE" w14:textId="7B759828" w:rsidR="009E6E91" w:rsidRPr="009E6E91" w:rsidRDefault="008F4DDF">
          <w:pPr>
            <w:pStyle w:val="TOC3"/>
            <w:tabs>
              <w:tab w:val="right" w:leader="dot" w:pos="8630"/>
            </w:tabs>
            <w:rPr>
              <w:rFonts w:ascii="Times New Roman" w:hAnsi="Times New Roman" w:cs="Times New Roman"/>
              <w:noProof/>
              <w:sz w:val="24"/>
              <w:szCs w:val="24"/>
            </w:rPr>
          </w:pPr>
          <w:hyperlink w:anchor="_Toc154836865" w:history="1">
            <w:r w:rsidR="009E6E91" w:rsidRPr="009E6E91">
              <w:rPr>
                <w:rStyle w:val="Hyperlink"/>
                <w:rFonts w:ascii="Times New Roman" w:hAnsi="Times New Roman" w:cs="Times New Roman"/>
                <w:noProof/>
                <w:sz w:val="24"/>
                <w:szCs w:val="24"/>
              </w:rPr>
              <w:t>3.1.3 Improved Transparency and Reporting Standards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_Toc154836865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4</w:t>
            </w:r>
            <w:r w:rsidR="009E6E91" w:rsidRPr="009E6E91">
              <w:rPr>
                <w:rFonts w:ascii="Times New Roman" w:hAnsi="Times New Roman" w:cs="Times New Roman"/>
                <w:noProof/>
                <w:webHidden/>
                <w:sz w:val="24"/>
                <w:szCs w:val="24"/>
              </w:rPr>
              <w:fldChar w:fldCharType="end"/>
            </w:r>
          </w:hyperlink>
        </w:p>
        <w:p w14:paraId="3F49F121" w14:textId="6CFEC8A4" w:rsidR="009E6E91" w:rsidRPr="009E6E91" w:rsidRDefault="008F4DDF">
          <w:pPr>
            <w:pStyle w:val="TOC3"/>
            <w:tabs>
              <w:tab w:val="right" w:leader="dot" w:pos="8630"/>
            </w:tabs>
            <w:rPr>
              <w:rFonts w:ascii="Times New Roman" w:hAnsi="Times New Roman" w:cs="Times New Roman"/>
              <w:noProof/>
              <w:sz w:val="24"/>
              <w:szCs w:val="24"/>
            </w:rPr>
          </w:pPr>
          <w:hyperlink w:anchor="_Toc154836866" w:history="1">
            <w:r w:rsidR="009E6E91" w:rsidRPr="009E6E91">
              <w:rPr>
                <w:rStyle w:val="Hyperlink"/>
                <w:rFonts w:ascii="Times New Roman" w:hAnsi="Times New Roman" w:cs="Times New Roman"/>
                <w:noProof/>
                <w:sz w:val="24"/>
                <w:szCs w:val="24"/>
              </w:rPr>
              <w:t>3.1.4. Increased Regulatory Oversight and Supervision</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_Toc154836866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5</w:t>
            </w:r>
            <w:r w:rsidR="009E6E91" w:rsidRPr="009E6E91">
              <w:rPr>
                <w:rFonts w:ascii="Times New Roman" w:hAnsi="Times New Roman" w:cs="Times New Roman"/>
                <w:noProof/>
                <w:webHidden/>
                <w:sz w:val="24"/>
                <w:szCs w:val="24"/>
              </w:rPr>
              <w:fldChar w:fldCharType="end"/>
            </w:r>
          </w:hyperlink>
        </w:p>
        <w:p w14:paraId="12B44B1E" w14:textId="71A99593" w:rsidR="009E6E91" w:rsidRPr="009E6E91" w:rsidRDefault="008F4DDF">
          <w:pPr>
            <w:pStyle w:val="TOC3"/>
            <w:tabs>
              <w:tab w:val="right" w:leader="dot" w:pos="8630"/>
            </w:tabs>
            <w:rPr>
              <w:rFonts w:ascii="Times New Roman" w:hAnsi="Times New Roman" w:cs="Times New Roman"/>
              <w:noProof/>
              <w:sz w:val="24"/>
              <w:szCs w:val="24"/>
            </w:rPr>
          </w:pPr>
          <w:hyperlink w:anchor="_Toc154836867" w:history="1">
            <w:r w:rsidR="009E6E91" w:rsidRPr="009E6E91">
              <w:rPr>
                <w:rStyle w:val="Hyperlink"/>
                <w:rFonts w:ascii="Times New Roman" w:hAnsi="Times New Roman" w:cs="Times New Roman"/>
                <w:noProof/>
                <w:sz w:val="24"/>
                <w:szCs w:val="24"/>
              </w:rPr>
              <w:t>3.1.5 Mitigation of Systemic Risks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_Toc154836867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5</w:t>
            </w:r>
            <w:r w:rsidR="009E6E91" w:rsidRPr="009E6E91">
              <w:rPr>
                <w:rFonts w:ascii="Times New Roman" w:hAnsi="Times New Roman" w:cs="Times New Roman"/>
                <w:noProof/>
                <w:webHidden/>
                <w:sz w:val="24"/>
                <w:szCs w:val="24"/>
              </w:rPr>
              <w:fldChar w:fldCharType="end"/>
            </w:r>
          </w:hyperlink>
        </w:p>
        <w:p w14:paraId="29B2865B" w14:textId="4553BC89" w:rsidR="009E6E91" w:rsidRPr="009E6E91" w:rsidRDefault="008F4DDF">
          <w:pPr>
            <w:pStyle w:val="TOC2"/>
            <w:tabs>
              <w:tab w:val="right" w:leader="dot" w:pos="8630"/>
            </w:tabs>
            <w:rPr>
              <w:rFonts w:ascii="Times New Roman" w:hAnsi="Times New Roman" w:cs="Times New Roman"/>
              <w:noProof/>
              <w:sz w:val="24"/>
              <w:szCs w:val="24"/>
            </w:rPr>
          </w:pPr>
          <w:hyperlink w:anchor="_Toc154836868" w:history="1">
            <w:r w:rsidR="009E6E91" w:rsidRPr="009E6E91">
              <w:rPr>
                <w:rStyle w:val="Hyperlink"/>
                <w:rFonts w:ascii="Times New Roman" w:hAnsi="Times New Roman" w:cs="Times New Roman"/>
                <w:noProof/>
                <w:sz w:val="24"/>
                <w:szCs w:val="24"/>
              </w:rPr>
              <w:t>3. 2 Contribution of Reforms in Stabilizing Banking Institutions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_Toc154836868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5</w:t>
            </w:r>
            <w:r w:rsidR="009E6E91" w:rsidRPr="009E6E91">
              <w:rPr>
                <w:rFonts w:ascii="Times New Roman" w:hAnsi="Times New Roman" w:cs="Times New Roman"/>
                <w:noProof/>
                <w:webHidden/>
                <w:sz w:val="24"/>
                <w:szCs w:val="24"/>
              </w:rPr>
              <w:fldChar w:fldCharType="end"/>
            </w:r>
          </w:hyperlink>
        </w:p>
        <w:p w14:paraId="40D91D56" w14:textId="7120953A" w:rsidR="009E6E91" w:rsidRPr="009E6E91" w:rsidRDefault="008F4DDF">
          <w:pPr>
            <w:pStyle w:val="TOC3"/>
            <w:tabs>
              <w:tab w:val="right" w:leader="dot" w:pos="8630"/>
            </w:tabs>
            <w:rPr>
              <w:rFonts w:ascii="Times New Roman" w:hAnsi="Times New Roman" w:cs="Times New Roman"/>
              <w:noProof/>
              <w:sz w:val="24"/>
              <w:szCs w:val="24"/>
            </w:rPr>
          </w:pPr>
          <w:hyperlink w:anchor="_Toc154836869" w:history="1">
            <w:r w:rsidR="009E6E91" w:rsidRPr="009E6E91">
              <w:rPr>
                <w:rStyle w:val="Hyperlink"/>
                <w:rFonts w:ascii="Times New Roman" w:hAnsi="Times New Roman" w:cs="Times New Roman"/>
                <w:noProof/>
                <w:sz w:val="24"/>
                <w:szCs w:val="24"/>
              </w:rPr>
              <w:t>3.2.1 Improved Risk Assessment and Mitigation Strategies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_Toc154836869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5</w:t>
            </w:r>
            <w:r w:rsidR="009E6E91" w:rsidRPr="009E6E91">
              <w:rPr>
                <w:rFonts w:ascii="Times New Roman" w:hAnsi="Times New Roman" w:cs="Times New Roman"/>
                <w:noProof/>
                <w:webHidden/>
                <w:sz w:val="24"/>
                <w:szCs w:val="24"/>
              </w:rPr>
              <w:fldChar w:fldCharType="end"/>
            </w:r>
          </w:hyperlink>
        </w:p>
        <w:p w14:paraId="644742A2" w14:textId="33A41252" w:rsidR="009E6E91" w:rsidRPr="009E6E91" w:rsidRDefault="008F4DDF">
          <w:pPr>
            <w:pStyle w:val="TOC3"/>
            <w:tabs>
              <w:tab w:val="right" w:leader="dot" w:pos="8630"/>
            </w:tabs>
            <w:rPr>
              <w:rFonts w:ascii="Times New Roman" w:hAnsi="Times New Roman" w:cs="Times New Roman"/>
              <w:noProof/>
              <w:sz w:val="24"/>
              <w:szCs w:val="24"/>
            </w:rPr>
          </w:pPr>
          <w:hyperlink w:anchor="_Toc154836870" w:history="1">
            <w:r w:rsidR="009E6E91" w:rsidRPr="009E6E91">
              <w:rPr>
                <w:rStyle w:val="Hyperlink"/>
                <w:rFonts w:ascii="Times New Roman" w:hAnsi="Times New Roman" w:cs="Times New Roman"/>
                <w:noProof/>
                <w:sz w:val="24"/>
                <w:szCs w:val="24"/>
              </w:rPr>
              <w:t>3.2.2 Greater Accountability and Governance Standards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_Toc154836870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6</w:t>
            </w:r>
            <w:r w:rsidR="009E6E91" w:rsidRPr="009E6E91">
              <w:rPr>
                <w:rFonts w:ascii="Times New Roman" w:hAnsi="Times New Roman" w:cs="Times New Roman"/>
                <w:noProof/>
                <w:webHidden/>
                <w:sz w:val="24"/>
                <w:szCs w:val="24"/>
              </w:rPr>
              <w:fldChar w:fldCharType="end"/>
            </w:r>
          </w:hyperlink>
        </w:p>
        <w:p w14:paraId="1CD42B41" w14:textId="4935EF6D" w:rsidR="009E6E91" w:rsidRPr="009E6E91" w:rsidRDefault="008F4DDF">
          <w:pPr>
            <w:pStyle w:val="TOC3"/>
            <w:tabs>
              <w:tab w:val="right" w:leader="dot" w:pos="8630"/>
            </w:tabs>
            <w:rPr>
              <w:rFonts w:ascii="Times New Roman" w:hAnsi="Times New Roman" w:cs="Times New Roman"/>
              <w:noProof/>
              <w:sz w:val="24"/>
              <w:szCs w:val="24"/>
            </w:rPr>
          </w:pPr>
          <w:hyperlink w:anchor="_Toc154836871" w:history="1">
            <w:r w:rsidR="009E6E91" w:rsidRPr="009E6E91">
              <w:rPr>
                <w:rStyle w:val="Hyperlink"/>
                <w:rFonts w:ascii="Times New Roman" w:hAnsi="Times New Roman" w:cs="Times New Roman"/>
                <w:noProof/>
                <w:sz w:val="24"/>
                <w:szCs w:val="24"/>
              </w:rPr>
              <w:t>3.2.3 Enhanced Consumer Protection Measures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_Toc154836871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6</w:t>
            </w:r>
            <w:r w:rsidR="009E6E91" w:rsidRPr="009E6E91">
              <w:rPr>
                <w:rFonts w:ascii="Times New Roman" w:hAnsi="Times New Roman" w:cs="Times New Roman"/>
                <w:noProof/>
                <w:webHidden/>
                <w:sz w:val="24"/>
                <w:szCs w:val="24"/>
              </w:rPr>
              <w:fldChar w:fldCharType="end"/>
            </w:r>
          </w:hyperlink>
        </w:p>
        <w:p w14:paraId="128C0D65" w14:textId="6A8E110D" w:rsidR="009E6E91" w:rsidRPr="009E6E91" w:rsidRDefault="008F4DDF">
          <w:pPr>
            <w:pStyle w:val="TOC3"/>
            <w:tabs>
              <w:tab w:val="right" w:leader="dot" w:pos="8630"/>
            </w:tabs>
            <w:rPr>
              <w:rFonts w:ascii="Times New Roman" w:hAnsi="Times New Roman" w:cs="Times New Roman"/>
              <w:noProof/>
              <w:sz w:val="24"/>
              <w:szCs w:val="24"/>
            </w:rPr>
          </w:pPr>
          <w:hyperlink w:anchor="_Toc154836872" w:history="1">
            <w:r w:rsidR="009E6E91" w:rsidRPr="009E6E91">
              <w:rPr>
                <w:rStyle w:val="Hyperlink"/>
                <w:rFonts w:ascii="Times New Roman" w:hAnsi="Times New Roman" w:cs="Times New Roman"/>
                <w:noProof/>
                <w:sz w:val="24"/>
                <w:szCs w:val="24"/>
              </w:rPr>
              <w:t>3.2.4 Reinforced Resolution Mechanisms for Troubled Banks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_Toc154836872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6</w:t>
            </w:r>
            <w:r w:rsidR="009E6E91" w:rsidRPr="009E6E91">
              <w:rPr>
                <w:rFonts w:ascii="Times New Roman" w:hAnsi="Times New Roman" w:cs="Times New Roman"/>
                <w:noProof/>
                <w:webHidden/>
                <w:sz w:val="24"/>
                <w:szCs w:val="24"/>
              </w:rPr>
              <w:fldChar w:fldCharType="end"/>
            </w:r>
          </w:hyperlink>
        </w:p>
        <w:p w14:paraId="21EA98AF" w14:textId="60B14F24" w:rsidR="009E6E91" w:rsidRPr="009E6E91" w:rsidRDefault="008F4DDF">
          <w:pPr>
            <w:pStyle w:val="TOC1"/>
            <w:tabs>
              <w:tab w:val="right" w:leader="dot" w:pos="8630"/>
            </w:tabs>
            <w:rPr>
              <w:rFonts w:ascii="Times New Roman" w:hAnsi="Times New Roman" w:cs="Times New Roman"/>
              <w:noProof/>
              <w:sz w:val="24"/>
              <w:szCs w:val="24"/>
            </w:rPr>
          </w:pPr>
          <w:hyperlink w:anchor="_Toc154836873" w:history="1">
            <w:r w:rsidR="009E6E91" w:rsidRPr="009E6E91">
              <w:rPr>
                <w:rStyle w:val="Hyperlink"/>
                <w:rFonts w:ascii="Times New Roman" w:hAnsi="Times New Roman" w:cs="Times New Roman"/>
                <w:noProof/>
                <w:sz w:val="24"/>
                <w:szCs w:val="24"/>
              </w:rPr>
              <w:t>4. Impact of Reforms on Goldman Sach</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_Toc154836873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7</w:t>
            </w:r>
            <w:r w:rsidR="009E6E91" w:rsidRPr="009E6E91">
              <w:rPr>
                <w:rFonts w:ascii="Times New Roman" w:hAnsi="Times New Roman" w:cs="Times New Roman"/>
                <w:noProof/>
                <w:webHidden/>
                <w:sz w:val="24"/>
                <w:szCs w:val="24"/>
              </w:rPr>
              <w:fldChar w:fldCharType="end"/>
            </w:r>
          </w:hyperlink>
        </w:p>
        <w:p w14:paraId="3FF045DE" w14:textId="6CD8D026" w:rsidR="009E6E91" w:rsidRPr="009E6E91" w:rsidRDefault="008F4DDF">
          <w:pPr>
            <w:pStyle w:val="TOC2"/>
            <w:tabs>
              <w:tab w:val="right" w:leader="dot" w:pos="8630"/>
            </w:tabs>
            <w:rPr>
              <w:rFonts w:ascii="Times New Roman" w:hAnsi="Times New Roman" w:cs="Times New Roman"/>
              <w:noProof/>
              <w:sz w:val="24"/>
              <w:szCs w:val="24"/>
            </w:rPr>
          </w:pPr>
          <w:hyperlink w:anchor="_Toc154836874" w:history="1">
            <w:r w:rsidR="009E6E91" w:rsidRPr="009E6E91">
              <w:rPr>
                <w:rStyle w:val="Hyperlink"/>
                <w:rFonts w:ascii="Times New Roman" w:hAnsi="Times New Roman" w:cs="Times New Roman"/>
                <w:noProof/>
                <w:sz w:val="24"/>
                <w:szCs w:val="24"/>
              </w:rPr>
              <w:t>4.1 Impact of Reforms on Goldman Sachs' Pre-Global Financial Crisis Business Model</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_Toc154836874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7</w:t>
            </w:r>
            <w:r w:rsidR="009E6E91" w:rsidRPr="009E6E91">
              <w:rPr>
                <w:rFonts w:ascii="Times New Roman" w:hAnsi="Times New Roman" w:cs="Times New Roman"/>
                <w:noProof/>
                <w:webHidden/>
                <w:sz w:val="24"/>
                <w:szCs w:val="24"/>
              </w:rPr>
              <w:fldChar w:fldCharType="end"/>
            </w:r>
          </w:hyperlink>
        </w:p>
        <w:p w14:paraId="7FB53CBF" w14:textId="6C4358BF" w:rsidR="009E6E91" w:rsidRPr="009E6E91" w:rsidRDefault="008F4DDF">
          <w:pPr>
            <w:pStyle w:val="TOC3"/>
            <w:tabs>
              <w:tab w:val="right" w:leader="dot" w:pos="8630"/>
            </w:tabs>
            <w:rPr>
              <w:rFonts w:ascii="Times New Roman" w:hAnsi="Times New Roman" w:cs="Times New Roman"/>
              <w:noProof/>
              <w:sz w:val="24"/>
              <w:szCs w:val="24"/>
            </w:rPr>
          </w:pPr>
          <w:hyperlink w:anchor="_Toc154836875" w:history="1">
            <w:r w:rsidR="009E6E91" w:rsidRPr="009E6E91">
              <w:rPr>
                <w:rStyle w:val="Hyperlink"/>
                <w:rFonts w:ascii="Times New Roman" w:hAnsi="Times New Roman" w:cs="Times New Roman"/>
                <w:noProof/>
                <w:sz w:val="24"/>
                <w:szCs w:val="24"/>
              </w:rPr>
              <w:t>4.1.1 Diversification of Revenue Streams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_Toc154836875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7</w:t>
            </w:r>
            <w:r w:rsidR="009E6E91" w:rsidRPr="009E6E91">
              <w:rPr>
                <w:rFonts w:ascii="Times New Roman" w:hAnsi="Times New Roman" w:cs="Times New Roman"/>
                <w:noProof/>
                <w:webHidden/>
                <w:sz w:val="24"/>
                <w:szCs w:val="24"/>
              </w:rPr>
              <w:fldChar w:fldCharType="end"/>
            </w:r>
          </w:hyperlink>
        </w:p>
        <w:p w14:paraId="66E86930" w14:textId="0846E716" w:rsidR="009E6E91" w:rsidRPr="009E6E91" w:rsidRDefault="008F4DDF">
          <w:pPr>
            <w:pStyle w:val="TOC3"/>
            <w:tabs>
              <w:tab w:val="right" w:leader="dot" w:pos="8630"/>
            </w:tabs>
            <w:rPr>
              <w:rFonts w:ascii="Times New Roman" w:hAnsi="Times New Roman" w:cs="Times New Roman"/>
              <w:noProof/>
              <w:sz w:val="24"/>
              <w:szCs w:val="24"/>
            </w:rPr>
          </w:pPr>
          <w:hyperlink w:anchor="_Toc154836876" w:history="1">
            <w:r w:rsidR="009E6E91" w:rsidRPr="009E6E91">
              <w:rPr>
                <w:rStyle w:val="Hyperlink"/>
                <w:rFonts w:ascii="Times New Roman" w:hAnsi="Times New Roman" w:cs="Times New Roman"/>
                <w:noProof/>
                <w:sz w:val="24"/>
                <w:szCs w:val="24"/>
              </w:rPr>
              <w:t>4.1.2 Reduced Risk-Taking Activities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_Toc154836876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7</w:t>
            </w:r>
            <w:r w:rsidR="009E6E91" w:rsidRPr="009E6E91">
              <w:rPr>
                <w:rFonts w:ascii="Times New Roman" w:hAnsi="Times New Roman" w:cs="Times New Roman"/>
                <w:noProof/>
                <w:webHidden/>
                <w:sz w:val="24"/>
                <w:szCs w:val="24"/>
              </w:rPr>
              <w:fldChar w:fldCharType="end"/>
            </w:r>
          </w:hyperlink>
        </w:p>
        <w:p w14:paraId="7D1855BD" w14:textId="0046D78C" w:rsidR="009E6E91" w:rsidRPr="009E6E91" w:rsidRDefault="008F4DDF">
          <w:pPr>
            <w:pStyle w:val="TOC3"/>
            <w:tabs>
              <w:tab w:val="right" w:leader="dot" w:pos="8630"/>
            </w:tabs>
            <w:rPr>
              <w:rFonts w:ascii="Times New Roman" w:hAnsi="Times New Roman" w:cs="Times New Roman"/>
              <w:noProof/>
              <w:sz w:val="24"/>
              <w:szCs w:val="24"/>
            </w:rPr>
          </w:pPr>
          <w:hyperlink w:anchor="_Toc154836877" w:history="1">
            <w:r w:rsidR="009E6E91" w:rsidRPr="009E6E91">
              <w:rPr>
                <w:rStyle w:val="Hyperlink"/>
                <w:rFonts w:ascii="Times New Roman" w:hAnsi="Times New Roman" w:cs="Times New Roman"/>
                <w:noProof/>
                <w:sz w:val="24"/>
                <w:szCs w:val="24"/>
              </w:rPr>
              <w:t>4.1.3 Compliance with Stricter Capital and Leverage Requirements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_Toc154836877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7</w:t>
            </w:r>
            <w:r w:rsidR="009E6E91" w:rsidRPr="009E6E91">
              <w:rPr>
                <w:rFonts w:ascii="Times New Roman" w:hAnsi="Times New Roman" w:cs="Times New Roman"/>
                <w:noProof/>
                <w:webHidden/>
                <w:sz w:val="24"/>
                <w:szCs w:val="24"/>
              </w:rPr>
              <w:fldChar w:fldCharType="end"/>
            </w:r>
          </w:hyperlink>
        </w:p>
        <w:p w14:paraId="299E24CE" w14:textId="62BA82F7" w:rsidR="009E6E91" w:rsidRPr="009E6E91" w:rsidRDefault="008F4DDF">
          <w:pPr>
            <w:pStyle w:val="TOC3"/>
            <w:tabs>
              <w:tab w:val="right" w:leader="dot" w:pos="8630"/>
            </w:tabs>
            <w:rPr>
              <w:rFonts w:ascii="Times New Roman" w:hAnsi="Times New Roman" w:cs="Times New Roman"/>
              <w:noProof/>
              <w:sz w:val="24"/>
              <w:szCs w:val="24"/>
            </w:rPr>
          </w:pPr>
          <w:hyperlink w:anchor="_Toc154836878" w:history="1">
            <w:r w:rsidR="009E6E91" w:rsidRPr="009E6E91">
              <w:rPr>
                <w:rStyle w:val="Hyperlink"/>
                <w:rFonts w:ascii="Times New Roman" w:hAnsi="Times New Roman" w:cs="Times New Roman"/>
                <w:noProof/>
                <w:sz w:val="24"/>
                <w:szCs w:val="24"/>
              </w:rPr>
              <w:t>4.1.4 Adaptation to New Regulatory Reporting and Disclosure Standards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_Toc154836878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8</w:t>
            </w:r>
            <w:r w:rsidR="009E6E91" w:rsidRPr="009E6E91">
              <w:rPr>
                <w:rFonts w:ascii="Times New Roman" w:hAnsi="Times New Roman" w:cs="Times New Roman"/>
                <w:noProof/>
                <w:webHidden/>
                <w:sz w:val="24"/>
                <w:szCs w:val="24"/>
              </w:rPr>
              <w:fldChar w:fldCharType="end"/>
            </w:r>
          </w:hyperlink>
        </w:p>
        <w:p w14:paraId="32F6B11A" w14:textId="1C8B5342" w:rsidR="009E6E91" w:rsidRPr="009E6E91" w:rsidRDefault="008F4DDF">
          <w:pPr>
            <w:pStyle w:val="TOC3"/>
            <w:tabs>
              <w:tab w:val="right" w:leader="dot" w:pos="8630"/>
            </w:tabs>
            <w:rPr>
              <w:rFonts w:ascii="Times New Roman" w:hAnsi="Times New Roman" w:cs="Times New Roman"/>
              <w:noProof/>
              <w:sz w:val="24"/>
              <w:szCs w:val="24"/>
            </w:rPr>
          </w:pPr>
          <w:hyperlink w:anchor="_Toc154836879" w:history="1">
            <w:r w:rsidR="009E6E91" w:rsidRPr="009E6E91">
              <w:rPr>
                <w:rStyle w:val="Hyperlink"/>
                <w:rFonts w:ascii="Times New Roman" w:hAnsi="Times New Roman" w:cs="Times New Roman"/>
                <w:noProof/>
                <w:sz w:val="24"/>
                <w:szCs w:val="24"/>
              </w:rPr>
              <w:t>4.1.5 Changes in Trading and Investment Strategies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_Toc154836879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8</w:t>
            </w:r>
            <w:r w:rsidR="009E6E91" w:rsidRPr="009E6E91">
              <w:rPr>
                <w:rFonts w:ascii="Times New Roman" w:hAnsi="Times New Roman" w:cs="Times New Roman"/>
                <w:noProof/>
                <w:webHidden/>
                <w:sz w:val="24"/>
                <w:szCs w:val="24"/>
              </w:rPr>
              <w:fldChar w:fldCharType="end"/>
            </w:r>
          </w:hyperlink>
        </w:p>
        <w:p w14:paraId="3CF50A1D" w14:textId="01E65D1B" w:rsidR="009E6E91" w:rsidRPr="009E6E91" w:rsidRDefault="008F4DDF">
          <w:pPr>
            <w:pStyle w:val="TOC2"/>
            <w:tabs>
              <w:tab w:val="right" w:leader="dot" w:pos="8630"/>
            </w:tabs>
            <w:rPr>
              <w:rFonts w:ascii="Times New Roman" w:hAnsi="Times New Roman" w:cs="Times New Roman"/>
              <w:noProof/>
              <w:sz w:val="24"/>
              <w:szCs w:val="24"/>
            </w:rPr>
          </w:pPr>
          <w:hyperlink w:anchor="_Toc154836880" w:history="1">
            <w:r w:rsidR="009E6E91" w:rsidRPr="009E6E91">
              <w:rPr>
                <w:rStyle w:val="Hyperlink"/>
                <w:rFonts w:ascii="Times New Roman" w:hAnsi="Times New Roman" w:cs="Times New Roman"/>
                <w:noProof/>
                <w:sz w:val="24"/>
                <w:szCs w:val="24"/>
              </w:rPr>
              <w:t>4.2 Impact of Reforms on Goldman Sachs' Post-Global Financial Crisis Business Model</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_Toc154836880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9</w:t>
            </w:r>
            <w:r w:rsidR="009E6E91" w:rsidRPr="009E6E91">
              <w:rPr>
                <w:rFonts w:ascii="Times New Roman" w:hAnsi="Times New Roman" w:cs="Times New Roman"/>
                <w:noProof/>
                <w:webHidden/>
                <w:sz w:val="24"/>
                <w:szCs w:val="24"/>
              </w:rPr>
              <w:fldChar w:fldCharType="end"/>
            </w:r>
          </w:hyperlink>
        </w:p>
        <w:p w14:paraId="1F91C1F2" w14:textId="60DE20E1" w:rsidR="009E6E91" w:rsidRPr="009E6E91" w:rsidRDefault="008F4DDF">
          <w:pPr>
            <w:pStyle w:val="TOC3"/>
            <w:tabs>
              <w:tab w:val="right" w:leader="dot" w:pos="8630"/>
            </w:tabs>
            <w:rPr>
              <w:rFonts w:ascii="Times New Roman" w:hAnsi="Times New Roman" w:cs="Times New Roman"/>
              <w:noProof/>
              <w:sz w:val="24"/>
              <w:szCs w:val="24"/>
            </w:rPr>
          </w:pPr>
          <w:hyperlink w:anchor="_Toc154836881" w:history="1">
            <w:r w:rsidR="009E6E91" w:rsidRPr="009E6E91">
              <w:rPr>
                <w:rStyle w:val="Hyperlink"/>
                <w:rFonts w:ascii="Times New Roman" w:hAnsi="Times New Roman" w:cs="Times New Roman"/>
                <w:noProof/>
                <w:sz w:val="24"/>
                <w:szCs w:val="24"/>
              </w:rPr>
              <w:t>4.2.1 Increased Compliance Costs and Regulatory Burden</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_Toc154836881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9</w:t>
            </w:r>
            <w:r w:rsidR="009E6E91" w:rsidRPr="009E6E91">
              <w:rPr>
                <w:rFonts w:ascii="Times New Roman" w:hAnsi="Times New Roman" w:cs="Times New Roman"/>
                <w:noProof/>
                <w:webHidden/>
                <w:sz w:val="24"/>
                <w:szCs w:val="24"/>
              </w:rPr>
              <w:fldChar w:fldCharType="end"/>
            </w:r>
          </w:hyperlink>
        </w:p>
        <w:p w14:paraId="35CA185D" w14:textId="5585D3CB" w:rsidR="009E6E91" w:rsidRPr="009E6E91" w:rsidRDefault="008F4DDF">
          <w:pPr>
            <w:pStyle w:val="TOC3"/>
            <w:tabs>
              <w:tab w:val="right" w:leader="dot" w:pos="8630"/>
            </w:tabs>
            <w:rPr>
              <w:rFonts w:ascii="Times New Roman" w:hAnsi="Times New Roman" w:cs="Times New Roman"/>
              <w:noProof/>
              <w:sz w:val="24"/>
              <w:szCs w:val="24"/>
            </w:rPr>
          </w:pPr>
          <w:hyperlink w:anchor="_Toc154836882" w:history="1">
            <w:r w:rsidR="009E6E91" w:rsidRPr="009E6E91">
              <w:rPr>
                <w:rStyle w:val="Hyperlink"/>
                <w:rFonts w:ascii="Times New Roman" w:hAnsi="Times New Roman" w:cs="Times New Roman"/>
                <w:noProof/>
                <w:sz w:val="24"/>
                <w:szCs w:val="24"/>
              </w:rPr>
              <w:t>4.2.2 Shift towards Safer and More Sustainable Business Practices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_Toc154836882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9</w:t>
            </w:r>
            <w:r w:rsidR="009E6E91" w:rsidRPr="009E6E91">
              <w:rPr>
                <w:rFonts w:ascii="Times New Roman" w:hAnsi="Times New Roman" w:cs="Times New Roman"/>
                <w:noProof/>
                <w:webHidden/>
                <w:sz w:val="24"/>
                <w:szCs w:val="24"/>
              </w:rPr>
              <w:fldChar w:fldCharType="end"/>
            </w:r>
          </w:hyperlink>
        </w:p>
        <w:p w14:paraId="25156B26" w14:textId="45970C4D" w:rsidR="009E6E91" w:rsidRPr="009E6E91" w:rsidRDefault="008F4DDF">
          <w:pPr>
            <w:pStyle w:val="TOC3"/>
            <w:tabs>
              <w:tab w:val="right" w:leader="dot" w:pos="8630"/>
            </w:tabs>
            <w:rPr>
              <w:rFonts w:ascii="Times New Roman" w:hAnsi="Times New Roman" w:cs="Times New Roman"/>
              <w:noProof/>
              <w:sz w:val="24"/>
              <w:szCs w:val="24"/>
            </w:rPr>
          </w:pPr>
          <w:hyperlink w:anchor="_Toc154836883" w:history="1">
            <w:r w:rsidR="009E6E91" w:rsidRPr="009E6E91">
              <w:rPr>
                <w:rStyle w:val="Hyperlink"/>
                <w:rFonts w:ascii="Times New Roman" w:hAnsi="Times New Roman" w:cs="Times New Roman"/>
                <w:noProof/>
                <w:sz w:val="24"/>
                <w:szCs w:val="24"/>
              </w:rPr>
              <w:t>4.2.3 Emphasis on Long-Term Client Relationships and Trust</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_Toc154836883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9</w:t>
            </w:r>
            <w:r w:rsidR="009E6E91" w:rsidRPr="009E6E91">
              <w:rPr>
                <w:rFonts w:ascii="Times New Roman" w:hAnsi="Times New Roman" w:cs="Times New Roman"/>
                <w:noProof/>
                <w:webHidden/>
                <w:sz w:val="24"/>
                <w:szCs w:val="24"/>
              </w:rPr>
              <w:fldChar w:fldCharType="end"/>
            </w:r>
          </w:hyperlink>
        </w:p>
        <w:p w14:paraId="41BC4F98" w14:textId="2FA1040B" w:rsidR="009E6E91" w:rsidRPr="009E6E91" w:rsidRDefault="008F4DDF">
          <w:pPr>
            <w:pStyle w:val="TOC3"/>
            <w:tabs>
              <w:tab w:val="right" w:leader="dot" w:pos="8630"/>
            </w:tabs>
            <w:rPr>
              <w:rFonts w:ascii="Times New Roman" w:hAnsi="Times New Roman" w:cs="Times New Roman"/>
              <w:noProof/>
              <w:sz w:val="24"/>
              <w:szCs w:val="24"/>
            </w:rPr>
          </w:pPr>
          <w:hyperlink w:anchor="_Toc154836884" w:history="1">
            <w:r w:rsidR="009E6E91" w:rsidRPr="009E6E91">
              <w:rPr>
                <w:rStyle w:val="Hyperlink"/>
                <w:rFonts w:ascii="Times New Roman" w:hAnsi="Times New Roman" w:cs="Times New Roman"/>
                <w:noProof/>
                <w:sz w:val="24"/>
                <w:szCs w:val="24"/>
              </w:rPr>
              <w:t>4.2.4 Enhanced Risk Management and Internal Controls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_Toc154836884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9</w:t>
            </w:r>
            <w:r w:rsidR="009E6E91" w:rsidRPr="009E6E91">
              <w:rPr>
                <w:rFonts w:ascii="Times New Roman" w:hAnsi="Times New Roman" w:cs="Times New Roman"/>
                <w:noProof/>
                <w:webHidden/>
                <w:sz w:val="24"/>
                <w:szCs w:val="24"/>
              </w:rPr>
              <w:fldChar w:fldCharType="end"/>
            </w:r>
          </w:hyperlink>
        </w:p>
        <w:p w14:paraId="70465C4C" w14:textId="5532C6DD" w:rsidR="009E6E91" w:rsidRPr="009E6E91" w:rsidRDefault="008F4DDF">
          <w:pPr>
            <w:pStyle w:val="TOC3"/>
            <w:tabs>
              <w:tab w:val="right" w:leader="dot" w:pos="8630"/>
            </w:tabs>
            <w:rPr>
              <w:rFonts w:ascii="Times New Roman" w:hAnsi="Times New Roman" w:cs="Times New Roman"/>
              <w:noProof/>
              <w:sz w:val="24"/>
              <w:szCs w:val="24"/>
            </w:rPr>
          </w:pPr>
          <w:hyperlink w:anchor="_Toc154836885" w:history="1">
            <w:r w:rsidR="009E6E91" w:rsidRPr="009E6E91">
              <w:rPr>
                <w:rStyle w:val="Hyperlink"/>
                <w:rFonts w:ascii="Times New Roman" w:hAnsi="Times New Roman" w:cs="Times New Roman"/>
                <w:noProof/>
                <w:sz w:val="24"/>
                <w:szCs w:val="24"/>
              </w:rPr>
              <w:t>4.2.5 Embracing Technological Innovations for Efficiency and Compliance</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_Toc154836885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10</w:t>
            </w:r>
            <w:r w:rsidR="009E6E91" w:rsidRPr="009E6E91">
              <w:rPr>
                <w:rFonts w:ascii="Times New Roman" w:hAnsi="Times New Roman" w:cs="Times New Roman"/>
                <w:noProof/>
                <w:webHidden/>
                <w:sz w:val="24"/>
                <w:szCs w:val="24"/>
              </w:rPr>
              <w:fldChar w:fldCharType="end"/>
            </w:r>
          </w:hyperlink>
        </w:p>
        <w:p w14:paraId="564FC6E5" w14:textId="6C32422B" w:rsidR="009E6E91" w:rsidRPr="009E6E91" w:rsidRDefault="008F4DDF">
          <w:pPr>
            <w:pStyle w:val="TOC1"/>
            <w:tabs>
              <w:tab w:val="right" w:leader="dot" w:pos="8630"/>
            </w:tabs>
            <w:rPr>
              <w:rFonts w:ascii="Times New Roman" w:hAnsi="Times New Roman" w:cs="Times New Roman"/>
              <w:noProof/>
              <w:sz w:val="24"/>
              <w:szCs w:val="24"/>
            </w:rPr>
          </w:pPr>
          <w:hyperlink w:anchor="_Toc154836886" w:history="1">
            <w:r w:rsidR="009E6E91" w:rsidRPr="009E6E91">
              <w:rPr>
                <w:rStyle w:val="Hyperlink"/>
                <w:rFonts w:ascii="Times New Roman" w:hAnsi="Times New Roman" w:cs="Times New Roman"/>
                <w:noProof/>
                <w:sz w:val="24"/>
                <w:szCs w:val="24"/>
              </w:rPr>
              <w:t>References</w:t>
            </w:r>
            <w:r w:rsidR="009E6E91" w:rsidRPr="009E6E91">
              <w:rPr>
                <w:rFonts w:ascii="Times New Roman" w:hAnsi="Times New Roman" w:cs="Times New Roman"/>
                <w:noProof/>
                <w:webHidden/>
                <w:sz w:val="24"/>
                <w:szCs w:val="24"/>
              </w:rPr>
              <w:tab/>
            </w:r>
            <w:r w:rsidR="009E6E91" w:rsidRPr="009E6E91">
              <w:rPr>
                <w:rFonts w:ascii="Times New Roman" w:hAnsi="Times New Roman" w:cs="Times New Roman"/>
                <w:noProof/>
                <w:webHidden/>
                <w:sz w:val="24"/>
                <w:szCs w:val="24"/>
              </w:rPr>
              <w:fldChar w:fldCharType="begin"/>
            </w:r>
            <w:r w:rsidR="009E6E91" w:rsidRPr="009E6E91">
              <w:rPr>
                <w:rFonts w:ascii="Times New Roman" w:hAnsi="Times New Roman" w:cs="Times New Roman"/>
                <w:noProof/>
                <w:webHidden/>
                <w:sz w:val="24"/>
                <w:szCs w:val="24"/>
              </w:rPr>
              <w:instrText xml:space="preserve"> PAGEREF _Toc154836886 \h </w:instrText>
            </w:r>
            <w:r w:rsidR="009E6E91" w:rsidRPr="009E6E91">
              <w:rPr>
                <w:rFonts w:ascii="Times New Roman" w:hAnsi="Times New Roman" w:cs="Times New Roman"/>
                <w:noProof/>
                <w:webHidden/>
                <w:sz w:val="24"/>
                <w:szCs w:val="24"/>
              </w:rPr>
            </w:r>
            <w:r w:rsidR="009E6E91" w:rsidRPr="009E6E91">
              <w:rPr>
                <w:rFonts w:ascii="Times New Roman" w:hAnsi="Times New Roman" w:cs="Times New Roman"/>
                <w:noProof/>
                <w:webHidden/>
                <w:sz w:val="24"/>
                <w:szCs w:val="24"/>
              </w:rPr>
              <w:fldChar w:fldCharType="separate"/>
            </w:r>
            <w:r w:rsidR="00223368">
              <w:rPr>
                <w:rFonts w:ascii="Times New Roman" w:hAnsi="Times New Roman" w:cs="Times New Roman"/>
                <w:noProof/>
                <w:webHidden/>
                <w:sz w:val="24"/>
                <w:szCs w:val="24"/>
              </w:rPr>
              <w:t>10</w:t>
            </w:r>
            <w:r w:rsidR="009E6E91" w:rsidRPr="009E6E91">
              <w:rPr>
                <w:rFonts w:ascii="Times New Roman" w:hAnsi="Times New Roman" w:cs="Times New Roman"/>
                <w:noProof/>
                <w:webHidden/>
                <w:sz w:val="24"/>
                <w:szCs w:val="24"/>
              </w:rPr>
              <w:fldChar w:fldCharType="end"/>
            </w:r>
          </w:hyperlink>
        </w:p>
        <w:p w14:paraId="1C3AD957" w14:textId="4ACFF53D" w:rsidR="009E6E91" w:rsidRDefault="009E6E91">
          <w:r w:rsidRPr="009E6E91">
            <w:rPr>
              <w:rFonts w:ascii="Times New Roman" w:hAnsi="Times New Roman" w:cs="Times New Roman"/>
              <w:b/>
              <w:bCs/>
              <w:noProof/>
              <w:sz w:val="24"/>
              <w:szCs w:val="24"/>
            </w:rPr>
            <w:fldChar w:fldCharType="end"/>
          </w:r>
        </w:p>
      </w:sdtContent>
    </w:sdt>
    <w:p w14:paraId="236214FD" w14:textId="77777777" w:rsidR="006F4F55" w:rsidRDefault="006F4F55" w:rsidP="006F4F55">
      <w:pPr>
        <w:jc w:val="both"/>
        <w:rPr>
          <w:rFonts w:ascii="Times New Roman" w:hAnsi="Times New Roman" w:cs="Times New Roman"/>
          <w:b/>
          <w:bCs/>
          <w:sz w:val="24"/>
          <w:szCs w:val="24"/>
        </w:rPr>
      </w:pPr>
    </w:p>
    <w:p w14:paraId="5E4A9B10" w14:textId="77777777" w:rsidR="006F4F55" w:rsidRDefault="006F4F55" w:rsidP="006F4F55">
      <w:pPr>
        <w:jc w:val="center"/>
        <w:rPr>
          <w:rFonts w:ascii="Times New Roman" w:hAnsi="Times New Roman" w:cs="Times New Roman"/>
          <w:b/>
          <w:bCs/>
          <w:sz w:val="24"/>
          <w:szCs w:val="24"/>
        </w:rPr>
      </w:pPr>
    </w:p>
    <w:p w14:paraId="758AE8A6" w14:textId="77777777" w:rsidR="006F4F55" w:rsidRDefault="006F4F55" w:rsidP="006F4F55">
      <w:pPr>
        <w:jc w:val="center"/>
        <w:rPr>
          <w:rFonts w:ascii="Times New Roman" w:hAnsi="Times New Roman" w:cs="Times New Roman"/>
          <w:b/>
          <w:bCs/>
          <w:sz w:val="24"/>
          <w:szCs w:val="24"/>
        </w:rPr>
      </w:pPr>
    </w:p>
    <w:p w14:paraId="0242059B" w14:textId="77777777" w:rsidR="006F4F55" w:rsidRDefault="006F4F55" w:rsidP="006F4F55">
      <w:pPr>
        <w:jc w:val="center"/>
        <w:rPr>
          <w:rFonts w:ascii="Times New Roman" w:hAnsi="Times New Roman" w:cs="Times New Roman"/>
          <w:b/>
          <w:bCs/>
          <w:sz w:val="24"/>
          <w:szCs w:val="24"/>
        </w:rPr>
      </w:pPr>
    </w:p>
    <w:p w14:paraId="086913AB" w14:textId="77777777" w:rsidR="006F4F55" w:rsidRDefault="006F4F55" w:rsidP="006F4F55">
      <w:pPr>
        <w:jc w:val="center"/>
        <w:rPr>
          <w:rFonts w:ascii="Times New Roman" w:hAnsi="Times New Roman" w:cs="Times New Roman"/>
          <w:b/>
          <w:bCs/>
          <w:sz w:val="24"/>
          <w:szCs w:val="24"/>
        </w:rPr>
      </w:pPr>
    </w:p>
    <w:p w14:paraId="00E64868" w14:textId="77777777" w:rsidR="006F4F55" w:rsidRDefault="006F4F55" w:rsidP="006F4F55">
      <w:pPr>
        <w:jc w:val="center"/>
        <w:rPr>
          <w:rFonts w:ascii="Times New Roman" w:hAnsi="Times New Roman" w:cs="Times New Roman"/>
          <w:b/>
          <w:bCs/>
          <w:sz w:val="24"/>
          <w:szCs w:val="24"/>
        </w:rPr>
      </w:pPr>
    </w:p>
    <w:p w14:paraId="1868D44C" w14:textId="77777777" w:rsidR="006F4F55" w:rsidRDefault="006F4F55" w:rsidP="006F4F55">
      <w:pPr>
        <w:jc w:val="center"/>
        <w:rPr>
          <w:rFonts w:ascii="Times New Roman" w:hAnsi="Times New Roman" w:cs="Times New Roman"/>
          <w:b/>
          <w:bCs/>
          <w:sz w:val="24"/>
          <w:szCs w:val="24"/>
        </w:rPr>
      </w:pPr>
    </w:p>
    <w:p w14:paraId="4325048B" w14:textId="77777777" w:rsidR="006F4F55" w:rsidRDefault="006F4F55" w:rsidP="006F4F55">
      <w:pPr>
        <w:jc w:val="center"/>
        <w:rPr>
          <w:rFonts w:ascii="Times New Roman" w:hAnsi="Times New Roman" w:cs="Times New Roman"/>
          <w:b/>
          <w:bCs/>
          <w:sz w:val="24"/>
          <w:szCs w:val="24"/>
        </w:rPr>
      </w:pPr>
    </w:p>
    <w:p w14:paraId="00CA60D0" w14:textId="77777777" w:rsidR="006F4F55" w:rsidRDefault="006F4F55" w:rsidP="006F4F55">
      <w:pPr>
        <w:jc w:val="center"/>
        <w:rPr>
          <w:rFonts w:ascii="Times New Roman" w:hAnsi="Times New Roman" w:cs="Times New Roman"/>
          <w:b/>
          <w:bCs/>
          <w:sz w:val="24"/>
          <w:szCs w:val="24"/>
        </w:rPr>
      </w:pPr>
    </w:p>
    <w:p w14:paraId="246AB97B" w14:textId="77777777" w:rsidR="006F4F55" w:rsidRDefault="006F4F55" w:rsidP="006F4F55">
      <w:pPr>
        <w:jc w:val="center"/>
        <w:rPr>
          <w:rFonts w:ascii="Times New Roman" w:hAnsi="Times New Roman" w:cs="Times New Roman"/>
          <w:b/>
          <w:bCs/>
          <w:sz w:val="24"/>
          <w:szCs w:val="24"/>
        </w:rPr>
      </w:pPr>
    </w:p>
    <w:p w14:paraId="012CEAC6" w14:textId="77777777" w:rsidR="006F4F55" w:rsidRDefault="006F4F55" w:rsidP="006F4F55">
      <w:pPr>
        <w:jc w:val="center"/>
        <w:rPr>
          <w:rFonts w:ascii="Times New Roman" w:hAnsi="Times New Roman" w:cs="Times New Roman"/>
          <w:b/>
          <w:bCs/>
          <w:sz w:val="24"/>
          <w:szCs w:val="24"/>
        </w:rPr>
      </w:pPr>
    </w:p>
    <w:p w14:paraId="6D41F43B" w14:textId="77777777" w:rsidR="006F4F55" w:rsidRDefault="006F4F55" w:rsidP="006F4F55">
      <w:pPr>
        <w:jc w:val="center"/>
        <w:rPr>
          <w:rFonts w:ascii="Times New Roman" w:hAnsi="Times New Roman" w:cs="Times New Roman"/>
          <w:b/>
          <w:bCs/>
          <w:sz w:val="24"/>
          <w:szCs w:val="24"/>
        </w:rPr>
      </w:pPr>
    </w:p>
    <w:p w14:paraId="629E2FC7" w14:textId="77777777" w:rsidR="009E6E91" w:rsidRDefault="009E6E91" w:rsidP="009E6E91">
      <w:pPr>
        <w:rPr>
          <w:rFonts w:ascii="Times New Roman" w:hAnsi="Times New Roman" w:cs="Times New Roman"/>
          <w:b/>
          <w:bCs/>
          <w:sz w:val="24"/>
          <w:szCs w:val="24"/>
        </w:rPr>
        <w:sectPr w:rsidR="009E6E91" w:rsidSect="00034616">
          <w:footerReference w:type="default" r:id="rId9"/>
          <w:pgSz w:w="12240" w:h="15840"/>
          <w:pgMar w:top="1440" w:right="1800" w:bottom="1440" w:left="1800" w:header="720" w:footer="720" w:gutter="0"/>
          <w:cols w:space="720"/>
          <w:docGrid w:linePitch="360"/>
        </w:sectPr>
      </w:pPr>
    </w:p>
    <w:p w14:paraId="6F390AC3" w14:textId="30A00FBC" w:rsidR="00372498" w:rsidRPr="00011120" w:rsidRDefault="008F4DDF" w:rsidP="009E6E91">
      <w:pPr>
        <w:pStyle w:val="Heading1"/>
        <w:rPr>
          <w:rFonts w:ascii="Times New Roman" w:hAnsi="Times New Roman" w:cs="Times New Roman"/>
          <w:color w:val="auto"/>
          <w:sz w:val="24"/>
          <w:szCs w:val="24"/>
        </w:rPr>
      </w:pPr>
      <w:bookmarkStart w:id="1" w:name="_Toc154836851"/>
      <w:r w:rsidRPr="00011120">
        <w:rPr>
          <w:rFonts w:ascii="Times New Roman" w:hAnsi="Times New Roman" w:cs="Times New Roman"/>
          <w:color w:val="auto"/>
          <w:sz w:val="24"/>
          <w:szCs w:val="24"/>
        </w:rPr>
        <w:lastRenderedPageBreak/>
        <w:t>1</w:t>
      </w:r>
      <w:r w:rsidR="00DB4046">
        <w:rPr>
          <w:rFonts w:ascii="Times New Roman" w:hAnsi="Times New Roman" w:cs="Times New Roman"/>
          <w:color w:val="auto"/>
          <w:sz w:val="24"/>
          <w:szCs w:val="24"/>
        </w:rPr>
        <w:t xml:space="preserve">. </w:t>
      </w:r>
      <w:r w:rsidRPr="00011120">
        <w:rPr>
          <w:rFonts w:ascii="Times New Roman" w:hAnsi="Times New Roman" w:cs="Times New Roman"/>
          <w:color w:val="auto"/>
          <w:sz w:val="24"/>
          <w:szCs w:val="24"/>
        </w:rPr>
        <w:t>Key Laws, Regulations, and Contracts Enacted by US Regulatory Agencies</w:t>
      </w:r>
      <w:bookmarkEnd w:id="1"/>
    </w:p>
    <w:p w14:paraId="7A5ED379" w14:textId="59CD0475"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In the aftermath of the 2008 financial crisis, US regulatory agencies implemented a series of crucial laws, contracts and regulations devised to confront and rectify the systemic </w:t>
      </w:r>
      <w:r w:rsidRPr="00011120">
        <w:rPr>
          <w:rFonts w:ascii="Times New Roman" w:hAnsi="Times New Roman" w:cs="Times New Roman"/>
          <w:sz w:val="24"/>
          <w:szCs w:val="24"/>
        </w:rPr>
        <w:t>weaknesses that led to the disastrous downturn</w:t>
      </w:r>
      <w:r w:rsidR="00D651BB">
        <w:rPr>
          <w:rFonts w:ascii="Times New Roman" w:hAnsi="Times New Roman" w:cs="Times New Roman"/>
          <w:sz w:val="24"/>
          <w:szCs w:val="24"/>
        </w:rPr>
        <w:t xml:space="preserve"> (</w:t>
      </w:r>
      <w:r w:rsidR="00D651BB" w:rsidRPr="00D651BB">
        <w:rPr>
          <w:rFonts w:ascii="Times New Roman" w:hAnsi="Times New Roman" w:cs="Times New Roman"/>
          <w:sz w:val="24"/>
          <w:szCs w:val="24"/>
        </w:rPr>
        <w:t>Lo</w:t>
      </w:r>
      <w:r w:rsidR="00D651BB">
        <w:rPr>
          <w:rFonts w:ascii="Times New Roman" w:hAnsi="Times New Roman" w:cs="Times New Roman"/>
          <w:sz w:val="24"/>
          <w:szCs w:val="24"/>
        </w:rPr>
        <w:t>,</w:t>
      </w:r>
      <w:r w:rsidR="00D651BB" w:rsidRPr="00D651BB">
        <w:rPr>
          <w:rFonts w:ascii="Times New Roman" w:hAnsi="Times New Roman" w:cs="Times New Roman"/>
          <w:sz w:val="24"/>
          <w:szCs w:val="24"/>
        </w:rPr>
        <w:t xml:space="preserve"> 2009.</w:t>
      </w:r>
      <w:r w:rsidR="00D651BB">
        <w:rPr>
          <w:rFonts w:ascii="Times New Roman" w:hAnsi="Times New Roman" w:cs="Times New Roman"/>
          <w:sz w:val="24"/>
          <w:szCs w:val="24"/>
        </w:rPr>
        <w:t>)</w:t>
      </w:r>
      <w:r w:rsidR="00D651BB" w:rsidRPr="00011120">
        <w:rPr>
          <w:rFonts w:ascii="Times New Roman" w:hAnsi="Times New Roman" w:cs="Times New Roman"/>
          <w:sz w:val="24"/>
          <w:szCs w:val="24"/>
        </w:rPr>
        <w:t>.</w:t>
      </w:r>
      <w:r w:rsidR="00D651BB">
        <w:rPr>
          <w:rFonts w:ascii="Times New Roman" w:hAnsi="Times New Roman" w:cs="Times New Roman"/>
          <w:sz w:val="24"/>
          <w:szCs w:val="24"/>
        </w:rPr>
        <w:t xml:space="preserve"> The regulation </w:t>
      </w:r>
      <w:r w:rsidRPr="00011120">
        <w:rPr>
          <w:rFonts w:ascii="Times New Roman" w:hAnsi="Times New Roman" w:cs="Times New Roman"/>
          <w:sz w:val="24"/>
          <w:szCs w:val="24"/>
        </w:rPr>
        <w:t>enforce</w:t>
      </w:r>
      <w:r w:rsidR="00D651BB">
        <w:rPr>
          <w:rFonts w:ascii="Times New Roman" w:hAnsi="Times New Roman" w:cs="Times New Roman"/>
          <w:sz w:val="24"/>
          <w:szCs w:val="24"/>
        </w:rPr>
        <w:t>d</w:t>
      </w:r>
      <w:r w:rsidRPr="00011120">
        <w:rPr>
          <w:rFonts w:ascii="Times New Roman" w:hAnsi="Times New Roman" w:cs="Times New Roman"/>
          <w:sz w:val="24"/>
          <w:szCs w:val="24"/>
        </w:rPr>
        <w:t xml:space="preserve"> financial stability, secure consumer protection, and bolster regulatory supervision of the financial </w:t>
      </w:r>
      <w:r w:rsidR="00D651BB">
        <w:rPr>
          <w:rFonts w:ascii="Times New Roman" w:hAnsi="Times New Roman" w:cs="Times New Roman"/>
          <w:sz w:val="24"/>
          <w:szCs w:val="24"/>
        </w:rPr>
        <w:t>sector</w:t>
      </w:r>
      <w:r w:rsidRPr="00011120">
        <w:rPr>
          <w:rFonts w:ascii="Times New Roman" w:hAnsi="Times New Roman" w:cs="Times New Roman"/>
          <w:sz w:val="24"/>
          <w:szCs w:val="24"/>
        </w:rPr>
        <w:t xml:space="preserve">. </w:t>
      </w:r>
      <w:r w:rsidR="00D651BB">
        <w:rPr>
          <w:rFonts w:ascii="Times New Roman" w:hAnsi="Times New Roman" w:cs="Times New Roman"/>
          <w:sz w:val="24"/>
          <w:szCs w:val="24"/>
        </w:rPr>
        <w:t>The</w:t>
      </w:r>
      <w:r w:rsidRPr="00011120">
        <w:rPr>
          <w:rFonts w:ascii="Times New Roman" w:hAnsi="Times New Roman" w:cs="Times New Roman"/>
          <w:sz w:val="24"/>
          <w:szCs w:val="24"/>
        </w:rPr>
        <w:t xml:space="preserve"> initiatives</w:t>
      </w:r>
      <w:r w:rsidR="00D651BB">
        <w:rPr>
          <w:rFonts w:ascii="Times New Roman" w:hAnsi="Times New Roman" w:cs="Times New Roman"/>
          <w:sz w:val="24"/>
          <w:szCs w:val="24"/>
        </w:rPr>
        <w:t xml:space="preserve"> of the regulation</w:t>
      </w:r>
      <w:r w:rsidRPr="00011120">
        <w:rPr>
          <w:rFonts w:ascii="Times New Roman" w:hAnsi="Times New Roman" w:cs="Times New Roman"/>
          <w:sz w:val="24"/>
          <w:szCs w:val="24"/>
        </w:rPr>
        <w:t xml:space="preserve"> put forth stringent capital a</w:t>
      </w:r>
      <w:r w:rsidRPr="00011120">
        <w:rPr>
          <w:rFonts w:ascii="Times New Roman" w:hAnsi="Times New Roman" w:cs="Times New Roman"/>
          <w:sz w:val="24"/>
          <w:szCs w:val="24"/>
        </w:rPr>
        <w:t>dequacy standards, robust risk management protocols and a heightened focus on liquidity and disclosure</w:t>
      </w:r>
      <w:r w:rsidR="00D651BB">
        <w:rPr>
          <w:rFonts w:ascii="Times New Roman" w:hAnsi="Times New Roman" w:cs="Times New Roman"/>
          <w:sz w:val="24"/>
          <w:szCs w:val="24"/>
        </w:rPr>
        <w:t xml:space="preserve"> (</w:t>
      </w:r>
      <w:r w:rsidR="00D651BB" w:rsidRPr="00D651BB">
        <w:rPr>
          <w:rFonts w:ascii="Times New Roman" w:hAnsi="Times New Roman" w:cs="Times New Roman"/>
          <w:sz w:val="24"/>
          <w:szCs w:val="24"/>
        </w:rPr>
        <w:t>Miele</w:t>
      </w:r>
      <w:r w:rsidR="00D651BB">
        <w:rPr>
          <w:rFonts w:ascii="Times New Roman" w:hAnsi="Times New Roman" w:cs="Times New Roman"/>
          <w:sz w:val="24"/>
          <w:szCs w:val="24"/>
        </w:rPr>
        <w:t xml:space="preserve"> </w:t>
      </w:r>
      <w:r w:rsidR="00D651BB" w:rsidRPr="00D651BB">
        <w:rPr>
          <w:rFonts w:ascii="Times New Roman" w:hAnsi="Times New Roman" w:cs="Times New Roman"/>
          <w:sz w:val="24"/>
          <w:szCs w:val="24"/>
        </w:rPr>
        <w:t>and Sales,2011</w:t>
      </w:r>
      <w:r w:rsidR="00D651BB">
        <w:rPr>
          <w:rFonts w:ascii="Times New Roman" w:hAnsi="Times New Roman" w:cs="Times New Roman"/>
          <w:sz w:val="24"/>
          <w:szCs w:val="24"/>
        </w:rPr>
        <w:t>)</w:t>
      </w:r>
      <w:r w:rsidRPr="00011120">
        <w:rPr>
          <w:rFonts w:ascii="Times New Roman" w:hAnsi="Times New Roman" w:cs="Times New Roman"/>
          <w:sz w:val="24"/>
          <w:szCs w:val="24"/>
        </w:rPr>
        <w:t>. Moreover, regulatory oversight and supervision were amplified to ensure stringent adherence to these guidelines. Significant enti</w:t>
      </w:r>
      <w:r w:rsidRPr="00011120">
        <w:rPr>
          <w:rFonts w:ascii="Times New Roman" w:hAnsi="Times New Roman" w:cs="Times New Roman"/>
          <w:sz w:val="24"/>
          <w:szCs w:val="24"/>
        </w:rPr>
        <w:t>ties behind these widespread reforms were Dodd-Frank Wall Street Reform and Consumer Protection Act, the Volcker Rule, the Financial Stability Oversight Council (FSOC), and the Securities and Exchange Commission (SEC)</w:t>
      </w:r>
      <w:r w:rsidR="00D651BB">
        <w:rPr>
          <w:rFonts w:ascii="Times New Roman" w:hAnsi="Times New Roman" w:cs="Times New Roman"/>
          <w:sz w:val="24"/>
          <w:szCs w:val="24"/>
        </w:rPr>
        <w:t xml:space="preserve"> (</w:t>
      </w:r>
      <w:r w:rsidR="00D651BB" w:rsidRPr="00D651BB">
        <w:rPr>
          <w:rFonts w:ascii="Times New Roman" w:hAnsi="Times New Roman" w:cs="Times New Roman"/>
          <w:sz w:val="24"/>
          <w:szCs w:val="24"/>
        </w:rPr>
        <w:t>Chappe</w:t>
      </w:r>
      <w:r w:rsidR="00D651BB">
        <w:rPr>
          <w:rFonts w:ascii="Times New Roman" w:hAnsi="Times New Roman" w:cs="Times New Roman"/>
          <w:sz w:val="24"/>
          <w:szCs w:val="24"/>
        </w:rPr>
        <w:t xml:space="preserve"> et al., 2013)</w:t>
      </w:r>
      <w:r w:rsidRPr="00011120">
        <w:rPr>
          <w:rFonts w:ascii="Times New Roman" w:hAnsi="Times New Roman" w:cs="Times New Roman"/>
          <w:sz w:val="24"/>
          <w:szCs w:val="24"/>
        </w:rPr>
        <w:t>.</w:t>
      </w:r>
    </w:p>
    <w:p w14:paraId="22E3B3E2" w14:textId="61291055" w:rsidR="00372498" w:rsidRPr="00011120" w:rsidRDefault="008F4DDF" w:rsidP="009E6E91">
      <w:pPr>
        <w:pStyle w:val="Heading2"/>
        <w:rPr>
          <w:rFonts w:ascii="Times New Roman" w:hAnsi="Times New Roman" w:cs="Times New Roman"/>
          <w:color w:val="auto"/>
          <w:sz w:val="24"/>
          <w:szCs w:val="24"/>
        </w:rPr>
      </w:pPr>
      <w:bookmarkStart w:id="2" w:name="_Toc154836852"/>
      <w:r w:rsidRPr="00011120">
        <w:rPr>
          <w:rFonts w:ascii="Times New Roman" w:hAnsi="Times New Roman" w:cs="Times New Roman"/>
          <w:color w:val="auto"/>
          <w:sz w:val="24"/>
          <w:szCs w:val="24"/>
        </w:rPr>
        <w:t xml:space="preserve">1.1 Dodd-Frank </w:t>
      </w:r>
      <w:r w:rsidRPr="00011120">
        <w:rPr>
          <w:rFonts w:ascii="Times New Roman" w:hAnsi="Times New Roman" w:cs="Times New Roman"/>
          <w:color w:val="auto"/>
          <w:sz w:val="24"/>
          <w:szCs w:val="24"/>
        </w:rPr>
        <w:t>Wall Street Reform and Consumer Protection Act</w:t>
      </w:r>
      <w:bookmarkEnd w:id="2"/>
    </w:p>
    <w:p w14:paraId="1478A05F" w14:textId="0CEEEE2B"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Formulated in 2010, the Dodd-Frank Wall Street Reform and Consumer Protection Act serves as a cornerstone legislative undertaking aimed at rectifying the root causes of the 2008 financial meltdown. It launched</w:t>
      </w:r>
      <w:r w:rsidRPr="00011120">
        <w:rPr>
          <w:rFonts w:ascii="Times New Roman" w:hAnsi="Times New Roman" w:cs="Times New Roman"/>
          <w:sz w:val="24"/>
          <w:szCs w:val="24"/>
        </w:rPr>
        <w:t xml:space="preserve"> several pivotal provisions, including the constitution of the Consumer Financial Protection Bureau (CFPB) to safeguard consumers from unethical financial dealings. Additionally, it reinforced regulatory supervision of financially systemic institutions enf</w:t>
      </w:r>
      <w:r w:rsidRPr="00011120">
        <w:rPr>
          <w:rFonts w:ascii="Times New Roman" w:hAnsi="Times New Roman" w:cs="Times New Roman"/>
          <w:sz w:val="24"/>
          <w:szCs w:val="24"/>
        </w:rPr>
        <w:t>orcing rigorous capital prerequisites, stress testing, and living wills. The Act also introduced new regulations for derivatives markets, accentuated transparency in the mortgage sector and established protocols to manage the collapse of large financial in</w:t>
      </w:r>
      <w:r w:rsidRPr="00011120">
        <w:rPr>
          <w:rFonts w:ascii="Times New Roman" w:hAnsi="Times New Roman" w:cs="Times New Roman"/>
          <w:sz w:val="24"/>
          <w:szCs w:val="24"/>
        </w:rPr>
        <w:t>stitutions. In essence, the Dodd-Frank Act was pivotal in mitigating risks and consumer protection in the aftermath of the financial crisis</w:t>
      </w:r>
      <w:r w:rsidR="00D651BB">
        <w:rPr>
          <w:rFonts w:ascii="Times New Roman" w:hAnsi="Times New Roman" w:cs="Times New Roman"/>
          <w:sz w:val="24"/>
          <w:szCs w:val="24"/>
        </w:rPr>
        <w:t xml:space="preserve"> (</w:t>
      </w:r>
      <w:r w:rsidR="00D651BB" w:rsidRPr="00D651BB">
        <w:rPr>
          <w:rFonts w:ascii="Times New Roman" w:hAnsi="Times New Roman" w:cs="Times New Roman"/>
          <w:sz w:val="24"/>
          <w:szCs w:val="24"/>
        </w:rPr>
        <w:t>Harper,2011</w:t>
      </w:r>
      <w:r w:rsidR="00D651BB">
        <w:rPr>
          <w:rFonts w:ascii="Times New Roman" w:hAnsi="Times New Roman" w:cs="Times New Roman"/>
          <w:sz w:val="24"/>
          <w:szCs w:val="24"/>
        </w:rPr>
        <w:t>)</w:t>
      </w:r>
    </w:p>
    <w:p w14:paraId="72AD29FC" w14:textId="4A638B67" w:rsidR="00372498" w:rsidRPr="00011120" w:rsidRDefault="008F4DDF" w:rsidP="009E6E91">
      <w:pPr>
        <w:pStyle w:val="Heading2"/>
        <w:rPr>
          <w:rFonts w:ascii="Times New Roman" w:hAnsi="Times New Roman" w:cs="Times New Roman"/>
          <w:color w:val="auto"/>
          <w:sz w:val="24"/>
          <w:szCs w:val="24"/>
        </w:rPr>
      </w:pPr>
      <w:bookmarkStart w:id="3" w:name="_Toc154836853"/>
      <w:r w:rsidRPr="00011120">
        <w:rPr>
          <w:rFonts w:ascii="Times New Roman" w:hAnsi="Times New Roman" w:cs="Times New Roman"/>
          <w:color w:val="auto"/>
          <w:sz w:val="24"/>
          <w:szCs w:val="24"/>
        </w:rPr>
        <w:t>1.2 Volcker Rule</w:t>
      </w:r>
      <w:bookmarkEnd w:id="3"/>
    </w:p>
    <w:p w14:paraId="7830A1B4" w14:textId="6D98C6B9"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The Volcker Rule is a prominent aspect of the Dodd-Frank Act that restricts banks fro</w:t>
      </w:r>
      <w:r w:rsidRPr="00011120">
        <w:rPr>
          <w:rFonts w:ascii="Times New Roman" w:hAnsi="Times New Roman" w:cs="Times New Roman"/>
          <w:sz w:val="24"/>
          <w:szCs w:val="24"/>
        </w:rPr>
        <w:t>m proprietary trading and curtails their capabilities to invest in select categories of hedge funds and private equity funds. Above all, it aims to deter banks from undertaking excessive risks using consumer deposits to fuel speculative ventures. By segreg</w:t>
      </w:r>
      <w:r w:rsidRPr="00011120">
        <w:rPr>
          <w:rFonts w:ascii="Times New Roman" w:hAnsi="Times New Roman" w:cs="Times New Roman"/>
          <w:sz w:val="24"/>
          <w:szCs w:val="24"/>
        </w:rPr>
        <w:t>ating risk-laden proprietary trading from traditional banking functions, the Volcker Rule enhances the robustness of financial institutions. Its execution necessitated banks to enact compliance programs, run internal risk assessments, and frequently make t</w:t>
      </w:r>
      <w:r w:rsidRPr="00011120">
        <w:rPr>
          <w:rFonts w:ascii="Times New Roman" w:hAnsi="Times New Roman" w:cs="Times New Roman"/>
          <w:sz w:val="24"/>
          <w:szCs w:val="24"/>
        </w:rPr>
        <w:t>heir trading activities transparent to the regulators. The rule has significantly reshaped the operational model of Goldman Sachs and similar institutions, curbing their trading functions while promoting more client-centric services</w:t>
      </w:r>
      <w:r w:rsidR="00D651BB">
        <w:rPr>
          <w:rFonts w:ascii="Times New Roman" w:hAnsi="Times New Roman" w:cs="Times New Roman"/>
          <w:sz w:val="24"/>
          <w:szCs w:val="24"/>
        </w:rPr>
        <w:t xml:space="preserve"> (</w:t>
      </w:r>
      <w:r w:rsidR="00D651BB" w:rsidRPr="00D651BB">
        <w:rPr>
          <w:rFonts w:ascii="Times New Roman" w:hAnsi="Times New Roman" w:cs="Times New Roman"/>
          <w:sz w:val="24"/>
          <w:szCs w:val="24"/>
        </w:rPr>
        <w:t>Whitehead, 2011</w:t>
      </w:r>
      <w:r w:rsidR="00D651BB">
        <w:rPr>
          <w:rFonts w:ascii="Times New Roman" w:hAnsi="Times New Roman" w:cs="Times New Roman"/>
          <w:sz w:val="24"/>
          <w:szCs w:val="24"/>
        </w:rPr>
        <w:t>)</w:t>
      </w:r>
      <w:r w:rsidRPr="00011120">
        <w:rPr>
          <w:rFonts w:ascii="Times New Roman" w:hAnsi="Times New Roman" w:cs="Times New Roman"/>
          <w:sz w:val="24"/>
          <w:szCs w:val="24"/>
        </w:rPr>
        <w:t>.</w:t>
      </w:r>
    </w:p>
    <w:p w14:paraId="7CB86BA6" w14:textId="42731838" w:rsidR="00372498" w:rsidRPr="00011120" w:rsidRDefault="008F4DDF" w:rsidP="009E6E91">
      <w:pPr>
        <w:pStyle w:val="Heading2"/>
        <w:rPr>
          <w:rFonts w:ascii="Times New Roman" w:hAnsi="Times New Roman" w:cs="Times New Roman"/>
          <w:color w:val="auto"/>
          <w:sz w:val="24"/>
          <w:szCs w:val="24"/>
        </w:rPr>
      </w:pPr>
      <w:bookmarkStart w:id="4" w:name="_Toc154836854"/>
      <w:r w:rsidRPr="00011120">
        <w:rPr>
          <w:rFonts w:ascii="Times New Roman" w:hAnsi="Times New Roman" w:cs="Times New Roman"/>
          <w:color w:val="auto"/>
          <w:sz w:val="24"/>
          <w:szCs w:val="24"/>
        </w:rPr>
        <w:t>1.</w:t>
      </w:r>
      <w:r w:rsidR="00DB4046">
        <w:rPr>
          <w:rFonts w:ascii="Times New Roman" w:hAnsi="Times New Roman" w:cs="Times New Roman"/>
          <w:color w:val="auto"/>
          <w:sz w:val="24"/>
          <w:szCs w:val="24"/>
        </w:rPr>
        <w:t>3</w:t>
      </w:r>
      <w:r w:rsidRPr="00011120">
        <w:rPr>
          <w:rFonts w:ascii="Times New Roman" w:hAnsi="Times New Roman" w:cs="Times New Roman"/>
          <w:color w:val="auto"/>
          <w:sz w:val="24"/>
          <w:szCs w:val="24"/>
        </w:rPr>
        <w:t xml:space="preserve"> </w:t>
      </w:r>
      <w:r w:rsidRPr="00011120">
        <w:rPr>
          <w:rFonts w:ascii="Times New Roman" w:hAnsi="Times New Roman" w:cs="Times New Roman"/>
          <w:color w:val="auto"/>
          <w:sz w:val="24"/>
          <w:szCs w:val="24"/>
        </w:rPr>
        <w:t>Financial Stability Oversight Council (FSOC)</w:t>
      </w:r>
      <w:bookmarkEnd w:id="4"/>
    </w:p>
    <w:p w14:paraId="4A06C9D9" w14:textId="72E02102"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As part of the Dodd-Frank Act, the Financial Stability Oversight Council (FSOC) was constituted to detect and alleviate potential threats to the financial security of the United States. Comprising representatives from a variety of regulatory bodies, the FS</w:t>
      </w:r>
      <w:r w:rsidRPr="00011120">
        <w:rPr>
          <w:rFonts w:ascii="Times New Roman" w:hAnsi="Times New Roman" w:cs="Times New Roman"/>
          <w:sz w:val="24"/>
          <w:szCs w:val="24"/>
        </w:rPr>
        <w:t xml:space="preserve">OC has the </w:t>
      </w:r>
      <w:r w:rsidRPr="00011120">
        <w:rPr>
          <w:rFonts w:ascii="Times New Roman" w:hAnsi="Times New Roman" w:cs="Times New Roman"/>
          <w:sz w:val="24"/>
          <w:szCs w:val="24"/>
        </w:rPr>
        <w:lastRenderedPageBreak/>
        <w:t xml:space="preserve">prerogative to label non-bank financial organisations as systemically crucial. Once labelled, these entities come under stricter regulatory scrutiny to inhibit their failure from </w:t>
      </w:r>
      <w:proofErr w:type="spellStart"/>
      <w:r w:rsidRPr="00011120">
        <w:rPr>
          <w:rFonts w:ascii="Times New Roman" w:hAnsi="Times New Roman" w:cs="Times New Roman"/>
          <w:sz w:val="24"/>
          <w:szCs w:val="24"/>
        </w:rPr>
        <w:t>destabilising</w:t>
      </w:r>
      <w:proofErr w:type="spellEnd"/>
      <w:r w:rsidRPr="00011120">
        <w:rPr>
          <w:rFonts w:ascii="Times New Roman" w:hAnsi="Times New Roman" w:cs="Times New Roman"/>
          <w:sz w:val="24"/>
          <w:szCs w:val="24"/>
        </w:rPr>
        <w:t xml:space="preserve"> the larger financial structure. The FSOC is primaril</w:t>
      </w:r>
      <w:r w:rsidRPr="00011120">
        <w:rPr>
          <w:rFonts w:ascii="Times New Roman" w:hAnsi="Times New Roman" w:cs="Times New Roman"/>
          <w:sz w:val="24"/>
          <w:szCs w:val="24"/>
        </w:rPr>
        <w:t xml:space="preserve">y tasked with the supervision of systemic risks, regulation coordination and promotion of data exchange among member agencies. It has, through its collective methodology and wide-ranging risk evaluation, fortified the financial system's resilience against </w:t>
      </w:r>
      <w:r w:rsidRPr="00011120">
        <w:rPr>
          <w:rFonts w:ascii="Times New Roman" w:hAnsi="Times New Roman" w:cs="Times New Roman"/>
          <w:sz w:val="24"/>
          <w:szCs w:val="24"/>
        </w:rPr>
        <w:t>future crises</w:t>
      </w:r>
      <w:r w:rsidR="00D651BB">
        <w:rPr>
          <w:rFonts w:ascii="Times New Roman" w:hAnsi="Times New Roman" w:cs="Times New Roman"/>
          <w:sz w:val="24"/>
          <w:szCs w:val="24"/>
        </w:rPr>
        <w:t xml:space="preserve"> (</w:t>
      </w:r>
      <w:r w:rsidR="00D651BB" w:rsidRPr="00D651BB">
        <w:rPr>
          <w:rFonts w:ascii="Times New Roman" w:hAnsi="Times New Roman" w:cs="Times New Roman"/>
          <w:sz w:val="24"/>
          <w:szCs w:val="24"/>
        </w:rPr>
        <w:t>Baily</w:t>
      </w:r>
      <w:r w:rsidR="00D651BB">
        <w:rPr>
          <w:rFonts w:ascii="Times New Roman" w:hAnsi="Times New Roman" w:cs="Times New Roman"/>
          <w:sz w:val="24"/>
          <w:szCs w:val="24"/>
        </w:rPr>
        <w:t xml:space="preserve"> et al., 2017)</w:t>
      </w:r>
      <w:r w:rsidRPr="00011120">
        <w:rPr>
          <w:rFonts w:ascii="Times New Roman" w:hAnsi="Times New Roman" w:cs="Times New Roman"/>
          <w:sz w:val="24"/>
          <w:szCs w:val="24"/>
        </w:rPr>
        <w:t>.</w:t>
      </w:r>
    </w:p>
    <w:p w14:paraId="017A5E21" w14:textId="2312DD68" w:rsidR="00372498" w:rsidRPr="00011120" w:rsidRDefault="008F4DDF" w:rsidP="009E6E91">
      <w:pPr>
        <w:pStyle w:val="Heading2"/>
        <w:rPr>
          <w:rFonts w:ascii="Times New Roman" w:hAnsi="Times New Roman" w:cs="Times New Roman"/>
          <w:color w:val="auto"/>
          <w:sz w:val="24"/>
          <w:szCs w:val="24"/>
        </w:rPr>
      </w:pPr>
      <w:bookmarkStart w:id="5" w:name="_Toc154836855"/>
      <w:r w:rsidRPr="00011120">
        <w:rPr>
          <w:rFonts w:ascii="Times New Roman" w:hAnsi="Times New Roman" w:cs="Times New Roman"/>
          <w:color w:val="auto"/>
          <w:sz w:val="24"/>
          <w:szCs w:val="24"/>
        </w:rPr>
        <w:t>1</w:t>
      </w:r>
      <w:r w:rsidR="00DB4046">
        <w:rPr>
          <w:rFonts w:ascii="Times New Roman" w:hAnsi="Times New Roman" w:cs="Times New Roman"/>
          <w:color w:val="auto"/>
          <w:sz w:val="24"/>
          <w:szCs w:val="24"/>
        </w:rPr>
        <w:t>.</w:t>
      </w:r>
      <w:r w:rsidRPr="00011120">
        <w:rPr>
          <w:rFonts w:ascii="Times New Roman" w:hAnsi="Times New Roman" w:cs="Times New Roman"/>
          <w:color w:val="auto"/>
          <w:sz w:val="24"/>
          <w:szCs w:val="24"/>
        </w:rPr>
        <w:t>4 Securities and Exchange Commission (SEC) Regulations</w:t>
      </w:r>
      <w:bookmarkEnd w:id="5"/>
    </w:p>
    <w:p w14:paraId="4E79D8BA" w14:textId="055B1783" w:rsidR="00897D81"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The Securities and Exchange Commission (SEC) has employed a multitude of regulations to intensify investor protection and encourage fair and effective markets. Fol</w:t>
      </w:r>
      <w:r w:rsidRPr="00011120">
        <w:rPr>
          <w:rFonts w:ascii="Times New Roman" w:hAnsi="Times New Roman" w:cs="Times New Roman"/>
          <w:sz w:val="24"/>
          <w:szCs w:val="24"/>
        </w:rPr>
        <w:t>lowing the 2008 financial collapse, the SEC instituted reforms to counteract faults in the financial infrastructure and preclude dishonest practices. These regulations demanded more efficient risk management and heightened internal control systems, amplifi</w:t>
      </w:r>
      <w:r w:rsidRPr="00011120">
        <w:rPr>
          <w:rFonts w:ascii="Times New Roman" w:hAnsi="Times New Roman" w:cs="Times New Roman"/>
          <w:sz w:val="24"/>
          <w:szCs w:val="24"/>
        </w:rPr>
        <w:t>ed disclosure standards, and contrived restrictions on certain market operations. The SEC also functions as a critical agent in enforcing compliance with securities laws, probing potential infringements, and indicting perpetrators. Through its sophisticate</w:t>
      </w:r>
      <w:r w:rsidRPr="00011120">
        <w:rPr>
          <w:rFonts w:ascii="Times New Roman" w:hAnsi="Times New Roman" w:cs="Times New Roman"/>
          <w:sz w:val="24"/>
          <w:szCs w:val="24"/>
        </w:rPr>
        <w:t>d regulatory architecture and enforcement proceedings, the SEC plays a crucial role in the stability of financial markets, directly affecting Goldman Sachs' operational model and proceedings</w:t>
      </w:r>
      <w:r w:rsidR="00D13A07">
        <w:rPr>
          <w:rFonts w:ascii="Times New Roman" w:hAnsi="Times New Roman" w:cs="Times New Roman"/>
          <w:sz w:val="24"/>
          <w:szCs w:val="24"/>
        </w:rPr>
        <w:t xml:space="preserve"> (</w:t>
      </w:r>
      <w:r w:rsidR="00D13A07" w:rsidRPr="00651AFA">
        <w:rPr>
          <w:rFonts w:ascii="Times New Roman" w:hAnsi="Times New Roman" w:cs="Times New Roman"/>
          <w:sz w:val="24"/>
          <w:szCs w:val="24"/>
        </w:rPr>
        <w:t>Mary Jo</w:t>
      </w:r>
      <w:r w:rsidR="00D13A07" w:rsidRPr="00D13A07">
        <w:rPr>
          <w:rFonts w:ascii="Times New Roman" w:hAnsi="Times New Roman" w:cs="Times New Roman"/>
          <w:sz w:val="24"/>
          <w:szCs w:val="24"/>
        </w:rPr>
        <w:t>,</w:t>
      </w:r>
      <w:r w:rsidR="00D13A07" w:rsidRPr="00651AFA">
        <w:rPr>
          <w:rFonts w:ascii="Times New Roman" w:hAnsi="Times New Roman" w:cs="Times New Roman"/>
          <w:sz w:val="24"/>
          <w:szCs w:val="24"/>
        </w:rPr>
        <w:t>2017</w:t>
      </w:r>
      <w:r w:rsidR="00D13A07">
        <w:rPr>
          <w:rFonts w:ascii="Times New Roman" w:hAnsi="Times New Roman" w:cs="Times New Roman"/>
          <w:sz w:val="24"/>
          <w:szCs w:val="24"/>
        </w:rPr>
        <w:t>)</w:t>
      </w:r>
      <w:r w:rsidRPr="00011120">
        <w:rPr>
          <w:rFonts w:ascii="Times New Roman" w:hAnsi="Times New Roman" w:cs="Times New Roman"/>
          <w:sz w:val="24"/>
          <w:szCs w:val="24"/>
        </w:rPr>
        <w:t>.</w:t>
      </w:r>
    </w:p>
    <w:p w14:paraId="1239EA1C" w14:textId="77777777" w:rsidR="009E6E91" w:rsidRDefault="009E6E91" w:rsidP="00011120">
      <w:pPr>
        <w:pStyle w:val="Heading2"/>
        <w:jc w:val="both"/>
        <w:rPr>
          <w:rFonts w:ascii="Times New Roman" w:hAnsi="Times New Roman" w:cs="Times New Roman"/>
          <w:color w:val="auto"/>
          <w:sz w:val="24"/>
          <w:szCs w:val="24"/>
        </w:rPr>
      </w:pPr>
    </w:p>
    <w:p w14:paraId="769EE3DE" w14:textId="77777777" w:rsidR="007015D8" w:rsidRDefault="007015D8">
      <w:pPr>
        <w:rPr>
          <w:rFonts w:ascii="Times New Roman" w:eastAsiaTheme="majorEastAsia" w:hAnsi="Times New Roman" w:cs="Times New Roman"/>
          <w:b/>
          <w:bCs/>
          <w:sz w:val="24"/>
          <w:szCs w:val="24"/>
        </w:rPr>
      </w:pPr>
      <w:bookmarkStart w:id="6" w:name="_Toc154836856"/>
      <w:r>
        <w:rPr>
          <w:rFonts w:ascii="Times New Roman" w:hAnsi="Times New Roman" w:cs="Times New Roman"/>
          <w:sz w:val="24"/>
          <w:szCs w:val="24"/>
        </w:rPr>
        <w:br w:type="page"/>
      </w:r>
    </w:p>
    <w:p w14:paraId="337C2F04" w14:textId="6FCF167E" w:rsidR="00372498" w:rsidRPr="00011120" w:rsidRDefault="00DB4046" w:rsidP="009E6E91">
      <w:pPr>
        <w:pStyle w:val="Heading1"/>
        <w:rPr>
          <w:rFonts w:ascii="Times New Roman" w:hAnsi="Times New Roman" w:cs="Times New Roman"/>
          <w:color w:val="auto"/>
          <w:sz w:val="24"/>
          <w:szCs w:val="24"/>
        </w:rPr>
      </w:pPr>
      <w:r>
        <w:rPr>
          <w:rFonts w:ascii="Times New Roman" w:hAnsi="Times New Roman" w:cs="Times New Roman"/>
          <w:color w:val="auto"/>
          <w:sz w:val="24"/>
          <w:szCs w:val="24"/>
        </w:rPr>
        <w:lastRenderedPageBreak/>
        <w:t>2.</w:t>
      </w:r>
      <w:r w:rsidRPr="00011120">
        <w:rPr>
          <w:rFonts w:ascii="Times New Roman" w:hAnsi="Times New Roman" w:cs="Times New Roman"/>
          <w:color w:val="auto"/>
          <w:sz w:val="24"/>
          <w:szCs w:val="24"/>
        </w:rPr>
        <w:t xml:space="preserve"> Key Laws, Regulations, and Contracts Enacted by a Global Player</w:t>
      </w:r>
      <w:bookmarkEnd w:id="6"/>
    </w:p>
    <w:p w14:paraId="3E246A6B" w14:textId="3C231419"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After the financial crisis in 2008, a series of laws, regulations, and contracts were implemented by international stakeholders to counter vulnerabilities in the global financial system. The </w:t>
      </w:r>
      <w:r w:rsidRPr="00011120">
        <w:rPr>
          <w:rFonts w:ascii="Times New Roman" w:hAnsi="Times New Roman" w:cs="Times New Roman"/>
          <w:sz w:val="24"/>
          <w:szCs w:val="24"/>
        </w:rPr>
        <w:t>tactics aimed to boost the resilience of firms, fostering stability globally. Each country, on its part, worked on a variety of areas, targeting capital requirements, risk management policies, and transparency and reporting norms. The addition of increased</w:t>
      </w:r>
      <w:r w:rsidRPr="00011120">
        <w:rPr>
          <w:rFonts w:ascii="Times New Roman" w:hAnsi="Times New Roman" w:cs="Times New Roman"/>
          <w:sz w:val="24"/>
          <w:szCs w:val="24"/>
        </w:rPr>
        <w:t xml:space="preserve"> regulatory jurisdiction was also a vital step. The enforcement of these measures by international players was meant to control systemic risks, bearing in mind the interests of consumers and those taking part in the markets</w:t>
      </w:r>
      <w:r w:rsidR="00D13A07">
        <w:rPr>
          <w:rFonts w:ascii="Times New Roman" w:hAnsi="Times New Roman" w:cs="Times New Roman"/>
          <w:sz w:val="24"/>
          <w:szCs w:val="24"/>
        </w:rPr>
        <w:t xml:space="preserve"> (</w:t>
      </w:r>
      <w:r w:rsidR="00D13A07" w:rsidRPr="00D13A07">
        <w:rPr>
          <w:rFonts w:ascii="Times New Roman" w:hAnsi="Times New Roman" w:cs="Times New Roman"/>
          <w:sz w:val="24"/>
          <w:szCs w:val="24"/>
        </w:rPr>
        <w:t>Sykes</w:t>
      </w:r>
      <w:r w:rsidR="00D13A07">
        <w:rPr>
          <w:rFonts w:ascii="Times New Roman" w:hAnsi="Times New Roman" w:cs="Times New Roman"/>
          <w:sz w:val="24"/>
          <w:szCs w:val="24"/>
        </w:rPr>
        <w:t>,</w:t>
      </w:r>
      <w:r w:rsidR="00D13A07" w:rsidRPr="00D13A07">
        <w:rPr>
          <w:rFonts w:ascii="Times New Roman" w:hAnsi="Times New Roman" w:cs="Times New Roman"/>
          <w:sz w:val="24"/>
          <w:szCs w:val="24"/>
        </w:rPr>
        <w:t xml:space="preserve"> 2018</w:t>
      </w:r>
      <w:r w:rsidR="00D13A07">
        <w:rPr>
          <w:rFonts w:ascii="Times New Roman" w:hAnsi="Times New Roman" w:cs="Times New Roman"/>
          <w:sz w:val="24"/>
          <w:szCs w:val="24"/>
        </w:rPr>
        <w:t>)</w:t>
      </w:r>
      <w:r w:rsidRPr="00011120">
        <w:rPr>
          <w:rFonts w:ascii="Times New Roman" w:hAnsi="Times New Roman" w:cs="Times New Roman"/>
          <w:sz w:val="24"/>
          <w:szCs w:val="24"/>
        </w:rPr>
        <w:t>.</w:t>
      </w:r>
    </w:p>
    <w:p w14:paraId="16136D08" w14:textId="5DF48218" w:rsidR="00372498" w:rsidRPr="00011120" w:rsidRDefault="008F4DDF" w:rsidP="009E6E91">
      <w:pPr>
        <w:pStyle w:val="Heading2"/>
        <w:rPr>
          <w:rFonts w:ascii="Times New Roman" w:hAnsi="Times New Roman" w:cs="Times New Roman"/>
          <w:color w:val="auto"/>
          <w:sz w:val="24"/>
          <w:szCs w:val="24"/>
        </w:rPr>
      </w:pPr>
      <w:bookmarkStart w:id="7" w:name="_Toc154836857"/>
      <w:r w:rsidRPr="00011120">
        <w:rPr>
          <w:rFonts w:ascii="Times New Roman" w:hAnsi="Times New Roman" w:cs="Times New Roman"/>
          <w:color w:val="auto"/>
          <w:sz w:val="24"/>
          <w:szCs w:val="24"/>
        </w:rPr>
        <w:t>2.1 United Kingdo</w:t>
      </w:r>
      <w:r w:rsidRPr="00011120">
        <w:rPr>
          <w:rFonts w:ascii="Times New Roman" w:hAnsi="Times New Roman" w:cs="Times New Roman"/>
          <w:color w:val="auto"/>
          <w:sz w:val="24"/>
          <w:szCs w:val="24"/>
        </w:rPr>
        <w:t>m's Financial Services Act 2012</w:t>
      </w:r>
      <w:bookmarkEnd w:id="7"/>
    </w:p>
    <w:p w14:paraId="024A7D70" w14:textId="43CDA4B4"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The United Kingdom set the stage by introducing the Financial Services Act 2012. These significant reforms were brought in to bolster the regulatory framework and address issues that were brought to light by the financial cr</w:t>
      </w:r>
      <w:r w:rsidRPr="00011120">
        <w:rPr>
          <w:rFonts w:ascii="Times New Roman" w:hAnsi="Times New Roman" w:cs="Times New Roman"/>
          <w:sz w:val="24"/>
          <w:szCs w:val="24"/>
        </w:rPr>
        <w:t xml:space="preserve">isis. The Act largely aimed at enhancing market integrity, consumer protection, and financial system stability. Two key responsible bodies, the Financial Conduct Authority (FCA) and the Prudential Regulation Authority (PRA), were established as regulators </w:t>
      </w:r>
      <w:r w:rsidRPr="00011120">
        <w:rPr>
          <w:rFonts w:ascii="Times New Roman" w:hAnsi="Times New Roman" w:cs="Times New Roman"/>
          <w:sz w:val="24"/>
          <w:szCs w:val="24"/>
        </w:rPr>
        <w:t>for financial institutions. With the Act, stronger oversight authority and enforcement powers were introduced as firms were directed to meet stringent capital and liquidity conditions, put in place solid risk management practices, and follow advanced discl</w:t>
      </w:r>
      <w:r w:rsidRPr="00011120">
        <w:rPr>
          <w:rFonts w:ascii="Times New Roman" w:hAnsi="Times New Roman" w:cs="Times New Roman"/>
          <w:sz w:val="24"/>
          <w:szCs w:val="24"/>
        </w:rPr>
        <w:t>osure and reporting norms</w:t>
      </w:r>
      <w:r w:rsidR="00D13A07">
        <w:rPr>
          <w:rFonts w:ascii="Times New Roman" w:hAnsi="Times New Roman" w:cs="Times New Roman"/>
          <w:sz w:val="24"/>
          <w:szCs w:val="24"/>
        </w:rPr>
        <w:t xml:space="preserve"> (Tran et al</w:t>
      </w:r>
      <w:r w:rsidRPr="00011120">
        <w:rPr>
          <w:rFonts w:ascii="Times New Roman" w:hAnsi="Times New Roman" w:cs="Times New Roman"/>
          <w:sz w:val="24"/>
          <w:szCs w:val="24"/>
        </w:rPr>
        <w:t>.</w:t>
      </w:r>
      <w:r w:rsidR="00D13A07">
        <w:rPr>
          <w:rFonts w:ascii="Times New Roman" w:hAnsi="Times New Roman" w:cs="Times New Roman"/>
          <w:sz w:val="24"/>
          <w:szCs w:val="24"/>
        </w:rPr>
        <w:t>, 2012)</w:t>
      </w:r>
    </w:p>
    <w:p w14:paraId="7EBAE7A2" w14:textId="2B4035FD" w:rsidR="00372498" w:rsidRPr="00011120" w:rsidRDefault="008F4DDF" w:rsidP="009E6E91">
      <w:pPr>
        <w:pStyle w:val="Heading2"/>
        <w:rPr>
          <w:rFonts w:ascii="Times New Roman" w:hAnsi="Times New Roman" w:cs="Times New Roman"/>
          <w:color w:val="auto"/>
          <w:sz w:val="24"/>
          <w:szCs w:val="24"/>
        </w:rPr>
      </w:pPr>
      <w:bookmarkStart w:id="8" w:name="_Toc154836858"/>
      <w:r w:rsidRPr="00011120">
        <w:rPr>
          <w:rFonts w:ascii="Times New Roman" w:hAnsi="Times New Roman" w:cs="Times New Roman"/>
          <w:color w:val="auto"/>
          <w:sz w:val="24"/>
          <w:szCs w:val="24"/>
        </w:rPr>
        <w:t>2.2 European Union's Capital Requirements Directive (CRD IV)</w:t>
      </w:r>
      <w:bookmarkEnd w:id="8"/>
    </w:p>
    <w:p w14:paraId="635529AA" w14:textId="002A8BA5"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The Capital Requirements Directive (CRD IV) was the European Union’s contribution to global efforts in building a resilient banking sector and promot</w:t>
      </w:r>
      <w:r w:rsidRPr="00011120">
        <w:rPr>
          <w:rFonts w:ascii="Times New Roman" w:hAnsi="Times New Roman" w:cs="Times New Roman"/>
          <w:sz w:val="24"/>
          <w:szCs w:val="24"/>
        </w:rPr>
        <w:t xml:space="preserve">ing economic stability. A sturdy set of prudential mandates were introduced to ensure banks maintained adequate capital reserves, managed risk adeptly, and sharpened transparency and disclosure habits. Tougher regulatory norms were set in place, inclusive </w:t>
      </w:r>
      <w:r w:rsidRPr="00011120">
        <w:rPr>
          <w:rFonts w:ascii="Times New Roman" w:hAnsi="Times New Roman" w:cs="Times New Roman"/>
          <w:sz w:val="24"/>
          <w:szCs w:val="24"/>
        </w:rPr>
        <w:t>of capital adequacy ratios, liquidity coverage ratios, and leverage ratios. Moreover, the CRD IV paved the way for a comprehensive regulatory system to manage market and credit risks, shed light on securitization-related issues, and encourage sound governa</w:t>
      </w:r>
      <w:r w:rsidRPr="00011120">
        <w:rPr>
          <w:rFonts w:ascii="Times New Roman" w:hAnsi="Times New Roman" w:cs="Times New Roman"/>
          <w:sz w:val="24"/>
          <w:szCs w:val="24"/>
        </w:rPr>
        <w:t>nce and risk control practices across banks in Europe</w:t>
      </w:r>
      <w:r w:rsidR="009836E0">
        <w:rPr>
          <w:rFonts w:ascii="Times New Roman" w:hAnsi="Times New Roman" w:cs="Times New Roman"/>
          <w:sz w:val="24"/>
          <w:szCs w:val="24"/>
        </w:rPr>
        <w:t xml:space="preserve"> (</w:t>
      </w:r>
      <w:r w:rsidR="009836E0" w:rsidRPr="00D93FDC">
        <w:rPr>
          <w:rFonts w:ascii="Times New Roman" w:hAnsi="Times New Roman" w:cs="Times New Roman"/>
          <w:sz w:val="24"/>
          <w:szCs w:val="24"/>
        </w:rPr>
        <w:t>European Commission</w:t>
      </w:r>
      <w:r w:rsidR="009836E0">
        <w:rPr>
          <w:rFonts w:ascii="Times New Roman" w:hAnsi="Times New Roman" w:cs="Times New Roman"/>
          <w:sz w:val="24"/>
          <w:szCs w:val="24"/>
        </w:rPr>
        <w:t xml:space="preserve">, </w:t>
      </w:r>
      <w:r w:rsidR="009836E0" w:rsidRPr="00D93FDC">
        <w:rPr>
          <w:rFonts w:ascii="Times New Roman" w:hAnsi="Times New Roman" w:cs="Times New Roman"/>
          <w:sz w:val="24"/>
          <w:szCs w:val="24"/>
        </w:rPr>
        <w:t>2013)</w:t>
      </w:r>
      <w:r w:rsidRPr="00011120">
        <w:rPr>
          <w:rFonts w:ascii="Times New Roman" w:hAnsi="Times New Roman" w:cs="Times New Roman"/>
          <w:sz w:val="24"/>
          <w:szCs w:val="24"/>
        </w:rPr>
        <w:t>.</w:t>
      </w:r>
    </w:p>
    <w:p w14:paraId="552C3A3F" w14:textId="6B877D65" w:rsidR="00372498" w:rsidRPr="00011120" w:rsidRDefault="008F4DDF" w:rsidP="009E6E91">
      <w:pPr>
        <w:pStyle w:val="Heading2"/>
        <w:rPr>
          <w:rFonts w:ascii="Times New Roman" w:hAnsi="Times New Roman" w:cs="Times New Roman"/>
          <w:color w:val="auto"/>
          <w:sz w:val="24"/>
          <w:szCs w:val="24"/>
        </w:rPr>
      </w:pPr>
      <w:bookmarkStart w:id="9" w:name="_Toc154836859"/>
      <w:r w:rsidRPr="00011120">
        <w:rPr>
          <w:rFonts w:ascii="Times New Roman" w:hAnsi="Times New Roman" w:cs="Times New Roman"/>
          <w:color w:val="auto"/>
          <w:sz w:val="24"/>
          <w:szCs w:val="24"/>
        </w:rPr>
        <w:t>2.3 Japan's Financial Services Agency (FSA) Regulations</w:t>
      </w:r>
      <w:bookmarkEnd w:id="9"/>
    </w:p>
    <w:p w14:paraId="1CC35469" w14:textId="35497D47"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In the aftermath of the 2008 financial crisis, Japan's Financial Services Agency (FSA) took the initiative to </w:t>
      </w:r>
      <w:r w:rsidRPr="00011120">
        <w:rPr>
          <w:rFonts w:ascii="Times New Roman" w:hAnsi="Times New Roman" w:cs="Times New Roman"/>
          <w:sz w:val="24"/>
          <w:szCs w:val="24"/>
        </w:rPr>
        <w:t xml:space="preserve">establish a set of regulations designed to fortify the stability and resilience of the nation's financial system. By enforcing these regulations, the importance of robust risk assessments, thorough stress testing, and the maintenance of sufficient capital </w:t>
      </w:r>
      <w:r w:rsidRPr="00011120">
        <w:rPr>
          <w:rFonts w:ascii="Times New Roman" w:hAnsi="Times New Roman" w:cs="Times New Roman"/>
          <w:sz w:val="24"/>
          <w:szCs w:val="24"/>
        </w:rPr>
        <w:t>and liquidity reserves were accentuated. The FSA also reinforced the financial institutions' governance framework by promoting competent internal controls and nurturing a compliance-focused culture within the industry</w:t>
      </w:r>
      <w:r w:rsidR="00D424E7">
        <w:rPr>
          <w:rFonts w:ascii="Times New Roman" w:hAnsi="Times New Roman" w:cs="Times New Roman"/>
          <w:sz w:val="24"/>
          <w:szCs w:val="24"/>
        </w:rPr>
        <w:t xml:space="preserve"> (</w:t>
      </w:r>
      <w:r w:rsidR="00D424E7" w:rsidRPr="00D424E7">
        <w:rPr>
          <w:rFonts w:ascii="Times New Roman" w:hAnsi="Times New Roman" w:cs="Times New Roman"/>
          <w:sz w:val="24"/>
          <w:szCs w:val="24"/>
        </w:rPr>
        <w:t>Yokoi-Arai</w:t>
      </w:r>
      <w:r w:rsidR="00D424E7" w:rsidRPr="00D424E7">
        <w:rPr>
          <w:rFonts w:eastAsiaTheme="minorHAnsi"/>
          <w:kern w:val="2"/>
          <w14:ligatures w14:val="standardContextual"/>
        </w:rPr>
        <w:t xml:space="preserve"> </w:t>
      </w:r>
      <w:r w:rsidR="00D424E7" w:rsidRPr="00D424E7">
        <w:rPr>
          <w:rFonts w:ascii="Times New Roman" w:hAnsi="Times New Roman" w:cs="Times New Roman"/>
          <w:sz w:val="24"/>
          <w:szCs w:val="24"/>
        </w:rPr>
        <w:t xml:space="preserve">and </w:t>
      </w:r>
      <w:proofErr w:type="gramStart"/>
      <w:r w:rsidR="00D424E7" w:rsidRPr="00D424E7">
        <w:rPr>
          <w:rFonts w:ascii="Times New Roman" w:hAnsi="Times New Roman" w:cs="Times New Roman"/>
          <w:sz w:val="24"/>
          <w:szCs w:val="24"/>
        </w:rPr>
        <w:t>Morishita</w:t>
      </w:r>
      <w:r w:rsidR="00D424E7">
        <w:rPr>
          <w:rFonts w:ascii="Times New Roman" w:hAnsi="Times New Roman" w:cs="Times New Roman"/>
          <w:sz w:val="24"/>
          <w:szCs w:val="24"/>
        </w:rPr>
        <w:t xml:space="preserve"> ,</w:t>
      </w:r>
      <w:proofErr w:type="gramEnd"/>
      <w:r w:rsidR="00D424E7">
        <w:rPr>
          <w:rFonts w:ascii="Times New Roman" w:hAnsi="Times New Roman" w:cs="Times New Roman"/>
          <w:sz w:val="24"/>
          <w:szCs w:val="24"/>
        </w:rPr>
        <w:t xml:space="preserve"> 2014)</w:t>
      </w:r>
      <w:r w:rsidRPr="00011120">
        <w:rPr>
          <w:rFonts w:ascii="Times New Roman" w:hAnsi="Times New Roman" w:cs="Times New Roman"/>
          <w:sz w:val="24"/>
          <w:szCs w:val="24"/>
        </w:rPr>
        <w:t>.</w:t>
      </w:r>
    </w:p>
    <w:p w14:paraId="0C8A0B9A" w14:textId="58A7C750" w:rsidR="00372498" w:rsidRPr="00011120" w:rsidRDefault="008F4DDF" w:rsidP="009E6E91">
      <w:pPr>
        <w:pStyle w:val="Heading2"/>
        <w:rPr>
          <w:rFonts w:ascii="Times New Roman" w:hAnsi="Times New Roman" w:cs="Times New Roman"/>
          <w:color w:val="auto"/>
          <w:sz w:val="24"/>
          <w:szCs w:val="24"/>
        </w:rPr>
      </w:pPr>
      <w:bookmarkStart w:id="10" w:name="_Toc154836860"/>
      <w:r w:rsidRPr="00011120">
        <w:rPr>
          <w:rFonts w:ascii="Times New Roman" w:hAnsi="Times New Roman" w:cs="Times New Roman"/>
          <w:color w:val="auto"/>
          <w:sz w:val="24"/>
          <w:szCs w:val="24"/>
        </w:rPr>
        <w:lastRenderedPageBreak/>
        <w:t>2.4</w:t>
      </w:r>
      <w:r w:rsidRPr="00011120">
        <w:rPr>
          <w:rFonts w:ascii="Times New Roman" w:hAnsi="Times New Roman" w:cs="Times New Roman"/>
          <w:color w:val="auto"/>
          <w:sz w:val="24"/>
          <w:szCs w:val="24"/>
        </w:rPr>
        <w:t>. China's Banking and Insurance Regulatory Commission (CBIRC) Measures</w:t>
      </w:r>
      <w:bookmarkEnd w:id="10"/>
    </w:p>
    <w:p w14:paraId="26EBC30D" w14:textId="0098A3A5"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China's Banking and Insurance Regulatory Commission (CBIRC) responded to the global financial crisis by establishing a range of measures to mitigate the vulnerabilities while fortifying</w:t>
      </w:r>
      <w:r w:rsidRPr="00011120">
        <w:rPr>
          <w:rFonts w:ascii="Times New Roman" w:hAnsi="Times New Roman" w:cs="Times New Roman"/>
          <w:sz w:val="24"/>
          <w:szCs w:val="24"/>
        </w:rPr>
        <w:t xml:space="preserve"> the nation's financial system. The CBIRC brought forth regulations to enhance risk management, uplift corporate governance standards, and ensure the smooth functioning of the banking and insurance sectors. The initiatives included the enforcement of stric</w:t>
      </w:r>
      <w:r w:rsidRPr="00011120">
        <w:rPr>
          <w:rFonts w:ascii="Times New Roman" w:hAnsi="Times New Roman" w:cs="Times New Roman"/>
          <w:sz w:val="24"/>
          <w:szCs w:val="24"/>
        </w:rPr>
        <w:t>ter capital adequacy standards, the adoption of risk-based supervision frameworks, and the improvement of internal controls and risk reporting channels. With those measures, the CBIRC underscored proactive, risk-mitigating tactics as a means to foster a su</w:t>
      </w:r>
      <w:r w:rsidRPr="00011120">
        <w:rPr>
          <w:rFonts w:ascii="Times New Roman" w:hAnsi="Times New Roman" w:cs="Times New Roman"/>
          <w:sz w:val="24"/>
          <w:szCs w:val="24"/>
        </w:rPr>
        <w:t>stainable financial sector</w:t>
      </w:r>
      <w:r w:rsidR="00D424E7">
        <w:rPr>
          <w:rFonts w:ascii="Times New Roman" w:hAnsi="Times New Roman" w:cs="Times New Roman"/>
          <w:sz w:val="24"/>
          <w:szCs w:val="24"/>
        </w:rPr>
        <w:t xml:space="preserve"> (</w:t>
      </w:r>
      <w:r w:rsidR="00D424E7" w:rsidRPr="00D424E7">
        <w:rPr>
          <w:rFonts w:ascii="Times New Roman" w:hAnsi="Times New Roman" w:cs="Times New Roman"/>
          <w:sz w:val="24"/>
          <w:szCs w:val="24"/>
        </w:rPr>
        <w:t>Wei, 2020</w:t>
      </w:r>
      <w:r w:rsidR="00D424E7">
        <w:rPr>
          <w:rFonts w:ascii="Times New Roman" w:hAnsi="Times New Roman" w:cs="Times New Roman"/>
          <w:sz w:val="24"/>
          <w:szCs w:val="24"/>
        </w:rPr>
        <w:t>)</w:t>
      </w:r>
    </w:p>
    <w:p w14:paraId="501B9E1D" w14:textId="77777777" w:rsidR="00FD0150" w:rsidRPr="00011120" w:rsidRDefault="00FD0150" w:rsidP="00011120">
      <w:pPr>
        <w:jc w:val="both"/>
        <w:rPr>
          <w:rFonts w:ascii="Times New Roman" w:eastAsiaTheme="majorEastAsia" w:hAnsi="Times New Roman" w:cs="Times New Roman"/>
          <w:b/>
          <w:bCs/>
          <w:sz w:val="24"/>
          <w:szCs w:val="24"/>
        </w:rPr>
      </w:pPr>
      <w:r w:rsidRPr="00011120">
        <w:rPr>
          <w:rFonts w:ascii="Times New Roman" w:hAnsi="Times New Roman" w:cs="Times New Roman"/>
          <w:sz w:val="24"/>
          <w:szCs w:val="24"/>
        </w:rPr>
        <w:br w:type="page"/>
      </w:r>
    </w:p>
    <w:p w14:paraId="0AD1246E" w14:textId="15AF9B83" w:rsidR="00DB4046" w:rsidRDefault="008F4DDF" w:rsidP="009E6E91">
      <w:pPr>
        <w:pStyle w:val="Heading1"/>
        <w:rPr>
          <w:rFonts w:ascii="Times New Roman" w:hAnsi="Times New Roman" w:cs="Times New Roman"/>
          <w:color w:val="auto"/>
          <w:sz w:val="24"/>
          <w:szCs w:val="24"/>
        </w:rPr>
      </w:pPr>
      <w:bookmarkStart w:id="11" w:name="_Toc154836861"/>
      <w:r w:rsidRPr="00011120">
        <w:rPr>
          <w:rFonts w:ascii="Times New Roman" w:hAnsi="Times New Roman" w:cs="Times New Roman"/>
          <w:color w:val="auto"/>
          <w:sz w:val="24"/>
          <w:szCs w:val="24"/>
        </w:rPr>
        <w:lastRenderedPageBreak/>
        <w:t>3</w:t>
      </w:r>
      <w:r w:rsidR="00DB4046">
        <w:rPr>
          <w:rFonts w:ascii="Times New Roman" w:hAnsi="Times New Roman" w:cs="Times New Roman"/>
          <w:color w:val="auto"/>
          <w:sz w:val="24"/>
          <w:szCs w:val="24"/>
        </w:rPr>
        <w:t>.</w:t>
      </w:r>
      <w:r w:rsidR="00DB4046" w:rsidRPr="00DB4046">
        <w:rPr>
          <w:rFonts w:ascii="Times New Roman" w:hAnsi="Times New Roman" w:cs="Times New Roman"/>
          <w:color w:val="auto"/>
          <w:sz w:val="24"/>
          <w:szCs w:val="24"/>
        </w:rPr>
        <w:t xml:space="preserve"> </w:t>
      </w:r>
      <w:r w:rsidR="00DB4046" w:rsidRPr="00011120">
        <w:rPr>
          <w:rFonts w:ascii="Times New Roman" w:hAnsi="Times New Roman" w:cs="Times New Roman"/>
          <w:color w:val="auto"/>
          <w:sz w:val="24"/>
          <w:szCs w:val="24"/>
        </w:rPr>
        <w:t>Contribution of Reforms</w:t>
      </w:r>
      <w:bookmarkEnd w:id="11"/>
    </w:p>
    <w:p w14:paraId="3DA694BA" w14:textId="31DB3255" w:rsidR="00372498" w:rsidRPr="00011120" w:rsidRDefault="00DB4046" w:rsidP="009E6E91">
      <w:pPr>
        <w:pStyle w:val="Heading2"/>
        <w:rPr>
          <w:rFonts w:ascii="Times New Roman" w:hAnsi="Times New Roman" w:cs="Times New Roman"/>
          <w:color w:val="auto"/>
          <w:sz w:val="24"/>
          <w:szCs w:val="24"/>
        </w:rPr>
      </w:pPr>
      <w:bookmarkStart w:id="12" w:name="_Toc154836862"/>
      <w:r>
        <w:rPr>
          <w:rFonts w:ascii="Times New Roman" w:hAnsi="Times New Roman" w:cs="Times New Roman"/>
          <w:color w:val="auto"/>
          <w:sz w:val="24"/>
          <w:szCs w:val="24"/>
        </w:rPr>
        <w:t xml:space="preserve">3.1 </w:t>
      </w:r>
      <w:r w:rsidRPr="00011120">
        <w:rPr>
          <w:rFonts w:ascii="Times New Roman" w:hAnsi="Times New Roman" w:cs="Times New Roman"/>
          <w:color w:val="auto"/>
          <w:sz w:val="24"/>
          <w:szCs w:val="24"/>
        </w:rPr>
        <w:t>Contribution of Reforms in Stabilizing the Financial System</w:t>
      </w:r>
      <w:bookmarkEnd w:id="12"/>
    </w:p>
    <w:p w14:paraId="3AA47697" w14:textId="2B297D19"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Reforms enacted after the 2008 financial crisis have served as pivotal instruments in bolstering the financial system's </w:t>
      </w:r>
      <w:r w:rsidRPr="00011120">
        <w:rPr>
          <w:rFonts w:ascii="Times New Roman" w:hAnsi="Times New Roman" w:cs="Times New Roman"/>
          <w:sz w:val="24"/>
          <w:szCs w:val="24"/>
        </w:rPr>
        <w:t>stability. They targeted the primary weak spots exposed during the crisis, engendering a more resilient financial ecosystem. By instituting fortified capital and liquidity guidelines, augmenting risk management protocols, elevating transparency, refining r</w:t>
      </w:r>
      <w:r w:rsidRPr="00011120">
        <w:rPr>
          <w:rFonts w:ascii="Times New Roman" w:hAnsi="Times New Roman" w:cs="Times New Roman"/>
          <w:sz w:val="24"/>
          <w:szCs w:val="24"/>
        </w:rPr>
        <w:t>eporting norms, amplifying regulatory scrutiny, and curtailing systemic hurdles, these reforms have infused confidence and minimized the prospect of another debilitating crisis. These interventions have engineered a more secure milieu for financial entitie</w:t>
      </w:r>
      <w:r w:rsidRPr="00011120">
        <w:rPr>
          <w:rFonts w:ascii="Times New Roman" w:hAnsi="Times New Roman" w:cs="Times New Roman"/>
          <w:sz w:val="24"/>
          <w:szCs w:val="24"/>
        </w:rPr>
        <w:t>s and consumers alike</w:t>
      </w:r>
      <w:r w:rsidR="00982E12">
        <w:rPr>
          <w:rFonts w:ascii="Times New Roman" w:hAnsi="Times New Roman" w:cs="Times New Roman"/>
          <w:sz w:val="24"/>
          <w:szCs w:val="24"/>
        </w:rPr>
        <w:t xml:space="preserve"> (</w:t>
      </w:r>
      <w:r w:rsidR="00982E12" w:rsidRPr="00982E12">
        <w:rPr>
          <w:rFonts w:ascii="Times New Roman" w:hAnsi="Times New Roman" w:cs="Times New Roman"/>
          <w:sz w:val="24"/>
          <w:szCs w:val="24"/>
        </w:rPr>
        <w:t>Bakir and Woo, 2016</w:t>
      </w:r>
      <w:r w:rsidR="00982E12">
        <w:rPr>
          <w:rFonts w:ascii="Times New Roman" w:hAnsi="Times New Roman" w:cs="Times New Roman"/>
          <w:sz w:val="24"/>
          <w:szCs w:val="24"/>
        </w:rPr>
        <w:t>)</w:t>
      </w:r>
    </w:p>
    <w:p w14:paraId="52666296" w14:textId="12857FD1" w:rsidR="00372498" w:rsidRPr="00011120" w:rsidRDefault="008F4DDF" w:rsidP="009E6E91">
      <w:pPr>
        <w:pStyle w:val="Heading3"/>
        <w:rPr>
          <w:rFonts w:ascii="Times New Roman" w:hAnsi="Times New Roman" w:cs="Times New Roman"/>
          <w:color w:val="auto"/>
          <w:sz w:val="24"/>
          <w:szCs w:val="24"/>
        </w:rPr>
      </w:pPr>
      <w:bookmarkStart w:id="13" w:name="_Toc154836863"/>
      <w:r w:rsidRPr="00011120">
        <w:rPr>
          <w:rFonts w:ascii="Times New Roman" w:hAnsi="Times New Roman" w:cs="Times New Roman"/>
          <w:color w:val="auto"/>
          <w:sz w:val="24"/>
          <w:szCs w:val="24"/>
        </w:rPr>
        <w:t>3.</w:t>
      </w:r>
      <w:r w:rsidR="00DB4046">
        <w:rPr>
          <w:rFonts w:ascii="Times New Roman" w:hAnsi="Times New Roman" w:cs="Times New Roman"/>
          <w:color w:val="auto"/>
          <w:sz w:val="24"/>
          <w:szCs w:val="24"/>
        </w:rPr>
        <w:t>1.</w:t>
      </w:r>
      <w:r w:rsidRPr="00011120">
        <w:rPr>
          <w:rFonts w:ascii="Times New Roman" w:hAnsi="Times New Roman" w:cs="Times New Roman"/>
          <w:color w:val="auto"/>
          <w:sz w:val="24"/>
          <w:szCs w:val="24"/>
        </w:rPr>
        <w:t>1 Strengthened Capital and Liquidity Requirements</w:t>
      </w:r>
      <w:bookmarkEnd w:id="13"/>
    </w:p>
    <w:p w14:paraId="3CE0E544" w14:textId="600FFF15"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A notable contribution of the post-2008 financial crisis reforms has been the reinforcement of capital and liquidity mandates. These reforms stipulate that fi</w:t>
      </w:r>
      <w:r w:rsidRPr="00011120">
        <w:rPr>
          <w:rFonts w:ascii="Times New Roman" w:hAnsi="Times New Roman" w:cs="Times New Roman"/>
          <w:sz w:val="24"/>
          <w:szCs w:val="24"/>
        </w:rPr>
        <w:t>nancial institutions, Goldman Sachs inclusive, maintain elevated capital reserves, assuring sturdy buffers against economic despondencies and market fluctuations. Additionally, more stringent liquidity specifications have been enacted to guarantee that ban</w:t>
      </w:r>
      <w:r w:rsidRPr="00011120">
        <w:rPr>
          <w:rFonts w:ascii="Times New Roman" w:hAnsi="Times New Roman" w:cs="Times New Roman"/>
          <w:sz w:val="24"/>
          <w:szCs w:val="24"/>
        </w:rPr>
        <w:t>ks possess ample accessible funds to fulfill their commitments amidst financial turmoil. These measures have amplified the overall firmness of the financial system and trimmed down the probability of bank insolvencies and liquidity deficits</w:t>
      </w:r>
      <w:r w:rsidR="00982E12">
        <w:rPr>
          <w:rFonts w:ascii="Times New Roman" w:hAnsi="Times New Roman" w:cs="Times New Roman"/>
          <w:sz w:val="24"/>
          <w:szCs w:val="24"/>
        </w:rPr>
        <w:t xml:space="preserve"> (</w:t>
      </w:r>
      <w:r w:rsidR="00982E12" w:rsidRPr="00982E12">
        <w:rPr>
          <w:rFonts w:ascii="Times New Roman" w:hAnsi="Times New Roman" w:cs="Times New Roman"/>
          <w:sz w:val="24"/>
          <w:szCs w:val="24"/>
        </w:rPr>
        <w:t>Subbarao, 2012</w:t>
      </w:r>
      <w:r w:rsidR="00982E12">
        <w:rPr>
          <w:rFonts w:ascii="Times New Roman" w:hAnsi="Times New Roman" w:cs="Times New Roman"/>
          <w:sz w:val="24"/>
          <w:szCs w:val="24"/>
        </w:rPr>
        <w:t>)</w:t>
      </w:r>
      <w:r w:rsidRPr="00011120">
        <w:rPr>
          <w:rFonts w:ascii="Times New Roman" w:hAnsi="Times New Roman" w:cs="Times New Roman"/>
          <w:sz w:val="24"/>
          <w:szCs w:val="24"/>
        </w:rPr>
        <w:t>.</w:t>
      </w:r>
    </w:p>
    <w:p w14:paraId="1AC83434" w14:textId="60CFE208" w:rsidR="00372498" w:rsidRPr="00011120" w:rsidRDefault="008F4DDF" w:rsidP="009E6E91">
      <w:pPr>
        <w:pStyle w:val="Heading3"/>
        <w:rPr>
          <w:rFonts w:ascii="Times New Roman" w:hAnsi="Times New Roman" w:cs="Times New Roman"/>
          <w:color w:val="auto"/>
          <w:sz w:val="24"/>
          <w:szCs w:val="24"/>
        </w:rPr>
      </w:pPr>
      <w:bookmarkStart w:id="14" w:name="_Toc154836864"/>
      <w:r w:rsidRPr="00011120">
        <w:rPr>
          <w:rFonts w:ascii="Times New Roman" w:hAnsi="Times New Roman" w:cs="Times New Roman"/>
          <w:color w:val="auto"/>
          <w:sz w:val="24"/>
          <w:szCs w:val="24"/>
        </w:rPr>
        <w:t>3.</w:t>
      </w:r>
      <w:r w:rsidR="00DB4046">
        <w:rPr>
          <w:rFonts w:ascii="Times New Roman" w:hAnsi="Times New Roman" w:cs="Times New Roman"/>
          <w:color w:val="auto"/>
          <w:sz w:val="24"/>
          <w:szCs w:val="24"/>
        </w:rPr>
        <w:t>1.</w:t>
      </w:r>
      <w:r w:rsidRPr="00011120">
        <w:rPr>
          <w:rFonts w:ascii="Times New Roman" w:hAnsi="Times New Roman" w:cs="Times New Roman"/>
          <w:color w:val="auto"/>
          <w:sz w:val="24"/>
          <w:szCs w:val="24"/>
        </w:rPr>
        <w:t>2 Enhanced Risk Management Practices</w:t>
      </w:r>
      <w:bookmarkEnd w:id="14"/>
    </w:p>
    <w:p w14:paraId="0D8761D8" w14:textId="26F1E742"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Emphasis on amplified risk management protocols has been hallmark of the reforms introduced post the 2008 financial crisis. The reforms necessitate financial organizations, including firms like Goldman Sachs, to </w:t>
      </w:r>
      <w:r w:rsidRPr="00011120">
        <w:rPr>
          <w:rFonts w:ascii="Times New Roman" w:hAnsi="Times New Roman" w:cs="Times New Roman"/>
          <w:sz w:val="24"/>
          <w:szCs w:val="24"/>
        </w:rPr>
        <w:t>instate sturdier risk evaluation mechanisms and internal checks to effectively pinpoint and alleviate potential hazards. The reforms have also fostered more cautious risk-associated practices and promoted portfolio diversification. This focus on risk manag</w:t>
      </w:r>
      <w:r w:rsidRPr="00011120">
        <w:rPr>
          <w:rFonts w:ascii="Times New Roman" w:hAnsi="Times New Roman" w:cs="Times New Roman"/>
          <w:sz w:val="24"/>
          <w:szCs w:val="24"/>
        </w:rPr>
        <w:t>ement has propagated a restrained approach towards risk, curbing excessive risk indulgence, and advancing the overall stability quotient of the financial system</w:t>
      </w:r>
      <w:r w:rsidR="00982E12">
        <w:rPr>
          <w:rFonts w:ascii="Times New Roman" w:hAnsi="Times New Roman" w:cs="Times New Roman"/>
          <w:sz w:val="24"/>
          <w:szCs w:val="24"/>
        </w:rPr>
        <w:t xml:space="preserve"> (</w:t>
      </w:r>
      <w:r w:rsidR="00982E12" w:rsidRPr="00982E12">
        <w:rPr>
          <w:rFonts w:ascii="Times New Roman" w:hAnsi="Times New Roman" w:cs="Times New Roman"/>
          <w:sz w:val="24"/>
          <w:szCs w:val="24"/>
        </w:rPr>
        <w:t>Batten</w:t>
      </w:r>
      <w:r w:rsidR="00982E12">
        <w:rPr>
          <w:rFonts w:ascii="Times New Roman" w:hAnsi="Times New Roman" w:cs="Times New Roman"/>
          <w:sz w:val="24"/>
          <w:szCs w:val="24"/>
        </w:rPr>
        <w:t xml:space="preserve"> </w:t>
      </w:r>
      <w:r w:rsidR="00982E12" w:rsidRPr="00982E12">
        <w:rPr>
          <w:rFonts w:ascii="Times New Roman" w:hAnsi="Times New Roman" w:cs="Times New Roman"/>
          <w:sz w:val="24"/>
          <w:szCs w:val="24"/>
        </w:rPr>
        <w:t>and Wagner, 2014</w:t>
      </w:r>
      <w:r w:rsidR="00982E12">
        <w:rPr>
          <w:rFonts w:ascii="Times New Roman" w:hAnsi="Times New Roman" w:cs="Times New Roman"/>
          <w:sz w:val="24"/>
          <w:szCs w:val="24"/>
        </w:rPr>
        <w:t>)</w:t>
      </w:r>
    </w:p>
    <w:p w14:paraId="1DC162BA" w14:textId="23431AD9" w:rsidR="00372498" w:rsidRPr="00011120" w:rsidRDefault="008F4DDF" w:rsidP="00011120">
      <w:pPr>
        <w:pStyle w:val="Heading3"/>
        <w:jc w:val="both"/>
        <w:rPr>
          <w:rFonts w:ascii="Times New Roman" w:hAnsi="Times New Roman" w:cs="Times New Roman"/>
          <w:color w:val="auto"/>
          <w:sz w:val="24"/>
          <w:szCs w:val="24"/>
        </w:rPr>
      </w:pPr>
      <w:bookmarkStart w:id="15" w:name="_Toc154836865"/>
      <w:r w:rsidRPr="00011120">
        <w:rPr>
          <w:rFonts w:ascii="Times New Roman" w:hAnsi="Times New Roman" w:cs="Times New Roman"/>
          <w:color w:val="auto"/>
          <w:sz w:val="24"/>
          <w:szCs w:val="24"/>
        </w:rPr>
        <w:t>3.</w:t>
      </w:r>
      <w:r w:rsidR="00DB4046">
        <w:rPr>
          <w:rFonts w:ascii="Times New Roman" w:hAnsi="Times New Roman" w:cs="Times New Roman"/>
          <w:color w:val="auto"/>
          <w:sz w:val="24"/>
          <w:szCs w:val="24"/>
        </w:rPr>
        <w:t>1.</w:t>
      </w:r>
      <w:r w:rsidRPr="00011120">
        <w:rPr>
          <w:rFonts w:ascii="Times New Roman" w:hAnsi="Times New Roman" w:cs="Times New Roman"/>
          <w:color w:val="auto"/>
          <w:sz w:val="24"/>
          <w:szCs w:val="24"/>
        </w:rPr>
        <w:t>3 Improved Transparency and Reporting Standards</w:t>
      </w:r>
      <w:bookmarkEnd w:id="15"/>
    </w:p>
    <w:p w14:paraId="1EF54972" w14:textId="43480B80"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Post-2008 </w:t>
      </w:r>
      <w:r w:rsidRPr="00011120">
        <w:rPr>
          <w:rFonts w:ascii="Times New Roman" w:hAnsi="Times New Roman" w:cs="Times New Roman"/>
          <w:sz w:val="24"/>
          <w:szCs w:val="24"/>
        </w:rPr>
        <w:t>financial crisis reforms have considerably enhanced the transparency and reporting standards in the finance industry. The expectations from financial institutions, such as Goldman Sachs, now are to proffer a more granulated and precise snapshot of their fi</w:t>
      </w:r>
      <w:r w:rsidRPr="00011120">
        <w:rPr>
          <w:rFonts w:ascii="Times New Roman" w:hAnsi="Times New Roman" w:cs="Times New Roman"/>
          <w:sz w:val="24"/>
          <w:szCs w:val="24"/>
        </w:rPr>
        <w:t>nancial statuses and activities. This advancement in transparency and reporting standards has allowed regulators and market players to discern the risks affiliated with various financial institutions and products more effectively. Such increased openness h</w:t>
      </w:r>
      <w:r w:rsidRPr="00011120">
        <w:rPr>
          <w:rFonts w:ascii="Times New Roman" w:hAnsi="Times New Roman" w:cs="Times New Roman"/>
          <w:sz w:val="24"/>
          <w:szCs w:val="24"/>
        </w:rPr>
        <w:t>as bolstered market trust and confidence by offering investors and stakeholders access to comprehensive and reliable data, fostering a more stable and informed financial environment</w:t>
      </w:r>
      <w:r w:rsidR="005A0B49">
        <w:rPr>
          <w:rFonts w:ascii="Times New Roman" w:hAnsi="Times New Roman" w:cs="Times New Roman"/>
          <w:sz w:val="24"/>
          <w:szCs w:val="24"/>
        </w:rPr>
        <w:t xml:space="preserve"> (</w:t>
      </w:r>
      <w:hyperlink r:id="rId10" w:history="1">
        <w:r w:rsidR="005A0B49" w:rsidRPr="00887C03">
          <w:rPr>
            <w:rStyle w:val="Hyperlink"/>
          </w:rPr>
          <w:t>www.riksbank.se</w:t>
        </w:r>
      </w:hyperlink>
      <w:r w:rsidR="005A0B49" w:rsidRPr="00887C03">
        <w:t>.</w:t>
      </w:r>
      <w:r w:rsidR="005A0B49">
        <w:t>, 2023</w:t>
      </w:r>
      <w:r w:rsidR="005A0B49" w:rsidRPr="00887C03">
        <w:t>).</w:t>
      </w:r>
    </w:p>
    <w:p w14:paraId="430F6604" w14:textId="55F2EE1B" w:rsidR="00372498" w:rsidRPr="00011120" w:rsidRDefault="008F4DDF" w:rsidP="00011120">
      <w:pPr>
        <w:pStyle w:val="Heading3"/>
        <w:jc w:val="both"/>
        <w:rPr>
          <w:rFonts w:ascii="Times New Roman" w:hAnsi="Times New Roman" w:cs="Times New Roman"/>
          <w:color w:val="auto"/>
          <w:sz w:val="24"/>
          <w:szCs w:val="24"/>
        </w:rPr>
      </w:pPr>
      <w:bookmarkStart w:id="16" w:name="_Toc154836866"/>
      <w:r w:rsidRPr="00011120">
        <w:rPr>
          <w:rFonts w:ascii="Times New Roman" w:hAnsi="Times New Roman" w:cs="Times New Roman"/>
          <w:color w:val="auto"/>
          <w:sz w:val="24"/>
          <w:szCs w:val="24"/>
        </w:rPr>
        <w:lastRenderedPageBreak/>
        <w:t>3.</w:t>
      </w:r>
      <w:r w:rsidR="00DB4046">
        <w:rPr>
          <w:rFonts w:ascii="Times New Roman" w:hAnsi="Times New Roman" w:cs="Times New Roman"/>
          <w:color w:val="auto"/>
          <w:sz w:val="24"/>
          <w:szCs w:val="24"/>
        </w:rPr>
        <w:t>1.</w:t>
      </w:r>
      <w:r w:rsidRPr="00011120">
        <w:rPr>
          <w:rFonts w:ascii="Times New Roman" w:hAnsi="Times New Roman" w:cs="Times New Roman"/>
          <w:color w:val="auto"/>
          <w:sz w:val="24"/>
          <w:szCs w:val="24"/>
        </w:rPr>
        <w:t>4. In</w:t>
      </w:r>
      <w:r w:rsidRPr="00011120">
        <w:rPr>
          <w:rFonts w:ascii="Times New Roman" w:hAnsi="Times New Roman" w:cs="Times New Roman"/>
          <w:color w:val="auto"/>
          <w:sz w:val="24"/>
          <w:szCs w:val="24"/>
        </w:rPr>
        <w:t>creased Regulatory Oversight and Supervision</w:t>
      </w:r>
      <w:bookmarkEnd w:id="16"/>
    </w:p>
    <w:p w14:paraId="40C98BDB" w14:textId="0390B793"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The implementation of post-2008 financial crisis reforms has resulted in the amplification of regulatory supervision and oversight of financial institutions. Regulatory bodies, such as those within the United St</w:t>
      </w:r>
      <w:r w:rsidRPr="00011120">
        <w:rPr>
          <w:rFonts w:ascii="Times New Roman" w:hAnsi="Times New Roman" w:cs="Times New Roman"/>
          <w:sz w:val="24"/>
          <w:szCs w:val="24"/>
        </w:rPr>
        <w:t>ates and their global counterparts, now exercise more comprehensive powers to effectively scrutinize and analyze financial institutions' activities. This heightened supervision has expedited the identification of potential risks and issues, enabling preven</w:t>
      </w:r>
      <w:r w:rsidRPr="00011120">
        <w:rPr>
          <w:rFonts w:ascii="Times New Roman" w:hAnsi="Times New Roman" w:cs="Times New Roman"/>
          <w:sz w:val="24"/>
          <w:szCs w:val="24"/>
        </w:rPr>
        <w:t>tive intervention. These reforms have facilitated a proactive regulatory approach, further boosting the financial system's stability by ensuring adherence to regulations, identifying and managing potential risks, and holding institutions accountable</w:t>
      </w:r>
      <w:r w:rsidR="005A0B49">
        <w:rPr>
          <w:rFonts w:ascii="Times New Roman" w:hAnsi="Times New Roman" w:cs="Times New Roman"/>
          <w:sz w:val="24"/>
          <w:szCs w:val="24"/>
        </w:rPr>
        <w:t xml:space="preserve"> (</w:t>
      </w:r>
      <w:proofErr w:type="spellStart"/>
      <w:r w:rsidR="005A0B49" w:rsidRPr="005A0B49">
        <w:rPr>
          <w:rFonts w:ascii="Times New Roman" w:hAnsi="Times New Roman" w:cs="Times New Roman"/>
          <w:sz w:val="24"/>
          <w:szCs w:val="24"/>
        </w:rPr>
        <w:t>Dordevic</w:t>
      </w:r>
      <w:proofErr w:type="spellEnd"/>
      <w:r w:rsidR="005A0B49">
        <w:rPr>
          <w:rFonts w:ascii="Times New Roman" w:hAnsi="Times New Roman" w:cs="Times New Roman"/>
          <w:sz w:val="24"/>
          <w:szCs w:val="24"/>
        </w:rPr>
        <w:t xml:space="preserve"> et al., 2021).</w:t>
      </w:r>
    </w:p>
    <w:p w14:paraId="0F0739B0" w14:textId="595245A2" w:rsidR="00372498" w:rsidRPr="00011120" w:rsidRDefault="008F4DDF" w:rsidP="00011120">
      <w:pPr>
        <w:pStyle w:val="Heading3"/>
        <w:jc w:val="both"/>
        <w:rPr>
          <w:rFonts w:ascii="Times New Roman" w:hAnsi="Times New Roman" w:cs="Times New Roman"/>
          <w:color w:val="auto"/>
          <w:sz w:val="24"/>
          <w:szCs w:val="24"/>
        </w:rPr>
      </w:pPr>
      <w:bookmarkStart w:id="17" w:name="_Toc154836867"/>
      <w:r w:rsidRPr="00011120">
        <w:rPr>
          <w:rFonts w:ascii="Times New Roman" w:hAnsi="Times New Roman" w:cs="Times New Roman"/>
          <w:color w:val="auto"/>
          <w:sz w:val="24"/>
          <w:szCs w:val="24"/>
        </w:rPr>
        <w:t>3</w:t>
      </w:r>
      <w:r w:rsidR="00DB4046">
        <w:rPr>
          <w:rFonts w:ascii="Times New Roman" w:hAnsi="Times New Roman" w:cs="Times New Roman"/>
          <w:color w:val="auto"/>
          <w:sz w:val="24"/>
          <w:szCs w:val="24"/>
        </w:rPr>
        <w:t>.1</w:t>
      </w:r>
      <w:r w:rsidRPr="00011120">
        <w:rPr>
          <w:rFonts w:ascii="Times New Roman" w:hAnsi="Times New Roman" w:cs="Times New Roman"/>
          <w:color w:val="auto"/>
          <w:sz w:val="24"/>
          <w:szCs w:val="24"/>
        </w:rPr>
        <w:t>.5 Mitigation of Systemic Risks</w:t>
      </w:r>
      <w:bookmarkEnd w:id="17"/>
    </w:p>
    <w:p w14:paraId="233CC259" w14:textId="52D6EE64" w:rsidR="00372498"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One of the critical thrust areas of the post-2008 financial crisis reforms has been systemic risk mitigation. These reforms ushered in measures to diminish interconnectedness within the financial ecosys</w:t>
      </w:r>
      <w:r w:rsidRPr="00011120">
        <w:rPr>
          <w:rFonts w:ascii="Times New Roman" w:hAnsi="Times New Roman" w:cs="Times New Roman"/>
          <w:sz w:val="24"/>
          <w:szCs w:val="24"/>
        </w:rPr>
        <w:t>tem, thereby boosting the resilience of financial institutions. Through enforcing risk-based capital directives, stress tests, and living wills, financial entities, including those like Goldman Sachs, are now better equipped to weather economic volatility.</w:t>
      </w:r>
      <w:r w:rsidRPr="00011120">
        <w:rPr>
          <w:rFonts w:ascii="Times New Roman" w:hAnsi="Times New Roman" w:cs="Times New Roman"/>
          <w:sz w:val="24"/>
          <w:szCs w:val="24"/>
        </w:rPr>
        <w:t xml:space="preserve"> By tackling systemic risks, the reforms have dulled the prospects of a single institution's collapse cascading throughout the financial system, thus notably contributing to the system's overall robustness and vitality</w:t>
      </w:r>
      <w:r w:rsidR="00162ACC">
        <w:rPr>
          <w:rFonts w:ascii="Times New Roman" w:hAnsi="Times New Roman" w:cs="Times New Roman"/>
          <w:sz w:val="24"/>
          <w:szCs w:val="24"/>
        </w:rPr>
        <w:t xml:space="preserve"> (</w:t>
      </w:r>
      <w:proofErr w:type="spellStart"/>
      <w:r w:rsidR="00162ACC" w:rsidRPr="004B4536">
        <w:rPr>
          <w:rFonts w:ascii="Times New Roman" w:hAnsi="Times New Roman" w:cs="Times New Roman"/>
          <w:sz w:val="24"/>
          <w:szCs w:val="24"/>
        </w:rPr>
        <w:t>Tirupam</w:t>
      </w:r>
      <w:proofErr w:type="spellEnd"/>
      <w:r w:rsidR="00162ACC">
        <w:rPr>
          <w:rFonts w:ascii="Times New Roman" w:hAnsi="Times New Roman" w:cs="Times New Roman"/>
          <w:sz w:val="24"/>
          <w:szCs w:val="24"/>
        </w:rPr>
        <w:t xml:space="preserve"> et al., 2019)</w:t>
      </w:r>
      <w:r w:rsidR="009E6E91">
        <w:rPr>
          <w:rFonts w:ascii="Times New Roman" w:hAnsi="Times New Roman" w:cs="Times New Roman"/>
          <w:sz w:val="24"/>
          <w:szCs w:val="24"/>
        </w:rPr>
        <w:t>.</w:t>
      </w:r>
    </w:p>
    <w:p w14:paraId="6131365E" w14:textId="77777777" w:rsidR="009E6E91" w:rsidRPr="00011120" w:rsidRDefault="009E6E91" w:rsidP="00011120">
      <w:pPr>
        <w:jc w:val="both"/>
        <w:rPr>
          <w:rFonts w:ascii="Times New Roman" w:hAnsi="Times New Roman" w:cs="Times New Roman"/>
          <w:sz w:val="24"/>
          <w:szCs w:val="24"/>
        </w:rPr>
      </w:pPr>
    </w:p>
    <w:p w14:paraId="6CF886A7" w14:textId="53186E8B" w:rsidR="00372498" w:rsidRPr="00011120" w:rsidRDefault="00DB4046" w:rsidP="009E6E91">
      <w:pPr>
        <w:pStyle w:val="Heading2"/>
        <w:rPr>
          <w:rFonts w:ascii="Times New Roman" w:hAnsi="Times New Roman" w:cs="Times New Roman"/>
          <w:color w:val="auto"/>
          <w:sz w:val="24"/>
          <w:szCs w:val="24"/>
        </w:rPr>
      </w:pPr>
      <w:bookmarkStart w:id="18" w:name="_Toc154836868"/>
      <w:r>
        <w:rPr>
          <w:rFonts w:ascii="Times New Roman" w:hAnsi="Times New Roman" w:cs="Times New Roman"/>
          <w:color w:val="auto"/>
          <w:sz w:val="24"/>
          <w:szCs w:val="24"/>
        </w:rPr>
        <w:t>3. 2</w:t>
      </w:r>
      <w:r w:rsidRPr="00011120">
        <w:rPr>
          <w:rFonts w:ascii="Times New Roman" w:hAnsi="Times New Roman" w:cs="Times New Roman"/>
          <w:color w:val="auto"/>
          <w:sz w:val="24"/>
          <w:szCs w:val="24"/>
        </w:rPr>
        <w:t xml:space="preserve"> Contribution of Reforms in Stabilizing Banking Institutions</w:t>
      </w:r>
      <w:bookmarkEnd w:id="18"/>
    </w:p>
    <w:p w14:paraId="1552A8F6" w14:textId="2CFD7990"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Banks have gained significant stability due to the reforms put in place after the 2008 financial crisis. These reforms, with an emphasis on bolstering capital and liquidity prerequisites, have fo</w:t>
      </w:r>
      <w:r w:rsidRPr="00011120">
        <w:rPr>
          <w:rFonts w:ascii="Times New Roman" w:hAnsi="Times New Roman" w:cs="Times New Roman"/>
          <w:sz w:val="24"/>
          <w:szCs w:val="24"/>
        </w:rPr>
        <w:t>rtified banks' reserves, enabling them to absorb possible losses and lower the chances of bankruptcy. Improved risk management strategies have equipped banks with refined tools to identify and mitigate risks, leading to a fortified banking network. Moreove</w:t>
      </w:r>
      <w:r w:rsidRPr="00011120">
        <w:rPr>
          <w:rFonts w:ascii="Times New Roman" w:hAnsi="Times New Roman" w:cs="Times New Roman"/>
          <w:sz w:val="24"/>
          <w:szCs w:val="24"/>
        </w:rPr>
        <w:t>r, expanded regulatory scrutiny has resulted in better transparency and liability, encouraging a trustworthy and steady financial system</w:t>
      </w:r>
      <w:r w:rsidR="00CB5533">
        <w:rPr>
          <w:rFonts w:ascii="Times New Roman" w:hAnsi="Times New Roman" w:cs="Times New Roman"/>
          <w:sz w:val="24"/>
          <w:szCs w:val="24"/>
        </w:rPr>
        <w:t xml:space="preserve"> (</w:t>
      </w:r>
      <w:r w:rsidR="00CB5533" w:rsidRPr="00CB5533">
        <w:rPr>
          <w:rFonts w:ascii="Times New Roman" w:hAnsi="Times New Roman" w:cs="Times New Roman"/>
          <w:sz w:val="24"/>
          <w:szCs w:val="24"/>
        </w:rPr>
        <w:t>Hansjörg</w:t>
      </w:r>
      <w:r w:rsidR="00CB5533">
        <w:rPr>
          <w:rFonts w:ascii="Times New Roman" w:hAnsi="Times New Roman" w:cs="Times New Roman"/>
          <w:sz w:val="24"/>
          <w:szCs w:val="24"/>
        </w:rPr>
        <w:t xml:space="preserve"> et al., 2016)</w:t>
      </w:r>
      <w:r w:rsidRPr="00011120">
        <w:rPr>
          <w:rFonts w:ascii="Times New Roman" w:hAnsi="Times New Roman" w:cs="Times New Roman"/>
          <w:sz w:val="24"/>
          <w:szCs w:val="24"/>
        </w:rPr>
        <w:t>.</w:t>
      </w:r>
    </w:p>
    <w:p w14:paraId="1F289540" w14:textId="500D9E70" w:rsidR="00372498" w:rsidRPr="00011120" w:rsidRDefault="00DB4046" w:rsidP="00011120">
      <w:pPr>
        <w:pStyle w:val="Heading3"/>
        <w:jc w:val="both"/>
        <w:rPr>
          <w:rFonts w:ascii="Times New Roman" w:hAnsi="Times New Roman" w:cs="Times New Roman"/>
          <w:color w:val="auto"/>
          <w:sz w:val="24"/>
          <w:szCs w:val="24"/>
        </w:rPr>
      </w:pPr>
      <w:bookmarkStart w:id="19" w:name="_Toc154836869"/>
      <w:r>
        <w:rPr>
          <w:rFonts w:ascii="Times New Roman" w:hAnsi="Times New Roman" w:cs="Times New Roman"/>
          <w:color w:val="auto"/>
          <w:sz w:val="24"/>
          <w:szCs w:val="24"/>
        </w:rPr>
        <w:t>3.2</w:t>
      </w:r>
      <w:r w:rsidRPr="00011120">
        <w:rPr>
          <w:rFonts w:ascii="Times New Roman" w:hAnsi="Times New Roman" w:cs="Times New Roman"/>
          <w:color w:val="auto"/>
          <w:sz w:val="24"/>
          <w:szCs w:val="24"/>
        </w:rPr>
        <w:t>.</w:t>
      </w:r>
      <w:r>
        <w:rPr>
          <w:rFonts w:ascii="Times New Roman" w:hAnsi="Times New Roman" w:cs="Times New Roman"/>
          <w:color w:val="auto"/>
          <w:sz w:val="24"/>
          <w:szCs w:val="24"/>
        </w:rPr>
        <w:t>1</w:t>
      </w:r>
      <w:r w:rsidRPr="00011120">
        <w:rPr>
          <w:rFonts w:ascii="Times New Roman" w:hAnsi="Times New Roman" w:cs="Times New Roman"/>
          <w:color w:val="auto"/>
          <w:sz w:val="24"/>
          <w:szCs w:val="24"/>
        </w:rPr>
        <w:t xml:space="preserve"> Improved Risk Assessment and Mitigation Strategies</w:t>
      </w:r>
      <w:bookmarkEnd w:id="19"/>
    </w:p>
    <w:p w14:paraId="72F26E58" w14:textId="3ED9B8F6"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Following the 2008 financial crisis, </w:t>
      </w:r>
      <w:r w:rsidRPr="00011120">
        <w:rPr>
          <w:rFonts w:ascii="Times New Roman" w:hAnsi="Times New Roman" w:cs="Times New Roman"/>
          <w:sz w:val="24"/>
          <w:szCs w:val="24"/>
        </w:rPr>
        <w:t>banks have revamped their risk assessment and management strategies, courtesy of the introduced reforms. Indeed, banks now apply more rigorous risk evaluation methods, helping them accurately pinpoint and comprehend potential financial threats. This has en</w:t>
      </w:r>
      <w:r w:rsidRPr="00011120">
        <w:rPr>
          <w:rFonts w:ascii="Times New Roman" w:hAnsi="Times New Roman" w:cs="Times New Roman"/>
          <w:sz w:val="24"/>
          <w:szCs w:val="24"/>
        </w:rPr>
        <w:t>couraged the employment of advanced risk mitigation plans, such as portfolio diversification and hedging strategies. Through successful risk management, banks have bolstered their financial standing and diminished the odds of catastrophic financial upheava</w:t>
      </w:r>
      <w:r w:rsidRPr="00011120">
        <w:rPr>
          <w:rFonts w:ascii="Times New Roman" w:hAnsi="Times New Roman" w:cs="Times New Roman"/>
          <w:sz w:val="24"/>
          <w:szCs w:val="24"/>
        </w:rPr>
        <w:t>ls</w:t>
      </w:r>
      <w:r w:rsidR="00CB5533">
        <w:rPr>
          <w:rFonts w:ascii="Times New Roman" w:hAnsi="Times New Roman" w:cs="Times New Roman"/>
          <w:sz w:val="24"/>
          <w:szCs w:val="24"/>
        </w:rPr>
        <w:t xml:space="preserve"> (</w:t>
      </w:r>
      <w:r w:rsidR="00CB5533" w:rsidRPr="009D6E1D">
        <w:rPr>
          <w:rFonts w:ascii="Times New Roman" w:hAnsi="Times New Roman" w:cs="Times New Roman"/>
          <w:sz w:val="24"/>
          <w:szCs w:val="24"/>
        </w:rPr>
        <w:t>Sacasa,</w:t>
      </w:r>
      <w:r w:rsidR="00CB5533">
        <w:rPr>
          <w:rFonts w:ascii="Times New Roman" w:hAnsi="Times New Roman" w:cs="Times New Roman"/>
          <w:sz w:val="24"/>
          <w:szCs w:val="24"/>
        </w:rPr>
        <w:t xml:space="preserve"> </w:t>
      </w:r>
      <w:r w:rsidR="00CB5533" w:rsidRPr="009D6E1D">
        <w:rPr>
          <w:rFonts w:ascii="Times New Roman" w:hAnsi="Times New Roman" w:cs="Times New Roman"/>
          <w:sz w:val="24"/>
          <w:szCs w:val="24"/>
        </w:rPr>
        <w:t>2019)</w:t>
      </w:r>
      <w:r w:rsidRPr="00011120">
        <w:rPr>
          <w:rFonts w:ascii="Times New Roman" w:hAnsi="Times New Roman" w:cs="Times New Roman"/>
          <w:sz w:val="24"/>
          <w:szCs w:val="24"/>
        </w:rPr>
        <w:t>.</w:t>
      </w:r>
    </w:p>
    <w:p w14:paraId="59802BB7" w14:textId="61E67D66" w:rsidR="00372498" w:rsidRPr="00011120" w:rsidRDefault="00DB4046" w:rsidP="00011120">
      <w:pPr>
        <w:pStyle w:val="Heading3"/>
        <w:jc w:val="both"/>
        <w:rPr>
          <w:rFonts w:ascii="Times New Roman" w:hAnsi="Times New Roman" w:cs="Times New Roman"/>
          <w:color w:val="auto"/>
          <w:sz w:val="24"/>
          <w:szCs w:val="24"/>
        </w:rPr>
      </w:pPr>
      <w:bookmarkStart w:id="20" w:name="_Toc154836870"/>
      <w:r>
        <w:rPr>
          <w:rFonts w:ascii="Times New Roman" w:hAnsi="Times New Roman" w:cs="Times New Roman"/>
          <w:color w:val="auto"/>
          <w:sz w:val="24"/>
          <w:szCs w:val="24"/>
        </w:rPr>
        <w:lastRenderedPageBreak/>
        <w:t>3.2.2</w:t>
      </w:r>
      <w:r w:rsidRPr="00011120">
        <w:rPr>
          <w:rFonts w:ascii="Times New Roman" w:hAnsi="Times New Roman" w:cs="Times New Roman"/>
          <w:color w:val="auto"/>
          <w:sz w:val="24"/>
          <w:szCs w:val="24"/>
        </w:rPr>
        <w:t xml:space="preserve"> Greater Accountability and Governance Standards</w:t>
      </w:r>
      <w:bookmarkEnd w:id="20"/>
    </w:p>
    <w:p w14:paraId="2519EE2A" w14:textId="2D0A5BAB"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Post-2008 financial crisis reforms have ushered in heightened accountability and governance standards in the banking sector. Banks are now obligated to introduce robust governance </w:t>
      </w:r>
      <w:r w:rsidRPr="00011120">
        <w:rPr>
          <w:rFonts w:ascii="Times New Roman" w:hAnsi="Times New Roman" w:cs="Times New Roman"/>
          <w:sz w:val="24"/>
          <w:szCs w:val="24"/>
        </w:rPr>
        <w:t>procedures and structures to ensure proficient oversight and decision-making. This includes creating independent audit committees, improving risk management strategies and aligning executive recompense with long-term performance outcomes. These implementat</w:t>
      </w:r>
      <w:r w:rsidRPr="00011120">
        <w:rPr>
          <w:rFonts w:ascii="Times New Roman" w:hAnsi="Times New Roman" w:cs="Times New Roman"/>
          <w:sz w:val="24"/>
          <w:szCs w:val="24"/>
        </w:rPr>
        <w:t>ions have boosted transparency, minimized instances of misconduct, and fostered improvements in the overall integrity and stability of banking institutions</w:t>
      </w:r>
      <w:r w:rsidR="00CB5533">
        <w:rPr>
          <w:rFonts w:ascii="Times New Roman" w:hAnsi="Times New Roman" w:cs="Times New Roman"/>
          <w:sz w:val="24"/>
          <w:szCs w:val="24"/>
        </w:rPr>
        <w:t xml:space="preserve"> (</w:t>
      </w:r>
      <w:r w:rsidR="00CB5533" w:rsidRPr="00CB5533">
        <w:rPr>
          <w:rFonts w:ascii="Times New Roman" w:hAnsi="Times New Roman" w:cs="Times New Roman"/>
          <w:sz w:val="24"/>
          <w:szCs w:val="24"/>
        </w:rPr>
        <w:t>Governance, 2009</w:t>
      </w:r>
      <w:r w:rsidR="00CB5533">
        <w:rPr>
          <w:rFonts w:ascii="Times New Roman" w:hAnsi="Times New Roman" w:cs="Times New Roman"/>
          <w:sz w:val="24"/>
          <w:szCs w:val="24"/>
        </w:rPr>
        <w:t>)</w:t>
      </w:r>
      <w:r w:rsidRPr="00011120">
        <w:rPr>
          <w:rFonts w:ascii="Times New Roman" w:hAnsi="Times New Roman" w:cs="Times New Roman"/>
          <w:sz w:val="24"/>
          <w:szCs w:val="24"/>
        </w:rPr>
        <w:t>.</w:t>
      </w:r>
    </w:p>
    <w:p w14:paraId="6ED27D33" w14:textId="393A2266" w:rsidR="00372498" w:rsidRPr="00CB5533" w:rsidRDefault="006F4F55" w:rsidP="00011120">
      <w:pPr>
        <w:pStyle w:val="Heading3"/>
        <w:jc w:val="both"/>
        <w:rPr>
          <w:rFonts w:ascii="Times New Roman" w:hAnsi="Times New Roman" w:cs="Times New Roman"/>
          <w:color w:val="auto"/>
          <w:sz w:val="24"/>
          <w:szCs w:val="24"/>
        </w:rPr>
      </w:pPr>
      <w:bookmarkStart w:id="21" w:name="_Toc154836871"/>
      <w:r>
        <w:rPr>
          <w:rFonts w:ascii="Times New Roman" w:hAnsi="Times New Roman" w:cs="Times New Roman"/>
          <w:color w:val="auto"/>
          <w:sz w:val="24"/>
          <w:szCs w:val="24"/>
        </w:rPr>
        <w:t>3.2.3</w:t>
      </w:r>
      <w:r w:rsidRPr="00011120">
        <w:rPr>
          <w:rFonts w:ascii="Times New Roman" w:hAnsi="Times New Roman" w:cs="Times New Roman"/>
          <w:color w:val="auto"/>
          <w:sz w:val="24"/>
          <w:szCs w:val="24"/>
        </w:rPr>
        <w:t xml:space="preserve"> </w:t>
      </w:r>
      <w:r w:rsidRPr="00CB5533">
        <w:rPr>
          <w:rFonts w:ascii="Times New Roman" w:hAnsi="Times New Roman" w:cs="Times New Roman"/>
          <w:color w:val="auto"/>
          <w:sz w:val="24"/>
          <w:szCs w:val="24"/>
        </w:rPr>
        <w:t>Enhanced Consumer Protection Measures</w:t>
      </w:r>
      <w:bookmarkEnd w:id="21"/>
    </w:p>
    <w:p w14:paraId="1C19F35B" w14:textId="28E92F9D" w:rsidR="00372498" w:rsidRPr="00011120" w:rsidRDefault="008F4DDF" w:rsidP="00011120">
      <w:pPr>
        <w:jc w:val="both"/>
        <w:rPr>
          <w:rFonts w:ascii="Times New Roman" w:hAnsi="Times New Roman" w:cs="Times New Roman"/>
          <w:sz w:val="24"/>
          <w:szCs w:val="24"/>
        </w:rPr>
      </w:pPr>
      <w:r w:rsidRPr="00CB5533">
        <w:rPr>
          <w:rFonts w:ascii="Times New Roman" w:hAnsi="Times New Roman" w:cs="Times New Roman"/>
          <w:sz w:val="24"/>
          <w:szCs w:val="24"/>
        </w:rPr>
        <w:t>Consumer protection measures have seen considerable enhancement following the post-2008 financial crisis reforms in banking institutions. Regulatory bodies have adopted stricter rules and improved disclosure obligations to ensure customers receive unambigu</w:t>
      </w:r>
      <w:r w:rsidRPr="00CB5533">
        <w:rPr>
          <w:rFonts w:ascii="Times New Roman" w:hAnsi="Times New Roman" w:cs="Times New Roman"/>
          <w:sz w:val="24"/>
          <w:szCs w:val="24"/>
        </w:rPr>
        <w:t>ous, accurate, and clear data about financial offerings. The reforms have been designed to thwart predatory lending behaviors and improve the overall fairness and accessibility of banking procedures. By safeguarding consumer interests, these reforms have p</w:t>
      </w:r>
      <w:r w:rsidRPr="00CB5533">
        <w:rPr>
          <w:rFonts w:ascii="Times New Roman" w:hAnsi="Times New Roman" w:cs="Times New Roman"/>
          <w:sz w:val="24"/>
          <w:szCs w:val="24"/>
        </w:rPr>
        <w:t xml:space="preserve">layed an integral role in building public trust and assurance in the banking </w:t>
      </w:r>
      <w:r w:rsidR="00CB5533">
        <w:rPr>
          <w:rFonts w:ascii="Times New Roman" w:hAnsi="Times New Roman" w:cs="Times New Roman"/>
          <w:sz w:val="24"/>
          <w:szCs w:val="24"/>
        </w:rPr>
        <w:t>industry (</w:t>
      </w:r>
      <w:proofErr w:type="spellStart"/>
      <w:r w:rsidR="00CB5533" w:rsidRPr="00CB5533">
        <w:rPr>
          <w:rFonts w:ascii="Times New Roman" w:hAnsi="Times New Roman" w:cs="Times New Roman"/>
          <w:sz w:val="24"/>
          <w:szCs w:val="24"/>
        </w:rPr>
        <w:t>Barnichon</w:t>
      </w:r>
      <w:proofErr w:type="spellEnd"/>
      <w:r w:rsidR="00CB5533">
        <w:rPr>
          <w:rFonts w:ascii="Times New Roman" w:hAnsi="Times New Roman" w:cs="Times New Roman"/>
          <w:sz w:val="24"/>
          <w:szCs w:val="24"/>
        </w:rPr>
        <w:t xml:space="preserve"> et al., 2018).</w:t>
      </w:r>
    </w:p>
    <w:p w14:paraId="2A99BE34" w14:textId="7629D661" w:rsidR="00372498" w:rsidRPr="00011120" w:rsidRDefault="006F4F55" w:rsidP="00011120">
      <w:pPr>
        <w:pStyle w:val="Heading3"/>
        <w:jc w:val="both"/>
        <w:rPr>
          <w:rFonts w:ascii="Times New Roman" w:hAnsi="Times New Roman" w:cs="Times New Roman"/>
          <w:color w:val="auto"/>
          <w:sz w:val="24"/>
          <w:szCs w:val="24"/>
        </w:rPr>
      </w:pPr>
      <w:bookmarkStart w:id="22" w:name="_Toc154836872"/>
      <w:r>
        <w:rPr>
          <w:rFonts w:ascii="Times New Roman" w:hAnsi="Times New Roman" w:cs="Times New Roman"/>
          <w:color w:val="auto"/>
          <w:sz w:val="24"/>
          <w:szCs w:val="24"/>
        </w:rPr>
        <w:t xml:space="preserve">3.2.4 </w:t>
      </w:r>
      <w:r w:rsidRPr="00011120">
        <w:rPr>
          <w:rFonts w:ascii="Times New Roman" w:hAnsi="Times New Roman" w:cs="Times New Roman"/>
          <w:color w:val="auto"/>
          <w:sz w:val="24"/>
          <w:szCs w:val="24"/>
        </w:rPr>
        <w:t>Reinforced Resolution Mechanisms for Troubled Banks</w:t>
      </w:r>
      <w:bookmarkEnd w:id="22"/>
    </w:p>
    <w:p w14:paraId="6722AA0E" w14:textId="47EC807F"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Post-2008 reforms have strengthened resolution processes for struggling banks, boostin</w:t>
      </w:r>
      <w:r w:rsidRPr="00011120">
        <w:rPr>
          <w:rFonts w:ascii="Times New Roman" w:hAnsi="Times New Roman" w:cs="Times New Roman"/>
          <w:sz w:val="24"/>
          <w:szCs w:val="24"/>
        </w:rPr>
        <w:t>g the entire banking sector's stability. The formation of resolution frameworks like the Financial Stability Oversight Council (FSOC) in the US has offered a structured approach to manage the breakdown of systemically vital financial institutions. These me</w:t>
      </w:r>
      <w:r w:rsidRPr="00011120">
        <w:rPr>
          <w:rFonts w:ascii="Times New Roman" w:hAnsi="Times New Roman" w:cs="Times New Roman"/>
          <w:sz w:val="24"/>
          <w:szCs w:val="24"/>
        </w:rPr>
        <w:t>chanisms provide an orderly resolution for troubled banks, lessening financial system disruptions and cutting down the necessity for taxpayer-funded bailouts. Consequently, these reforms have heightened the resilience and credibility of the banking industr</w:t>
      </w:r>
      <w:r w:rsidRPr="00011120">
        <w:rPr>
          <w:rFonts w:ascii="Times New Roman" w:hAnsi="Times New Roman" w:cs="Times New Roman"/>
          <w:sz w:val="24"/>
          <w:szCs w:val="24"/>
        </w:rPr>
        <w:t>y</w:t>
      </w:r>
      <w:r w:rsidR="00952760">
        <w:rPr>
          <w:rFonts w:ascii="Times New Roman" w:hAnsi="Times New Roman" w:cs="Times New Roman"/>
          <w:sz w:val="24"/>
          <w:szCs w:val="24"/>
        </w:rPr>
        <w:t xml:space="preserve"> (</w:t>
      </w:r>
      <w:r w:rsidR="00952760" w:rsidRPr="00952760">
        <w:rPr>
          <w:rFonts w:ascii="Times New Roman" w:hAnsi="Times New Roman" w:cs="Times New Roman"/>
          <w:sz w:val="24"/>
          <w:szCs w:val="24"/>
        </w:rPr>
        <w:t>Metzing, 2016</w:t>
      </w:r>
      <w:r w:rsidR="00952760">
        <w:rPr>
          <w:rFonts w:ascii="Times New Roman" w:hAnsi="Times New Roman" w:cs="Times New Roman"/>
          <w:sz w:val="24"/>
          <w:szCs w:val="24"/>
        </w:rPr>
        <w:t>)</w:t>
      </w:r>
      <w:r w:rsidRPr="00011120">
        <w:rPr>
          <w:rFonts w:ascii="Times New Roman" w:hAnsi="Times New Roman" w:cs="Times New Roman"/>
          <w:sz w:val="24"/>
          <w:szCs w:val="24"/>
        </w:rPr>
        <w:t>.</w:t>
      </w:r>
    </w:p>
    <w:p w14:paraId="7C9A5B93" w14:textId="77777777" w:rsidR="00FD0150" w:rsidRPr="00011120" w:rsidRDefault="00FD0150" w:rsidP="00011120">
      <w:pPr>
        <w:jc w:val="both"/>
        <w:rPr>
          <w:rFonts w:ascii="Times New Roman" w:eastAsiaTheme="majorEastAsia" w:hAnsi="Times New Roman" w:cs="Times New Roman"/>
          <w:b/>
          <w:bCs/>
          <w:sz w:val="24"/>
          <w:szCs w:val="24"/>
        </w:rPr>
      </w:pPr>
      <w:r w:rsidRPr="00011120">
        <w:rPr>
          <w:rFonts w:ascii="Times New Roman" w:hAnsi="Times New Roman" w:cs="Times New Roman"/>
          <w:sz w:val="24"/>
          <w:szCs w:val="24"/>
        </w:rPr>
        <w:br w:type="page"/>
      </w:r>
    </w:p>
    <w:p w14:paraId="7E75EC2E" w14:textId="732433B7" w:rsidR="006F4F55" w:rsidRDefault="006F4F55" w:rsidP="009E6E91">
      <w:pPr>
        <w:pStyle w:val="Heading1"/>
        <w:rPr>
          <w:rFonts w:ascii="Times New Roman" w:hAnsi="Times New Roman" w:cs="Times New Roman"/>
          <w:color w:val="auto"/>
          <w:sz w:val="24"/>
          <w:szCs w:val="24"/>
        </w:rPr>
      </w:pPr>
      <w:bookmarkStart w:id="23" w:name="_Toc154836873"/>
      <w:r>
        <w:rPr>
          <w:rFonts w:ascii="Times New Roman" w:hAnsi="Times New Roman" w:cs="Times New Roman"/>
          <w:color w:val="auto"/>
          <w:sz w:val="24"/>
          <w:szCs w:val="24"/>
        </w:rPr>
        <w:lastRenderedPageBreak/>
        <w:t>4</w:t>
      </w:r>
      <w:r w:rsidRPr="00011120">
        <w:rPr>
          <w:rFonts w:ascii="Times New Roman" w:hAnsi="Times New Roman" w:cs="Times New Roman"/>
          <w:color w:val="auto"/>
          <w:sz w:val="24"/>
          <w:szCs w:val="24"/>
        </w:rPr>
        <w:t>.</w:t>
      </w:r>
      <w:r w:rsidRPr="006F4F55">
        <w:rPr>
          <w:rFonts w:ascii="Times New Roman" w:hAnsi="Times New Roman" w:cs="Times New Roman"/>
          <w:color w:val="auto"/>
          <w:sz w:val="24"/>
          <w:szCs w:val="24"/>
        </w:rPr>
        <w:t xml:space="preserve"> </w:t>
      </w:r>
      <w:r w:rsidRPr="00011120">
        <w:rPr>
          <w:rFonts w:ascii="Times New Roman" w:hAnsi="Times New Roman" w:cs="Times New Roman"/>
          <w:color w:val="auto"/>
          <w:sz w:val="24"/>
          <w:szCs w:val="24"/>
        </w:rPr>
        <w:t>Impact of Reforms on Goldman Sach</w:t>
      </w:r>
      <w:bookmarkEnd w:id="23"/>
    </w:p>
    <w:p w14:paraId="37E2BAC5" w14:textId="7E90A05C" w:rsidR="00372498" w:rsidRPr="00011120" w:rsidRDefault="008F4DDF" w:rsidP="00011120">
      <w:pPr>
        <w:pStyle w:val="Heading2"/>
        <w:jc w:val="both"/>
        <w:rPr>
          <w:rFonts w:ascii="Times New Roman" w:hAnsi="Times New Roman" w:cs="Times New Roman"/>
          <w:color w:val="auto"/>
          <w:sz w:val="24"/>
          <w:szCs w:val="24"/>
        </w:rPr>
      </w:pPr>
      <w:r w:rsidRPr="00011120">
        <w:rPr>
          <w:rFonts w:ascii="Times New Roman" w:hAnsi="Times New Roman" w:cs="Times New Roman"/>
          <w:color w:val="auto"/>
          <w:sz w:val="24"/>
          <w:szCs w:val="24"/>
        </w:rPr>
        <w:t xml:space="preserve"> </w:t>
      </w:r>
      <w:bookmarkStart w:id="24" w:name="_Toc154836874"/>
      <w:r w:rsidR="006F4F55">
        <w:rPr>
          <w:rFonts w:ascii="Times New Roman" w:hAnsi="Times New Roman" w:cs="Times New Roman"/>
          <w:color w:val="auto"/>
          <w:sz w:val="24"/>
          <w:szCs w:val="24"/>
        </w:rPr>
        <w:t xml:space="preserve">4.1 </w:t>
      </w:r>
      <w:r w:rsidRPr="00011120">
        <w:rPr>
          <w:rFonts w:ascii="Times New Roman" w:hAnsi="Times New Roman" w:cs="Times New Roman"/>
          <w:color w:val="auto"/>
          <w:sz w:val="24"/>
          <w:szCs w:val="24"/>
        </w:rPr>
        <w:t>Impact of Reforms on Goldman Sachs' Pre-Global Financial Crisis Business Model</w:t>
      </w:r>
      <w:bookmarkEnd w:id="24"/>
    </w:p>
    <w:p w14:paraId="1023EFAF" w14:textId="72068E15"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The sweeping modifications brought on by the reforms post-the 2008 financial crisis left a profound mark on </w:t>
      </w:r>
      <w:r w:rsidRPr="00011120">
        <w:rPr>
          <w:rFonts w:ascii="Times New Roman" w:hAnsi="Times New Roman" w:cs="Times New Roman"/>
          <w:sz w:val="24"/>
          <w:szCs w:val="24"/>
        </w:rPr>
        <w:t>Goldman Sachs' business model that preceded the global financial crisis. These reforms necessitated a host of changes and recalibrations within Goldman Sachs' operational mechanisms. From revenue stream diversification and a decrease in risk-enhancing acti</w:t>
      </w:r>
      <w:r w:rsidRPr="00011120">
        <w:rPr>
          <w:rFonts w:ascii="Times New Roman" w:hAnsi="Times New Roman" w:cs="Times New Roman"/>
          <w:sz w:val="24"/>
          <w:szCs w:val="24"/>
        </w:rPr>
        <w:t>vities to rigorous adherence to sterner capital and leverage rules as well as conforming to newfound standards of regulatory reporting and disclosure, the modifications were extensive. The driving force behind these reforms was to rectify the fragilities a</w:t>
      </w:r>
      <w:r w:rsidRPr="00011120">
        <w:rPr>
          <w:rFonts w:ascii="Times New Roman" w:hAnsi="Times New Roman" w:cs="Times New Roman"/>
          <w:sz w:val="24"/>
          <w:szCs w:val="24"/>
        </w:rPr>
        <w:t>nd flaws within the financial infrastructure which the crisis laid bare. Consequently, Goldman Sachs found itself overhauling its business model to suit a stricter regulatory and risk-conscious atmosphere</w:t>
      </w:r>
      <w:r w:rsidR="00952760">
        <w:rPr>
          <w:rFonts w:ascii="Times New Roman" w:hAnsi="Times New Roman" w:cs="Times New Roman"/>
          <w:sz w:val="24"/>
          <w:szCs w:val="24"/>
        </w:rPr>
        <w:t xml:space="preserve"> (</w:t>
      </w:r>
      <w:r w:rsidR="00952760" w:rsidRPr="00952760">
        <w:rPr>
          <w:rFonts w:ascii="Times New Roman" w:hAnsi="Times New Roman" w:cs="Times New Roman"/>
          <w:sz w:val="24"/>
          <w:szCs w:val="24"/>
        </w:rPr>
        <w:t>The Financial Crisis Inquiry Commission</w:t>
      </w:r>
      <w:r w:rsidR="00952760">
        <w:rPr>
          <w:rFonts w:ascii="Times New Roman" w:hAnsi="Times New Roman" w:cs="Times New Roman"/>
          <w:sz w:val="24"/>
          <w:szCs w:val="24"/>
        </w:rPr>
        <w:t xml:space="preserve">, </w:t>
      </w:r>
      <w:r w:rsidR="00952760" w:rsidRPr="00952760">
        <w:rPr>
          <w:rFonts w:ascii="Times New Roman" w:hAnsi="Times New Roman" w:cs="Times New Roman"/>
          <w:sz w:val="24"/>
          <w:szCs w:val="24"/>
        </w:rPr>
        <w:t>2011</w:t>
      </w:r>
      <w:r w:rsidR="00952760" w:rsidRPr="00BC5C0D">
        <w:rPr>
          <w:rFonts w:ascii="Times New Roman" w:hAnsi="Times New Roman" w:cs="Times New Roman"/>
          <w:sz w:val="24"/>
          <w:szCs w:val="24"/>
        </w:rPr>
        <w:t>).</w:t>
      </w:r>
    </w:p>
    <w:p w14:paraId="4DAED76D" w14:textId="68BE5DE4" w:rsidR="00372498" w:rsidRPr="00011120" w:rsidRDefault="006F4F55" w:rsidP="00011120">
      <w:pPr>
        <w:pStyle w:val="Heading3"/>
        <w:jc w:val="both"/>
        <w:rPr>
          <w:rFonts w:ascii="Times New Roman" w:hAnsi="Times New Roman" w:cs="Times New Roman"/>
          <w:color w:val="auto"/>
          <w:sz w:val="24"/>
          <w:szCs w:val="24"/>
        </w:rPr>
      </w:pPr>
      <w:bookmarkStart w:id="25" w:name="_Toc154836875"/>
      <w:r>
        <w:rPr>
          <w:rFonts w:ascii="Times New Roman" w:hAnsi="Times New Roman" w:cs="Times New Roman"/>
          <w:color w:val="auto"/>
          <w:sz w:val="24"/>
          <w:szCs w:val="24"/>
        </w:rPr>
        <w:t>4.1</w:t>
      </w:r>
      <w:r w:rsidRPr="00011120">
        <w:rPr>
          <w:rFonts w:ascii="Times New Roman" w:hAnsi="Times New Roman" w:cs="Times New Roman"/>
          <w:color w:val="auto"/>
          <w:sz w:val="24"/>
          <w:szCs w:val="24"/>
        </w:rPr>
        <w:t>.1 Diversification of Revenue Streams</w:t>
      </w:r>
      <w:bookmarkEnd w:id="25"/>
    </w:p>
    <w:p w14:paraId="478B5C0B" w14:textId="6CA19DBE"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The necessary diversification of income sources is a significant consequence the post-2008 financial crisis reforms have had on Goldman Sachs' pre-crisis business model. Dependence on trading and investment banking ac</w:t>
      </w:r>
      <w:r w:rsidRPr="00011120">
        <w:rPr>
          <w:rFonts w:ascii="Times New Roman" w:hAnsi="Times New Roman" w:cs="Times New Roman"/>
          <w:sz w:val="24"/>
          <w:szCs w:val="24"/>
        </w:rPr>
        <w:t>tivities for income was profound prior to the global economic disaster. However, with the introduction of reforms, Goldman Sachs has been steered to spread its income generating sources wider. The firm has ventured into previously unexplored territories li</w:t>
      </w:r>
      <w:r w:rsidRPr="00011120">
        <w:rPr>
          <w:rFonts w:ascii="Times New Roman" w:hAnsi="Times New Roman" w:cs="Times New Roman"/>
          <w:sz w:val="24"/>
          <w:szCs w:val="24"/>
        </w:rPr>
        <w:t>ke wealth management, consumer banking, and asset management. This indicates an initiative to lower reliance on fluctuating trading activities and construct a model more resilient and less prone to market volatility</w:t>
      </w:r>
      <w:r w:rsidR="00952760">
        <w:rPr>
          <w:rFonts w:ascii="Times New Roman" w:hAnsi="Times New Roman" w:cs="Times New Roman"/>
          <w:sz w:val="24"/>
          <w:szCs w:val="24"/>
        </w:rPr>
        <w:t xml:space="preserve"> (</w:t>
      </w:r>
      <w:proofErr w:type="spellStart"/>
      <w:r w:rsidR="00952760" w:rsidRPr="00952760">
        <w:rPr>
          <w:rFonts w:ascii="Times New Roman" w:hAnsi="Times New Roman" w:cs="Times New Roman"/>
          <w:sz w:val="24"/>
          <w:szCs w:val="24"/>
        </w:rPr>
        <w:t>Dullien</w:t>
      </w:r>
      <w:proofErr w:type="spellEnd"/>
      <w:r w:rsidR="00952760" w:rsidRPr="00952760">
        <w:rPr>
          <w:rFonts w:ascii="Times New Roman" w:hAnsi="Times New Roman" w:cs="Times New Roman"/>
          <w:sz w:val="24"/>
          <w:szCs w:val="24"/>
        </w:rPr>
        <w:t>,</w:t>
      </w:r>
      <w:r w:rsidR="00952760">
        <w:rPr>
          <w:rFonts w:ascii="Times New Roman" w:hAnsi="Times New Roman" w:cs="Times New Roman"/>
          <w:sz w:val="24"/>
          <w:szCs w:val="24"/>
        </w:rPr>
        <w:t xml:space="preserve"> </w:t>
      </w:r>
      <w:r w:rsidR="00952760" w:rsidRPr="00952760">
        <w:rPr>
          <w:rFonts w:ascii="Times New Roman" w:hAnsi="Times New Roman" w:cs="Times New Roman"/>
          <w:sz w:val="24"/>
          <w:szCs w:val="24"/>
        </w:rPr>
        <w:t>2010</w:t>
      </w:r>
      <w:r w:rsidR="00952760">
        <w:rPr>
          <w:rFonts w:ascii="Times New Roman" w:hAnsi="Times New Roman" w:cs="Times New Roman"/>
          <w:sz w:val="24"/>
          <w:szCs w:val="24"/>
        </w:rPr>
        <w:t>)</w:t>
      </w:r>
      <w:r w:rsidRPr="00011120">
        <w:rPr>
          <w:rFonts w:ascii="Times New Roman" w:hAnsi="Times New Roman" w:cs="Times New Roman"/>
          <w:sz w:val="24"/>
          <w:szCs w:val="24"/>
        </w:rPr>
        <w:t>.</w:t>
      </w:r>
    </w:p>
    <w:p w14:paraId="4856FDF8" w14:textId="72C14BD5" w:rsidR="00372498" w:rsidRPr="00011120" w:rsidRDefault="006F4F55" w:rsidP="00011120">
      <w:pPr>
        <w:pStyle w:val="Heading3"/>
        <w:jc w:val="both"/>
        <w:rPr>
          <w:rFonts w:ascii="Times New Roman" w:hAnsi="Times New Roman" w:cs="Times New Roman"/>
          <w:color w:val="auto"/>
          <w:sz w:val="24"/>
          <w:szCs w:val="24"/>
        </w:rPr>
      </w:pPr>
      <w:bookmarkStart w:id="26" w:name="_Toc154836876"/>
      <w:r>
        <w:rPr>
          <w:rFonts w:ascii="Times New Roman" w:hAnsi="Times New Roman" w:cs="Times New Roman"/>
          <w:color w:val="auto"/>
          <w:sz w:val="24"/>
          <w:szCs w:val="24"/>
        </w:rPr>
        <w:t xml:space="preserve">4.1.2 </w:t>
      </w:r>
      <w:r w:rsidRPr="00011120">
        <w:rPr>
          <w:rFonts w:ascii="Times New Roman" w:hAnsi="Times New Roman" w:cs="Times New Roman"/>
          <w:color w:val="auto"/>
          <w:sz w:val="24"/>
          <w:szCs w:val="24"/>
        </w:rPr>
        <w:t>Reduced Risk-Taking Activities</w:t>
      </w:r>
      <w:bookmarkEnd w:id="26"/>
    </w:p>
    <w:p w14:paraId="4C59E31E" w14:textId="311BD7B3"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Another striking effect of the post-2008 financial crisis reforms on Goldman Sachs' business model is a decreased inclination towards risk-prone activities. Known for its audacious dynamic and the intricacy of its financial </w:t>
      </w:r>
      <w:r w:rsidR="00C97BBD" w:rsidRPr="00011120">
        <w:rPr>
          <w:rFonts w:ascii="Times New Roman" w:hAnsi="Times New Roman" w:cs="Times New Roman"/>
          <w:sz w:val="24"/>
          <w:szCs w:val="24"/>
        </w:rPr>
        <w:t>offering’s</w:t>
      </w:r>
      <w:r w:rsidRPr="00011120">
        <w:rPr>
          <w:rFonts w:ascii="Times New Roman" w:hAnsi="Times New Roman" w:cs="Times New Roman"/>
          <w:sz w:val="24"/>
          <w:szCs w:val="24"/>
        </w:rPr>
        <w:t xml:space="preserve"> pre-crisis, the regulatory changes have led Goldman Sachs to scale back on its risk-promoting activities to conform to new stipulations. The spotlight is now on implementing sound risk management practices and evading unwarranted exposure to high-risk fi</w:t>
      </w:r>
      <w:r w:rsidRPr="00011120">
        <w:rPr>
          <w:rFonts w:ascii="Times New Roman" w:hAnsi="Times New Roman" w:cs="Times New Roman"/>
          <w:sz w:val="24"/>
          <w:szCs w:val="24"/>
        </w:rPr>
        <w:t>nancial instruments. This shift in approach promotes a conservative outlook, diminishing possible vulnerabilities</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Velez,</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2023).</w:t>
      </w:r>
    </w:p>
    <w:p w14:paraId="2F6ACF70" w14:textId="1F303869" w:rsidR="00372498" w:rsidRPr="00011120" w:rsidRDefault="006F4F55" w:rsidP="00011120">
      <w:pPr>
        <w:pStyle w:val="Heading3"/>
        <w:jc w:val="both"/>
        <w:rPr>
          <w:rFonts w:ascii="Times New Roman" w:hAnsi="Times New Roman" w:cs="Times New Roman"/>
          <w:color w:val="auto"/>
          <w:sz w:val="24"/>
          <w:szCs w:val="24"/>
        </w:rPr>
      </w:pPr>
      <w:bookmarkStart w:id="27" w:name="_Toc154836877"/>
      <w:r>
        <w:rPr>
          <w:rFonts w:ascii="Times New Roman" w:hAnsi="Times New Roman" w:cs="Times New Roman"/>
          <w:color w:val="auto"/>
          <w:sz w:val="24"/>
          <w:szCs w:val="24"/>
        </w:rPr>
        <w:t xml:space="preserve">4.1.3 </w:t>
      </w:r>
      <w:r w:rsidRPr="00011120">
        <w:rPr>
          <w:rFonts w:ascii="Times New Roman" w:hAnsi="Times New Roman" w:cs="Times New Roman"/>
          <w:color w:val="auto"/>
          <w:sz w:val="24"/>
          <w:szCs w:val="24"/>
        </w:rPr>
        <w:t>Compliance with Stricter Capital and Leverage Requirements</w:t>
      </w:r>
      <w:bookmarkEnd w:id="27"/>
    </w:p>
    <w:p w14:paraId="2FA4D7DA" w14:textId="71FF28C3"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Compliance with stringent capital and leverage orders is anoth</w:t>
      </w:r>
      <w:r w:rsidRPr="00011120">
        <w:rPr>
          <w:rFonts w:ascii="Times New Roman" w:hAnsi="Times New Roman" w:cs="Times New Roman"/>
          <w:sz w:val="24"/>
          <w:szCs w:val="24"/>
        </w:rPr>
        <w:t>er transformation Goldman Sachs has had to make due to the post-2008 financial crisis reforms. The essence of these reforms is to fortify the resilience of financial establishments by stipulating adequate capital cushions and curb the abuse of excessive le</w:t>
      </w:r>
      <w:r w:rsidRPr="00011120">
        <w:rPr>
          <w:rFonts w:ascii="Times New Roman" w:hAnsi="Times New Roman" w:cs="Times New Roman"/>
          <w:sz w:val="24"/>
          <w:szCs w:val="24"/>
        </w:rPr>
        <w:t xml:space="preserve">verage. Goldman Sachs, consequently, had to reconfigure its capital structure and bolster its balance sheet to align with these </w:t>
      </w:r>
      <w:r w:rsidRPr="00011120">
        <w:rPr>
          <w:rFonts w:ascii="Times New Roman" w:hAnsi="Times New Roman" w:cs="Times New Roman"/>
          <w:sz w:val="24"/>
          <w:szCs w:val="24"/>
        </w:rPr>
        <w:lastRenderedPageBreak/>
        <w:t>standards. It did so by securing additional capital, lowering leverage ratios, and launching risk-guided capital adequacy mechan</w:t>
      </w:r>
      <w:r w:rsidRPr="00011120">
        <w:rPr>
          <w:rFonts w:ascii="Times New Roman" w:hAnsi="Times New Roman" w:cs="Times New Roman"/>
          <w:sz w:val="24"/>
          <w:szCs w:val="24"/>
        </w:rPr>
        <w:t>isms</w:t>
      </w:r>
      <w:r w:rsidR="005F2E42">
        <w:rPr>
          <w:rFonts w:ascii="Times New Roman" w:hAnsi="Times New Roman" w:cs="Times New Roman"/>
          <w:sz w:val="24"/>
          <w:szCs w:val="24"/>
        </w:rPr>
        <w:t xml:space="preserve"> (</w:t>
      </w:r>
      <w:r w:rsidR="005F2E42" w:rsidRPr="005F2E42">
        <w:rPr>
          <w:rFonts w:ascii="Times New Roman" w:hAnsi="Times New Roman" w:cs="Times New Roman"/>
          <w:sz w:val="24"/>
          <w:szCs w:val="24"/>
        </w:rPr>
        <w:t>Teo</w:t>
      </w:r>
      <w:r w:rsidR="005F2E42">
        <w:rPr>
          <w:rFonts w:ascii="Times New Roman" w:hAnsi="Times New Roman" w:cs="Times New Roman"/>
          <w:sz w:val="24"/>
          <w:szCs w:val="24"/>
        </w:rPr>
        <w:t xml:space="preserve"> et al., 200)</w:t>
      </w:r>
      <w:r w:rsidRPr="00011120">
        <w:rPr>
          <w:rFonts w:ascii="Times New Roman" w:hAnsi="Times New Roman" w:cs="Times New Roman"/>
          <w:sz w:val="24"/>
          <w:szCs w:val="24"/>
        </w:rPr>
        <w:t>.</w:t>
      </w:r>
    </w:p>
    <w:p w14:paraId="61F989B4" w14:textId="0F0B9B61" w:rsidR="00372498" w:rsidRPr="00011120" w:rsidRDefault="006F4F55" w:rsidP="00011120">
      <w:pPr>
        <w:pStyle w:val="Heading3"/>
        <w:jc w:val="both"/>
        <w:rPr>
          <w:rFonts w:ascii="Times New Roman" w:hAnsi="Times New Roman" w:cs="Times New Roman"/>
          <w:color w:val="auto"/>
          <w:sz w:val="24"/>
          <w:szCs w:val="24"/>
        </w:rPr>
      </w:pPr>
      <w:bookmarkStart w:id="28" w:name="_Toc154836878"/>
      <w:r>
        <w:rPr>
          <w:rFonts w:ascii="Times New Roman" w:hAnsi="Times New Roman" w:cs="Times New Roman"/>
          <w:color w:val="auto"/>
          <w:sz w:val="24"/>
          <w:szCs w:val="24"/>
        </w:rPr>
        <w:t xml:space="preserve">4.1.4 </w:t>
      </w:r>
      <w:r w:rsidRPr="00011120">
        <w:rPr>
          <w:rFonts w:ascii="Times New Roman" w:hAnsi="Times New Roman" w:cs="Times New Roman"/>
          <w:color w:val="auto"/>
          <w:sz w:val="24"/>
          <w:szCs w:val="24"/>
        </w:rPr>
        <w:t>Adaptation to New Regulatory Reporting and Disclosure Standards</w:t>
      </w:r>
      <w:bookmarkEnd w:id="28"/>
    </w:p>
    <w:p w14:paraId="3D24B17B" w14:textId="23EB9A9B"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Post-2008 financial crisis reforms ushered in fresh regulatory reporting and disclosure stipulations that Goldman Sachs found itself conforming to. Increased </w:t>
      </w:r>
      <w:r w:rsidRPr="00011120">
        <w:rPr>
          <w:rFonts w:ascii="Times New Roman" w:hAnsi="Times New Roman" w:cs="Times New Roman"/>
          <w:sz w:val="24"/>
          <w:szCs w:val="24"/>
        </w:rPr>
        <w:t>transparency and accountability in the financial sector were the objectives of these stipulations, obliging institutions to furnish more thorough and prompt information to the stakeholders and the regulators. In response, Goldman Sachs strengthened its int</w:t>
      </w:r>
      <w:r w:rsidRPr="00011120">
        <w:rPr>
          <w:rFonts w:ascii="Times New Roman" w:hAnsi="Times New Roman" w:cs="Times New Roman"/>
          <w:sz w:val="24"/>
          <w:szCs w:val="24"/>
        </w:rPr>
        <w:t>ernal reporting structures, amplified its risk monitoring abilities, and heightened its disclosure practices. The result is an increase in detailed information made available about its risk exposures, financial positions, and business proceedings, all of w</w:t>
      </w:r>
      <w:r w:rsidRPr="00011120">
        <w:rPr>
          <w:rFonts w:ascii="Times New Roman" w:hAnsi="Times New Roman" w:cs="Times New Roman"/>
          <w:sz w:val="24"/>
          <w:szCs w:val="24"/>
        </w:rPr>
        <w:t>hich contribute to better informed assessments of the firm's operations</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Velez,</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2023).</w:t>
      </w:r>
    </w:p>
    <w:p w14:paraId="43B99586" w14:textId="0874BB25" w:rsidR="00372498" w:rsidRPr="00011120" w:rsidRDefault="006F4F55" w:rsidP="00011120">
      <w:pPr>
        <w:pStyle w:val="Heading3"/>
        <w:jc w:val="both"/>
        <w:rPr>
          <w:rFonts w:ascii="Times New Roman" w:hAnsi="Times New Roman" w:cs="Times New Roman"/>
          <w:color w:val="auto"/>
          <w:sz w:val="24"/>
          <w:szCs w:val="24"/>
        </w:rPr>
      </w:pPr>
      <w:bookmarkStart w:id="29" w:name="_Toc154836879"/>
      <w:r>
        <w:rPr>
          <w:rFonts w:ascii="Times New Roman" w:hAnsi="Times New Roman" w:cs="Times New Roman"/>
          <w:color w:val="auto"/>
          <w:sz w:val="24"/>
          <w:szCs w:val="24"/>
        </w:rPr>
        <w:t>4.1.5</w:t>
      </w:r>
      <w:r w:rsidRPr="00011120">
        <w:rPr>
          <w:rFonts w:ascii="Times New Roman" w:hAnsi="Times New Roman" w:cs="Times New Roman"/>
          <w:color w:val="auto"/>
          <w:sz w:val="24"/>
          <w:szCs w:val="24"/>
        </w:rPr>
        <w:t xml:space="preserve"> Changes in Trading and Investment Strategies</w:t>
      </w:r>
      <w:bookmarkEnd w:id="29"/>
    </w:p>
    <w:p w14:paraId="41AA075A" w14:textId="71E75373"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The post-2008 financial crisis reforms have profoundly affected Goldman Sachs' pre-global financial crisis business mo</w:t>
      </w:r>
      <w:r w:rsidRPr="00011120">
        <w:rPr>
          <w:rFonts w:ascii="Times New Roman" w:hAnsi="Times New Roman" w:cs="Times New Roman"/>
          <w:sz w:val="24"/>
          <w:szCs w:val="24"/>
        </w:rPr>
        <w:t>del, visible notably in the modifications of its trading and investment strategies. With the introduction of reforms, Goldman Sachs has reassessed its strategies for return generation and investment management. The emphasis has shifted towards conservative</w:t>
      </w:r>
      <w:r w:rsidRPr="00011120">
        <w:rPr>
          <w:rFonts w:ascii="Times New Roman" w:hAnsi="Times New Roman" w:cs="Times New Roman"/>
          <w:sz w:val="24"/>
          <w:szCs w:val="24"/>
        </w:rPr>
        <w:t xml:space="preserve"> investment strategies, and a decrease in dependence on complex financial products. In addition, stricter regulations on proprietary trading have led to a retraction in speculative trading activities. The bank now prioritizes meeting clients' needs and off</w:t>
      </w:r>
      <w:r w:rsidRPr="00011120">
        <w:rPr>
          <w:rFonts w:ascii="Times New Roman" w:hAnsi="Times New Roman" w:cs="Times New Roman"/>
          <w:sz w:val="24"/>
          <w:szCs w:val="24"/>
        </w:rPr>
        <w:t>ering customized investment solutions, aligning with the ultimate goal of curtailing risk and ensuring sustainable growth in the long term</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Velez,</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2023)</w:t>
      </w:r>
      <w:r w:rsidRPr="00011120">
        <w:rPr>
          <w:rFonts w:ascii="Times New Roman" w:hAnsi="Times New Roman" w:cs="Times New Roman"/>
          <w:sz w:val="24"/>
          <w:szCs w:val="24"/>
        </w:rPr>
        <w:t>.</w:t>
      </w:r>
    </w:p>
    <w:p w14:paraId="572302AE" w14:textId="77777777" w:rsidR="00FD0150" w:rsidRPr="00011120" w:rsidRDefault="00FD0150" w:rsidP="00011120">
      <w:pPr>
        <w:jc w:val="both"/>
        <w:rPr>
          <w:rFonts w:ascii="Times New Roman" w:eastAsiaTheme="majorEastAsia" w:hAnsi="Times New Roman" w:cs="Times New Roman"/>
          <w:b/>
          <w:bCs/>
          <w:sz w:val="24"/>
          <w:szCs w:val="24"/>
        </w:rPr>
      </w:pPr>
      <w:r w:rsidRPr="00011120">
        <w:rPr>
          <w:rFonts w:ascii="Times New Roman" w:hAnsi="Times New Roman" w:cs="Times New Roman"/>
          <w:sz w:val="24"/>
          <w:szCs w:val="24"/>
        </w:rPr>
        <w:br w:type="page"/>
      </w:r>
    </w:p>
    <w:p w14:paraId="32E8E116" w14:textId="16B871E7" w:rsidR="00372498" w:rsidRPr="00011120" w:rsidRDefault="006F4F55" w:rsidP="00011120">
      <w:pPr>
        <w:pStyle w:val="Heading2"/>
        <w:jc w:val="both"/>
        <w:rPr>
          <w:rFonts w:ascii="Times New Roman" w:hAnsi="Times New Roman" w:cs="Times New Roman"/>
          <w:color w:val="auto"/>
          <w:sz w:val="24"/>
          <w:szCs w:val="24"/>
        </w:rPr>
      </w:pPr>
      <w:bookmarkStart w:id="30" w:name="_Toc154836880"/>
      <w:r>
        <w:rPr>
          <w:rFonts w:ascii="Times New Roman" w:hAnsi="Times New Roman" w:cs="Times New Roman"/>
          <w:color w:val="auto"/>
          <w:sz w:val="24"/>
          <w:szCs w:val="24"/>
        </w:rPr>
        <w:lastRenderedPageBreak/>
        <w:t>4.2</w:t>
      </w:r>
      <w:r w:rsidRPr="00011120">
        <w:rPr>
          <w:rFonts w:ascii="Times New Roman" w:hAnsi="Times New Roman" w:cs="Times New Roman"/>
          <w:color w:val="auto"/>
          <w:sz w:val="24"/>
          <w:szCs w:val="24"/>
        </w:rPr>
        <w:t xml:space="preserve"> Impact of Reforms on Goldman Sachs' Post-Global Financial Crisis Business Model</w:t>
      </w:r>
      <w:bookmarkEnd w:id="30"/>
    </w:p>
    <w:p w14:paraId="2B0FD738" w14:textId="589C9E69"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Post-financial </w:t>
      </w:r>
      <w:r w:rsidRPr="00011120">
        <w:rPr>
          <w:rFonts w:ascii="Times New Roman" w:hAnsi="Times New Roman" w:cs="Times New Roman"/>
          <w:sz w:val="24"/>
          <w:szCs w:val="24"/>
        </w:rPr>
        <w:t>crisis regulations from 2008 have deeply influenced Goldman Sachs' operational strategy. To align with the overhauled regulatory environment, the firm undertook multifaceted transformations aiming to create a stable and resilient business approach. Complia</w:t>
      </w:r>
      <w:r w:rsidRPr="00011120">
        <w:rPr>
          <w:rFonts w:ascii="Times New Roman" w:hAnsi="Times New Roman" w:cs="Times New Roman"/>
          <w:sz w:val="24"/>
          <w:szCs w:val="24"/>
        </w:rPr>
        <w:t xml:space="preserve">nce costs have escalated and regulations have thickened, necessitating a recalibration towards a safer and more consistent business model. Client relationships based on trust along with advanced risk management methods and internal controls now sit at the </w:t>
      </w:r>
      <w:r w:rsidRPr="00011120">
        <w:rPr>
          <w:rFonts w:ascii="Times New Roman" w:hAnsi="Times New Roman" w:cs="Times New Roman"/>
          <w:sz w:val="24"/>
          <w:szCs w:val="24"/>
        </w:rPr>
        <w:t>heart of the company’s strategy. Furthermore, Goldman Sachs has capitalized on technological breakthroughs to augment operational efficacy and regulatory compliance</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Velez,</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2023)</w:t>
      </w:r>
      <w:r w:rsidRPr="00011120">
        <w:rPr>
          <w:rFonts w:ascii="Times New Roman" w:hAnsi="Times New Roman" w:cs="Times New Roman"/>
          <w:sz w:val="24"/>
          <w:szCs w:val="24"/>
        </w:rPr>
        <w:t>.</w:t>
      </w:r>
    </w:p>
    <w:p w14:paraId="19C04B19" w14:textId="71E4A4CD" w:rsidR="00372498" w:rsidRPr="00011120" w:rsidRDefault="006F4F55" w:rsidP="00011120">
      <w:pPr>
        <w:pStyle w:val="Heading3"/>
        <w:jc w:val="both"/>
        <w:rPr>
          <w:rFonts w:ascii="Times New Roman" w:hAnsi="Times New Roman" w:cs="Times New Roman"/>
          <w:color w:val="auto"/>
          <w:sz w:val="24"/>
          <w:szCs w:val="24"/>
        </w:rPr>
      </w:pPr>
      <w:bookmarkStart w:id="31" w:name="_Toc154836881"/>
      <w:r>
        <w:rPr>
          <w:rFonts w:ascii="Times New Roman" w:hAnsi="Times New Roman" w:cs="Times New Roman"/>
          <w:color w:val="auto"/>
          <w:sz w:val="24"/>
          <w:szCs w:val="24"/>
        </w:rPr>
        <w:t>4</w:t>
      </w:r>
      <w:r w:rsidRPr="00011120">
        <w:rPr>
          <w:rFonts w:ascii="Times New Roman" w:hAnsi="Times New Roman" w:cs="Times New Roman"/>
          <w:color w:val="auto"/>
          <w:sz w:val="24"/>
          <w:szCs w:val="24"/>
        </w:rPr>
        <w:t>.</w:t>
      </w:r>
      <w:r>
        <w:rPr>
          <w:rFonts w:ascii="Times New Roman" w:hAnsi="Times New Roman" w:cs="Times New Roman"/>
          <w:color w:val="auto"/>
          <w:sz w:val="24"/>
          <w:szCs w:val="24"/>
        </w:rPr>
        <w:t>2.1</w:t>
      </w:r>
      <w:r w:rsidRPr="00011120">
        <w:rPr>
          <w:rFonts w:ascii="Times New Roman" w:hAnsi="Times New Roman" w:cs="Times New Roman"/>
          <w:color w:val="auto"/>
          <w:sz w:val="24"/>
          <w:szCs w:val="24"/>
        </w:rPr>
        <w:t xml:space="preserve"> Increased Compliance Costs and Regulatory Burden</w:t>
      </w:r>
      <w:bookmarkEnd w:id="31"/>
    </w:p>
    <w:p w14:paraId="010DCA10" w14:textId="5955C8C4"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The post-2008 financi</w:t>
      </w:r>
      <w:r w:rsidRPr="00011120">
        <w:rPr>
          <w:rFonts w:ascii="Times New Roman" w:hAnsi="Times New Roman" w:cs="Times New Roman"/>
          <w:sz w:val="24"/>
          <w:szCs w:val="24"/>
        </w:rPr>
        <w:t>al meltdown legislation has spurred increased compliance expenditure and amplified regulatory burden for Goldman Sachs. Significant resources have been redirected towards ensuring adherence to newly instituted regulations enacted by supervisory bodies. Thi</w:t>
      </w:r>
      <w:r w:rsidRPr="00011120">
        <w:rPr>
          <w:rFonts w:ascii="Times New Roman" w:hAnsi="Times New Roman" w:cs="Times New Roman"/>
          <w:sz w:val="24"/>
          <w:szCs w:val="24"/>
        </w:rPr>
        <w:t xml:space="preserve">s </w:t>
      </w:r>
      <w:r w:rsidR="006F4F55" w:rsidRPr="00011120">
        <w:rPr>
          <w:rFonts w:ascii="Times New Roman" w:hAnsi="Times New Roman" w:cs="Times New Roman"/>
          <w:sz w:val="24"/>
          <w:szCs w:val="24"/>
        </w:rPr>
        <w:t>includes</w:t>
      </w:r>
      <w:r w:rsidRPr="00011120">
        <w:rPr>
          <w:rFonts w:ascii="Times New Roman" w:hAnsi="Times New Roman" w:cs="Times New Roman"/>
          <w:sz w:val="24"/>
          <w:szCs w:val="24"/>
        </w:rPr>
        <w:t xml:space="preserve"> the hiring of additional compliance staff, installing modern monitoring systems, and executing routine audits. Escalated compliance costs have touched Goldman Sachs' profitability, forcing strategic cost reductions in other operational areas</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Velez,</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2023</w:t>
      </w:r>
      <w:r w:rsidR="006F4F55" w:rsidRPr="00B731D5">
        <w:rPr>
          <w:rFonts w:ascii="Times New Roman" w:hAnsi="Times New Roman" w:cs="Times New Roman"/>
          <w:sz w:val="24"/>
          <w:szCs w:val="24"/>
        </w:rPr>
        <w:t>).</w:t>
      </w:r>
    </w:p>
    <w:p w14:paraId="090D8256" w14:textId="650A7B88" w:rsidR="00372498" w:rsidRPr="00011120" w:rsidRDefault="006F4F55" w:rsidP="00011120">
      <w:pPr>
        <w:pStyle w:val="Heading3"/>
        <w:jc w:val="both"/>
        <w:rPr>
          <w:rFonts w:ascii="Times New Roman" w:hAnsi="Times New Roman" w:cs="Times New Roman"/>
          <w:color w:val="auto"/>
          <w:sz w:val="24"/>
          <w:szCs w:val="24"/>
        </w:rPr>
      </w:pPr>
      <w:bookmarkStart w:id="32" w:name="_Toc154836882"/>
      <w:r>
        <w:rPr>
          <w:rFonts w:ascii="Times New Roman" w:hAnsi="Times New Roman" w:cs="Times New Roman"/>
          <w:color w:val="auto"/>
          <w:sz w:val="24"/>
          <w:szCs w:val="24"/>
        </w:rPr>
        <w:t>4.</w:t>
      </w:r>
      <w:r w:rsidRPr="00011120">
        <w:rPr>
          <w:rFonts w:ascii="Times New Roman" w:hAnsi="Times New Roman" w:cs="Times New Roman"/>
          <w:color w:val="auto"/>
          <w:sz w:val="24"/>
          <w:szCs w:val="24"/>
        </w:rPr>
        <w:t>2.</w:t>
      </w:r>
      <w:r>
        <w:rPr>
          <w:rFonts w:ascii="Times New Roman" w:hAnsi="Times New Roman" w:cs="Times New Roman"/>
          <w:color w:val="auto"/>
          <w:sz w:val="24"/>
          <w:szCs w:val="24"/>
        </w:rPr>
        <w:t>2</w:t>
      </w:r>
      <w:r w:rsidRPr="00011120">
        <w:rPr>
          <w:rFonts w:ascii="Times New Roman" w:hAnsi="Times New Roman" w:cs="Times New Roman"/>
          <w:color w:val="auto"/>
          <w:sz w:val="24"/>
          <w:szCs w:val="24"/>
        </w:rPr>
        <w:t xml:space="preserve"> Shift towards Safer and More Sustainable Business Practices</w:t>
      </w:r>
      <w:bookmarkEnd w:id="32"/>
    </w:p>
    <w:p w14:paraId="664DCB66" w14:textId="11FA36D6"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Responding to post-2008 recession regulation, Goldman Sachs has shifted decisively towards a safer and more sustainable business strategy. The firm has dialed back on risk-orie</w:t>
      </w:r>
      <w:r w:rsidRPr="00011120">
        <w:rPr>
          <w:rFonts w:ascii="Times New Roman" w:hAnsi="Times New Roman" w:cs="Times New Roman"/>
          <w:sz w:val="24"/>
          <w:szCs w:val="24"/>
        </w:rPr>
        <w:t>nted activities, implementing procedures to safeguard against potential dangers. To this effect, more rigorous lending and investment parameters have been set up while risk assessment methodologies have been calibrated. Goldman Sachs has prioritized stabil</w:t>
      </w:r>
      <w:r w:rsidRPr="00011120">
        <w:rPr>
          <w:rFonts w:ascii="Times New Roman" w:hAnsi="Times New Roman" w:cs="Times New Roman"/>
          <w:sz w:val="24"/>
          <w:szCs w:val="24"/>
        </w:rPr>
        <w:t>ity and resilience in its business model, in a bid to ensure its longevity</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Velez,</w:t>
      </w:r>
      <w:r w:rsidR="005F2E42">
        <w:rPr>
          <w:rFonts w:ascii="Times New Roman" w:hAnsi="Times New Roman" w:cs="Times New Roman"/>
          <w:sz w:val="24"/>
          <w:szCs w:val="24"/>
        </w:rPr>
        <w:t xml:space="preserve"> </w:t>
      </w:r>
      <w:r w:rsidR="005F2E42" w:rsidRPr="00B731D5">
        <w:rPr>
          <w:rFonts w:ascii="Times New Roman" w:hAnsi="Times New Roman" w:cs="Times New Roman"/>
          <w:sz w:val="24"/>
          <w:szCs w:val="24"/>
        </w:rPr>
        <w:t>2023)</w:t>
      </w:r>
      <w:r w:rsidRPr="00011120">
        <w:rPr>
          <w:rFonts w:ascii="Times New Roman" w:hAnsi="Times New Roman" w:cs="Times New Roman"/>
          <w:sz w:val="24"/>
          <w:szCs w:val="24"/>
        </w:rPr>
        <w:t>.</w:t>
      </w:r>
    </w:p>
    <w:p w14:paraId="5180E933" w14:textId="212F1015" w:rsidR="00372498" w:rsidRPr="00011120" w:rsidRDefault="006F4F55" w:rsidP="00011120">
      <w:pPr>
        <w:pStyle w:val="Heading3"/>
        <w:jc w:val="both"/>
        <w:rPr>
          <w:rFonts w:ascii="Times New Roman" w:hAnsi="Times New Roman" w:cs="Times New Roman"/>
          <w:color w:val="auto"/>
          <w:sz w:val="24"/>
          <w:szCs w:val="24"/>
        </w:rPr>
      </w:pPr>
      <w:bookmarkStart w:id="33" w:name="_Toc154836883"/>
      <w:r>
        <w:rPr>
          <w:rFonts w:ascii="Times New Roman" w:hAnsi="Times New Roman" w:cs="Times New Roman"/>
          <w:color w:val="auto"/>
          <w:sz w:val="24"/>
          <w:szCs w:val="24"/>
        </w:rPr>
        <w:t>4.2.3</w:t>
      </w:r>
      <w:r w:rsidRPr="00011120">
        <w:rPr>
          <w:rFonts w:ascii="Times New Roman" w:hAnsi="Times New Roman" w:cs="Times New Roman"/>
          <w:color w:val="auto"/>
          <w:sz w:val="24"/>
          <w:szCs w:val="24"/>
        </w:rPr>
        <w:t xml:space="preserve"> Emphasis on Long-Term Client Relationships and Trust</w:t>
      </w:r>
      <w:bookmarkEnd w:id="33"/>
    </w:p>
    <w:p w14:paraId="597F234A" w14:textId="15AD57E9"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In the wake of the post-2008 regulatory changes, the importance of sustainable client relationships based o</w:t>
      </w:r>
      <w:r w:rsidRPr="00011120">
        <w:rPr>
          <w:rFonts w:ascii="Times New Roman" w:hAnsi="Times New Roman" w:cs="Times New Roman"/>
          <w:sz w:val="24"/>
          <w:szCs w:val="24"/>
        </w:rPr>
        <w:t>n mutual trust has come to the forefront in Goldman Sachs' business model. Recognizing the value in forging and nurturing robust client bonds grounded in transparency, the company has taken steps to augment client communication, provide meticulous disclosu</w:t>
      </w:r>
      <w:r w:rsidRPr="00011120">
        <w:rPr>
          <w:rFonts w:ascii="Times New Roman" w:hAnsi="Times New Roman" w:cs="Times New Roman"/>
          <w:sz w:val="24"/>
          <w:szCs w:val="24"/>
        </w:rPr>
        <w:t xml:space="preserve">res and tailor solutions to match client requirements. Goldman Sachs aims to build trust and loyalty among its clients, viewed as vital for steady growth and </w:t>
      </w:r>
      <w:r w:rsidR="006F4F55" w:rsidRPr="00011120">
        <w:rPr>
          <w:rFonts w:ascii="Times New Roman" w:hAnsi="Times New Roman" w:cs="Times New Roman"/>
          <w:sz w:val="24"/>
          <w:szCs w:val="24"/>
        </w:rPr>
        <w:t>success</w:t>
      </w:r>
      <w:r w:rsidR="006F4F55">
        <w:rPr>
          <w:rFonts w:ascii="Times New Roman" w:hAnsi="Times New Roman" w:cs="Times New Roman"/>
          <w:sz w:val="24"/>
          <w:szCs w:val="24"/>
        </w:rPr>
        <w:t xml:space="preserve"> (</w:t>
      </w:r>
      <w:r w:rsidR="00DB4046" w:rsidRPr="00B731D5">
        <w:rPr>
          <w:rFonts w:ascii="Times New Roman" w:hAnsi="Times New Roman" w:cs="Times New Roman"/>
          <w:sz w:val="24"/>
          <w:szCs w:val="24"/>
        </w:rPr>
        <w:t>Velez,</w:t>
      </w:r>
      <w:r w:rsidR="00DB4046">
        <w:rPr>
          <w:rFonts w:ascii="Times New Roman" w:hAnsi="Times New Roman" w:cs="Times New Roman"/>
          <w:sz w:val="24"/>
          <w:szCs w:val="24"/>
        </w:rPr>
        <w:t xml:space="preserve"> </w:t>
      </w:r>
      <w:r w:rsidR="00DB4046" w:rsidRPr="00B731D5">
        <w:rPr>
          <w:rFonts w:ascii="Times New Roman" w:hAnsi="Times New Roman" w:cs="Times New Roman"/>
          <w:sz w:val="24"/>
          <w:szCs w:val="24"/>
        </w:rPr>
        <w:t>2023)</w:t>
      </w:r>
      <w:r w:rsidRPr="00011120">
        <w:rPr>
          <w:rFonts w:ascii="Times New Roman" w:hAnsi="Times New Roman" w:cs="Times New Roman"/>
          <w:sz w:val="24"/>
          <w:szCs w:val="24"/>
        </w:rPr>
        <w:t>.</w:t>
      </w:r>
    </w:p>
    <w:p w14:paraId="7D79BEF2" w14:textId="09A3EBB5" w:rsidR="00372498" w:rsidRPr="00011120" w:rsidRDefault="006F4F55" w:rsidP="00011120">
      <w:pPr>
        <w:pStyle w:val="Heading3"/>
        <w:jc w:val="both"/>
        <w:rPr>
          <w:rFonts w:ascii="Times New Roman" w:hAnsi="Times New Roman" w:cs="Times New Roman"/>
          <w:color w:val="auto"/>
          <w:sz w:val="24"/>
          <w:szCs w:val="24"/>
        </w:rPr>
      </w:pPr>
      <w:bookmarkStart w:id="34" w:name="_Toc154836884"/>
      <w:r>
        <w:rPr>
          <w:rFonts w:ascii="Times New Roman" w:hAnsi="Times New Roman" w:cs="Times New Roman"/>
          <w:color w:val="auto"/>
          <w:sz w:val="24"/>
          <w:szCs w:val="24"/>
        </w:rPr>
        <w:t>4.2.4</w:t>
      </w:r>
      <w:r w:rsidRPr="00011120">
        <w:rPr>
          <w:rFonts w:ascii="Times New Roman" w:hAnsi="Times New Roman" w:cs="Times New Roman"/>
          <w:color w:val="auto"/>
          <w:sz w:val="24"/>
          <w:szCs w:val="24"/>
        </w:rPr>
        <w:t xml:space="preserve"> Enhanced Risk Management and Internal Controls</w:t>
      </w:r>
      <w:bookmarkEnd w:id="34"/>
    </w:p>
    <w:p w14:paraId="429F4DCA" w14:textId="35219C45" w:rsidR="00372498" w:rsidRPr="00011120"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The financial crisis-triggered reforms post-2008 have necessitated Goldman Sachs to fortify its risk management practices and internal controls. The firm has set up comprehensive risk assessment structures, internal oversight mechanisms, and compliance </w:t>
      </w:r>
      <w:r w:rsidRPr="00011120">
        <w:rPr>
          <w:rFonts w:ascii="Times New Roman" w:hAnsi="Times New Roman" w:cs="Times New Roman"/>
          <w:sz w:val="24"/>
          <w:szCs w:val="24"/>
        </w:rPr>
        <w:lastRenderedPageBreak/>
        <w:t>pro</w:t>
      </w:r>
      <w:r w:rsidRPr="00011120">
        <w:rPr>
          <w:rFonts w:ascii="Times New Roman" w:hAnsi="Times New Roman" w:cs="Times New Roman"/>
          <w:sz w:val="24"/>
          <w:szCs w:val="24"/>
        </w:rPr>
        <w:t>tocols to ascertain early detection and control of potential risks. Regular stress testing, stringent approval standards for new financial products and services, and enhanced surveillance of trading activities are part of this effort. By bolstering risk ma</w:t>
      </w:r>
      <w:r w:rsidRPr="00011120">
        <w:rPr>
          <w:rFonts w:ascii="Times New Roman" w:hAnsi="Times New Roman" w:cs="Times New Roman"/>
          <w:sz w:val="24"/>
          <w:szCs w:val="24"/>
        </w:rPr>
        <w:t>nagement and internal controls, Goldman Sachs aims to mitigate significant financial and reputational repercussions</w:t>
      </w:r>
      <w:r w:rsidR="00DB4046">
        <w:rPr>
          <w:rFonts w:ascii="Times New Roman" w:hAnsi="Times New Roman" w:cs="Times New Roman"/>
          <w:sz w:val="24"/>
          <w:szCs w:val="24"/>
        </w:rPr>
        <w:t xml:space="preserve"> (</w:t>
      </w:r>
      <w:r w:rsidR="00DB4046" w:rsidRPr="00B731D5">
        <w:rPr>
          <w:rFonts w:ascii="Times New Roman" w:hAnsi="Times New Roman" w:cs="Times New Roman"/>
          <w:sz w:val="24"/>
          <w:szCs w:val="24"/>
        </w:rPr>
        <w:t>Velez,</w:t>
      </w:r>
      <w:r w:rsidR="00DB4046">
        <w:rPr>
          <w:rFonts w:ascii="Times New Roman" w:hAnsi="Times New Roman" w:cs="Times New Roman"/>
          <w:sz w:val="24"/>
          <w:szCs w:val="24"/>
        </w:rPr>
        <w:t xml:space="preserve"> </w:t>
      </w:r>
      <w:r w:rsidR="00DB4046" w:rsidRPr="00B731D5">
        <w:rPr>
          <w:rFonts w:ascii="Times New Roman" w:hAnsi="Times New Roman" w:cs="Times New Roman"/>
          <w:sz w:val="24"/>
          <w:szCs w:val="24"/>
        </w:rPr>
        <w:t>2023)</w:t>
      </w:r>
      <w:r w:rsidRPr="00011120">
        <w:rPr>
          <w:rFonts w:ascii="Times New Roman" w:hAnsi="Times New Roman" w:cs="Times New Roman"/>
          <w:sz w:val="24"/>
          <w:szCs w:val="24"/>
        </w:rPr>
        <w:t>.</w:t>
      </w:r>
    </w:p>
    <w:p w14:paraId="74780C3B" w14:textId="1CA7B523" w:rsidR="00372498" w:rsidRPr="00011120" w:rsidRDefault="006F4F55" w:rsidP="00011120">
      <w:pPr>
        <w:pStyle w:val="Heading3"/>
        <w:jc w:val="both"/>
        <w:rPr>
          <w:rFonts w:ascii="Times New Roman" w:hAnsi="Times New Roman" w:cs="Times New Roman"/>
          <w:color w:val="auto"/>
          <w:sz w:val="24"/>
          <w:szCs w:val="24"/>
        </w:rPr>
      </w:pPr>
      <w:bookmarkStart w:id="35" w:name="_Toc154836885"/>
      <w:r>
        <w:rPr>
          <w:rFonts w:ascii="Times New Roman" w:hAnsi="Times New Roman" w:cs="Times New Roman"/>
          <w:color w:val="auto"/>
          <w:sz w:val="24"/>
          <w:szCs w:val="24"/>
        </w:rPr>
        <w:t>4.2</w:t>
      </w:r>
      <w:r w:rsidRPr="00011120">
        <w:rPr>
          <w:rFonts w:ascii="Times New Roman" w:hAnsi="Times New Roman" w:cs="Times New Roman"/>
          <w:color w:val="auto"/>
          <w:sz w:val="24"/>
          <w:szCs w:val="24"/>
        </w:rPr>
        <w:t>.</w:t>
      </w:r>
      <w:r>
        <w:rPr>
          <w:rFonts w:ascii="Times New Roman" w:hAnsi="Times New Roman" w:cs="Times New Roman"/>
          <w:color w:val="auto"/>
          <w:sz w:val="24"/>
          <w:szCs w:val="24"/>
        </w:rPr>
        <w:t>5</w:t>
      </w:r>
      <w:r w:rsidRPr="00011120">
        <w:rPr>
          <w:rFonts w:ascii="Times New Roman" w:hAnsi="Times New Roman" w:cs="Times New Roman"/>
          <w:color w:val="auto"/>
          <w:sz w:val="24"/>
          <w:szCs w:val="24"/>
        </w:rPr>
        <w:t xml:space="preserve"> Embracing Technological Innovations for Efficiency and Compliance</w:t>
      </w:r>
      <w:bookmarkEnd w:id="35"/>
    </w:p>
    <w:p w14:paraId="3C7A2912" w14:textId="30677903" w:rsidR="00372498" w:rsidRDefault="008F4DDF" w:rsidP="00011120">
      <w:pPr>
        <w:jc w:val="both"/>
        <w:rPr>
          <w:rFonts w:ascii="Times New Roman" w:hAnsi="Times New Roman" w:cs="Times New Roman"/>
          <w:sz w:val="24"/>
          <w:szCs w:val="24"/>
        </w:rPr>
      </w:pPr>
      <w:r w:rsidRPr="00011120">
        <w:rPr>
          <w:rFonts w:ascii="Times New Roman" w:hAnsi="Times New Roman" w:cs="Times New Roman"/>
          <w:sz w:val="24"/>
          <w:szCs w:val="24"/>
        </w:rPr>
        <w:t xml:space="preserve">In response to the regulations ensuing from the 2008 </w:t>
      </w:r>
      <w:r w:rsidRPr="00011120">
        <w:rPr>
          <w:rFonts w:ascii="Times New Roman" w:hAnsi="Times New Roman" w:cs="Times New Roman"/>
          <w:sz w:val="24"/>
          <w:szCs w:val="24"/>
        </w:rPr>
        <w:t>financial crisis, Goldman Sachs has wholeheartedly adopted technological innovations to boost efficiency and compliance. The firm has poured resources into cutting-edge data analytics and AI tools to enhance its risk monitoring and regulatory compliance me</w:t>
      </w:r>
      <w:r w:rsidRPr="00011120">
        <w:rPr>
          <w:rFonts w:ascii="Times New Roman" w:hAnsi="Times New Roman" w:cs="Times New Roman"/>
          <w:sz w:val="24"/>
          <w:szCs w:val="24"/>
        </w:rPr>
        <w:t>chanisms. These technological aids offer fast and precise identification of potential compliance breaches and risks. Additionally, the firm has deployed automation across various operational processes to streamline workflows and minimise human error. The o</w:t>
      </w:r>
      <w:r w:rsidRPr="00011120">
        <w:rPr>
          <w:rFonts w:ascii="Times New Roman" w:hAnsi="Times New Roman" w:cs="Times New Roman"/>
          <w:sz w:val="24"/>
          <w:szCs w:val="24"/>
        </w:rPr>
        <w:t>bjective is to strike a balance between improving efficiency and ensuring compliance with the intricate regulatory landscape</w:t>
      </w:r>
      <w:r w:rsidR="00DB4046">
        <w:rPr>
          <w:rFonts w:ascii="Times New Roman" w:hAnsi="Times New Roman" w:cs="Times New Roman"/>
          <w:sz w:val="24"/>
          <w:szCs w:val="24"/>
        </w:rPr>
        <w:t xml:space="preserve"> (</w:t>
      </w:r>
      <w:r w:rsidR="00DB4046" w:rsidRPr="00B731D5">
        <w:rPr>
          <w:rFonts w:ascii="Times New Roman" w:hAnsi="Times New Roman" w:cs="Times New Roman"/>
          <w:sz w:val="24"/>
          <w:szCs w:val="24"/>
        </w:rPr>
        <w:t>Velez,</w:t>
      </w:r>
      <w:r w:rsidR="00DB4046">
        <w:rPr>
          <w:rFonts w:ascii="Times New Roman" w:hAnsi="Times New Roman" w:cs="Times New Roman"/>
          <w:sz w:val="24"/>
          <w:szCs w:val="24"/>
        </w:rPr>
        <w:t xml:space="preserve"> </w:t>
      </w:r>
      <w:r w:rsidR="00DB4046" w:rsidRPr="00B731D5">
        <w:rPr>
          <w:rFonts w:ascii="Times New Roman" w:hAnsi="Times New Roman" w:cs="Times New Roman"/>
          <w:sz w:val="24"/>
          <w:szCs w:val="24"/>
        </w:rPr>
        <w:t>2023).</w:t>
      </w:r>
    </w:p>
    <w:p w14:paraId="42F7ACEF" w14:textId="77777777" w:rsidR="006F4F55" w:rsidRPr="006F4F55" w:rsidRDefault="006F4F55" w:rsidP="006F4F55">
      <w:pPr>
        <w:rPr>
          <w:rFonts w:ascii="Times New Roman" w:hAnsi="Times New Roman" w:cs="Times New Roman"/>
          <w:sz w:val="24"/>
          <w:szCs w:val="24"/>
        </w:rPr>
      </w:pPr>
    </w:p>
    <w:p w14:paraId="78BE4B33" w14:textId="77777777" w:rsidR="006F4F55" w:rsidRDefault="006F4F55" w:rsidP="006F4F55">
      <w:pPr>
        <w:rPr>
          <w:rFonts w:ascii="Times New Roman" w:hAnsi="Times New Roman" w:cs="Times New Roman"/>
          <w:sz w:val="24"/>
          <w:szCs w:val="24"/>
        </w:rPr>
      </w:pPr>
    </w:p>
    <w:p w14:paraId="27C45C6D" w14:textId="77777777" w:rsidR="007015D8" w:rsidRDefault="007015D8">
      <w:pPr>
        <w:rPr>
          <w:rFonts w:ascii="Times New Roman" w:eastAsiaTheme="majorEastAsia" w:hAnsi="Times New Roman" w:cs="Times New Roman"/>
          <w:b/>
          <w:bCs/>
          <w:sz w:val="24"/>
          <w:szCs w:val="24"/>
        </w:rPr>
      </w:pPr>
      <w:bookmarkStart w:id="36" w:name="_Toc154836886"/>
      <w:r>
        <w:rPr>
          <w:rFonts w:ascii="Times New Roman" w:hAnsi="Times New Roman" w:cs="Times New Roman"/>
          <w:sz w:val="24"/>
          <w:szCs w:val="24"/>
        </w:rPr>
        <w:br w:type="page"/>
      </w:r>
    </w:p>
    <w:p w14:paraId="42C5434D" w14:textId="4898C4D8" w:rsidR="006F4F55" w:rsidRPr="009E6E91" w:rsidRDefault="006F4F55" w:rsidP="009E6E91">
      <w:pPr>
        <w:pStyle w:val="Heading1"/>
        <w:spacing w:line="480" w:lineRule="auto"/>
        <w:rPr>
          <w:rFonts w:ascii="Times New Roman" w:hAnsi="Times New Roman" w:cs="Times New Roman"/>
          <w:color w:val="auto"/>
          <w:sz w:val="24"/>
          <w:szCs w:val="24"/>
        </w:rPr>
      </w:pPr>
      <w:r w:rsidRPr="009E6E91">
        <w:rPr>
          <w:rFonts w:ascii="Times New Roman" w:hAnsi="Times New Roman" w:cs="Times New Roman"/>
          <w:color w:val="auto"/>
          <w:sz w:val="24"/>
          <w:szCs w:val="24"/>
        </w:rPr>
        <w:lastRenderedPageBreak/>
        <w:t>References</w:t>
      </w:r>
      <w:bookmarkEnd w:id="36"/>
    </w:p>
    <w:p w14:paraId="4EEF7BF3"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Baily, M.N., Klein, A. and Schardin, J., 2017. The impact of the Dodd-Frank Act on financial stability and economic growth. </w:t>
      </w:r>
      <w:r w:rsidRPr="006F4F55">
        <w:rPr>
          <w:rFonts w:ascii="Times New Roman" w:hAnsi="Times New Roman" w:cs="Times New Roman"/>
          <w:i/>
          <w:iCs/>
          <w:sz w:val="24"/>
          <w:szCs w:val="24"/>
        </w:rPr>
        <w:t>RSF: The Russell Sage Foundation Journal of the Social Sciences</w:t>
      </w:r>
      <w:r w:rsidRPr="006F4F55">
        <w:rPr>
          <w:rFonts w:ascii="Times New Roman" w:hAnsi="Times New Roman" w:cs="Times New Roman"/>
          <w:sz w:val="24"/>
          <w:szCs w:val="24"/>
        </w:rPr>
        <w:t>, </w:t>
      </w:r>
      <w:r w:rsidRPr="006F4F55">
        <w:rPr>
          <w:rFonts w:ascii="Times New Roman" w:hAnsi="Times New Roman" w:cs="Times New Roman"/>
          <w:i/>
          <w:iCs/>
          <w:sz w:val="24"/>
          <w:szCs w:val="24"/>
        </w:rPr>
        <w:t>3</w:t>
      </w:r>
      <w:r w:rsidRPr="006F4F55">
        <w:rPr>
          <w:rFonts w:ascii="Times New Roman" w:hAnsi="Times New Roman" w:cs="Times New Roman"/>
          <w:sz w:val="24"/>
          <w:szCs w:val="24"/>
        </w:rPr>
        <w:t>(1), pp.20-47.</w:t>
      </w:r>
    </w:p>
    <w:p w14:paraId="5472F49D"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Bakir, C. and Woo, J.J., 2016. Editorial Financial sector reform and policy design in an age of instability. </w:t>
      </w:r>
      <w:r w:rsidRPr="006F4F55">
        <w:rPr>
          <w:rFonts w:ascii="Times New Roman" w:hAnsi="Times New Roman" w:cs="Times New Roman"/>
          <w:i/>
          <w:iCs/>
          <w:sz w:val="24"/>
          <w:szCs w:val="24"/>
        </w:rPr>
        <w:t>Policy and Society</w:t>
      </w:r>
      <w:r w:rsidRPr="006F4F55">
        <w:rPr>
          <w:rFonts w:ascii="Times New Roman" w:hAnsi="Times New Roman" w:cs="Times New Roman"/>
          <w:sz w:val="24"/>
          <w:szCs w:val="24"/>
        </w:rPr>
        <w:t>, </w:t>
      </w:r>
      <w:r w:rsidRPr="006F4F55">
        <w:rPr>
          <w:rFonts w:ascii="Times New Roman" w:hAnsi="Times New Roman" w:cs="Times New Roman"/>
          <w:i/>
          <w:iCs/>
          <w:sz w:val="24"/>
          <w:szCs w:val="24"/>
        </w:rPr>
        <w:t>35</w:t>
      </w:r>
      <w:r w:rsidRPr="006F4F55">
        <w:rPr>
          <w:rFonts w:ascii="Times New Roman" w:hAnsi="Times New Roman" w:cs="Times New Roman"/>
          <w:sz w:val="24"/>
          <w:szCs w:val="24"/>
        </w:rPr>
        <w:t>(3), pp.193-204.</w:t>
      </w:r>
    </w:p>
    <w:p w14:paraId="591F14FC" w14:textId="77777777" w:rsidR="009E6E91" w:rsidRPr="006F4F55" w:rsidRDefault="009E6E91" w:rsidP="009E6E91">
      <w:pPr>
        <w:spacing w:after="0" w:line="360" w:lineRule="auto"/>
        <w:ind w:left="720" w:hanging="720"/>
        <w:rPr>
          <w:rFonts w:ascii="Times New Roman" w:hAnsi="Times New Roman" w:cs="Times New Roman"/>
          <w:i/>
          <w:iCs/>
          <w:sz w:val="24"/>
          <w:szCs w:val="24"/>
        </w:rPr>
      </w:pPr>
      <w:proofErr w:type="spellStart"/>
      <w:r w:rsidRPr="006F4F55">
        <w:rPr>
          <w:rFonts w:ascii="Times New Roman" w:hAnsi="Times New Roman" w:cs="Times New Roman"/>
          <w:sz w:val="24"/>
          <w:szCs w:val="24"/>
        </w:rPr>
        <w:t>Barnichon</w:t>
      </w:r>
      <w:proofErr w:type="spellEnd"/>
      <w:r w:rsidRPr="006F4F55">
        <w:rPr>
          <w:rFonts w:ascii="Times New Roman" w:hAnsi="Times New Roman" w:cs="Times New Roman"/>
          <w:sz w:val="24"/>
          <w:szCs w:val="24"/>
        </w:rPr>
        <w:t>, R., Matthes, C. and Ziegenbein, A., 2018. The financial crisis at 10: Will we ever recover. </w:t>
      </w:r>
      <w:r w:rsidRPr="006F4F55">
        <w:rPr>
          <w:rFonts w:ascii="Times New Roman" w:hAnsi="Times New Roman" w:cs="Times New Roman"/>
          <w:i/>
          <w:iCs/>
          <w:sz w:val="24"/>
          <w:szCs w:val="24"/>
        </w:rPr>
        <w:t>FRBSF Economic Letter</w:t>
      </w:r>
      <w:r w:rsidRPr="006F4F55">
        <w:rPr>
          <w:rFonts w:ascii="Times New Roman" w:hAnsi="Times New Roman" w:cs="Times New Roman"/>
          <w:sz w:val="24"/>
          <w:szCs w:val="24"/>
        </w:rPr>
        <w:t>, </w:t>
      </w:r>
      <w:r w:rsidRPr="006F4F55">
        <w:rPr>
          <w:rFonts w:ascii="Times New Roman" w:hAnsi="Times New Roman" w:cs="Times New Roman"/>
          <w:i/>
          <w:iCs/>
          <w:sz w:val="24"/>
          <w:szCs w:val="24"/>
        </w:rPr>
        <w:t>19</w:t>
      </w:r>
      <w:r w:rsidRPr="006F4F55">
        <w:rPr>
          <w:rFonts w:ascii="Times New Roman" w:hAnsi="Times New Roman" w:cs="Times New Roman"/>
          <w:sz w:val="24"/>
          <w:szCs w:val="24"/>
        </w:rPr>
        <w:t>.</w:t>
      </w:r>
    </w:p>
    <w:p w14:paraId="1874DB3F"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Batten, J. and Wagner, N., 2014. Risk Management Post Financial Crisis: A Period of Monetary Easing. In </w:t>
      </w:r>
      <w:r w:rsidRPr="006F4F55">
        <w:rPr>
          <w:rFonts w:ascii="Times New Roman" w:hAnsi="Times New Roman" w:cs="Times New Roman"/>
          <w:i/>
          <w:iCs/>
          <w:sz w:val="24"/>
          <w:szCs w:val="24"/>
        </w:rPr>
        <w:t>Risk Management Post Financial Crisis: A Period of Monetary Easing</w:t>
      </w:r>
      <w:r w:rsidRPr="006F4F55">
        <w:rPr>
          <w:rFonts w:ascii="Times New Roman" w:hAnsi="Times New Roman" w:cs="Times New Roman"/>
          <w:sz w:val="24"/>
          <w:szCs w:val="24"/>
        </w:rPr>
        <w:t> (pp. 1-11). Emerald.</w:t>
      </w:r>
    </w:p>
    <w:p w14:paraId="560BAF3E"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Chappe, R., Nell, E. and Semmler, W., 2013. The financial crisis of 2008 as cognitive failure: An overview of risk over uncertainty. </w:t>
      </w:r>
      <w:r w:rsidRPr="006F4F55">
        <w:rPr>
          <w:rFonts w:ascii="Times New Roman" w:hAnsi="Times New Roman" w:cs="Times New Roman"/>
          <w:i/>
          <w:iCs/>
          <w:sz w:val="24"/>
          <w:szCs w:val="24"/>
        </w:rPr>
        <w:t>Berkeley Journal of Sociology</w:t>
      </w:r>
      <w:r w:rsidRPr="006F4F55">
        <w:rPr>
          <w:rFonts w:ascii="Times New Roman" w:hAnsi="Times New Roman" w:cs="Times New Roman"/>
          <w:sz w:val="24"/>
          <w:szCs w:val="24"/>
        </w:rPr>
        <w:t>, pp.9-39.</w:t>
      </w:r>
    </w:p>
    <w:p w14:paraId="194EAF93" w14:textId="77777777" w:rsidR="009E6E91" w:rsidRPr="006F4F55" w:rsidRDefault="009E6E91" w:rsidP="009E6E91">
      <w:pPr>
        <w:spacing w:after="0" w:line="360" w:lineRule="auto"/>
        <w:ind w:left="720" w:hanging="720"/>
        <w:rPr>
          <w:rFonts w:ascii="Times New Roman" w:hAnsi="Times New Roman" w:cs="Times New Roman"/>
          <w:sz w:val="24"/>
          <w:szCs w:val="24"/>
        </w:rPr>
      </w:pPr>
      <w:proofErr w:type="spellStart"/>
      <w:r w:rsidRPr="006F4F55">
        <w:rPr>
          <w:rFonts w:ascii="Times New Roman" w:hAnsi="Times New Roman" w:cs="Times New Roman"/>
          <w:sz w:val="24"/>
          <w:szCs w:val="24"/>
        </w:rPr>
        <w:t>Dordevic</w:t>
      </w:r>
      <w:proofErr w:type="spellEnd"/>
      <w:r w:rsidRPr="006F4F55">
        <w:rPr>
          <w:rFonts w:ascii="Times New Roman" w:hAnsi="Times New Roman" w:cs="Times New Roman"/>
          <w:sz w:val="24"/>
          <w:szCs w:val="24"/>
        </w:rPr>
        <w:t>, L., Ferreira, C., Kitonga, M. and Seal, K., 2021. Strengthening bank regulation and supervision: National progress and gaps. </w:t>
      </w:r>
      <w:r w:rsidRPr="006F4F55">
        <w:rPr>
          <w:rFonts w:ascii="Times New Roman" w:hAnsi="Times New Roman" w:cs="Times New Roman"/>
          <w:i/>
          <w:iCs/>
          <w:sz w:val="24"/>
          <w:szCs w:val="24"/>
        </w:rPr>
        <w:t>Departmental Papers</w:t>
      </w:r>
      <w:r w:rsidRPr="006F4F55">
        <w:rPr>
          <w:rFonts w:ascii="Times New Roman" w:hAnsi="Times New Roman" w:cs="Times New Roman"/>
          <w:sz w:val="24"/>
          <w:szCs w:val="24"/>
        </w:rPr>
        <w:t>, </w:t>
      </w:r>
      <w:r w:rsidRPr="006F4F55">
        <w:rPr>
          <w:rFonts w:ascii="Times New Roman" w:hAnsi="Times New Roman" w:cs="Times New Roman"/>
          <w:i/>
          <w:iCs/>
          <w:sz w:val="24"/>
          <w:szCs w:val="24"/>
        </w:rPr>
        <w:t>5</w:t>
      </w:r>
      <w:r w:rsidRPr="006F4F55">
        <w:rPr>
          <w:rFonts w:ascii="Times New Roman" w:hAnsi="Times New Roman" w:cs="Times New Roman"/>
          <w:sz w:val="24"/>
          <w:szCs w:val="24"/>
        </w:rPr>
        <w:t>.</w:t>
      </w:r>
    </w:p>
    <w:p w14:paraId="7AB249E7" w14:textId="77777777" w:rsidR="009E6E91" w:rsidRPr="006F4F55" w:rsidRDefault="009E6E91" w:rsidP="009E6E91">
      <w:pPr>
        <w:spacing w:after="0" w:line="360" w:lineRule="auto"/>
        <w:ind w:left="720" w:hanging="720"/>
        <w:rPr>
          <w:rFonts w:ascii="Times New Roman" w:hAnsi="Times New Roman" w:cs="Times New Roman"/>
          <w:sz w:val="24"/>
          <w:szCs w:val="24"/>
        </w:rPr>
      </w:pPr>
      <w:proofErr w:type="spellStart"/>
      <w:r w:rsidRPr="006F4F55">
        <w:rPr>
          <w:rFonts w:ascii="Times New Roman" w:hAnsi="Times New Roman" w:cs="Times New Roman"/>
          <w:sz w:val="24"/>
          <w:szCs w:val="24"/>
        </w:rPr>
        <w:t>Dullien</w:t>
      </w:r>
      <w:proofErr w:type="spellEnd"/>
      <w:r w:rsidRPr="006F4F55">
        <w:rPr>
          <w:rFonts w:ascii="Times New Roman" w:hAnsi="Times New Roman" w:cs="Times New Roman"/>
          <w:sz w:val="24"/>
          <w:szCs w:val="24"/>
        </w:rPr>
        <w:t>, S., 2010. The financial and economic crisis of 2008-2009 and developing countries. </w:t>
      </w:r>
      <w:r w:rsidRPr="006F4F55">
        <w:rPr>
          <w:rFonts w:ascii="Times New Roman" w:hAnsi="Times New Roman" w:cs="Times New Roman"/>
          <w:i/>
          <w:iCs/>
          <w:sz w:val="24"/>
          <w:szCs w:val="24"/>
        </w:rPr>
        <w:t>(No Title)</w:t>
      </w:r>
      <w:r w:rsidRPr="006F4F55">
        <w:rPr>
          <w:rFonts w:ascii="Times New Roman" w:hAnsi="Times New Roman" w:cs="Times New Roman"/>
          <w:sz w:val="24"/>
          <w:szCs w:val="24"/>
        </w:rPr>
        <w:t>.</w:t>
      </w:r>
    </w:p>
    <w:p w14:paraId="24CA2944"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 xml:space="preserve">European Commission. (2013). </w:t>
      </w:r>
      <w:r w:rsidRPr="006F4F55">
        <w:rPr>
          <w:rFonts w:ascii="Times New Roman" w:hAnsi="Times New Roman" w:cs="Times New Roman"/>
          <w:i/>
          <w:iCs/>
          <w:sz w:val="24"/>
          <w:szCs w:val="24"/>
        </w:rPr>
        <w:t>Press corner</w:t>
      </w:r>
      <w:r w:rsidRPr="006F4F55">
        <w:rPr>
          <w:rFonts w:ascii="Times New Roman" w:hAnsi="Times New Roman" w:cs="Times New Roman"/>
          <w:sz w:val="24"/>
          <w:szCs w:val="24"/>
        </w:rPr>
        <w:t>. [online] Available at: https://ec.europa.eu/commission/presscorner/detail/de/MEMO_13_690 [Accessed 30 Dec. 2023].</w:t>
      </w:r>
    </w:p>
    <w:p w14:paraId="7A9DE367" w14:textId="77777777" w:rsidR="009E6E91" w:rsidRPr="006F4F55" w:rsidRDefault="009E6E91" w:rsidP="009E6E91">
      <w:pPr>
        <w:spacing w:after="0" w:line="360" w:lineRule="auto"/>
        <w:ind w:left="720" w:hanging="720"/>
        <w:rPr>
          <w:rFonts w:ascii="Times New Roman" w:hAnsi="Times New Roman" w:cs="Times New Roman"/>
          <w:i/>
          <w:iCs/>
          <w:sz w:val="24"/>
          <w:szCs w:val="24"/>
        </w:rPr>
      </w:pPr>
      <w:r w:rsidRPr="006F4F55">
        <w:rPr>
          <w:rFonts w:ascii="Times New Roman" w:hAnsi="Times New Roman" w:cs="Times New Roman"/>
          <w:sz w:val="24"/>
          <w:szCs w:val="24"/>
        </w:rPr>
        <w:t>Governance, C., 2009. the Financial Crisis: Key Findings and Main Messages. </w:t>
      </w:r>
      <w:r w:rsidRPr="006F4F55">
        <w:rPr>
          <w:rFonts w:ascii="Times New Roman" w:hAnsi="Times New Roman" w:cs="Times New Roman"/>
          <w:i/>
          <w:iCs/>
          <w:sz w:val="24"/>
          <w:szCs w:val="24"/>
        </w:rPr>
        <w:t>Organization for Economic Cooperation and Development (OECD): Paris, France</w:t>
      </w:r>
      <w:r w:rsidRPr="006F4F55">
        <w:rPr>
          <w:rFonts w:ascii="Times New Roman" w:hAnsi="Times New Roman" w:cs="Times New Roman"/>
          <w:sz w:val="24"/>
          <w:szCs w:val="24"/>
        </w:rPr>
        <w:t>, </w:t>
      </w:r>
      <w:r w:rsidRPr="006F4F55">
        <w:rPr>
          <w:rFonts w:ascii="Times New Roman" w:hAnsi="Times New Roman" w:cs="Times New Roman"/>
          <w:i/>
          <w:iCs/>
          <w:sz w:val="24"/>
          <w:szCs w:val="24"/>
        </w:rPr>
        <w:t>19</w:t>
      </w:r>
      <w:r w:rsidRPr="006F4F55">
        <w:rPr>
          <w:rFonts w:ascii="Times New Roman" w:hAnsi="Times New Roman" w:cs="Times New Roman"/>
          <w:sz w:val="24"/>
          <w:szCs w:val="24"/>
        </w:rPr>
        <w:t>, pp.19-32.</w:t>
      </w:r>
    </w:p>
    <w:p w14:paraId="1629CE1F"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Hansjörg, H.E.R.R., 2016. After the financial crisis: Reforms and reform options for finance, regulation and institutional structure. </w:t>
      </w:r>
      <w:r w:rsidRPr="006F4F55">
        <w:rPr>
          <w:rFonts w:ascii="Times New Roman" w:hAnsi="Times New Roman" w:cs="Times New Roman"/>
          <w:i/>
          <w:iCs/>
          <w:sz w:val="24"/>
          <w:szCs w:val="24"/>
        </w:rPr>
        <w:t>Journal of Economics Bibliography</w:t>
      </w:r>
      <w:r w:rsidRPr="006F4F55">
        <w:rPr>
          <w:rFonts w:ascii="Times New Roman" w:hAnsi="Times New Roman" w:cs="Times New Roman"/>
          <w:sz w:val="24"/>
          <w:szCs w:val="24"/>
        </w:rPr>
        <w:t>, </w:t>
      </w:r>
      <w:r w:rsidRPr="006F4F55">
        <w:rPr>
          <w:rFonts w:ascii="Times New Roman" w:hAnsi="Times New Roman" w:cs="Times New Roman"/>
          <w:i/>
          <w:iCs/>
          <w:sz w:val="24"/>
          <w:szCs w:val="24"/>
        </w:rPr>
        <w:t>3</w:t>
      </w:r>
      <w:r w:rsidRPr="006F4F55">
        <w:rPr>
          <w:rFonts w:ascii="Times New Roman" w:hAnsi="Times New Roman" w:cs="Times New Roman"/>
          <w:sz w:val="24"/>
          <w:szCs w:val="24"/>
        </w:rPr>
        <w:t>(2), pp.172-202.</w:t>
      </w:r>
    </w:p>
    <w:p w14:paraId="5CD53DB9"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Harper, S., 2011. Credit rating agencies deserve credit for the 2007-2008 financial crisis: An analysis of CRA liability following the enactment of the Dodd-Frank Act. </w:t>
      </w:r>
      <w:r w:rsidRPr="006F4F55">
        <w:rPr>
          <w:rFonts w:ascii="Times New Roman" w:hAnsi="Times New Roman" w:cs="Times New Roman"/>
          <w:i/>
          <w:iCs/>
          <w:sz w:val="24"/>
          <w:szCs w:val="24"/>
        </w:rPr>
        <w:t>Wash. &amp; Lee L. Rev.</w:t>
      </w:r>
      <w:r w:rsidRPr="006F4F55">
        <w:rPr>
          <w:rFonts w:ascii="Times New Roman" w:hAnsi="Times New Roman" w:cs="Times New Roman"/>
          <w:sz w:val="24"/>
          <w:szCs w:val="24"/>
        </w:rPr>
        <w:t>, </w:t>
      </w:r>
      <w:r w:rsidRPr="006F4F55">
        <w:rPr>
          <w:rFonts w:ascii="Times New Roman" w:hAnsi="Times New Roman" w:cs="Times New Roman"/>
          <w:i/>
          <w:iCs/>
          <w:sz w:val="24"/>
          <w:szCs w:val="24"/>
        </w:rPr>
        <w:t>68</w:t>
      </w:r>
      <w:r w:rsidRPr="006F4F55">
        <w:rPr>
          <w:rFonts w:ascii="Times New Roman" w:hAnsi="Times New Roman" w:cs="Times New Roman"/>
          <w:sz w:val="24"/>
          <w:szCs w:val="24"/>
        </w:rPr>
        <w:t>, p.1925.</w:t>
      </w:r>
    </w:p>
    <w:p w14:paraId="7BADC077" w14:textId="77777777" w:rsidR="009E6E91" w:rsidRPr="006F4F55" w:rsidRDefault="009E6E91" w:rsidP="009E6E91">
      <w:pPr>
        <w:spacing w:after="0" w:line="360" w:lineRule="auto"/>
        <w:ind w:left="720" w:hanging="720"/>
        <w:rPr>
          <w:rFonts w:ascii="Times New Roman" w:hAnsi="Times New Roman" w:cs="Times New Roman"/>
          <w:i/>
          <w:iCs/>
          <w:sz w:val="24"/>
          <w:szCs w:val="24"/>
        </w:rPr>
      </w:pPr>
      <w:r w:rsidRPr="006F4F55">
        <w:rPr>
          <w:rFonts w:ascii="Times New Roman" w:hAnsi="Times New Roman" w:cs="Times New Roman"/>
          <w:sz w:val="24"/>
          <w:szCs w:val="24"/>
        </w:rPr>
        <w:lastRenderedPageBreak/>
        <w:t>Lo, A.W., 2009. Regulatory reform in the wake of the financial crisis of 2007‐2008. </w:t>
      </w:r>
      <w:r w:rsidRPr="006F4F55">
        <w:rPr>
          <w:rFonts w:ascii="Times New Roman" w:hAnsi="Times New Roman" w:cs="Times New Roman"/>
          <w:i/>
          <w:iCs/>
          <w:sz w:val="24"/>
          <w:szCs w:val="24"/>
        </w:rPr>
        <w:t>Journal of Financial Economic Policy</w:t>
      </w:r>
      <w:r w:rsidRPr="006F4F55">
        <w:rPr>
          <w:rFonts w:ascii="Times New Roman" w:hAnsi="Times New Roman" w:cs="Times New Roman"/>
          <w:sz w:val="24"/>
          <w:szCs w:val="24"/>
        </w:rPr>
        <w:t>, </w:t>
      </w:r>
      <w:r w:rsidRPr="006F4F55">
        <w:rPr>
          <w:rFonts w:ascii="Times New Roman" w:hAnsi="Times New Roman" w:cs="Times New Roman"/>
          <w:i/>
          <w:iCs/>
          <w:sz w:val="24"/>
          <w:szCs w:val="24"/>
        </w:rPr>
        <w:t>1</w:t>
      </w:r>
      <w:r w:rsidRPr="006F4F55">
        <w:rPr>
          <w:rFonts w:ascii="Times New Roman" w:hAnsi="Times New Roman" w:cs="Times New Roman"/>
          <w:sz w:val="24"/>
          <w:szCs w:val="24"/>
        </w:rPr>
        <w:t>(1), pp.4-43.</w:t>
      </w:r>
    </w:p>
    <w:p w14:paraId="53BD8266"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 xml:space="preserve">Mary </w:t>
      </w:r>
      <w:proofErr w:type="gramStart"/>
      <w:r w:rsidRPr="006F4F55">
        <w:rPr>
          <w:rFonts w:ascii="Times New Roman" w:hAnsi="Times New Roman" w:cs="Times New Roman"/>
          <w:sz w:val="24"/>
          <w:szCs w:val="24"/>
        </w:rPr>
        <w:t>Jo ,</w:t>
      </w:r>
      <w:proofErr w:type="gramEnd"/>
      <w:r w:rsidRPr="006F4F55">
        <w:rPr>
          <w:rFonts w:ascii="Times New Roman" w:hAnsi="Times New Roman" w:cs="Times New Roman"/>
          <w:sz w:val="24"/>
          <w:szCs w:val="24"/>
        </w:rPr>
        <w:t xml:space="preserve"> W..,2017. </w:t>
      </w:r>
      <w:r w:rsidRPr="006F4F55">
        <w:rPr>
          <w:rFonts w:ascii="Times New Roman" w:hAnsi="Times New Roman" w:cs="Times New Roman"/>
          <w:i/>
          <w:iCs/>
          <w:sz w:val="24"/>
          <w:szCs w:val="24"/>
        </w:rPr>
        <w:t>SEC.gov The SEC after the Financial Crisis: Protecting Investors, Preserving Markets</w:t>
      </w:r>
      <w:r w:rsidRPr="006F4F55">
        <w:rPr>
          <w:rFonts w:ascii="Times New Roman" w:hAnsi="Times New Roman" w:cs="Times New Roman"/>
          <w:sz w:val="24"/>
          <w:szCs w:val="24"/>
        </w:rPr>
        <w:t xml:space="preserve">. [online] www.sec.gov. Available at: </w:t>
      </w:r>
      <w:hyperlink r:id="rId11" w:history="1">
        <w:r w:rsidRPr="006F4F55">
          <w:rPr>
            <w:rStyle w:val="Hyperlink"/>
            <w:rFonts w:ascii="Times New Roman" w:hAnsi="Times New Roman" w:cs="Times New Roman"/>
            <w:sz w:val="24"/>
            <w:szCs w:val="24"/>
          </w:rPr>
          <w:t>https://www.sec.gov/news/speech/the-sec-after-the-financial-crisis</w:t>
        </w:r>
      </w:hyperlink>
      <w:r w:rsidRPr="006F4F55">
        <w:rPr>
          <w:rFonts w:ascii="Times New Roman" w:hAnsi="Times New Roman" w:cs="Times New Roman"/>
          <w:sz w:val="24"/>
          <w:szCs w:val="24"/>
        </w:rPr>
        <w:t xml:space="preserve">. </w:t>
      </w:r>
    </w:p>
    <w:p w14:paraId="284075EC"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Metzing, P.C., 2016. </w:t>
      </w:r>
      <w:r w:rsidRPr="006F4F55">
        <w:rPr>
          <w:rFonts w:ascii="Times New Roman" w:hAnsi="Times New Roman" w:cs="Times New Roman"/>
          <w:i/>
          <w:iCs/>
          <w:sz w:val="24"/>
          <w:szCs w:val="24"/>
        </w:rPr>
        <w:t>Macro-prudential financial regulation of banks after the crisis of 2008</w:t>
      </w:r>
      <w:r w:rsidRPr="006F4F55">
        <w:rPr>
          <w:rFonts w:ascii="Times New Roman" w:hAnsi="Times New Roman" w:cs="Times New Roman"/>
          <w:sz w:val="24"/>
          <w:szCs w:val="24"/>
        </w:rPr>
        <w:t> (Doctoral dissertation, Newcastle University).</w:t>
      </w:r>
    </w:p>
    <w:p w14:paraId="4BF8A3AB"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Miele, M.G. and Sales, E., 2011. The financial crisis and regulation reform. </w:t>
      </w:r>
      <w:r w:rsidRPr="006F4F55">
        <w:rPr>
          <w:rFonts w:ascii="Times New Roman" w:hAnsi="Times New Roman" w:cs="Times New Roman"/>
          <w:i/>
          <w:iCs/>
          <w:sz w:val="24"/>
          <w:szCs w:val="24"/>
        </w:rPr>
        <w:t>Journal of Banking Regulation</w:t>
      </w:r>
      <w:r w:rsidRPr="006F4F55">
        <w:rPr>
          <w:rFonts w:ascii="Times New Roman" w:hAnsi="Times New Roman" w:cs="Times New Roman"/>
          <w:sz w:val="24"/>
          <w:szCs w:val="24"/>
        </w:rPr>
        <w:t>, </w:t>
      </w:r>
      <w:r w:rsidRPr="006F4F55">
        <w:rPr>
          <w:rFonts w:ascii="Times New Roman" w:hAnsi="Times New Roman" w:cs="Times New Roman"/>
          <w:i/>
          <w:iCs/>
          <w:sz w:val="24"/>
          <w:szCs w:val="24"/>
        </w:rPr>
        <w:t>12</w:t>
      </w:r>
      <w:r w:rsidRPr="006F4F55">
        <w:rPr>
          <w:rFonts w:ascii="Times New Roman" w:hAnsi="Times New Roman" w:cs="Times New Roman"/>
          <w:sz w:val="24"/>
          <w:szCs w:val="24"/>
        </w:rPr>
        <w:t>(4), pp.277-307.</w:t>
      </w:r>
    </w:p>
    <w:p w14:paraId="1CABB529"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 xml:space="preserve">Sacasa, N. (2019). </w:t>
      </w:r>
      <w:r w:rsidRPr="006F4F55">
        <w:rPr>
          <w:rFonts w:ascii="Times New Roman" w:hAnsi="Times New Roman" w:cs="Times New Roman"/>
          <w:i/>
          <w:iCs/>
          <w:sz w:val="24"/>
          <w:szCs w:val="24"/>
        </w:rPr>
        <w:t>Finance and Development</w:t>
      </w:r>
      <w:r w:rsidRPr="006F4F55">
        <w:rPr>
          <w:rFonts w:ascii="Times New Roman" w:hAnsi="Times New Roman" w:cs="Times New Roman"/>
          <w:sz w:val="24"/>
          <w:szCs w:val="24"/>
        </w:rPr>
        <w:t xml:space="preserve">. [online] Finance and Development | F&amp;D. Available at: </w:t>
      </w:r>
      <w:hyperlink r:id="rId12" w:history="1">
        <w:r w:rsidRPr="006F4F55">
          <w:rPr>
            <w:rStyle w:val="Hyperlink"/>
            <w:rFonts w:ascii="Times New Roman" w:hAnsi="Times New Roman" w:cs="Times New Roman"/>
            <w:sz w:val="24"/>
            <w:szCs w:val="24"/>
          </w:rPr>
          <w:t>https://www.imf.org/external/Pubs/FT/fandd/2008/12/sacasa.htm</w:t>
        </w:r>
      </w:hyperlink>
      <w:r w:rsidRPr="006F4F55">
        <w:rPr>
          <w:rFonts w:ascii="Times New Roman" w:hAnsi="Times New Roman" w:cs="Times New Roman"/>
          <w:sz w:val="24"/>
          <w:szCs w:val="24"/>
        </w:rPr>
        <w:t xml:space="preserve">. </w:t>
      </w:r>
    </w:p>
    <w:p w14:paraId="025197CD"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Subbarao, D., 2012. Financial regulation for growth, equity and stability in the post-crisis world. </w:t>
      </w:r>
      <w:r w:rsidRPr="006F4F55">
        <w:rPr>
          <w:rFonts w:ascii="Times New Roman" w:hAnsi="Times New Roman" w:cs="Times New Roman"/>
          <w:i/>
          <w:iCs/>
          <w:sz w:val="24"/>
          <w:szCs w:val="24"/>
        </w:rPr>
        <w:t>BIS Paper</w:t>
      </w:r>
      <w:r w:rsidRPr="006F4F55">
        <w:rPr>
          <w:rFonts w:ascii="Times New Roman" w:hAnsi="Times New Roman" w:cs="Times New Roman"/>
          <w:sz w:val="24"/>
          <w:szCs w:val="24"/>
        </w:rPr>
        <w:t>, (62A).</w:t>
      </w:r>
    </w:p>
    <w:p w14:paraId="0F3945E7"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Sykes, J.B., 2018. Regulatory Reform 10 Years After the Financial Crisis: Systemic Risk Regulation of Non-Bank Financial Institutions. Congressional Research Service.</w:t>
      </w:r>
    </w:p>
    <w:p w14:paraId="233B6BC4"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 xml:space="preserve">Teo, L.E., Enoch, C., Lindgren, C.J., </w:t>
      </w:r>
      <w:proofErr w:type="spellStart"/>
      <w:r w:rsidRPr="006F4F55">
        <w:rPr>
          <w:rFonts w:ascii="Times New Roman" w:hAnsi="Times New Roman" w:cs="Times New Roman"/>
          <w:sz w:val="24"/>
          <w:szCs w:val="24"/>
        </w:rPr>
        <w:t>Baliño</w:t>
      </w:r>
      <w:proofErr w:type="spellEnd"/>
      <w:r w:rsidRPr="006F4F55">
        <w:rPr>
          <w:rFonts w:ascii="Times New Roman" w:hAnsi="Times New Roman" w:cs="Times New Roman"/>
          <w:sz w:val="24"/>
          <w:szCs w:val="24"/>
        </w:rPr>
        <w:t xml:space="preserve">, T.J., </w:t>
      </w:r>
      <w:proofErr w:type="spellStart"/>
      <w:r w:rsidRPr="006F4F55">
        <w:rPr>
          <w:rFonts w:ascii="Times New Roman" w:hAnsi="Times New Roman" w:cs="Times New Roman"/>
          <w:sz w:val="24"/>
          <w:szCs w:val="24"/>
        </w:rPr>
        <w:t>Gulde</w:t>
      </w:r>
      <w:proofErr w:type="spellEnd"/>
      <w:r w:rsidRPr="006F4F55">
        <w:rPr>
          <w:rFonts w:ascii="Times New Roman" w:hAnsi="Times New Roman" w:cs="Times New Roman"/>
          <w:sz w:val="24"/>
          <w:szCs w:val="24"/>
        </w:rPr>
        <w:t>, A.M. and Quintyn, M.G., 2000. Financial Sector Crisis and Restructuring: Lessons from Asia: Lessons from Asia. </w:t>
      </w:r>
      <w:r w:rsidRPr="006F4F55">
        <w:rPr>
          <w:rFonts w:ascii="Times New Roman" w:hAnsi="Times New Roman" w:cs="Times New Roman"/>
          <w:i/>
          <w:iCs/>
          <w:sz w:val="24"/>
          <w:szCs w:val="24"/>
        </w:rPr>
        <w:t>Financial Sector Crisis and Restructuring</w:t>
      </w:r>
      <w:r w:rsidRPr="006F4F55">
        <w:rPr>
          <w:rFonts w:ascii="Times New Roman" w:hAnsi="Times New Roman" w:cs="Times New Roman"/>
          <w:sz w:val="24"/>
          <w:szCs w:val="24"/>
        </w:rPr>
        <w:t>.</w:t>
      </w:r>
    </w:p>
    <w:p w14:paraId="39A1F534"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 xml:space="preserve">The Financial Crisis Inquiry Commission (2011). </w:t>
      </w:r>
      <w:r w:rsidRPr="006F4F55">
        <w:rPr>
          <w:rFonts w:ascii="Times New Roman" w:hAnsi="Times New Roman" w:cs="Times New Roman"/>
          <w:i/>
          <w:iCs/>
          <w:sz w:val="24"/>
          <w:szCs w:val="24"/>
        </w:rPr>
        <w:t>THE FINANCIAL CRISIS INQUIRY REPORT</w:t>
      </w:r>
      <w:r w:rsidRPr="006F4F55">
        <w:rPr>
          <w:rFonts w:ascii="Times New Roman" w:hAnsi="Times New Roman" w:cs="Times New Roman"/>
          <w:sz w:val="24"/>
          <w:szCs w:val="24"/>
        </w:rPr>
        <w:t xml:space="preserve">. [online] Available at: </w:t>
      </w:r>
      <w:hyperlink r:id="rId13" w:history="1">
        <w:r w:rsidRPr="006F4F55">
          <w:rPr>
            <w:rStyle w:val="Hyperlink"/>
            <w:rFonts w:ascii="Times New Roman" w:hAnsi="Times New Roman" w:cs="Times New Roman"/>
            <w:sz w:val="24"/>
            <w:szCs w:val="24"/>
          </w:rPr>
          <w:t>https://www.govinfo.gov/content/pkg/GPO-FCIC/pdf/GPO-FCIC.pdf</w:t>
        </w:r>
      </w:hyperlink>
      <w:r w:rsidRPr="006F4F55">
        <w:rPr>
          <w:rFonts w:ascii="Times New Roman" w:hAnsi="Times New Roman" w:cs="Times New Roman"/>
          <w:sz w:val="24"/>
          <w:szCs w:val="24"/>
        </w:rPr>
        <w:t xml:space="preserve">. </w:t>
      </w:r>
    </w:p>
    <w:p w14:paraId="15488BCF" w14:textId="77777777" w:rsidR="009E6E91" w:rsidRPr="006F4F55" w:rsidRDefault="009E6E91" w:rsidP="009E6E91">
      <w:pPr>
        <w:spacing w:after="0" w:line="360" w:lineRule="auto"/>
        <w:ind w:left="720" w:hanging="720"/>
        <w:rPr>
          <w:rFonts w:ascii="Times New Roman" w:hAnsi="Times New Roman" w:cs="Times New Roman"/>
          <w:sz w:val="24"/>
          <w:szCs w:val="24"/>
        </w:rPr>
      </w:pPr>
      <w:proofErr w:type="spellStart"/>
      <w:proofErr w:type="gramStart"/>
      <w:r w:rsidRPr="006F4F55">
        <w:rPr>
          <w:rFonts w:ascii="Times New Roman" w:hAnsi="Times New Roman" w:cs="Times New Roman"/>
          <w:sz w:val="24"/>
          <w:szCs w:val="24"/>
        </w:rPr>
        <w:t>Tirupam</w:t>
      </w:r>
      <w:proofErr w:type="spellEnd"/>
      <w:r w:rsidRPr="006F4F55">
        <w:rPr>
          <w:rFonts w:ascii="Times New Roman" w:hAnsi="Times New Roman" w:cs="Times New Roman"/>
          <w:sz w:val="24"/>
          <w:szCs w:val="24"/>
        </w:rPr>
        <w:t xml:space="preserve"> ,</w:t>
      </w:r>
      <w:proofErr w:type="gramEnd"/>
      <w:r w:rsidRPr="006F4F55">
        <w:rPr>
          <w:rFonts w:ascii="Times New Roman" w:hAnsi="Times New Roman" w:cs="Times New Roman"/>
          <w:sz w:val="24"/>
          <w:szCs w:val="24"/>
        </w:rPr>
        <w:t xml:space="preserve"> G., Ulf , L. and Aakriti , M. (2019). Playing it safe: global systemically important banks after the crisis. [online] Available at: https://www.bis.org/publ/qtrpdf/r_qt1909e.pdf.</w:t>
      </w:r>
    </w:p>
    <w:p w14:paraId="1B28355B" w14:textId="77777777" w:rsidR="009E6E91" w:rsidRPr="006F4F55" w:rsidRDefault="009E6E91" w:rsidP="009E6E91">
      <w:pPr>
        <w:spacing w:after="0" w:line="360" w:lineRule="auto"/>
        <w:ind w:left="720" w:hanging="720"/>
        <w:rPr>
          <w:rFonts w:ascii="Times New Roman" w:hAnsi="Times New Roman" w:cs="Times New Roman"/>
          <w:sz w:val="24"/>
          <w:szCs w:val="24"/>
        </w:rPr>
      </w:pPr>
      <w:proofErr w:type="gramStart"/>
      <w:r w:rsidRPr="006F4F55">
        <w:rPr>
          <w:rFonts w:ascii="Times New Roman" w:hAnsi="Times New Roman" w:cs="Times New Roman"/>
          <w:sz w:val="24"/>
          <w:szCs w:val="24"/>
        </w:rPr>
        <w:t>Tran ,</w:t>
      </w:r>
      <w:proofErr w:type="gramEnd"/>
      <w:r w:rsidRPr="006F4F55">
        <w:rPr>
          <w:rFonts w:ascii="Times New Roman" w:hAnsi="Times New Roman" w:cs="Times New Roman"/>
          <w:sz w:val="24"/>
          <w:szCs w:val="24"/>
        </w:rPr>
        <w:t xml:space="preserve"> E., Roberts, J. and Dunn, G.,2012. </w:t>
      </w:r>
      <w:r w:rsidRPr="006F4F55">
        <w:rPr>
          <w:rFonts w:ascii="Times New Roman" w:hAnsi="Times New Roman" w:cs="Times New Roman"/>
          <w:i/>
          <w:iCs/>
          <w:sz w:val="24"/>
          <w:szCs w:val="24"/>
        </w:rPr>
        <w:t>Financial Services Act 2012: A New UK Financial Regulatory Framework</w:t>
      </w:r>
      <w:r w:rsidRPr="006F4F55">
        <w:rPr>
          <w:rFonts w:ascii="Times New Roman" w:hAnsi="Times New Roman" w:cs="Times New Roman"/>
          <w:sz w:val="24"/>
          <w:szCs w:val="24"/>
        </w:rPr>
        <w:t xml:space="preserve">. [online] Harvard.edu. Available at: </w:t>
      </w:r>
      <w:hyperlink r:id="rId14" w:history="1">
        <w:r w:rsidRPr="006F4F55">
          <w:rPr>
            <w:rStyle w:val="Hyperlink"/>
            <w:rFonts w:ascii="Times New Roman" w:hAnsi="Times New Roman" w:cs="Times New Roman"/>
            <w:sz w:val="24"/>
            <w:szCs w:val="24"/>
          </w:rPr>
          <w:t>https://corpgov.law.harvard.edu/2013/03/24/financial-services-act-2012-a-new-uk-financial-regulatory-framework/</w:t>
        </w:r>
      </w:hyperlink>
      <w:r w:rsidRPr="006F4F55">
        <w:rPr>
          <w:rFonts w:ascii="Times New Roman" w:hAnsi="Times New Roman" w:cs="Times New Roman"/>
          <w:sz w:val="24"/>
          <w:szCs w:val="24"/>
        </w:rPr>
        <w:t xml:space="preserve">. </w:t>
      </w:r>
    </w:p>
    <w:p w14:paraId="70939D87"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 xml:space="preserve">Velez, C. (2023). </w:t>
      </w:r>
      <w:r w:rsidRPr="006F4F55">
        <w:rPr>
          <w:rFonts w:ascii="Times New Roman" w:hAnsi="Times New Roman" w:cs="Times New Roman"/>
          <w:i/>
          <w:iCs/>
          <w:sz w:val="24"/>
          <w:szCs w:val="24"/>
        </w:rPr>
        <w:t>Goldman Sachs challenges lending reform, cites risks to small businesses</w:t>
      </w:r>
      <w:r w:rsidRPr="006F4F55">
        <w:rPr>
          <w:rFonts w:ascii="Times New Roman" w:hAnsi="Times New Roman" w:cs="Times New Roman"/>
          <w:sz w:val="24"/>
          <w:szCs w:val="24"/>
        </w:rPr>
        <w:t xml:space="preserve">. [online] ASBN Small Business Network. Available at: </w:t>
      </w:r>
      <w:r w:rsidRPr="006F4F55">
        <w:rPr>
          <w:rFonts w:ascii="Times New Roman" w:hAnsi="Times New Roman" w:cs="Times New Roman"/>
          <w:sz w:val="24"/>
          <w:szCs w:val="24"/>
        </w:rPr>
        <w:lastRenderedPageBreak/>
        <w:t>https://www.asbn.com/articles/goldman-sachs-challenges-lending-reform-cites-risks-to-small-businesses/ [Accessed 30 Dec. 2023].</w:t>
      </w:r>
    </w:p>
    <w:p w14:paraId="6A0F2A18"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Wei, S., 2020. </w:t>
      </w:r>
      <w:r w:rsidRPr="006F4F55">
        <w:rPr>
          <w:rFonts w:ascii="Times New Roman" w:hAnsi="Times New Roman" w:cs="Times New Roman"/>
          <w:i/>
          <w:iCs/>
          <w:sz w:val="24"/>
          <w:szCs w:val="24"/>
        </w:rPr>
        <w:t>Conceptualizing the regulatory thicket: China's financial markets after the global financial crisis</w:t>
      </w:r>
      <w:r w:rsidRPr="006F4F55">
        <w:rPr>
          <w:rFonts w:ascii="Times New Roman" w:hAnsi="Times New Roman" w:cs="Times New Roman"/>
          <w:sz w:val="24"/>
          <w:szCs w:val="24"/>
        </w:rPr>
        <w:t>. Routledge.</w:t>
      </w:r>
    </w:p>
    <w:p w14:paraId="62CEC3D7"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Whitehead, C.K., 2011. The Volcker Rule and Evolving Financial Markets. </w:t>
      </w:r>
      <w:r w:rsidRPr="006F4F55">
        <w:rPr>
          <w:rFonts w:ascii="Times New Roman" w:hAnsi="Times New Roman" w:cs="Times New Roman"/>
          <w:i/>
          <w:iCs/>
          <w:sz w:val="24"/>
          <w:szCs w:val="24"/>
        </w:rPr>
        <w:t>Harvard Business Law Review</w:t>
      </w:r>
      <w:r w:rsidRPr="006F4F55">
        <w:rPr>
          <w:rFonts w:ascii="Times New Roman" w:hAnsi="Times New Roman" w:cs="Times New Roman"/>
          <w:sz w:val="24"/>
          <w:szCs w:val="24"/>
        </w:rPr>
        <w:t>, </w:t>
      </w:r>
      <w:r w:rsidRPr="006F4F55">
        <w:rPr>
          <w:rFonts w:ascii="Times New Roman" w:hAnsi="Times New Roman" w:cs="Times New Roman"/>
          <w:i/>
          <w:iCs/>
          <w:sz w:val="24"/>
          <w:szCs w:val="24"/>
        </w:rPr>
        <w:t>1</w:t>
      </w:r>
      <w:r w:rsidRPr="006F4F55">
        <w:rPr>
          <w:rFonts w:ascii="Times New Roman" w:hAnsi="Times New Roman" w:cs="Times New Roman"/>
          <w:sz w:val="24"/>
          <w:szCs w:val="24"/>
        </w:rPr>
        <w:t>, pp.11-19.</w:t>
      </w:r>
    </w:p>
    <w:p w14:paraId="313C093D"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 xml:space="preserve">www.riksbank.se. (2023). </w:t>
      </w:r>
      <w:r w:rsidRPr="006F4F55">
        <w:rPr>
          <w:rFonts w:ascii="Times New Roman" w:hAnsi="Times New Roman" w:cs="Times New Roman"/>
          <w:i/>
          <w:iCs/>
          <w:sz w:val="24"/>
          <w:szCs w:val="24"/>
        </w:rPr>
        <w:t>Higher transparency requirements after the financial crisis</w:t>
      </w:r>
      <w:r w:rsidRPr="006F4F55">
        <w:rPr>
          <w:rFonts w:ascii="Times New Roman" w:hAnsi="Times New Roman" w:cs="Times New Roman"/>
          <w:sz w:val="24"/>
          <w:szCs w:val="24"/>
        </w:rPr>
        <w:t xml:space="preserve">. [online] Available at: </w:t>
      </w:r>
      <w:hyperlink r:id="rId15" w:history="1">
        <w:r w:rsidRPr="006F4F55">
          <w:rPr>
            <w:rStyle w:val="Hyperlink"/>
            <w:rFonts w:ascii="Times New Roman" w:hAnsi="Times New Roman" w:cs="Times New Roman"/>
            <w:sz w:val="24"/>
            <w:szCs w:val="24"/>
          </w:rPr>
          <w:t>https://www.riksbank.se/en-gb/press-and-published/publications/economic-commentaries/transparency-for-efficiency-and-financial-stability/higher-transparency-requirements-after-the-financial-crisis/</w:t>
        </w:r>
      </w:hyperlink>
      <w:r w:rsidRPr="006F4F55">
        <w:rPr>
          <w:rFonts w:ascii="Times New Roman" w:hAnsi="Times New Roman" w:cs="Times New Roman"/>
          <w:sz w:val="24"/>
          <w:szCs w:val="24"/>
        </w:rPr>
        <w:t xml:space="preserve">. </w:t>
      </w:r>
    </w:p>
    <w:p w14:paraId="673B45D8" w14:textId="77777777" w:rsidR="009E6E91" w:rsidRPr="006F4F55" w:rsidRDefault="009E6E91" w:rsidP="009E6E91">
      <w:pPr>
        <w:spacing w:after="0" w:line="360" w:lineRule="auto"/>
        <w:ind w:left="720" w:hanging="720"/>
        <w:rPr>
          <w:rFonts w:ascii="Times New Roman" w:hAnsi="Times New Roman" w:cs="Times New Roman"/>
          <w:sz w:val="24"/>
          <w:szCs w:val="24"/>
        </w:rPr>
      </w:pPr>
      <w:r w:rsidRPr="006F4F55">
        <w:rPr>
          <w:rFonts w:ascii="Times New Roman" w:hAnsi="Times New Roman" w:cs="Times New Roman"/>
          <w:sz w:val="24"/>
          <w:szCs w:val="24"/>
        </w:rPr>
        <w:t>Yokoi-Arai, M. and Morishita, T., 2014. Evolving supervisory and regulatory approaches of Japan in the post-crisis era. </w:t>
      </w:r>
      <w:r w:rsidRPr="006F4F55">
        <w:rPr>
          <w:rFonts w:ascii="Times New Roman" w:hAnsi="Times New Roman" w:cs="Times New Roman"/>
          <w:i/>
          <w:iCs/>
          <w:sz w:val="24"/>
          <w:szCs w:val="24"/>
        </w:rPr>
        <w:t>Institutional Structure of Financial Regulation: Theories and International Experiences</w:t>
      </w:r>
      <w:r w:rsidRPr="006F4F55">
        <w:rPr>
          <w:rFonts w:ascii="Times New Roman" w:hAnsi="Times New Roman" w:cs="Times New Roman"/>
          <w:sz w:val="24"/>
          <w:szCs w:val="24"/>
        </w:rPr>
        <w:t>, p.166.</w:t>
      </w:r>
    </w:p>
    <w:p w14:paraId="13C8D45C" w14:textId="77777777" w:rsidR="006F4F55" w:rsidRPr="006F4F55" w:rsidRDefault="006F4F55" w:rsidP="006F4F55">
      <w:pPr>
        <w:rPr>
          <w:rFonts w:ascii="Times New Roman" w:hAnsi="Times New Roman" w:cs="Times New Roman"/>
          <w:sz w:val="24"/>
          <w:szCs w:val="24"/>
        </w:rPr>
      </w:pPr>
    </w:p>
    <w:sectPr w:rsidR="006F4F55" w:rsidRPr="006F4F55" w:rsidSect="009E6E91">
      <w:footerReference w:type="default" r:id="rId16"/>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55E46" w14:textId="77777777" w:rsidR="008F4DDF" w:rsidRDefault="008F4DDF" w:rsidP="009E6E91">
      <w:pPr>
        <w:spacing w:after="0" w:line="240" w:lineRule="auto"/>
      </w:pPr>
      <w:r>
        <w:separator/>
      </w:r>
    </w:p>
  </w:endnote>
  <w:endnote w:type="continuationSeparator" w:id="0">
    <w:p w14:paraId="14C5BC46" w14:textId="77777777" w:rsidR="008F4DDF" w:rsidRDefault="008F4DDF" w:rsidP="009E6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7EEF5" w14:textId="15C7A8E6" w:rsidR="009E6E91" w:rsidRDefault="009E6E91">
    <w:pPr>
      <w:pStyle w:val="Footer"/>
      <w:jc w:val="center"/>
    </w:pPr>
  </w:p>
  <w:p w14:paraId="490C2334" w14:textId="77777777" w:rsidR="009E6E91" w:rsidRDefault="009E6E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6285147"/>
      <w:docPartObj>
        <w:docPartGallery w:val="Page Numbers (Bottom of Page)"/>
        <w:docPartUnique/>
      </w:docPartObj>
    </w:sdtPr>
    <w:sdtEndPr>
      <w:rPr>
        <w:noProof/>
      </w:rPr>
    </w:sdtEndPr>
    <w:sdtContent>
      <w:p w14:paraId="1AD4CB0F" w14:textId="77777777" w:rsidR="009E6E91" w:rsidRDefault="009E6E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7EBFB6" w14:textId="77777777" w:rsidR="009E6E91" w:rsidRDefault="009E6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C444C" w14:textId="77777777" w:rsidR="008F4DDF" w:rsidRDefault="008F4DDF" w:rsidP="009E6E91">
      <w:pPr>
        <w:spacing w:after="0" w:line="240" w:lineRule="auto"/>
      </w:pPr>
      <w:r>
        <w:separator/>
      </w:r>
    </w:p>
  </w:footnote>
  <w:footnote w:type="continuationSeparator" w:id="0">
    <w:p w14:paraId="591D6277" w14:textId="77777777" w:rsidR="008F4DDF" w:rsidRDefault="008F4DDF" w:rsidP="009E6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CxMDO2sLQwNTEys7RQ0lEKTi0uzszPAykwrAUACOtUQiwAAAA="/>
  </w:docVars>
  <w:rsids>
    <w:rsidRoot w:val="00B47730"/>
    <w:rsid w:val="00011120"/>
    <w:rsid w:val="00034616"/>
    <w:rsid w:val="0006063C"/>
    <w:rsid w:val="000C76C5"/>
    <w:rsid w:val="0015074B"/>
    <w:rsid w:val="00162ACC"/>
    <w:rsid w:val="00223368"/>
    <w:rsid w:val="0029639D"/>
    <w:rsid w:val="00326F90"/>
    <w:rsid w:val="00372498"/>
    <w:rsid w:val="00535B02"/>
    <w:rsid w:val="005A0B49"/>
    <w:rsid w:val="005F2E42"/>
    <w:rsid w:val="006F4F55"/>
    <w:rsid w:val="007015D8"/>
    <w:rsid w:val="00784DC1"/>
    <w:rsid w:val="008334CC"/>
    <w:rsid w:val="00897D81"/>
    <w:rsid w:val="008F4DDF"/>
    <w:rsid w:val="00952760"/>
    <w:rsid w:val="00982E12"/>
    <w:rsid w:val="009836E0"/>
    <w:rsid w:val="009E6E91"/>
    <w:rsid w:val="00AA1D8D"/>
    <w:rsid w:val="00AA6A9D"/>
    <w:rsid w:val="00B47730"/>
    <w:rsid w:val="00C212B5"/>
    <w:rsid w:val="00C97BBD"/>
    <w:rsid w:val="00CB0664"/>
    <w:rsid w:val="00CB5533"/>
    <w:rsid w:val="00D13A07"/>
    <w:rsid w:val="00D424E7"/>
    <w:rsid w:val="00D651BB"/>
    <w:rsid w:val="00DB4046"/>
    <w:rsid w:val="00DC32A1"/>
    <w:rsid w:val="00FC693F"/>
    <w:rsid w:val="00FD01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C53CFA"/>
  <w14:defaultImageDpi w14:val="300"/>
  <w15:docId w15:val="{8484F467-DAC2-465C-A2EF-D5B326E3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A0B49"/>
    <w:rPr>
      <w:color w:val="0000FF" w:themeColor="hyperlink"/>
      <w:u w:val="single"/>
    </w:rPr>
  </w:style>
  <w:style w:type="character" w:styleId="UnresolvedMention">
    <w:name w:val="Unresolved Mention"/>
    <w:basedOn w:val="DefaultParagraphFont"/>
    <w:uiPriority w:val="99"/>
    <w:semiHidden/>
    <w:unhideWhenUsed/>
    <w:rsid w:val="005A0B49"/>
    <w:rPr>
      <w:color w:val="605E5C"/>
      <w:shd w:val="clear" w:color="auto" w:fill="E1DFDD"/>
    </w:rPr>
  </w:style>
  <w:style w:type="paragraph" w:styleId="TOC1">
    <w:name w:val="toc 1"/>
    <w:basedOn w:val="Normal"/>
    <w:next w:val="Normal"/>
    <w:autoRedefine/>
    <w:uiPriority w:val="39"/>
    <w:unhideWhenUsed/>
    <w:rsid w:val="009E6E91"/>
    <w:pPr>
      <w:spacing w:after="100"/>
    </w:pPr>
  </w:style>
  <w:style w:type="paragraph" w:styleId="TOC2">
    <w:name w:val="toc 2"/>
    <w:basedOn w:val="Normal"/>
    <w:next w:val="Normal"/>
    <w:autoRedefine/>
    <w:uiPriority w:val="39"/>
    <w:unhideWhenUsed/>
    <w:rsid w:val="009E6E91"/>
    <w:pPr>
      <w:spacing w:after="100"/>
      <w:ind w:left="220"/>
    </w:pPr>
  </w:style>
  <w:style w:type="paragraph" w:styleId="TOC3">
    <w:name w:val="toc 3"/>
    <w:basedOn w:val="Normal"/>
    <w:next w:val="Normal"/>
    <w:autoRedefine/>
    <w:uiPriority w:val="39"/>
    <w:unhideWhenUsed/>
    <w:rsid w:val="009E6E9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5499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info.gov/content/pkg/GPO-FCIC/pdf/GPO-FCIC.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mf.org/external/Pubs/FT/fandd/2008/12/sacasa.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gov/news/speech/the-sec-after-the-financial-crisis" TargetMode="External"/><Relationship Id="rId5" Type="http://schemas.openxmlformats.org/officeDocument/2006/relationships/webSettings" Target="webSettings.xml"/><Relationship Id="rId15" Type="http://schemas.openxmlformats.org/officeDocument/2006/relationships/hyperlink" Target="https://www.riksbank.se/en-gb/press-and-published/publications/economic-commentaries/transparency-for-efficiency-and-financial-stability/higher-transparency-requirements-after-the-financial-crisis/" TargetMode="External"/><Relationship Id="rId10" Type="http://schemas.openxmlformats.org/officeDocument/2006/relationships/hyperlink" Target="http://www.riksbank.s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orpgov.law.harvard.edu/2013/03/24/financial-services-act-2012-a-new-uk-financial-regulatory-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85F11-BD71-4345-B3B3-8DBBA14AF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17</Pages>
  <Words>4280</Words>
  <Characters>27831</Characters>
  <Application>Microsoft Office Word</Application>
  <DocSecurity>0</DocSecurity>
  <Lines>472</Lines>
  <Paragraphs>139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31978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Isaac Hammond</cp:lastModifiedBy>
  <cp:revision>9</cp:revision>
  <dcterms:created xsi:type="dcterms:W3CDTF">2023-12-30T10:27:00Z</dcterms:created>
  <dcterms:modified xsi:type="dcterms:W3CDTF">2023-12-31T09:02:00Z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90c6ed0392a1a1ddf1fffd161481f4b0fb2aef7e4effc57d632186ac04b23165</vt:lpwstr>
  </property>
</Properties>
</file>