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21A4" w:rsidRPr="002D37E6" w:rsidRDefault="00C621A4">
      <w:pPr>
        <w:pBdr>
          <w:top w:val="nil"/>
          <w:left w:val="nil"/>
          <w:bottom w:val="nil"/>
          <w:right w:val="nil"/>
          <w:between w:val="nil"/>
        </w:pBdr>
        <w:spacing w:before="200"/>
        <w:rPr>
          <w:color w:val="000000"/>
        </w:rPr>
      </w:pPr>
    </w:p>
    <w:p w:rsidR="00C621A4" w:rsidRPr="002D37E6" w:rsidRDefault="00426EE4">
      <w:pPr>
        <w:pBdr>
          <w:top w:val="nil"/>
          <w:left w:val="nil"/>
          <w:bottom w:val="nil"/>
          <w:right w:val="nil"/>
          <w:between w:val="nil"/>
        </w:pBdr>
        <w:spacing w:before="200"/>
        <w:rPr>
          <w:color w:val="000000"/>
        </w:rPr>
      </w:pPr>
      <w:r w:rsidRPr="002D37E6">
        <w:rPr>
          <w:noProof/>
          <w:lang w:eastAsia="en-GB"/>
        </w:rPr>
        <w:drawing>
          <wp:anchor distT="0" distB="0" distL="114300" distR="114300" simplePos="0" relativeHeight="251658240" behindDoc="0" locked="0" layoutInCell="1" allowOverlap="1">
            <wp:simplePos x="0" y="0"/>
            <wp:positionH relativeFrom="column">
              <wp:posOffset>1889760</wp:posOffset>
            </wp:positionH>
            <wp:positionV relativeFrom="paragraph">
              <wp:posOffset>140335</wp:posOffset>
            </wp:positionV>
            <wp:extent cx="2042795" cy="902335"/>
            <wp:effectExtent l="0" t="0" r="0" b="0"/>
            <wp:wrapNone/>
            <wp:docPr id="4880074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042795" cy="902335"/>
                    </a:xfrm>
                    <a:prstGeom prst="rect">
                      <a:avLst/>
                    </a:prstGeom>
                    <a:ln/>
                  </pic:spPr>
                </pic:pic>
              </a:graphicData>
            </a:graphic>
          </wp:anchor>
        </w:drawing>
      </w:r>
    </w:p>
    <w:p w:rsidR="00C621A4" w:rsidRPr="002D37E6" w:rsidRDefault="00C621A4">
      <w:pPr>
        <w:pStyle w:val="Title"/>
      </w:pPr>
    </w:p>
    <w:p w:rsidR="00C621A4" w:rsidRPr="002D37E6" w:rsidRDefault="00C621A4">
      <w:pPr>
        <w:pStyle w:val="Title"/>
      </w:pPr>
    </w:p>
    <w:p w:rsidR="00C621A4" w:rsidRPr="002D37E6" w:rsidRDefault="00C621A4">
      <w:pPr>
        <w:pBdr>
          <w:top w:val="nil"/>
          <w:left w:val="nil"/>
          <w:bottom w:val="nil"/>
          <w:right w:val="nil"/>
          <w:between w:val="nil"/>
        </w:pBdr>
        <w:spacing w:before="200"/>
        <w:rPr>
          <w:color w:val="000000"/>
        </w:rPr>
      </w:pPr>
    </w:p>
    <w:p w:rsidR="00C621A4" w:rsidRDefault="00426EE4">
      <w:pPr>
        <w:pStyle w:val="Title"/>
        <w:rPr>
          <w:sz w:val="28"/>
          <w:szCs w:val="28"/>
        </w:rPr>
      </w:pPr>
      <w:r w:rsidRPr="00674488">
        <w:rPr>
          <w:sz w:val="28"/>
          <w:szCs w:val="28"/>
        </w:rPr>
        <w:t>PUBLIC HEALTH IMPLICATIONS OF CRISPR-BASED GENE THERAPY FOR SICKLE CELL DISEASE: ACCESS, EQUITY, AND HEALTH SYSTEM READINESS IN THE UNITED KINGDOM</w:t>
      </w:r>
    </w:p>
    <w:p w:rsidR="00674488" w:rsidRPr="00674488" w:rsidRDefault="00674488" w:rsidP="00674488">
      <w:pPr>
        <w:jc w:val="center"/>
        <w:rPr>
          <w:b/>
          <w:sz w:val="24"/>
          <w:szCs w:val="24"/>
        </w:rPr>
      </w:pPr>
      <w:r w:rsidRPr="00674488">
        <w:rPr>
          <w:b/>
          <w:sz w:val="24"/>
          <w:szCs w:val="24"/>
        </w:rPr>
        <w:t>(Systematic Review)</w:t>
      </w:r>
    </w:p>
    <w:p w:rsidR="00674488" w:rsidRDefault="00674488" w:rsidP="00674488">
      <w:pPr>
        <w:jc w:val="center"/>
      </w:pPr>
      <w:r>
        <w:t>By</w:t>
      </w:r>
    </w:p>
    <w:p w:rsidR="00674488" w:rsidRPr="00674488" w:rsidRDefault="00674488" w:rsidP="00674488">
      <w:pPr>
        <w:jc w:val="center"/>
        <w:rPr>
          <w:sz w:val="24"/>
          <w:szCs w:val="24"/>
        </w:rPr>
      </w:pPr>
      <w:r w:rsidRPr="00674488">
        <w:rPr>
          <w:sz w:val="24"/>
          <w:szCs w:val="24"/>
        </w:rPr>
        <w:t>Keval Sureshbhai Miyani</w:t>
      </w:r>
    </w:p>
    <w:p w:rsidR="00674488" w:rsidRPr="00674488" w:rsidRDefault="00674488" w:rsidP="00674488">
      <w:pPr>
        <w:jc w:val="center"/>
        <w:rPr>
          <w:sz w:val="24"/>
          <w:szCs w:val="24"/>
        </w:rPr>
      </w:pPr>
      <w:r w:rsidRPr="00674488">
        <w:rPr>
          <w:sz w:val="24"/>
          <w:szCs w:val="24"/>
        </w:rPr>
        <w:t>Student Number: 2426154</w:t>
      </w:r>
    </w:p>
    <w:p w:rsidR="00674488" w:rsidRDefault="00674488" w:rsidP="00674488">
      <w:pPr>
        <w:jc w:val="center"/>
      </w:pPr>
      <w:r w:rsidRPr="00674488">
        <w:rPr>
          <w:sz w:val="24"/>
          <w:szCs w:val="24"/>
        </w:rPr>
        <w:t xml:space="preserve">Email address: </w:t>
      </w:r>
      <w:hyperlink r:id="rId10" w:history="1">
        <w:r w:rsidR="00CD53A6" w:rsidRPr="000C2CFC">
          <w:rPr>
            <w:rStyle w:val="Hyperlink"/>
            <w:sz w:val="24"/>
            <w:szCs w:val="24"/>
          </w:rPr>
          <w:t>2426154@student.uwtsd.ac.uk</w:t>
        </w:r>
      </w:hyperlink>
    </w:p>
    <w:p w:rsidR="00674488" w:rsidRDefault="00674488" w:rsidP="00674488">
      <w:pPr>
        <w:jc w:val="center"/>
      </w:pPr>
    </w:p>
    <w:p w:rsidR="00674488" w:rsidRPr="00674488" w:rsidRDefault="00674488" w:rsidP="00674488">
      <w:pPr>
        <w:jc w:val="center"/>
        <w:rPr>
          <w:sz w:val="28"/>
          <w:szCs w:val="28"/>
        </w:rPr>
      </w:pPr>
      <w:r w:rsidRPr="00674488">
        <w:rPr>
          <w:sz w:val="28"/>
          <w:szCs w:val="28"/>
        </w:rPr>
        <w:t>A Dissertation submitted in partial fulfilment of the requirements for the degree of Master of Science in Public Health and Social Care in Practice</w:t>
      </w:r>
    </w:p>
    <w:p w:rsidR="00674488" w:rsidRPr="00674488" w:rsidRDefault="00674488" w:rsidP="00674488">
      <w:pPr>
        <w:jc w:val="center"/>
        <w:rPr>
          <w:sz w:val="28"/>
          <w:szCs w:val="28"/>
        </w:rPr>
      </w:pPr>
    </w:p>
    <w:p w:rsidR="00674488" w:rsidRPr="00674488" w:rsidRDefault="00674488" w:rsidP="00674488">
      <w:pPr>
        <w:jc w:val="center"/>
        <w:rPr>
          <w:b/>
          <w:sz w:val="28"/>
          <w:szCs w:val="28"/>
        </w:rPr>
      </w:pPr>
      <w:r w:rsidRPr="00674488">
        <w:rPr>
          <w:b/>
          <w:sz w:val="28"/>
          <w:szCs w:val="28"/>
        </w:rPr>
        <w:t>The Institute of Inner-City Learning</w:t>
      </w:r>
    </w:p>
    <w:p w:rsidR="00674488" w:rsidRPr="00674488" w:rsidRDefault="00674488" w:rsidP="00674488">
      <w:pPr>
        <w:jc w:val="center"/>
        <w:rPr>
          <w:b/>
          <w:sz w:val="28"/>
          <w:szCs w:val="28"/>
        </w:rPr>
      </w:pPr>
      <w:r w:rsidRPr="00674488">
        <w:rPr>
          <w:b/>
          <w:sz w:val="28"/>
          <w:szCs w:val="28"/>
        </w:rPr>
        <w:t>University of Wales Trinity Saint David – London Campus</w:t>
      </w:r>
    </w:p>
    <w:p w:rsidR="00674488" w:rsidRPr="00674488" w:rsidRDefault="00674488" w:rsidP="00674488">
      <w:pPr>
        <w:jc w:val="center"/>
        <w:rPr>
          <w:b/>
          <w:sz w:val="28"/>
          <w:szCs w:val="28"/>
        </w:rPr>
      </w:pPr>
    </w:p>
    <w:p w:rsidR="00674488" w:rsidRPr="00674488" w:rsidRDefault="00674488" w:rsidP="00674488">
      <w:pPr>
        <w:jc w:val="center"/>
        <w:rPr>
          <w:b/>
          <w:sz w:val="28"/>
          <w:szCs w:val="28"/>
        </w:rPr>
      </w:pPr>
      <w:r w:rsidRPr="00674488">
        <w:rPr>
          <w:b/>
          <w:sz w:val="28"/>
          <w:szCs w:val="28"/>
        </w:rPr>
        <w:t>[September, 2026]</w:t>
      </w:r>
    </w:p>
    <w:p w:rsidR="00C621A4" w:rsidRPr="002D37E6" w:rsidRDefault="00426EE4">
      <w:pPr>
        <w:spacing w:before="200"/>
      </w:pPr>
      <w:r w:rsidRPr="002D37E6">
        <w:br w:type="page"/>
      </w:r>
    </w:p>
    <w:p w:rsidR="00C621A4" w:rsidRPr="002D37E6" w:rsidRDefault="00426EE4">
      <w:pPr>
        <w:spacing w:before="200"/>
        <w:jc w:val="center"/>
        <w:rPr>
          <w:b/>
          <w:bCs/>
        </w:rPr>
      </w:pPr>
      <w:r w:rsidRPr="002D37E6">
        <w:rPr>
          <w:b/>
          <w:bCs/>
        </w:rPr>
        <w:lastRenderedPageBreak/>
        <w:t>Acknowledgement</w:t>
      </w:r>
    </w:p>
    <w:p w:rsidR="00C621A4" w:rsidRPr="002D37E6" w:rsidRDefault="00426EE4">
      <w:pPr>
        <w:spacing w:before="200"/>
      </w:pPr>
      <w:r w:rsidRPr="002D37E6">
        <w:t>I would like to express my gratitude to everyone who supported me throughout the completion of the work. I wo</w:t>
      </w:r>
      <w:r w:rsidR="000E6947">
        <w:t>uld like to thank my supervisor</w:t>
      </w:r>
      <w:r w:rsidRPr="002D37E6">
        <w:t xml:space="preserve"> for their valuable guidance and feedback during the research process. I am also grateful to my university, faculty members and friends for their support and constant encouragement throughout this journey. </w:t>
      </w:r>
    </w:p>
    <w:p w:rsidR="00C621A4" w:rsidRPr="002D37E6" w:rsidRDefault="00C621A4">
      <w:pPr>
        <w:spacing w:before="200"/>
      </w:pPr>
    </w:p>
    <w:p w:rsidR="00C621A4" w:rsidRPr="002D37E6" w:rsidRDefault="00426EE4">
      <w:pPr>
        <w:spacing w:before="200"/>
      </w:pPr>
      <w:r w:rsidRPr="002D37E6">
        <w:br w:type="page"/>
      </w:r>
    </w:p>
    <w:p w:rsidR="00C621A4" w:rsidRPr="002D37E6" w:rsidRDefault="00426EE4">
      <w:pPr>
        <w:spacing w:before="200"/>
        <w:jc w:val="center"/>
        <w:rPr>
          <w:b/>
          <w:bCs/>
        </w:rPr>
      </w:pPr>
      <w:r w:rsidRPr="002D37E6">
        <w:rPr>
          <w:b/>
          <w:bCs/>
        </w:rPr>
        <w:lastRenderedPageBreak/>
        <w:t>Declaration</w:t>
      </w:r>
    </w:p>
    <w:p w:rsidR="00C621A4" w:rsidRDefault="00426EE4">
      <w:pPr>
        <w:spacing w:before="200"/>
      </w:pPr>
      <w:r w:rsidRPr="002D37E6">
        <w:t>I</w:t>
      </w:r>
      <w:r w:rsidR="00674488">
        <w:t xml:space="preserve"> [Keval Sureshbhai Miyani] </w:t>
      </w:r>
      <w:r w:rsidRPr="002D37E6">
        <w:t>declare that this dissertation is my own work and has been written in an honest and independent manner. Acknowledgment and referencing of all sources of information, ideas and evidence has occurred throughout the research. The findings have been presented in an accurate manner without fabrication, manipulation or misrepresentation of the evidence provided. </w:t>
      </w:r>
    </w:p>
    <w:p w:rsidR="00750694" w:rsidRDefault="00750694">
      <w:pPr>
        <w:spacing w:before="200"/>
      </w:pPr>
    </w:p>
    <w:p w:rsidR="00750694" w:rsidRDefault="00750694">
      <w:pPr>
        <w:spacing w:before="200"/>
      </w:pPr>
      <w:r>
        <w:t>Signed: Keval Sureshbhai Miyani</w:t>
      </w:r>
    </w:p>
    <w:p w:rsidR="00750694" w:rsidRPr="002D37E6" w:rsidRDefault="00750694">
      <w:pPr>
        <w:spacing w:before="200"/>
      </w:pPr>
      <w:r>
        <w:t>Date: 24/09/2026</w:t>
      </w:r>
    </w:p>
    <w:p w:rsidR="00C621A4" w:rsidRPr="002D37E6" w:rsidRDefault="00426EE4">
      <w:pPr>
        <w:spacing w:before="200"/>
        <w:rPr>
          <w:b/>
          <w:bCs/>
          <w:color w:val="000000"/>
        </w:rPr>
      </w:pPr>
      <w:r w:rsidRPr="002D37E6">
        <w:br w:type="page"/>
      </w:r>
    </w:p>
    <w:p w:rsidR="00C621A4" w:rsidRPr="002D37E6" w:rsidRDefault="00426EE4">
      <w:pPr>
        <w:pStyle w:val="Title"/>
        <w:rPr>
          <w:sz w:val="22"/>
          <w:szCs w:val="22"/>
        </w:rPr>
      </w:pPr>
      <w:r w:rsidRPr="002D37E6">
        <w:rPr>
          <w:sz w:val="22"/>
          <w:szCs w:val="22"/>
        </w:rPr>
        <w:lastRenderedPageBreak/>
        <w:t>Abstract</w:t>
      </w:r>
    </w:p>
    <w:p w:rsidR="00C621A4" w:rsidRPr="002D37E6" w:rsidRDefault="00426EE4">
      <w:pPr>
        <w:spacing w:before="200"/>
      </w:pPr>
      <w:r w:rsidRPr="002D37E6">
        <w:t>The research is focused on systematic literature review for evaluating role of the public health determinants of equitable access to CRISPR-based gene therapy to address SCD in the UK healthcare system. The key objectives of this research are to focus on analysing the key barriers and facilitators affecting access to CRISPR-based gene therapy for individuals with sickle cell disease in the UK. </w:t>
      </w:r>
    </w:p>
    <w:p w:rsidR="00C621A4" w:rsidRPr="002D37E6" w:rsidRDefault="00426EE4">
      <w:pPr>
        <w:spacing w:before="200"/>
      </w:pPr>
      <w:r w:rsidRPr="002D37E6">
        <w:t xml:space="preserve">Through literature review, the research critically evaluates the current evidence of gene therapy using CRISPR for sickle cell disease, including access and equity considerations, readiness of health systems, implementation challenges, and public health considerations. The implications of Health Equity Theory and Diffusion of Innovation Theory have been integrated which eventually helps in evaluating the adoption rates and systematic readiness of UK healthcare systems for implementing CRISPR-based gene therapy. </w:t>
      </w:r>
    </w:p>
    <w:p w:rsidR="00C621A4" w:rsidRPr="002D37E6" w:rsidRDefault="00426EE4">
      <w:pPr>
        <w:spacing w:before="200"/>
      </w:pPr>
      <w:r w:rsidRPr="002D37E6">
        <w:t>The methodology used in this study to understand the public health aspects of CRISPR-based gene therapy as a treatment for sickle cell disease in the UK. An inductive, qualitative approach and systematic literature review have been adopted in this study using secondary data.</w:t>
      </w:r>
    </w:p>
    <w:p w:rsidR="00C621A4" w:rsidRPr="002D37E6" w:rsidRDefault="00426EE4">
      <w:pPr>
        <w:spacing w:before="200"/>
      </w:pPr>
      <w:r w:rsidRPr="002D37E6">
        <w:t>Findings section examines facilitators and barriers influencing access to CRISPR based gene therapy for SCD. Findings identify financial infrastructure, specialist cost, geographical accessibility, Health Care capacity and patient understanding as major considerations. While NHS specialist networks can facilitate delivery, lack of equal sources and treatment requirements can restrict equitable accessibility to the eligible patients.</w:t>
      </w:r>
    </w:p>
    <w:p w:rsidR="00C621A4" w:rsidRPr="002D37E6" w:rsidRDefault="00426EE4">
      <w:pPr>
        <w:spacing w:before="200"/>
      </w:pPr>
      <w:r w:rsidRPr="002D37E6">
        <w:t xml:space="preserve">In conclusion, it represents concluding remarks of findings and recommendations based on identifying problems in CRISPR-based gene therapy access in the UK. The findings show that inequalities in gene therapy access in the UK have been caused by different factors and people from deprived areas are experiencing this mainly. Long-term effects of CRISPR-based gene therapy need to be considered in future research, besides using primary data for examining people's experiences. </w:t>
      </w:r>
    </w:p>
    <w:p w:rsidR="00C621A4" w:rsidRPr="002D37E6" w:rsidRDefault="00426EE4">
      <w:pPr>
        <w:spacing w:before="200"/>
        <w:rPr>
          <w:color w:val="000000"/>
        </w:rPr>
      </w:pPr>
      <w:r w:rsidRPr="002D37E6">
        <w:br w:type="page"/>
      </w:r>
    </w:p>
    <w:p w:rsidR="00C621A4" w:rsidRPr="002D37E6" w:rsidRDefault="00426EE4">
      <w:pPr>
        <w:keepNext/>
        <w:keepLines/>
        <w:pBdr>
          <w:top w:val="nil"/>
          <w:left w:val="nil"/>
          <w:bottom w:val="nil"/>
          <w:right w:val="nil"/>
          <w:between w:val="nil"/>
        </w:pBdr>
        <w:spacing w:before="200"/>
        <w:jc w:val="center"/>
        <w:rPr>
          <w:b/>
          <w:bCs/>
          <w:color w:val="000000"/>
        </w:rPr>
      </w:pPr>
      <w:r w:rsidRPr="002D37E6">
        <w:rPr>
          <w:b/>
          <w:bCs/>
          <w:color w:val="000000"/>
        </w:rPr>
        <w:lastRenderedPageBreak/>
        <w:t>Table of Contents</w:t>
      </w:r>
    </w:p>
    <w:sdt>
      <w:sdtPr>
        <w:id w:val="386096216"/>
        <w:docPartObj>
          <w:docPartGallery w:val="Table of Contents"/>
          <w:docPartUnique/>
        </w:docPartObj>
      </w:sdtPr>
      <w:sdtContent>
        <w:p w:rsidR="003A160E" w:rsidRPr="002D37E6" w:rsidRDefault="002C0289">
          <w:pPr>
            <w:pStyle w:val="TOC1"/>
            <w:tabs>
              <w:tab w:val="right" w:leader="dot" w:pos="9350"/>
            </w:tabs>
            <w:rPr>
              <w:rFonts w:asciiTheme="minorHAnsi" w:eastAsiaTheme="minorEastAsia" w:hAnsiTheme="minorHAnsi" w:cstheme="minorBidi"/>
              <w:noProof/>
            </w:rPr>
          </w:pPr>
          <w:r w:rsidRPr="002D37E6">
            <w:fldChar w:fldCharType="begin"/>
          </w:r>
          <w:r w:rsidR="00426EE4" w:rsidRPr="002D37E6">
            <w:instrText xml:space="preserve"> TOC \h \u \z \t "Heading 1,1,Heading 2,2,Heading 3,3,"</w:instrText>
          </w:r>
          <w:r w:rsidRPr="002D37E6">
            <w:fldChar w:fldCharType="separate"/>
          </w:r>
          <w:hyperlink w:anchor="_Toc240897558" w:history="1">
            <w:r w:rsidR="003A160E" w:rsidRPr="002D37E6">
              <w:rPr>
                <w:rStyle w:val="Hyperlink"/>
                <w:noProof/>
              </w:rPr>
              <w:t>Chapter 1: Introduction</w:t>
            </w:r>
            <w:r w:rsidR="003A160E" w:rsidRPr="002D37E6">
              <w:rPr>
                <w:noProof/>
                <w:webHidden/>
              </w:rPr>
              <w:tab/>
            </w:r>
            <w:r w:rsidRPr="002D37E6">
              <w:rPr>
                <w:noProof/>
                <w:webHidden/>
              </w:rPr>
              <w:fldChar w:fldCharType="begin"/>
            </w:r>
            <w:r w:rsidR="003A160E" w:rsidRPr="002D37E6">
              <w:rPr>
                <w:noProof/>
                <w:webHidden/>
              </w:rPr>
              <w:instrText xml:space="preserve"> PAGEREF _Toc240897558 \h </w:instrText>
            </w:r>
            <w:r w:rsidRPr="002D37E6">
              <w:rPr>
                <w:noProof/>
                <w:webHidden/>
              </w:rPr>
            </w:r>
            <w:r w:rsidRPr="002D37E6">
              <w:rPr>
                <w:noProof/>
                <w:webHidden/>
              </w:rPr>
              <w:fldChar w:fldCharType="separate"/>
            </w:r>
            <w:r w:rsidR="003A160E" w:rsidRPr="002D37E6">
              <w:rPr>
                <w:noProof/>
                <w:webHidden/>
              </w:rPr>
              <w:t>9</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59" w:history="1">
            <w:r w:rsidR="003A160E" w:rsidRPr="002D37E6">
              <w:rPr>
                <w:rStyle w:val="Hyperlink"/>
                <w:noProof/>
              </w:rPr>
              <w:t>1.1 Chapter Introduction</w:t>
            </w:r>
            <w:r w:rsidR="003A160E" w:rsidRPr="002D37E6">
              <w:rPr>
                <w:noProof/>
                <w:webHidden/>
              </w:rPr>
              <w:tab/>
            </w:r>
            <w:r w:rsidRPr="002D37E6">
              <w:rPr>
                <w:noProof/>
                <w:webHidden/>
              </w:rPr>
              <w:fldChar w:fldCharType="begin"/>
            </w:r>
            <w:r w:rsidR="003A160E" w:rsidRPr="002D37E6">
              <w:rPr>
                <w:noProof/>
                <w:webHidden/>
              </w:rPr>
              <w:instrText xml:space="preserve"> PAGEREF _Toc240897559 \h </w:instrText>
            </w:r>
            <w:r w:rsidRPr="002D37E6">
              <w:rPr>
                <w:noProof/>
                <w:webHidden/>
              </w:rPr>
            </w:r>
            <w:r w:rsidRPr="002D37E6">
              <w:rPr>
                <w:noProof/>
                <w:webHidden/>
              </w:rPr>
              <w:fldChar w:fldCharType="separate"/>
            </w:r>
            <w:r w:rsidR="003A160E" w:rsidRPr="002D37E6">
              <w:rPr>
                <w:noProof/>
                <w:webHidden/>
              </w:rPr>
              <w:t>9</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60" w:history="1">
            <w:r w:rsidR="003A160E" w:rsidRPr="002D37E6">
              <w:rPr>
                <w:rStyle w:val="Hyperlink"/>
                <w:noProof/>
              </w:rPr>
              <w:t>1.2 Research Background</w:t>
            </w:r>
            <w:r w:rsidR="003A160E" w:rsidRPr="002D37E6">
              <w:rPr>
                <w:noProof/>
                <w:webHidden/>
              </w:rPr>
              <w:tab/>
            </w:r>
            <w:r w:rsidRPr="002D37E6">
              <w:rPr>
                <w:noProof/>
                <w:webHidden/>
              </w:rPr>
              <w:fldChar w:fldCharType="begin"/>
            </w:r>
            <w:r w:rsidR="003A160E" w:rsidRPr="002D37E6">
              <w:rPr>
                <w:noProof/>
                <w:webHidden/>
              </w:rPr>
              <w:instrText xml:space="preserve"> PAGEREF _Toc240897560 \h </w:instrText>
            </w:r>
            <w:r w:rsidRPr="002D37E6">
              <w:rPr>
                <w:noProof/>
                <w:webHidden/>
              </w:rPr>
            </w:r>
            <w:r w:rsidRPr="002D37E6">
              <w:rPr>
                <w:noProof/>
                <w:webHidden/>
              </w:rPr>
              <w:fldChar w:fldCharType="separate"/>
            </w:r>
            <w:r w:rsidR="003A160E" w:rsidRPr="002D37E6">
              <w:rPr>
                <w:noProof/>
                <w:webHidden/>
              </w:rPr>
              <w:t>9</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61" w:history="1">
            <w:r w:rsidR="003A160E" w:rsidRPr="002D37E6">
              <w:rPr>
                <w:rStyle w:val="Hyperlink"/>
                <w:noProof/>
              </w:rPr>
              <w:t>1.3 Problem Statement</w:t>
            </w:r>
            <w:r w:rsidR="003A160E" w:rsidRPr="002D37E6">
              <w:rPr>
                <w:noProof/>
                <w:webHidden/>
              </w:rPr>
              <w:tab/>
            </w:r>
            <w:r w:rsidRPr="002D37E6">
              <w:rPr>
                <w:noProof/>
                <w:webHidden/>
              </w:rPr>
              <w:fldChar w:fldCharType="begin"/>
            </w:r>
            <w:r w:rsidR="003A160E" w:rsidRPr="002D37E6">
              <w:rPr>
                <w:noProof/>
                <w:webHidden/>
              </w:rPr>
              <w:instrText xml:space="preserve"> PAGEREF _Toc240897561 \h </w:instrText>
            </w:r>
            <w:r w:rsidRPr="002D37E6">
              <w:rPr>
                <w:noProof/>
                <w:webHidden/>
              </w:rPr>
            </w:r>
            <w:r w:rsidRPr="002D37E6">
              <w:rPr>
                <w:noProof/>
                <w:webHidden/>
              </w:rPr>
              <w:fldChar w:fldCharType="separate"/>
            </w:r>
            <w:r w:rsidR="003A160E" w:rsidRPr="002D37E6">
              <w:rPr>
                <w:noProof/>
                <w:webHidden/>
              </w:rPr>
              <w:t>11</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62" w:history="1">
            <w:r w:rsidR="003A160E" w:rsidRPr="002D37E6">
              <w:rPr>
                <w:rStyle w:val="Hyperlink"/>
                <w:noProof/>
              </w:rPr>
              <w:t>1.4 Rationale</w:t>
            </w:r>
            <w:r w:rsidR="003A160E" w:rsidRPr="002D37E6">
              <w:rPr>
                <w:noProof/>
                <w:webHidden/>
              </w:rPr>
              <w:tab/>
            </w:r>
            <w:r w:rsidRPr="002D37E6">
              <w:rPr>
                <w:noProof/>
                <w:webHidden/>
              </w:rPr>
              <w:fldChar w:fldCharType="begin"/>
            </w:r>
            <w:r w:rsidR="003A160E" w:rsidRPr="002D37E6">
              <w:rPr>
                <w:noProof/>
                <w:webHidden/>
              </w:rPr>
              <w:instrText xml:space="preserve"> PAGEREF _Toc240897562 \h </w:instrText>
            </w:r>
            <w:r w:rsidRPr="002D37E6">
              <w:rPr>
                <w:noProof/>
                <w:webHidden/>
              </w:rPr>
            </w:r>
            <w:r w:rsidRPr="002D37E6">
              <w:rPr>
                <w:noProof/>
                <w:webHidden/>
              </w:rPr>
              <w:fldChar w:fldCharType="separate"/>
            </w:r>
            <w:r w:rsidR="003A160E" w:rsidRPr="002D37E6">
              <w:rPr>
                <w:noProof/>
                <w:webHidden/>
              </w:rPr>
              <w:t>11</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63" w:history="1">
            <w:r w:rsidR="003A160E" w:rsidRPr="002D37E6">
              <w:rPr>
                <w:rStyle w:val="Hyperlink"/>
                <w:noProof/>
              </w:rPr>
              <w:t>1.5 Research Question</w:t>
            </w:r>
            <w:r w:rsidR="003A160E" w:rsidRPr="002D37E6">
              <w:rPr>
                <w:noProof/>
                <w:webHidden/>
              </w:rPr>
              <w:tab/>
            </w:r>
            <w:r w:rsidRPr="002D37E6">
              <w:rPr>
                <w:noProof/>
                <w:webHidden/>
              </w:rPr>
              <w:fldChar w:fldCharType="begin"/>
            </w:r>
            <w:r w:rsidR="003A160E" w:rsidRPr="002D37E6">
              <w:rPr>
                <w:noProof/>
                <w:webHidden/>
              </w:rPr>
              <w:instrText xml:space="preserve"> PAGEREF _Toc240897563 \h </w:instrText>
            </w:r>
            <w:r w:rsidRPr="002D37E6">
              <w:rPr>
                <w:noProof/>
                <w:webHidden/>
              </w:rPr>
            </w:r>
            <w:r w:rsidRPr="002D37E6">
              <w:rPr>
                <w:noProof/>
                <w:webHidden/>
              </w:rPr>
              <w:fldChar w:fldCharType="separate"/>
            </w:r>
            <w:r w:rsidR="003A160E" w:rsidRPr="002D37E6">
              <w:rPr>
                <w:noProof/>
                <w:webHidden/>
              </w:rPr>
              <w:t>13</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64" w:history="1">
            <w:r w:rsidR="003A160E" w:rsidRPr="002D37E6">
              <w:rPr>
                <w:rStyle w:val="Hyperlink"/>
                <w:noProof/>
              </w:rPr>
              <w:t>1.6 Research Aim</w:t>
            </w:r>
            <w:r w:rsidR="003A160E" w:rsidRPr="002D37E6">
              <w:rPr>
                <w:noProof/>
                <w:webHidden/>
              </w:rPr>
              <w:tab/>
            </w:r>
            <w:r w:rsidRPr="002D37E6">
              <w:rPr>
                <w:noProof/>
                <w:webHidden/>
              </w:rPr>
              <w:fldChar w:fldCharType="begin"/>
            </w:r>
            <w:r w:rsidR="003A160E" w:rsidRPr="002D37E6">
              <w:rPr>
                <w:noProof/>
                <w:webHidden/>
              </w:rPr>
              <w:instrText xml:space="preserve"> PAGEREF _Toc240897564 \h </w:instrText>
            </w:r>
            <w:r w:rsidRPr="002D37E6">
              <w:rPr>
                <w:noProof/>
                <w:webHidden/>
              </w:rPr>
            </w:r>
            <w:r w:rsidRPr="002D37E6">
              <w:rPr>
                <w:noProof/>
                <w:webHidden/>
              </w:rPr>
              <w:fldChar w:fldCharType="separate"/>
            </w:r>
            <w:r w:rsidR="003A160E" w:rsidRPr="002D37E6">
              <w:rPr>
                <w:noProof/>
                <w:webHidden/>
              </w:rPr>
              <w:t>13</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65" w:history="1">
            <w:r w:rsidR="003A160E" w:rsidRPr="002D37E6">
              <w:rPr>
                <w:rStyle w:val="Hyperlink"/>
                <w:noProof/>
              </w:rPr>
              <w:t>1.7 Objectives</w:t>
            </w:r>
            <w:r w:rsidR="003A160E" w:rsidRPr="002D37E6">
              <w:rPr>
                <w:noProof/>
                <w:webHidden/>
              </w:rPr>
              <w:tab/>
            </w:r>
            <w:r w:rsidRPr="002D37E6">
              <w:rPr>
                <w:noProof/>
                <w:webHidden/>
              </w:rPr>
              <w:fldChar w:fldCharType="begin"/>
            </w:r>
            <w:r w:rsidR="003A160E" w:rsidRPr="002D37E6">
              <w:rPr>
                <w:noProof/>
                <w:webHidden/>
              </w:rPr>
              <w:instrText xml:space="preserve"> PAGEREF _Toc240897565 \h </w:instrText>
            </w:r>
            <w:r w:rsidRPr="002D37E6">
              <w:rPr>
                <w:noProof/>
                <w:webHidden/>
              </w:rPr>
            </w:r>
            <w:r w:rsidRPr="002D37E6">
              <w:rPr>
                <w:noProof/>
                <w:webHidden/>
              </w:rPr>
              <w:fldChar w:fldCharType="separate"/>
            </w:r>
            <w:r w:rsidR="003A160E" w:rsidRPr="002D37E6">
              <w:rPr>
                <w:noProof/>
                <w:webHidden/>
              </w:rPr>
              <w:t>13</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66" w:history="1">
            <w:r w:rsidR="003A160E" w:rsidRPr="002D37E6">
              <w:rPr>
                <w:rStyle w:val="Hyperlink"/>
                <w:noProof/>
              </w:rPr>
              <w:t>1.8 Dissertation Outcome</w:t>
            </w:r>
            <w:r w:rsidR="003A160E" w:rsidRPr="002D37E6">
              <w:rPr>
                <w:noProof/>
                <w:webHidden/>
              </w:rPr>
              <w:tab/>
            </w:r>
            <w:r w:rsidRPr="002D37E6">
              <w:rPr>
                <w:noProof/>
                <w:webHidden/>
              </w:rPr>
              <w:fldChar w:fldCharType="begin"/>
            </w:r>
            <w:r w:rsidR="003A160E" w:rsidRPr="002D37E6">
              <w:rPr>
                <w:noProof/>
                <w:webHidden/>
              </w:rPr>
              <w:instrText xml:space="preserve"> PAGEREF _Toc240897566 \h </w:instrText>
            </w:r>
            <w:r w:rsidRPr="002D37E6">
              <w:rPr>
                <w:noProof/>
                <w:webHidden/>
              </w:rPr>
            </w:r>
            <w:r w:rsidRPr="002D37E6">
              <w:rPr>
                <w:noProof/>
                <w:webHidden/>
              </w:rPr>
              <w:fldChar w:fldCharType="separate"/>
            </w:r>
            <w:r w:rsidR="003A160E" w:rsidRPr="002D37E6">
              <w:rPr>
                <w:noProof/>
                <w:webHidden/>
              </w:rPr>
              <w:t>14</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67" w:history="1">
            <w:r w:rsidR="003A160E" w:rsidRPr="002D37E6">
              <w:rPr>
                <w:rStyle w:val="Hyperlink"/>
                <w:noProof/>
              </w:rPr>
              <w:t>1.9 Chapter Summary</w:t>
            </w:r>
            <w:r w:rsidR="003A160E" w:rsidRPr="002D37E6">
              <w:rPr>
                <w:noProof/>
                <w:webHidden/>
              </w:rPr>
              <w:tab/>
            </w:r>
            <w:r w:rsidRPr="002D37E6">
              <w:rPr>
                <w:noProof/>
                <w:webHidden/>
              </w:rPr>
              <w:fldChar w:fldCharType="begin"/>
            </w:r>
            <w:r w:rsidR="003A160E" w:rsidRPr="002D37E6">
              <w:rPr>
                <w:noProof/>
                <w:webHidden/>
              </w:rPr>
              <w:instrText xml:space="preserve"> PAGEREF _Toc240897567 \h </w:instrText>
            </w:r>
            <w:r w:rsidRPr="002D37E6">
              <w:rPr>
                <w:noProof/>
                <w:webHidden/>
              </w:rPr>
            </w:r>
            <w:r w:rsidRPr="002D37E6">
              <w:rPr>
                <w:noProof/>
                <w:webHidden/>
              </w:rPr>
              <w:fldChar w:fldCharType="separate"/>
            </w:r>
            <w:r w:rsidR="003A160E" w:rsidRPr="002D37E6">
              <w:rPr>
                <w:noProof/>
                <w:webHidden/>
              </w:rPr>
              <w:t>14</w:t>
            </w:r>
            <w:r w:rsidRPr="002D37E6">
              <w:rPr>
                <w:noProof/>
                <w:webHidden/>
              </w:rPr>
              <w:fldChar w:fldCharType="end"/>
            </w:r>
          </w:hyperlink>
        </w:p>
        <w:p w:rsidR="003A160E" w:rsidRPr="002D37E6" w:rsidRDefault="002C0289">
          <w:pPr>
            <w:pStyle w:val="TOC1"/>
            <w:tabs>
              <w:tab w:val="right" w:leader="dot" w:pos="9350"/>
            </w:tabs>
            <w:rPr>
              <w:rFonts w:asciiTheme="minorHAnsi" w:eastAsiaTheme="minorEastAsia" w:hAnsiTheme="minorHAnsi" w:cstheme="minorBidi"/>
              <w:noProof/>
            </w:rPr>
          </w:pPr>
          <w:hyperlink w:anchor="_Toc240897568" w:history="1">
            <w:r w:rsidR="003A160E" w:rsidRPr="002D37E6">
              <w:rPr>
                <w:rStyle w:val="Hyperlink"/>
                <w:noProof/>
              </w:rPr>
              <w:t>Chapter 2: Literature review</w:t>
            </w:r>
            <w:r w:rsidR="003A160E" w:rsidRPr="002D37E6">
              <w:rPr>
                <w:noProof/>
                <w:webHidden/>
              </w:rPr>
              <w:tab/>
            </w:r>
            <w:r w:rsidRPr="002D37E6">
              <w:rPr>
                <w:noProof/>
                <w:webHidden/>
              </w:rPr>
              <w:fldChar w:fldCharType="begin"/>
            </w:r>
            <w:r w:rsidR="003A160E" w:rsidRPr="002D37E6">
              <w:rPr>
                <w:noProof/>
                <w:webHidden/>
              </w:rPr>
              <w:instrText xml:space="preserve"> PAGEREF _Toc240897568 \h </w:instrText>
            </w:r>
            <w:r w:rsidRPr="002D37E6">
              <w:rPr>
                <w:noProof/>
                <w:webHidden/>
              </w:rPr>
            </w:r>
            <w:r w:rsidRPr="002D37E6">
              <w:rPr>
                <w:noProof/>
                <w:webHidden/>
              </w:rPr>
              <w:fldChar w:fldCharType="separate"/>
            </w:r>
            <w:r w:rsidR="003A160E" w:rsidRPr="002D37E6">
              <w:rPr>
                <w:noProof/>
                <w:webHidden/>
              </w:rPr>
              <w:t>16</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69" w:history="1">
            <w:r w:rsidR="003A160E" w:rsidRPr="002D37E6">
              <w:rPr>
                <w:rStyle w:val="Hyperlink"/>
                <w:noProof/>
              </w:rPr>
              <w:t>2.1 Chapter Introduction</w:t>
            </w:r>
            <w:r w:rsidR="003A160E" w:rsidRPr="002D37E6">
              <w:rPr>
                <w:noProof/>
                <w:webHidden/>
              </w:rPr>
              <w:tab/>
            </w:r>
            <w:r w:rsidRPr="002D37E6">
              <w:rPr>
                <w:noProof/>
                <w:webHidden/>
              </w:rPr>
              <w:fldChar w:fldCharType="begin"/>
            </w:r>
            <w:r w:rsidR="003A160E" w:rsidRPr="002D37E6">
              <w:rPr>
                <w:noProof/>
                <w:webHidden/>
              </w:rPr>
              <w:instrText xml:space="preserve"> PAGEREF _Toc240897569 \h </w:instrText>
            </w:r>
            <w:r w:rsidRPr="002D37E6">
              <w:rPr>
                <w:noProof/>
                <w:webHidden/>
              </w:rPr>
            </w:r>
            <w:r w:rsidRPr="002D37E6">
              <w:rPr>
                <w:noProof/>
                <w:webHidden/>
              </w:rPr>
              <w:fldChar w:fldCharType="separate"/>
            </w:r>
            <w:r w:rsidR="003A160E" w:rsidRPr="002D37E6">
              <w:rPr>
                <w:noProof/>
                <w:webHidden/>
              </w:rPr>
              <w:t>16</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70" w:history="1">
            <w:r w:rsidR="003A160E" w:rsidRPr="002D37E6">
              <w:rPr>
                <w:rStyle w:val="Hyperlink"/>
                <w:noProof/>
              </w:rPr>
              <w:t>2.2 Barriers affecting access to CRISPR-based gene therapy for people with SCD</w:t>
            </w:r>
            <w:r w:rsidR="003A160E" w:rsidRPr="002D37E6">
              <w:rPr>
                <w:noProof/>
                <w:webHidden/>
              </w:rPr>
              <w:tab/>
            </w:r>
            <w:r w:rsidRPr="002D37E6">
              <w:rPr>
                <w:noProof/>
                <w:webHidden/>
              </w:rPr>
              <w:fldChar w:fldCharType="begin"/>
            </w:r>
            <w:r w:rsidR="003A160E" w:rsidRPr="002D37E6">
              <w:rPr>
                <w:noProof/>
                <w:webHidden/>
              </w:rPr>
              <w:instrText xml:space="preserve"> PAGEREF _Toc240897570 \h </w:instrText>
            </w:r>
            <w:r w:rsidRPr="002D37E6">
              <w:rPr>
                <w:noProof/>
                <w:webHidden/>
              </w:rPr>
            </w:r>
            <w:r w:rsidRPr="002D37E6">
              <w:rPr>
                <w:noProof/>
                <w:webHidden/>
              </w:rPr>
              <w:fldChar w:fldCharType="separate"/>
            </w:r>
            <w:r w:rsidR="003A160E" w:rsidRPr="002D37E6">
              <w:rPr>
                <w:noProof/>
                <w:webHidden/>
              </w:rPr>
              <w:t>16</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71" w:history="1">
            <w:r w:rsidR="003A160E" w:rsidRPr="002D37E6">
              <w:rPr>
                <w:rStyle w:val="Hyperlink"/>
                <w:noProof/>
              </w:rPr>
              <w:t>2.3 Elaboration of different factors influencing gene therapy service access</w:t>
            </w:r>
            <w:r w:rsidR="003A160E" w:rsidRPr="002D37E6">
              <w:rPr>
                <w:noProof/>
                <w:webHidden/>
              </w:rPr>
              <w:tab/>
            </w:r>
            <w:r w:rsidRPr="002D37E6">
              <w:rPr>
                <w:noProof/>
                <w:webHidden/>
              </w:rPr>
              <w:fldChar w:fldCharType="begin"/>
            </w:r>
            <w:r w:rsidR="003A160E" w:rsidRPr="002D37E6">
              <w:rPr>
                <w:noProof/>
                <w:webHidden/>
              </w:rPr>
              <w:instrText xml:space="preserve"> PAGEREF _Toc240897571 \h </w:instrText>
            </w:r>
            <w:r w:rsidRPr="002D37E6">
              <w:rPr>
                <w:noProof/>
                <w:webHidden/>
              </w:rPr>
            </w:r>
            <w:r w:rsidRPr="002D37E6">
              <w:rPr>
                <w:noProof/>
                <w:webHidden/>
              </w:rPr>
              <w:fldChar w:fldCharType="separate"/>
            </w:r>
            <w:r w:rsidR="003A160E" w:rsidRPr="002D37E6">
              <w:rPr>
                <w:noProof/>
                <w:webHidden/>
              </w:rPr>
              <w:t>18</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72" w:history="1">
            <w:r w:rsidR="003A160E" w:rsidRPr="002D37E6">
              <w:rPr>
                <w:rStyle w:val="Hyperlink"/>
                <w:noProof/>
              </w:rPr>
              <w:t>2.4 Demonstrating health system readiness for CRISPR-based therapies</w:t>
            </w:r>
            <w:r w:rsidR="003A160E" w:rsidRPr="002D37E6">
              <w:rPr>
                <w:noProof/>
                <w:webHidden/>
              </w:rPr>
              <w:tab/>
            </w:r>
            <w:r w:rsidRPr="002D37E6">
              <w:rPr>
                <w:noProof/>
                <w:webHidden/>
              </w:rPr>
              <w:fldChar w:fldCharType="begin"/>
            </w:r>
            <w:r w:rsidR="003A160E" w:rsidRPr="002D37E6">
              <w:rPr>
                <w:noProof/>
                <w:webHidden/>
              </w:rPr>
              <w:instrText xml:space="preserve"> PAGEREF _Toc240897572 \h </w:instrText>
            </w:r>
            <w:r w:rsidRPr="002D37E6">
              <w:rPr>
                <w:noProof/>
                <w:webHidden/>
              </w:rPr>
            </w:r>
            <w:r w:rsidRPr="002D37E6">
              <w:rPr>
                <w:noProof/>
                <w:webHidden/>
              </w:rPr>
              <w:fldChar w:fldCharType="separate"/>
            </w:r>
            <w:r w:rsidR="003A160E" w:rsidRPr="002D37E6">
              <w:rPr>
                <w:noProof/>
                <w:webHidden/>
              </w:rPr>
              <w:t>20</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73" w:history="1">
            <w:r w:rsidR="003A160E" w:rsidRPr="002D37E6">
              <w:rPr>
                <w:rStyle w:val="Hyperlink"/>
                <w:noProof/>
              </w:rPr>
              <w:t>2.5 Examining the impact of gene therapy on health inequalities in sickle cell disease</w:t>
            </w:r>
            <w:r w:rsidR="003A160E" w:rsidRPr="002D37E6">
              <w:rPr>
                <w:noProof/>
                <w:webHidden/>
              </w:rPr>
              <w:tab/>
            </w:r>
            <w:r w:rsidRPr="002D37E6">
              <w:rPr>
                <w:noProof/>
                <w:webHidden/>
              </w:rPr>
              <w:fldChar w:fldCharType="begin"/>
            </w:r>
            <w:r w:rsidR="003A160E" w:rsidRPr="002D37E6">
              <w:rPr>
                <w:noProof/>
                <w:webHidden/>
              </w:rPr>
              <w:instrText xml:space="preserve"> PAGEREF _Toc240897573 \h </w:instrText>
            </w:r>
            <w:r w:rsidRPr="002D37E6">
              <w:rPr>
                <w:noProof/>
                <w:webHidden/>
              </w:rPr>
            </w:r>
            <w:r w:rsidRPr="002D37E6">
              <w:rPr>
                <w:noProof/>
                <w:webHidden/>
              </w:rPr>
              <w:fldChar w:fldCharType="separate"/>
            </w:r>
            <w:r w:rsidR="003A160E" w:rsidRPr="002D37E6">
              <w:rPr>
                <w:noProof/>
                <w:webHidden/>
              </w:rPr>
              <w:t>22</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74" w:history="1">
            <w:r w:rsidR="003A160E" w:rsidRPr="002D37E6">
              <w:rPr>
                <w:rStyle w:val="Hyperlink"/>
                <w:noProof/>
              </w:rPr>
              <w:t>2.6 Theoretical Implications</w:t>
            </w:r>
            <w:r w:rsidR="003A160E" w:rsidRPr="002D37E6">
              <w:rPr>
                <w:noProof/>
                <w:webHidden/>
              </w:rPr>
              <w:tab/>
            </w:r>
            <w:r w:rsidRPr="002D37E6">
              <w:rPr>
                <w:noProof/>
                <w:webHidden/>
              </w:rPr>
              <w:fldChar w:fldCharType="begin"/>
            </w:r>
            <w:r w:rsidR="003A160E" w:rsidRPr="002D37E6">
              <w:rPr>
                <w:noProof/>
                <w:webHidden/>
              </w:rPr>
              <w:instrText xml:space="preserve"> PAGEREF _Toc240897574 \h </w:instrText>
            </w:r>
            <w:r w:rsidRPr="002D37E6">
              <w:rPr>
                <w:noProof/>
                <w:webHidden/>
              </w:rPr>
            </w:r>
            <w:r w:rsidRPr="002D37E6">
              <w:rPr>
                <w:noProof/>
                <w:webHidden/>
              </w:rPr>
              <w:fldChar w:fldCharType="separate"/>
            </w:r>
            <w:r w:rsidR="003A160E" w:rsidRPr="002D37E6">
              <w:rPr>
                <w:noProof/>
                <w:webHidden/>
              </w:rPr>
              <w:t>24</w:t>
            </w:r>
            <w:r w:rsidRPr="002D37E6">
              <w:rPr>
                <w:noProof/>
                <w:webHidden/>
              </w:rPr>
              <w:fldChar w:fldCharType="end"/>
            </w:r>
          </w:hyperlink>
        </w:p>
        <w:p w:rsidR="003A160E" w:rsidRPr="002D37E6" w:rsidRDefault="002C0289">
          <w:pPr>
            <w:pStyle w:val="TOC3"/>
            <w:tabs>
              <w:tab w:val="right" w:leader="dot" w:pos="9350"/>
            </w:tabs>
            <w:rPr>
              <w:rFonts w:asciiTheme="minorHAnsi" w:eastAsiaTheme="minorEastAsia" w:hAnsiTheme="minorHAnsi" w:cstheme="minorBidi"/>
              <w:noProof/>
            </w:rPr>
          </w:pPr>
          <w:hyperlink w:anchor="_Toc240897575" w:history="1">
            <w:r w:rsidR="003A160E" w:rsidRPr="002D37E6">
              <w:rPr>
                <w:rStyle w:val="Hyperlink"/>
                <w:noProof/>
              </w:rPr>
              <w:t>2.6.1 Health Equity Theory</w:t>
            </w:r>
            <w:r w:rsidR="003A160E" w:rsidRPr="002D37E6">
              <w:rPr>
                <w:noProof/>
                <w:webHidden/>
              </w:rPr>
              <w:tab/>
            </w:r>
            <w:r w:rsidRPr="002D37E6">
              <w:rPr>
                <w:noProof/>
                <w:webHidden/>
              </w:rPr>
              <w:fldChar w:fldCharType="begin"/>
            </w:r>
            <w:r w:rsidR="003A160E" w:rsidRPr="002D37E6">
              <w:rPr>
                <w:noProof/>
                <w:webHidden/>
              </w:rPr>
              <w:instrText xml:space="preserve"> PAGEREF _Toc240897575 \h </w:instrText>
            </w:r>
            <w:r w:rsidRPr="002D37E6">
              <w:rPr>
                <w:noProof/>
                <w:webHidden/>
              </w:rPr>
            </w:r>
            <w:r w:rsidRPr="002D37E6">
              <w:rPr>
                <w:noProof/>
                <w:webHidden/>
              </w:rPr>
              <w:fldChar w:fldCharType="separate"/>
            </w:r>
            <w:r w:rsidR="003A160E" w:rsidRPr="002D37E6">
              <w:rPr>
                <w:noProof/>
                <w:webHidden/>
              </w:rPr>
              <w:t>24</w:t>
            </w:r>
            <w:r w:rsidRPr="002D37E6">
              <w:rPr>
                <w:noProof/>
                <w:webHidden/>
              </w:rPr>
              <w:fldChar w:fldCharType="end"/>
            </w:r>
          </w:hyperlink>
        </w:p>
        <w:p w:rsidR="003A160E" w:rsidRPr="002D37E6" w:rsidRDefault="002C0289">
          <w:pPr>
            <w:pStyle w:val="TOC3"/>
            <w:tabs>
              <w:tab w:val="right" w:leader="dot" w:pos="9350"/>
            </w:tabs>
            <w:rPr>
              <w:rFonts w:asciiTheme="minorHAnsi" w:eastAsiaTheme="minorEastAsia" w:hAnsiTheme="minorHAnsi" w:cstheme="minorBidi"/>
              <w:noProof/>
            </w:rPr>
          </w:pPr>
          <w:hyperlink w:anchor="_Toc240897576" w:history="1">
            <w:r w:rsidR="003A160E" w:rsidRPr="002D37E6">
              <w:rPr>
                <w:rStyle w:val="Hyperlink"/>
                <w:noProof/>
              </w:rPr>
              <w:t>2.6.2 Diffusion of Innovation Theory</w:t>
            </w:r>
            <w:r w:rsidR="003A160E" w:rsidRPr="002D37E6">
              <w:rPr>
                <w:noProof/>
                <w:webHidden/>
              </w:rPr>
              <w:tab/>
            </w:r>
            <w:r w:rsidRPr="002D37E6">
              <w:rPr>
                <w:noProof/>
                <w:webHidden/>
              </w:rPr>
              <w:fldChar w:fldCharType="begin"/>
            </w:r>
            <w:r w:rsidR="003A160E" w:rsidRPr="002D37E6">
              <w:rPr>
                <w:noProof/>
                <w:webHidden/>
              </w:rPr>
              <w:instrText xml:space="preserve"> PAGEREF _Toc240897576 \h </w:instrText>
            </w:r>
            <w:r w:rsidRPr="002D37E6">
              <w:rPr>
                <w:noProof/>
                <w:webHidden/>
              </w:rPr>
            </w:r>
            <w:r w:rsidRPr="002D37E6">
              <w:rPr>
                <w:noProof/>
                <w:webHidden/>
              </w:rPr>
              <w:fldChar w:fldCharType="separate"/>
            </w:r>
            <w:r w:rsidR="003A160E" w:rsidRPr="002D37E6">
              <w:rPr>
                <w:noProof/>
                <w:webHidden/>
              </w:rPr>
              <w:t>24</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77" w:history="1">
            <w:r w:rsidR="003A160E" w:rsidRPr="002D37E6">
              <w:rPr>
                <w:rStyle w:val="Hyperlink"/>
                <w:noProof/>
              </w:rPr>
              <w:t>2.7 Conceptual framework</w:t>
            </w:r>
            <w:r w:rsidR="003A160E" w:rsidRPr="002D37E6">
              <w:rPr>
                <w:noProof/>
                <w:webHidden/>
              </w:rPr>
              <w:tab/>
            </w:r>
            <w:r w:rsidRPr="002D37E6">
              <w:rPr>
                <w:noProof/>
                <w:webHidden/>
              </w:rPr>
              <w:fldChar w:fldCharType="begin"/>
            </w:r>
            <w:r w:rsidR="003A160E" w:rsidRPr="002D37E6">
              <w:rPr>
                <w:noProof/>
                <w:webHidden/>
              </w:rPr>
              <w:instrText xml:space="preserve"> PAGEREF _Toc240897577 \h </w:instrText>
            </w:r>
            <w:r w:rsidRPr="002D37E6">
              <w:rPr>
                <w:noProof/>
                <w:webHidden/>
              </w:rPr>
            </w:r>
            <w:r w:rsidRPr="002D37E6">
              <w:rPr>
                <w:noProof/>
                <w:webHidden/>
              </w:rPr>
              <w:fldChar w:fldCharType="separate"/>
            </w:r>
            <w:r w:rsidR="003A160E" w:rsidRPr="002D37E6">
              <w:rPr>
                <w:noProof/>
                <w:webHidden/>
              </w:rPr>
              <w:t>25</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78" w:history="1">
            <w:r w:rsidR="003A160E" w:rsidRPr="002D37E6">
              <w:rPr>
                <w:rStyle w:val="Hyperlink"/>
                <w:noProof/>
              </w:rPr>
              <w:t>2.8 Literature gap</w:t>
            </w:r>
            <w:r w:rsidR="003A160E" w:rsidRPr="002D37E6">
              <w:rPr>
                <w:noProof/>
                <w:webHidden/>
              </w:rPr>
              <w:tab/>
            </w:r>
            <w:r w:rsidRPr="002D37E6">
              <w:rPr>
                <w:noProof/>
                <w:webHidden/>
              </w:rPr>
              <w:fldChar w:fldCharType="begin"/>
            </w:r>
            <w:r w:rsidR="003A160E" w:rsidRPr="002D37E6">
              <w:rPr>
                <w:noProof/>
                <w:webHidden/>
              </w:rPr>
              <w:instrText xml:space="preserve"> PAGEREF _Toc240897578 \h </w:instrText>
            </w:r>
            <w:r w:rsidRPr="002D37E6">
              <w:rPr>
                <w:noProof/>
                <w:webHidden/>
              </w:rPr>
            </w:r>
            <w:r w:rsidRPr="002D37E6">
              <w:rPr>
                <w:noProof/>
                <w:webHidden/>
              </w:rPr>
              <w:fldChar w:fldCharType="separate"/>
            </w:r>
            <w:r w:rsidR="003A160E" w:rsidRPr="002D37E6">
              <w:rPr>
                <w:noProof/>
                <w:webHidden/>
              </w:rPr>
              <w:t>26</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79" w:history="1">
            <w:r w:rsidR="003A160E" w:rsidRPr="002D37E6">
              <w:rPr>
                <w:rStyle w:val="Hyperlink"/>
                <w:noProof/>
              </w:rPr>
              <w:t>2.9 Chapter summary</w:t>
            </w:r>
            <w:r w:rsidR="003A160E" w:rsidRPr="002D37E6">
              <w:rPr>
                <w:noProof/>
                <w:webHidden/>
              </w:rPr>
              <w:tab/>
            </w:r>
            <w:r w:rsidRPr="002D37E6">
              <w:rPr>
                <w:noProof/>
                <w:webHidden/>
              </w:rPr>
              <w:fldChar w:fldCharType="begin"/>
            </w:r>
            <w:r w:rsidR="003A160E" w:rsidRPr="002D37E6">
              <w:rPr>
                <w:noProof/>
                <w:webHidden/>
              </w:rPr>
              <w:instrText xml:space="preserve"> PAGEREF _Toc240897579 \h </w:instrText>
            </w:r>
            <w:r w:rsidRPr="002D37E6">
              <w:rPr>
                <w:noProof/>
                <w:webHidden/>
              </w:rPr>
            </w:r>
            <w:r w:rsidRPr="002D37E6">
              <w:rPr>
                <w:noProof/>
                <w:webHidden/>
              </w:rPr>
              <w:fldChar w:fldCharType="separate"/>
            </w:r>
            <w:r w:rsidR="003A160E" w:rsidRPr="002D37E6">
              <w:rPr>
                <w:noProof/>
                <w:webHidden/>
              </w:rPr>
              <w:t>26</w:t>
            </w:r>
            <w:r w:rsidRPr="002D37E6">
              <w:rPr>
                <w:noProof/>
                <w:webHidden/>
              </w:rPr>
              <w:fldChar w:fldCharType="end"/>
            </w:r>
          </w:hyperlink>
        </w:p>
        <w:p w:rsidR="003A160E" w:rsidRPr="002D37E6" w:rsidRDefault="002C0289">
          <w:pPr>
            <w:pStyle w:val="TOC1"/>
            <w:tabs>
              <w:tab w:val="right" w:leader="dot" w:pos="9350"/>
            </w:tabs>
            <w:rPr>
              <w:rFonts w:asciiTheme="minorHAnsi" w:eastAsiaTheme="minorEastAsia" w:hAnsiTheme="minorHAnsi" w:cstheme="minorBidi"/>
              <w:noProof/>
            </w:rPr>
          </w:pPr>
          <w:hyperlink w:anchor="_Toc240897580" w:history="1">
            <w:r w:rsidR="003A160E" w:rsidRPr="002D37E6">
              <w:rPr>
                <w:rStyle w:val="Hyperlink"/>
                <w:noProof/>
              </w:rPr>
              <w:t>Chapter 3: Methodology</w:t>
            </w:r>
            <w:r w:rsidR="003A160E" w:rsidRPr="002D37E6">
              <w:rPr>
                <w:noProof/>
                <w:webHidden/>
              </w:rPr>
              <w:tab/>
            </w:r>
            <w:r w:rsidRPr="002D37E6">
              <w:rPr>
                <w:noProof/>
                <w:webHidden/>
              </w:rPr>
              <w:fldChar w:fldCharType="begin"/>
            </w:r>
            <w:r w:rsidR="003A160E" w:rsidRPr="002D37E6">
              <w:rPr>
                <w:noProof/>
                <w:webHidden/>
              </w:rPr>
              <w:instrText xml:space="preserve"> PAGEREF _Toc240897580 \h </w:instrText>
            </w:r>
            <w:r w:rsidRPr="002D37E6">
              <w:rPr>
                <w:noProof/>
                <w:webHidden/>
              </w:rPr>
            </w:r>
            <w:r w:rsidRPr="002D37E6">
              <w:rPr>
                <w:noProof/>
                <w:webHidden/>
              </w:rPr>
              <w:fldChar w:fldCharType="separate"/>
            </w:r>
            <w:r w:rsidR="003A160E" w:rsidRPr="002D37E6">
              <w:rPr>
                <w:noProof/>
                <w:webHidden/>
              </w:rPr>
              <w:t>27</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81" w:history="1">
            <w:r w:rsidR="003A160E" w:rsidRPr="002D37E6">
              <w:rPr>
                <w:rStyle w:val="Hyperlink"/>
                <w:noProof/>
              </w:rPr>
              <w:t>3.1 Introduction</w:t>
            </w:r>
            <w:r w:rsidR="003A160E" w:rsidRPr="002D37E6">
              <w:rPr>
                <w:noProof/>
                <w:webHidden/>
              </w:rPr>
              <w:tab/>
            </w:r>
            <w:r w:rsidRPr="002D37E6">
              <w:rPr>
                <w:noProof/>
                <w:webHidden/>
              </w:rPr>
              <w:fldChar w:fldCharType="begin"/>
            </w:r>
            <w:r w:rsidR="003A160E" w:rsidRPr="002D37E6">
              <w:rPr>
                <w:noProof/>
                <w:webHidden/>
              </w:rPr>
              <w:instrText xml:space="preserve"> PAGEREF _Toc240897581 \h </w:instrText>
            </w:r>
            <w:r w:rsidRPr="002D37E6">
              <w:rPr>
                <w:noProof/>
                <w:webHidden/>
              </w:rPr>
            </w:r>
            <w:r w:rsidRPr="002D37E6">
              <w:rPr>
                <w:noProof/>
                <w:webHidden/>
              </w:rPr>
              <w:fldChar w:fldCharType="separate"/>
            </w:r>
            <w:r w:rsidR="003A160E" w:rsidRPr="002D37E6">
              <w:rPr>
                <w:noProof/>
                <w:webHidden/>
              </w:rPr>
              <w:t>27</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82" w:history="1">
            <w:r w:rsidR="003A160E" w:rsidRPr="002D37E6">
              <w:rPr>
                <w:rStyle w:val="Hyperlink"/>
                <w:noProof/>
              </w:rPr>
              <w:t>3.2 Research Philosophy</w:t>
            </w:r>
            <w:r w:rsidR="003A160E" w:rsidRPr="002D37E6">
              <w:rPr>
                <w:noProof/>
                <w:webHidden/>
              </w:rPr>
              <w:tab/>
            </w:r>
            <w:r w:rsidRPr="002D37E6">
              <w:rPr>
                <w:noProof/>
                <w:webHidden/>
              </w:rPr>
              <w:fldChar w:fldCharType="begin"/>
            </w:r>
            <w:r w:rsidR="003A160E" w:rsidRPr="002D37E6">
              <w:rPr>
                <w:noProof/>
                <w:webHidden/>
              </w:rPr>
              <w:instrText xml:space="preserve"> PAGEREF _Toc240897582 \h </w:instrText>
            </w:r>
            <w:r w:rsidRPr="002D37E6">
              <w:rPr>
                <w:noProof/>
                <w:webHidden/>
              </w:rPr>
            </w:r>
            <w:r w:rsidRPr="002D37E6">
              <w:rPr>
                <w:noProof/>
                <w:webHidden/>
              </w:rPr>
              <w:fldChar w:fldCharType="separate"/>
            </w:r>
            <w:r w:rsidR="003A160E" w:rsidRPr="002D37E6">
              <w:rPr>
                <w:noProof/>
                <w:webHidden/>
              </w:rPr>
              <w:t>27</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83" w:history="1">
            <w:r w:rsidR="003A160E" w:rsidRPr="002D37E6">
              <w:rPr>
                <w:rStyle w:val="Hyperlink"/>
                <w:noProof/>
              </w:rPr>
              <w:t>3.3 Study Design</w:t>
            </w:r>
            <w:r w:rsidR="003A160E" w:rsidRPr="002D37E6">
              <w:rPr>
                <w:noProof/>
                <w:webHidden/>
              </w:rPr>
              <w:tab/>
            </w:r>
            <w:r w:rsidRPr="002D37E6">
              <w:rPr>
                <w:noProof/>
                <w:webHidden/>
              </w:rPr>
              <w:fldChar w:fldCharType="begin"/>
            </w:r>
            <w:r w:rsidR="003A160E" w:rsidRPr="002D37E6">
              <w:rPr>
                <w:noProof/>
                <w:webHidden/>
              </w:rPr>
              <w:instrText xml:space="preserve"> PAGEREF _Toc240897583 \h </w:instrText>
            </w:r>
            <w:r w:rsidRPr="002D37E6">
              <w:rPr>
                <w:noProof/>
                <w:webHidden/>
              </w:rPr>
            </w:r>
            <w:r w:rsidRPr="002D37E6">
              <w:rPr>
                <w:noProof/>
                <w:webHidden/>
              </w:rPr>
              <w:fldChar w:fldCharType="separate"/>
            </w:r>
            <w:r w:rsidR="003A160E" w:rsidRPr="002D37E6">
              <w:rPr>
                <w:noProof/>
                <w:webHidden/>
              </w:rPr>
              <w:t>28</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84" w:history="1">
            <w:r w:rsidR="003A160E" w:rsidRPr="002D37E6">
              <w:rPr>
                <w:rStyle w:val="Hyperlink"/>
                <w:noProof/>
              </w:rPr>
              <w:t>3.4 Research Approach</w:t>
            </w:r>
            <w:r w:rsidR="003A160E" w:rsidRPr="002D37E6">
              <w:rPr>
                <w:noProof/>
                <w:webHidden/>
              </w:rPr>
              <w:tab/>
            </w:r>
            <w:r w:rsidRPr="002D37E6">
              <w:rPr>
                <w:noProof/>
                <w:webHidden/>
              </w:rPr>
              <w:fldChar w:fldCharType="begin"/>
            </w:r>
            <w:r w:rsidR="003A160E" w:rsidRPr="002D37E6">
              <w:rPr>
                <w:noProof/>
                <w:webHidden/>
              </w:rPr>
              <w:instrText xml:space="preserve"> PAGEREF _Toc240897584 \h </w:instrText>
            </w:r>
            <w:r w:rsidRPr="002D37E6">
              <w:rPr>
                <w:noProof/>
                <w:webHidden/>
              </w:rPr>
            </w:r>
            <w:r w:rsidRPr="002D37E6">
              <w:rPr>
                <w:noProof/>
                <w:webHidden/>
              </w:rPr>
              <w:fldChar w:fldCharType="separate"/>
            </w:r>
            <w:r w:rsidR="003A160E" w:rsidRPr="002D37E6">
              <w:rPr>
                <w:noProof/>
                <w:webHidden/>
              </w:rPr>
              <w:t>28</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85" w:history="1">
            <w:r w:rsidR="003A160E" w:rsidRPr="002D37E6">
              <w:rPr>
                <w:rStyle w:val="Hyperlink"/>
                <w:noProof/>
              </w:rPr>
              <w:t>3.5 Search Strategy and term</w:t>
            </w:r>
            <w:r w:rsidR="003A160E" w:rsidRPr="002D37E6">
              <w:rPr>
                <w:noProof/>
                <w:webHidden/>
              </w:rPr>
              <w:tab/>
            </w:r>
            <w:r w:rsidRPr="002D37E6">
              <w:rPr>
                <w:noProof/>
                <w:webHidden/>
              </w:rPr>
              <w:fldChar w:fldCharType="begin"/>
            </w:r>
            <w:r w:rsidR="003A160E" w:rsidRPr="002D37E6">
              <w:rPr>
                <w:noProof/>
                <w:webHidden/>
              </w:rPr>
              <w:instrText xml:space="preserve"> PAGEREF _Toc240897585 \h </w:instrText>
            </w:r>
            <w:r w:rsidRPr="002D37E6">
              <w:rPr>
                <w:noProof/>
                <w:webHidden/>
              </w:rPr>
            </w:r>
            <w:r w:rsidRPr="002D37E6">
              <w:rPr>
                <w:noProof/>
                <w:webHidden/>
              </w:rPr>
              <w:fldChar w:fldCharType="separate"/>
            </w:r>
            <w:r w:rsidR="003A160E" w:rsidRPr="002D37E6">
              <w:rPr>
                <w:noProof/>
                <w:webHidden/>
              </w:rPr>
              <w:t>29</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86" w:history="1">
            <w:r w:rsidR="003A160E" w:rsidRPr="002D37E6">
              <w:rPr>
                <w:rStyle w:val="Hyperlink"/>
                <w:noProof/>
              </w:rPr>
              <w:t>3.6 Inclusion and Exclusion Criteria</w:t>
            </w:r>
            <w:r w:rsidR="003A160E" w:rsidRPr="002D37E6">
              <w:rPr>
                <w:noProof/>
                <w:webHidden/>
              </w:rPr>
              <w:tab/>
            </w:r>
            <w:r w:rsidRPr="002D37E6">
              <w:rPr>
                <w:noProof/>
                <w:webHidden/>
              </w:rPr>
              <w:fldChar w:fldCharType="begin"/>
            </w:r>
            <w:r w:rsidR="003A160E" w:rsidRPr="002D37E6">
              <w:rPr>
                <w:noProof/>
                <w:webHidden/>
              </w:rPr>
              <w:instrText xml:space="preserve"> PAGEREF _Toc240897586 \h </w:instrText>
            </w:r>
            <w:r w:rsidRPr="002D37E6">
              <w:rPr>
                <w:noProof/>
                <w:webHidden/>
              </w:rPr>
            </w:r>
            <w:r w:rsidRPr="002D37E6">
              <w:rPr>
                <w:noProof/>
                <w:webHidden/>
              </w:rPr>
              <w:fldChar w:fldCharType="separate"/>
            </w:r>
            <w:r w:rsidR="003A160E" w:rsidRPr="002D37E6">
              <w:rPr>
                <w:noProof/>
                <w:webHidden/>
              </w:rPr>
              <w:t>30</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87" w:history="1">
            <w:r w:rsidR="003A160E" w:rsidRPr="002D37E6">
              <w:rPr>
                <w:rStyle w:val="Hyperlink"/>
                <w:noProof/>
              </w:rPr>
              <w:t>3.7 Screening process and study selection using PRISMA Framework</w:t>
            </w:r>
            <w:r w:rsidR="003A160E" w:rsidRPr="002D37E6">
              <w:rPr>
                <w:noProof/>
                <w:webHidden/>
              </w:rPr>
              <w:tab/>
            </w:r>
            <w:r w:rsidRPr="002D37E6">
              <w:rPr>
                <w:noProof/>
                <w:webHidden/>
              </w:rPr>
              <w:fldChar w:fldCharType="begin"/>
            </w:r>
            <w:r w:rsidR="003A160E" w:rsidRPr="002D37E6">
              <w:rPr>
                <w:noProof/>
                <w:webHidden/>
              </w:rPr>
              <w:instrText xml:space="preserve"> PAGEREF _Toc240897587 \h </w:instrText>
            </w:r>
            <w:r w:rsidRPr="002D37E6">
              <w:rPr>
                <w:noProof/>
                <w:webHidden/>
              </w:rPr>
            </w:r>
            <w:r w:rsidRPr="002D37E6">
              <w:rPr>
                <w:noProof/>
                <w:webHidden/>
              </w:rPr>
              <w:fldChar w:fldCharType="separate"/>
            </w:r>
            <w:r w:rsidR="003A160E" w:rsidRPr="002D37E6">
              <w:rPr>
                <w:noProof/>
                <w:webHidden/>
              </w:rPr>
              <w:t>32</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88" w:history="1">
            <w:r w:rsidR="003A160E" w:rsidRPr="002D37E6">
              <w:rPr>
                <w:rStyle w:val="Hyperlink"/>
                <w:noProof/>
              </w:rPr>
              <w:t>3.8 Application of CASP tools for quality appraisal</w:t>
            </w:r>
            <w:r w:rsidR="003A160E" w:rsidRPr="002D37E6">
              <w:rPr>
                <w:noProof/>
                <w:webHidden/>
              </w:rPr>
              <w:tab/>
            </w:r>
            <w:r w:rsidRPr="002D37E6">
              <w:rPr>
                <w:noProof/>
                <w:webHidden/>
              </w:rPr>
              <w:fldChar w:fldCharType="begin"/>
            </w:r>
            <w:r w:rsidR="003A160E" w:rsidRPr="002D37E6">
              <w:rPr>
                <w:noProof/>
                <w:webHidden/>
              </w:rPr>
              <w:instrText xml:space="preserve"> PAGEREF _Toc240897588 \h </w:instrText>
            </w:r>
            <w:r w:rsidRPr="002D37E6">
              <w:rPr>
                <w:noProof/>
                <w:webHidden/>
              </w:rPr>
            </w:r>
            <w:r w:rsidRPr="002D37E6">
              <w:rPr>
                <w:noProof/>
                <w:webHidden/>
              </w:rPr>
              <w:fldChar w:fldCharType="separate"/>
            </w:r>
            <w:r w:rsidR="003A160E" w:rsidRPr="002D37E6">
              <w:rPr>
                <w:noProof/>
                <w:webHidden/>
              </w:rPr>
              <w:t>34</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89" w:history="1">
            <w:r w:rsidR="003A160E" w:rsidRPr="002D37E6">
              <w:rPr>
                <w:rStyle w:val="Hyperlink"/>
                <w:noProof/>
              </w:rPr>
              <w:t>3.9 Data extraction</w:t>
            </w:r>
            <w:r w:rsidR="003A160E" w:rsidRPr="002D37E6">
              <w:rPr>
                <w:noProof/>
                <w:webHidden/>
              </w:rPr>
              <w:tab/>
            </w:r>
            <w:r w:rsidRPr="002D37E6">
              <w:rPr>
                <w:noProof/>
                <w:webHidden/>
              </w:rPr>
              <w:fldChar w:fldCharType="begin"/>
            </w:r>
            <w:r w:rsidR="003A160E" w:rsidRPr="002D37E6">
              <w:rPr>
                <w:noProof/>
                <w:webHidden/>
              </w:rPr>
              <w:instrText xml:space="preserve"> PAGEREF _Toc240897589 \h </w:instrText>
            </w:r>
            <w:r w:rsidRPr="002D37E6">
              <w:rPr>
                <w:noProof/>
                <w:webHidden/>
              </w:rPr>
            </w:r>
            <w:r w:rsidRPr="002D37E6">
              <w:rPr>
                <w:noProof/>
                <w:webHidden/>
              </w:rPr>
              <w:fldChar w:fldCharType="separate"/>
            </w:r>
            <w:r w:rsidR="003A160E" w:rsidRPr="002D37E6">
              <w:rPr>
                <w:noProof/>
                <w:webHidden/>
              </w:rPr>
              <w:t>34</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90" w:history="1">
            <w:r w:rsidR="003A160E" w:rsidRPr="002D37E6">
              <w:rPr>
                <w:rStyle w:val="Hyperlink"/>
                <w:noProof/>
              </w:rPr>
              <w:t>3.10 Data analysis</w:t>
            </w:r>
            <w:r w:rsidR="003A160E" w:rsidRPr="002D37E6">
              <w:rPr>
                <w:noProof/>
                <w:webHidden/>
              </w:rPr>
              <w:tab/>
            </w:r>
            <w:r w:rsidRPr="002D37E6">
              <w:rPr>
                <w:noProof/>
                <w:webHidden/>
              </w:rPr>
              <w:fldChar w:fldCharType="begin"/>
            </w:r>
            <w:r w:rsidR="003A160E" w:rsidRPr="002D37E6">
              <w:rPr>
                <w:noProof/>
                <w:webHidden/>
              </w:rPr>
              <w:instrText xml:space="preserve"> PAGEREF _Toc240897590 \h </w:instrText>
            </w:r>
            <w:r w:rsidRPr="002D37E6">
              <w:rPr>
                <w:noProof/>
                <w:webHidden/>
              </w:rPr>
            </w:r>
            <w:r w:rsidRPr="002D37E6">
              <w:rPr>
                <w:noProof/>
                <w:webHidden/>
              </w:rPr>
              <w:fldChar w:fldCharType="separate"/>
            </w:r>
            <w:r w:rsidR="003A160E" w:rsidRPr="002D37E6">
              <w:rPr>
                <w:noProof/>
                <w:webHidden/>
              </w:rPr>
              <w:t>35</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91" w:history="1">
            <w:r w:rsidR="003A160E" w:rsidRPr="002D37E6">
              <w:rPr>
                <w:rStyle w:val="Hyperlink"/>
                <w:noProof/>
              </w:rPr>
              <w:t>3.11 Limitations</w:t>
            </w:r>
            <w:r w:rsidR="003A160E" w:rsidRPr="002D37E6">
              <w:rPr>
                <w:noProof/>
                <w:webHidden/>
              </w:rPr>
              <w:tab/>
            </w:r>
            <w:r w:rsidRPr="002D37E6">
              <w:rPr>
                <w:noProof/>
                <w:webHidden/>
              </w:rPr>
              <w:fldChar w:fldCharType="begin"/>
            </w:r>
            <w:r w:rsidR="003A160E" w:rsidRPr="002D37E6">
              <w:rPr>
                <w:noProof/>
                <w:webHidden/>
              </w:rPr>
              <w:instrText xml:space="preserve"> PAGEREF _Toc240897591 \h </w:instrText>
            </w:r>
            <w:r w:rsidRPr="002D37E6">
              <w:rPr>
                <w:noProof/>
                <w:webHidden/>
              </w:rPr>
            </w:r>
            <w:r w:rsidRPr="002D37E6">
              <w:rPr>
                <w:noProof/>
                <w:webHidden/>
              </w:rPr>
              <w:fldChar w:fldCharType="separate"/>
            </w:r>
            <w:r w:rsidR="003A160E" w:rsidRPr="002D37E6">
              <w:rPr>
                <w:noProof/>
                <w:webHidden/>
              </w:rPr>
              <w:t>36</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92" w:history="1">
            <w:r w:rsidR="003A160E" w:rsidRPr="002D37E6">
              <w:rPr>
                <w:rStyle w:val="Hyperlink"/>
                <w:noProof/>
              </w:rPr>
              <w:t>3.12 Ethical consideration</w:t>
            </w:r>
            <w:r w:rsidR="003A160E" w:rsidRPr="002D37E6">
              <w:rPr>
                <w:noProof/>
                <w:webHidden/>
              </w:rPr>
              <w:tab/>
            </w:r>
            <w:r w:rsidRPr="002D37E6">
              <w:rPr>
                <w:noProof/>
                <w:webHidden/>
              </w:rPr>
              <w:fldChar w:fldCharType="begin"/>
            </w:r>
            <w:r w:rsidR="003A160E" w:rsidRPr="002D37E6">
              <w:rPr>
                <w:noProof/>
                <w:webHidden/>
              </w:rPr>
              <w:instrText xml:space="preserve"> PAGEREF _Toc240897592 \h </w:instrText>
            </w:r>
            <w:r w:rsidRPr="002D37E6">
              <w:rPr>
                <w:noProof/>
                <w:webHidden/>
              </w:rPr>
            </w:r>
            <w:r w:rsidRPr="002D37E6">
              <w:rPr>
                <w:noProof/>
                <w:webHidden/>
              </w:rPr>
              <w:fldChar w:fldCharType="separate"/>
            </w:r>
            <w:r w:rsidR="003A160E" w:rsidRPr="002D37E6">
              <w:rPr>
                <w:noProof/>
                <w:webHidden/>
              </w:rPr>
              <w:t>36</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93" w:history="1">
            <w:r w:rsidR="003A160E" w:rsidRPr="002D37E6">
              <w:rPr>
                <w:rStyle w:val="Hyperlink"/>
                <w:noProof/>
              </w:rPr>
              <w:t>3.13 Chapter Summary</w:t>
            </w:r>
            <w:r w:rsidR="003A160E" w:rsidRPr="002D37E6">
              <w:rPr>
                <w:noProof/>
                <w:webHidden/>
              </w:rPr>
              <w:tab/>
            </w:r>
            <w:r w:rsidRPr="002D37E6">
              <w:rPr>
                <w:noProof/>
                <w:webHidden/>
              </w:rPr>
              <w:fldChar w:fldCharType="begin"/>
            </w:r>
            <w:r w:rsidR="003A160E" w:rsidRPr="002D37E6">
              <w:rPr>
                <w:noProof/>
                <w:webHidden/>
              </w:rPr>
              <w:instrText xml:space="preserve"> PAGEREF _Toc240897593 \h </w:instrText>
            </w:r>
            <w:r w:rsidRPr="002D37E6">
              <w:rPr>
                <w:noProof/>
                <w:webHidden/>
              </w:rPr>
            </w:r>
            <w:r w:rsidRPr="002D37E6">
              <w:rPr>
                <w:noProof/>
                <w:webHidden/>
              </w:rPr>
              <w:fldChar w:fldCharType="separate"/>
            </w:r>
            <w:r w:rsidR="003A160E" w:rsidRPr="002D37E6">
              <w:rPr>
                <w:noProof/>
                <w:webHidden/>
              </w:rPr>
              <w:t>36</w:t>
            </w:r>
            <w:r w:rsidRPr="002D37E6">
              <w:rPr>
                <w:noProof/>
                <w:webHidden/>
              </w:rPr>
              <w:fldChar w:fldCharType="end"/>
            </w:r>
          </w:hyperlink>
        </w:p>
        <w:p w:rsidR="003A160E" w:rsidRPr="002D37E6" w:rsidRDefault="002C0289">
          <w:pPr>
            <w:pStyle w:val="TOC1"/>
            <w:tabs>
              <w:tab w:val="right" w:leader="dot" w:pos="9350"/>
            </w:tabs>
            <w:rPr>
              <w:rFonts w:asciiTheme="minorHAnsi" w:eastAsiaTheme="minorEastAsia" w:hAnsiTheme="minorHAnsi" w:cstheme="minorBidi"/>
              <w:noProof/>
            </w:rPr>
          </w:pPr>
          <w:hyperlink w:anchor="_Toc240897594" w:history="1">
            <w:r w:rsidR="003A160E" w:rsidRPr="002D37E6">
              <w:rPr>
                <w:rStyle w:val="Hyperlink"/>
                <w:noProof/>
              </w:rPr>
              <w:t>Chapter 4: Findings and Analysis</w:t>
            </w:r>
            <w:r w:rsidR="003A160E" w:rsidRPr="002D37E6">
              <w:rPr>
                <w:noProof/>
                <w:webHidden/>
              </w:rPr>
              <w:tab/>
            </w:r>
            <w:r w:rsidRPr="002D37E6">
              <w:rPr>
                <w:noProof/>
                <w:webHidden/>
              </w:rPr>
              <w:fldChar w:fldCharType="begin"/>
            </w:r>
            <w:r w:rsidR="003A160E" w:rsidRPr="002D37E6">
              <w:rPr>
                <w:noProof/>
                <w:webHidden/>
              </w:rPr>
              <w:instrText xml:space="preserve"> PAGEREF _Toc240897594 \h </w:instrText>
            </w:r>
            <w:r w:rsidRPr="002D37E6">
              <w:rPr>
                <w:noProof/>
                <w:webHidden/>
              </w:rPr>
            </w:r>
            <w:r w:rsidRPr="002D37E6">
              <w:rPr>
                <w:noProof/>
                <w:webHidden/>
              </w:rPr>
              <w:fldChar w:fldCharType="separate"/>
            </w:r>
            <w:r w:rsidR="003A160E" w:rsidRPr="002D37E6">
              <w:rPr>
                <w:noProof/>
                <w:webHidden/>
              </w:rPr>
              <w:t>38</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95" w:history="1">
            <w:r w:rsidR="003A160E" w:rsidRPr="002D37E6">
              <w:rPr>
                <w:rStyle w:val="Hyperlink"/>
                <w:noProof/>
              </w:rPr>
              <w:t>4.1 Introduction</w:t>
            </w:r>
            <w:r w:rsidR="003A160E" w:rsidRPr="002D37E6">
              <w:rPr>
                <w:noProof/>
                <w:webHidden/>
              </w:rPr>
              <w:tab/>
            </w:r>
            <w:r w:rsidRPr="002D37E6">
              <w:rPr>
                <w:noProof/>
                <w:webHidden/>
              </w:rPr>
              <w:fldChar w:fldCharType="begin"/>
            </w:r>
            <w:r w:rsidR="003A160E" w:rsidRPr="002D37E6">
              <w:rPr>
                <w:noProof/>
                <w:webHidden/>
              </w:rPr>
              <w:instrText xml:space="preserve"> PAGEREF _Toc240897595 \h </w:instrText>
            </w:r>
            <w:r w:rsidRPr="002D37E6">
              <w:rPr>
                <w:noProof/>
                <w:webHidden/>
              </w:rPr>
            </w:r>
            <w:r w:rsidRPr="002D37E6">
              <w:rPr>
                <w:noProof/>
                <w:webHidden/>
              </w:rPr>
              <w:fldChar w:fldCharType="separate"/>
            </w:r>
            <w:r w:rsidR="003A160E" w:rsidRPr="002D37E6">
              <w:rPr>
                <w:noProof/>
                <w:webHidden/>
              </w:rPr>
              <w:t>38</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96" w:history="1">
            <w:r w:rsidR="003A160E" w:rsidRPr="002D37E6">
              <w:rPr>
                <w:rStyle w:val="Hyperlink"/>
                <w:noProof/>
              </w:rPr>
              <w:t>4.2 Theme 1: Regulatory gaps, supply chain constraints, and complex policy reform are barriers and facilitators to access CRISPR-based gene therapy</w:t>
            </w:r>
            <w:r w:rsidR="003A160E" w:rsidRPr="002D37E6">
              <w:rPr>
                <w:noProof/>
                <w:webHidden/>
              </w:rPr>
              <w:tab/>
            </w:r>
            <w:r w:rsidRPr="002D37E6">
              <w:rPr>
                <w:noProof/>
                <w:webHidden/>
              </w:rPr>
              <w:fldChar w:fldCharType="begin"/>
            </w:r>
            <w:r w:rsidR="003A160E" w:rsidRPr="002D37E6">
              <w:rPr>
                <w:noProof/>
                <w:webHidden/>
              </w:rPr>
              <w:instrText xml:space="preserve"> PAGEREF _Toc240897596 \h </w:instrText>
            </w:r>
            <w:r w:rsidRPr="002D37E6">
              <w:rPr>
                <w:noProof/>
                <w:webHidden/>
              </w:rPr>
            </w:r>
            <w:r w:rsidRPr="002D37E6">
              <w:rPr>
                <w:noProof/>
                <w:webHidden/>
              </w:rPr>
              <w:fldChar w:fldCharType="separate"/>
            </w:r>
            <w:r w:rsidR="003A160E" w:rsidRPr="002D37E6">
              <w:rPr>
                <w:noProof/>
                <w:webHidden/>
              </w:rPr>
              <w:t>39</w:t>
            </w:r>
            <w:r w:rsidRPr="002D37E6">
              <w:rPr>
                <w:noProof/>
                <w:webHidden/>
              </w:rPr>
              <w:fldChar w:fldCharType="end"/>
            </w:r>
          </w:hyperlink>
        </w:p>
        <w:p w:rsidR="003A160E" w:rsidRPr="002D37E6" w:rsidRDefault="002C0289">
          <w:pPr>
            <w:pStyle w:val="TOC3"/>
            <w:tabs>
              <w:tab w:val="right" w:leader="dot" w:pos="9350"/>
            </w:tabs>
            <w:rPr>
              <w:rFonts w:asciiTheme="minorHAnsi" w:eastAsiaTheme="minorEastAsia" w:hAnsiTheme="minorHAnsi" w:cstheme="minorBidi"/>
              <w:noProof/>
            </w:rPr>
          </w:pPr>
          <w:hyperlink w:anchor="_Toc240897597" w:history="1">
            <w:r w:rsidR="003A160E" w:rsidRPr="002D37E6">
              <w:rPr>
                <w:rStyle w:val="Hyperlink"/>
                <w:noProof/>
              </w:rPr>
              <w:t>4.2.1 Structural Governance, Policy Pathways, and Health-System Infrastructure</w:t>
            </w:r>
            <w:r w:rsidR="003A160E" w:rsidRPr="002D37E6">
              <w:rPr>
                <w:noProof/>
                <w:webHidden/>
              </w:rPr>
              <w:tab/>
            </w:r>
            <w:r w:rsidRPr="002D37E6">
              <w:rPr>
                <w:noProof/>
                <w:webHidden/>
              </w:rPr>
              <w:fldChar w:fldCharType="begin"/>
            </w:r>
            <w:r w:rsidR="003A160E" w:rsidRPr="002D37E6">
              <w:rPr>
                <w:noProof/>
                <w:webHidden/>
              </w:rPr>
              <w:instrText xml:space="preserve"> PAGEREF _Toc240897597 \h </w:instrText>
            </w:r>
            <w:r w:rsidRPr="002D37E6">
              <w:rPr>
                <w:noProof/>
                <w:webHidden/>
              </w:rPr>
            </w:r>
            <w:r w:rsidRPr="002D37E6">
              <w:rPr>
                <w:noProof/>
                <w:webHidden/>
              </w:rPr>
              <w:fldChar w:fldCharType="separate"/>
            </w:r>
            <w:r w:rsidR="003A160E" w:rsidRPr="002D37E6">
              <w:rPr>
                <w:noProof/>
                <w:webHidden/>
              </w:rPr>
              <w:t>39</w:t>
            </w:r>
            <w:r w:rsidRPr="002D37E6">
              <w:rPr>
                <w:noProof/>
                <w:webHidden/>
              </w:rPr>
              <w:fldChar w:fldCharType="end"/>
            </w:r>
          </w:hyperlink>
        </w:p>
        <w:p w:rsidR="003A160E" w:rsidRPr="002D37E6" w:rsidRDefault="002C0289">
          <w:pPr>
            <w:pStyle w:val="TOC3"/>
            <w:tabs>
              <w:tab w:val="right" w:leader="dot" w:pos="9350"/>
            </w:tabs>
            <w:rPr>
              <w:rFonts w:asciiTheme="minorHAnsi" w:eastAsiaTheme="minorEastAsia" w:hAnsiTheme="minorHAnsi" w:cstheme="minorBidi"/>
              <w:noProof/>
            </w:rPr>
          </w:pPr>
          <w:hyperlink w:anchor="_Toc240897598" w:history="1">
            <w:r w:rsidR="003A160E" w:rsidRPr="002D37E6">
              <w:rPr>
                <w:rStyle w:val="Hyperlink"/>
                <w:noProof/>
              </w:rPr>
              <w:t>4.2.2 System Integration, Infrastructure Readiness, and Computational Precision Governance</w:t>
            </w:r>
            <w:r w:rsidR="003A160E" w:rsidRPr="002D37E6">
              <w:rPr>
                <w:noProof/>
                <w:webHidden/>
              </w:rPr>
              <w:tab/>
            </w:r>
            <w:r w:rsidRPr="002D37E6">
              <w:rPr>
                <w:noProof/>
                <w:webHidden/>
              </w:rPr>
              <w:fldChar w:fldCharType="begin"/>
            </w:r>
            <w:r w:rsidR="003A160E" w:rsidRPr="002D37E6">
              <w:rPr>
                <w:noProof/>
                <w:webHidden/>
              </w:rPr>
              <w:instrText xml:space="preserve"> PAGEREF _Toc240897598 \h </w:instrText>
            </w:r>
            <w:r w:rsidRPr="002D37E6">
              <w:rPr>
                <w:noProof/>
                <w:webHidden/>
              </w:rPr>
            </w:r>
            <w:r w:rsidRPr="002D37E6">
              <w:rPr>
                <w:noProof/>
                <w:webHidden/>
              </w:rPr>
              <w:fldChar w:fldCharType="separate"/>
            </w:r>
            <w:r w:rsidR="003A160E" w:rsidRPr="002D37E6">
              <w:rPr>
                <w:noProof/>
                <w:webHidden/>
              </w:rPr>
              <w:t>41</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599" w:history="1">
            <w:r w:rsidR="003A160E" w:rsidRPr="002D37E6">
              <w:rPr>
                <w:rStyle w:val="Hyperlink"/>
                <w:noProof/>
              </w:rPr>
              <w:t>4.3 Theme 2: Balancing socioeconomic, Ethnic, and geographical determinants to provide access to gene therapy</w:t>
            </w:r>
            <w:r w:rsidR="003A160E" w:rsidRPr="002D37E6">
              <w:rPr>
                <w:noProof/>
                <w:webHidden/>
              </w:rPr>
              <w:tab/>
            </w:r>
            <w:r w:rsidRPr="002D37E6">
              <w:rPr>
                <w:noProof/>
                <w:webHidden/>
              </w:rPr>
              <w:fldChar w:fldCharType="begin"/>
            </w:r>
            <w:r w:rsidR="003A160E" w:rsidRPr="002D37E6">
              <w:rPr>
                <w:noProof/>
                <w:webHidden/>
              </w:rPr>
              <w:instrText xml:space="preserve"> PAGEREF _Toc240897599 \h </w:instrText>
            </w:r>
            <w:r w:rsidRPr="002D37E6">
              <w:rPr>
                <w:noProof/>
                <w:webHidden/>
              </w:rPr>
            </w:r>
            <w:r w:rsidRPr="002D37E6">
              <w:rPr>
                <w:noProof/>
                <w:webHidden/>
              </w:rPr>
              <w:fldChar w:fldCharType="separate"/>
            </w:r>
            <w:r w:rsidR="003A160E" w:rsidRPr="002D37E6">
              <w:rPr>
                <w:noProof/>
                <w:webHidden/>
              </w:rPr>
              <w:t>42</w:t>
            </w:r>
            <w:r w:rsidRPr="002D37E6">
              <w:rPr>
                <w:noProof/>
                <w:webHidden/>
              </w:rPr>
              <w:fldChar w:fldCharType="end"/>
            </w:r>
          </w:hyperlink>
        </w:p>
        <w:p w:rsidR="003A160E" w:rsidRPr="002D37E6" w:rsidRDefault="002C0289">
          <w:pPr>
            <w:pStyle w:val="TOC3"/>
            <w:tabs>
              <w:tab w:val="right" w:leader="dot" w:pos="9350"/>
            </w:tabs>
            <w:rPr>
              <w:rFonts w:asciiTheme="minorHAnsi" w:eastAsiaTheme="minorEastAsia" w:hAnsiTheme="minorHAnsi" w:cstheme="minorBidi"/>
              <w:noProof/>
            </w:rPr>
          </w:pPr>
          <w:hyperlink w:anchor="_Toc240897600" w:history="1">
            <w:r w:rsidR="003A160E" w:rsidRPr="002D37E6">
              <w:rPr>
                <w:rStyle w:val="Hyperlink"/>
                <w:noProof/>
              </w:rPr>
              <w:t>4.3.1 Socioeconomic Inequities, Ethnic Disparities, and the Gap Between Regulatory/Clinical Feasibility and Access</w:t>
            </w:r>
            <w:r w:rsidR="003A160E" w:rsidRPr="002D37E6">
              <w:rPr>
                <w:noProof/>
                <w:webHidden/>
              </w:rPr>
              <w:tab/>
            </w:r>
            <w:r w:rsidRPr="002D37E6">
              <w:rPr>
                <w:noProof/>
                <w:webHidden/>
              </w:rPr>
              <w:fldChar w:fldCharType="begin"/>
            </w:r>
            <w:r w:rsidR="003A160E" w:rsidRPr="002D37E6">
              <w:rPr>
                <w:noProof/>
                <w:webHidden/>
              </w:rPr>
              <w:instrText xml:space="preserve"> PAGEREF _Toc240897600 \h </w:instrText>
            </w:r>
            <w:r w:rsidRPr="002D37E6">
              <w:rPr>
                <w:noProof/>
                <w:webHidden/>
              </w:rPr>
            </w:r>
            <w:r w:rsidRPr="002D37E6">
              <w:rPr>
                <w:noProof/>
                <w:webHidden/>
              </w:rPr>
              <w:fldChar w:fldCharType="separate"/>
            </w:r>
            <w:r w:rsidR="003A160E" w:rsidRPr="002D37E6">
              <w:rPr>
                <w:noProof/>
                <w:webHidden/>
              </w:rPr>
              <w:t>42</w:t>
            </w:r>
            <w:r w:rsidRPr="002D37E6">
              <w:rPr>
                <w:noProof/>
                <w:webHidden/>
              </w:rPr>
              <w:fldChar w:fldCharType="end"/>
            </w:r>
          </w:hyperlink>
        </w:p>
        <w:p w:rsidR="003A160E" w:rsidRPr="002D37E6" w:rsidRDefault="002C0289">
          <w:pPr>
            <w:pStyle w:val="TOC3"/>
            <w:tabs>
              <w:tab w:val="right" w:leader="dot" w:pos="9350"/>
            </w:tabs>
            <w:rPr>
              <w:rFonts w:asciiTheme="minorHAnsi" w:eastAsiaTheme="minorEastAsia" w:hAnsiTheme="minorHAnsi" w:cstheme="minorBidi"/>
              <w:noProof/>
            </w:rPr>
          </w:pPr>
          <w:hyperlink w:anchor="_Toc240897601" w:history="1">
            <w:r w:rsidR="003A160E" w:rsidRPr="002D37E6">
              <w:rPr>
                <w:rStyle w:val="Hyperlink"/>
                <w:noProof/>
              </w:rPr>
              <w:t>4.3.2 Geographical Centralisation, Systemic Barriers, and Implementation Models for Equitable Care</w:t>
            </w:r>
            <w:r w:rsidR="003A160E" w:rsidRPr="002D37E6">
              <w:rPr>
                <w:noProof/>
                <w:webHidden/>
              </w:rPr>
              <w:tab/>
            </w:r>
            <w:r w:rsidRPr="002D37E6">
              <w:rPr>
                <w:noProof/>
                <w:webHidden/>
              </w:rPr>
              <w:fldChar w:fldCharType="begin"/>
            </w:r>
            <w:r w:rsidR="003A160E" w:rsidRPr="002D37E6">
              <w:rPr>
                <w:noProof/>
                <w:webHidden/>
              </w:rPr>
              <w:instrText xml:space="preserve"> PAGEREF _Toc240897601 \h </w:instrText>
            </w:r>
            <w:r w:rsidRPr="002D37E6">
              <w:rPr>
                <w:noProof/>
                <w:webHidden/>
              </w:rPr>
            </w:r>
            <w:r w:rsidRPr="002D37E6">
              <w:rPr>
                <w:noProof/>
                <w:webHidden/>
              </w:rPr>
              <w:fldChar w:fldCharType="separate"/>
            </w:r>
            <w:r w:rsidR="003A160E" w:rsidRPr="002D37E6">
              <w:rPr>
                <w:noProof/>
                <w:webHidden/>
              </w:rPr>
              <w:t>43</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602" w:history="1">
            <w:r w:rsidR="003A160E" w:rsidRPr="002D37E6">
              <w:rPr>
                <w:rStyle w:val="Hyperlink"/>
                <w:noProof/>
              </w:rPr>
              <w:t>4.4 Theme 3: Health System Readiness and successful implementation of CRISPR-based therapies depend on service capacity and infrastructure</w:t>
            </w:r>
            <w:r w:rsidR="003A160E" w:rsidRPr="002D37E6">
              <w:rPr>
                <w:noProof/>
                <w:webHidden/>
              </w:rPr>
              <w:tab/>
            </w:r>
            <w:r w:rsidRPr="002D37E6">
              <w:rPr>
                <w:noProof/>
                <w:webHidden/>
              </w:rPr>
              <w:fldChar w:fldCharType="begin"/>
            </w:r>
            <w:r w:rsidR="003A160E" w:rsidRPr="002D37E6">
              <w:rPr>
                <w:noProof/>
                <w:webHidden/>
              </w:rPr>
              <w:instrText xml:space="preserve"> PAGEREF _Toc240897602 \h </w:instrText>
            </w:r>
            <w:r w:rsidRPr="002D37E6">
              <w:rPr>
                <w:noProof/>
                <w:webHidden/>
              </w:rPr>
            </w:r>
            <w:r w:rsidRPr="002D37E6">
              <w:rPr>
                <w:noProof/>
                <w:webHidden/>
              </w:rPr>
              <w:fldChar w:fldCharType="separate"/>
            </w:r>
            <w:r w:rsidR="003A160E" w:rsidRPr="002D37E6">
              <w:rPr>
                <w:noProof/>
                <w:webHidden/>
              </w:rPr>
              <w:t>45</w:t>
            </w:r>
            <w:r w:rsidRPr="002D37E6">
              <w:rPr>
                <w:noProof/>
                <w:webHidden/>
              </w:rPr>
              <w:fldChar w:fldCharType="end"/>
            </w:r>
          </w:hyperlink>
        </w:p>
        <w:p w:rsidR="003A160E" w:rsidRPr="002D37E6" w:rsidRDefault="002C0289">
          <w:pPr>
            <w:pStyle w:val="TOC3"/>
            <w:tabs>
              <w:tab w:val="right" w:leader="dot" w:pos="9350"/>
            </w:tabs>
            <w:rPr>
              <w:rFonts w:asciiTheme="minorHAnsi" w:eastAsiaTheme="minorEastAsia" w:hAnsiTheme="minorHAnsi" w:cstheme="minorBidi"/>
              <w:noProof/>
            </w:rPr>
          </w:pPr>
          <w:hyperlink w:anchor="_Toc240897603" w:history="1">
            <w:r w:rsidR="003A160E" w:rsidRPr="002D37E6">
              <w:rPr>
                <w:rStyle w:val="Hyperlink"/>
                <w:noProof/>
              </w:rPr>
              <w:t>4.4.1 Infrastructural Capacity, Clinical Biomarker Tracking, and Delivery Bottlenecks in System Readiness</w:t>
            </w:r>
            <w:r w:rsidR="003A160E" w:rsidRPr="002D37E6">
              <w:rPr>
                <w:noProof/>
                <w:webHidden/>
              </w:rPr>
              <w:tab/>
            </w:r>
            <w:r w:rsidRPr="002D37E6">
              <w:rPr>
                <w:noProof/>
                <w:webHidden/>
              </w:rPr>
              <w:fldChar w:fldCharType="begin"/>
            </w:r>
            <w:r w:rsidR="003A160E" w:rsidRPr="002D37E6">
              <w:rPr>
                <w:noProof/>
                <w:webHidden/>
              </w:rPr>
              <w:instrText xml:space="preserve"> PAGEREF _Toc240897603 \h </w:instrText>
            </w:r>
            <w:r w:rsidRPr="002D37E6">
              <w:rPr>
                <w:noProof/>
                <w:webHidden/>
              </w:rPr>
            </w:r>
            <w:r w:rsidRPr="002D37E6">
              <w:rPr>
                <w:noProof/>
                <w:webHidden/>
              </w:rPr>
              <w:fldChar w:fldCharType="separate"/>
            </w:r>
            <w:r w:rsidR="003A160E" w:rsidRPr="002D37E6">
              <w:rPr>
                <w:noProof/>
                <w:webHidden/>
              </w:rPr>
              <w:t>45</w:t>
            </w:r>
            <w:r w:rsidRPr="002D37E6">
              <w:rPr>
                <w:noProof/>
                <w:webHidden/>
              </w:rPr>
              <w:fldChar w:fldCharType="end"/>
            </w:r>
          </w:hyperlink>
        </w:p>
        <w:p w:rsidR="003A160E" w:rsidRPr="002D37E6" w:rsidRDefault="002C0289">
          <w:pPr>
            <w:pStyle w:val="TOC3"/>
            <w:tabs>
              <w:tab w:val="right" w:leader="dot" w:pos="9350"/>
            </w:tabs>
            <w:rPr>
              <w:rFonts w:asciiTheme="minorHAnsi" w:eastAsiaTheme="minorEastAsia" w:hAnsiTheme="minorHAnsi" w:cstheme="minorBidi"/>
              <w:noProof/>
            </w:rPr>
          </w:pPr>
          <w:hyperlink w:anchor="_Toc240897604" w:history="1">
            <w:r w:rsidR="003A160E" w:rsidRPr="002D37E6">
              <w:rPr>
                <w:rStyle w:val="Hyperlink"/>
                <w:noProof/>
              </w:rPr>
              <w:t>4.4.2</w:t>
            </w:r>
            <w:r w:rsidR="00624DA9">
              <w:rPr>
                <w:rStyle w:val="Hyperlink"/>
                <w:noProof/>
              </w:rPr>
              <w:t xml:space="preserve"> </w:t>
            </w:r>
            <w:r w:rsidR="00624DA9">
              <w:t>Systemic Equity Frameworks and Multi-Level Governance in Health System Readiness</w:t>
            </w:r>
            <w:r w:rsidR="003A160E" w:rsidRPr="002D37E6">
              <w:rPr>
                <w:noProof/>
                <w:webHidden/>
              </w:rPr>
              <w:tab/>
            </w:r>
            <w:r w:rsidRPr="002D37E6">
              <w:rPr>
                <w:noProof/>
                <w:webHidden/>
              </w:rPr>
              <w:fldChar w:fldCharType="begin"/>
            </w:r>
            <w:r w:rsidR="003A160E" w:rsidRPr="002D37E6">
              <w:rPr>
                <w:noProof/>
                <w:webHidden/>
              </w:rPr>
              <w:instrText xml:space="preserve"> PAGEREF _Toc240897604 \h </w:instrText>
            </w:r>
            <w:r w:rsidRPr="002D37E6">
              <w:rPr>
                <w:noProof/>
                <w:webHidden/>
              </w:rPr>
            </w:r>
            <w:r w:rsidRPr="002D37E6">
              <w:rPr>
                <w:noProof/>
                <w:webHidden/>
              </w:rPr>
              <w:fldChar w:fldCharType="separate"/>
            </w:r>
            <w:r w:rsidR="003A160E" w:rsidRPr="002D37E6">
              <w:rPr>
                <w:noProof/>
                <w:webHidden/>
              </w:rPr>
              <w:t>46</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605" w:history="1">
            <w:r w:rsidR="003A160E" w:rsidRPr="002D37E6">
              <w:rPr>
                <w:rStyle w:val="Hyperlink"/>
                <w:noProof/>
              </w:rPr>
              <w:t>4.5 Theme 4: Gene therapy implementation addresses health inequalities among populations affected by sickle cell disease</w:t>
            </w:r>
            <w:r w:rsidR="003A160E" w:rsidRPr="002D37E6">
              <w:rPr>
                <w:noProof/>
                <w:webHidden/>
              </w:rPr>
              <w:tab/>
            </w:r>
            <w:r w:rsidRPr="002D37E6">
              <w:rPr>
                <w:noProof/>
                <w:webHidden/>
              </w:rPr>
              <w:fldChar w:fldCharType="begin"/>
            </w:r>
            <w:r w:rsidR="003A160E" w:rsidRPr="002D37E6">
              <w:rPr>
                <w:noProof/>
                <w:webHidden/>
              </w:rPr>
              <w:instrText xml:space="preserve"> PAGEREF _Toc240897605 \h </w:instrText>
            </w:r>
            <w:r w:rsidRPr="002D37E6">
              <w:rPr>
                <w:noProof/>
                <w:webHidden/>
              </w:rPr>
            </w:r>
            <w:r w:rsidRPr="002D37E6">
              <w:rPr>
                <w:noProof/>
                <w:webHidden/>
              </w:rPr>
              <w:fldChar w:fldCharType="separate"/>
            </w:r>
            <w:r w:rsidR="003A160E" w:rsidRPr="002D37E6">
              <w:rPr>
                <w:noProof/>
                <w:webHidden/>
              </w:rPr>
              <w:t>48</w:t>
            </w:r>
            <w:r w:rsidRPr="002D37E6">
              <w:rPr>
                <w:noProof/>
                <w:webHidden/>
              </w:rPr>
              <w:fldChar w:fldCharType="end"/>
            </w:r>
          </w:hyperlink>
        </w:p>
        <w:p w:rsidR="003A160E" w:rsidRPr="002D37E6" w:rsidRDefault="002C0289">
          <w:pPr>
            <w:pStyle w:val="TOC3"/>
            <w:tabs>
              <w:tab w:val="right" w:leader="dot" w:pos="9350"/>
            </w:tabs>
            <w:rPr>
              <w:rFonts w:asciiTheme="minorHAnsi" w:eastAsiaTheme="minorEastAsia" w:hAnsiTheme="minorHAnsi" w:cstheme="minorBidi"/>
              <w:noProof/>
            </w:rPr>
          </w:pPr>
          <w:hyperlink w:anchor="_Toc240897606" w:history="1">
            <w:r w:rsidR="003A160E" w:rsidRPr="002D37E6">
              <w:rPr>
                <w:rStyle w:val="Hyperlink"/>
                <w:noProof/>
              </w:rPr>
              <w:t>4.5.1 Health Economic Evaluations, Affordability Models, and Sustainable Commissioning Frameworks</w:t>
            </w:r>
            <w:r w:rsidR="003A160E" w:rsidRPr="002D37E6">
              <w:rPr>
                <w:noProof/>
                <w:webHidden/>
              </w:rPr>
              <w:tab/>
            </w:r>
            <w:r w:rsidRPr="002D37E6">
              <w:rPr>
                <w:noProof/>
                <w:webHidden/>
              </w:rPr>
              <w:fldChar w:fldCharType="begin"/>
            </w:r>
            <w:r w:rsidR="003A160E" w:rsidRPr="002D37E6">
              <w:rPr>
                <w:noProof/>
                <w:webHidden/>
              </w:rPr>
              <w:instrText xml:space="preserve"> PAGEREF _Toc240897606 \h </w:instrText>
            </w:r>
            <w:r w:rsidRPr="002D37E6">
              <w:rPr>
                <w:noProof/>
                <w:webHidden/>
              </w:rPr>
            </w:r>
            <w:r w:rsidRPr="002D37E6">
              <w:rPr>
                <w:noProof/>
                <w:webHidden/>
              </w:rPr>
              <w:fldChar w:fldCharType="separate"/>
            </w:r>
            <w:r w:rsidR="003A160E" w:rsidRPr="002D37E6">
              <w:rPr>
                <w:noProof/>
                <w:webHidden/>
              </w:rPr>
              <w:t>48</w:t>
            </w:r>
            <w:r w:rsidRPr="002D37E6">
              <w:rPr>
                <w:noProof/>
                <w:webHidden/>
              </w:rPr>
              <w:fldChar w:fldCharType="end"/>
            </w:r>
          </w:hyperlink>
        </w:p>
        <w:p w:rsidR="003A160E" w:rsidRPr="002D37E6" w:rsidRDefault="002C0289">
          <w:pPr>
            <w:pStyle w:val="TOC3"/>
            <w:tabs>
              <w:tab w:val="right" w:leader="dot" w:pos="9350"/>
            </w:tabs>
            <w:rPr>
              <w:rFonts w:asciiTheme="minorHAnsi" w:eastAsiaTheme="minorEastAsia" w:hAnsiTheme="minorHAnsi" w:cstheme="minorBidi"/>
              <w:noProof/>
            </w:rPr>
          </w:pPr>
          <w:hyperlink w:anchor="_Toc240897607" w:history="1">
            <w:r w:rsidR="003A160E" w:rsidRPr="002D37E6">
              <w:rPr>
                <w:rStyle w:val="Hyperlink"/>
                <w:noProof/>
              </w:rPr>
              <w:t>4.5.2 Patient Care Paradigms, Long-Term Monitoring Infrastructure, and Systemic Equity Alignment</w:t>
            </w:r>
            <w:r w:rsidR="003A160E" w:rsidRPr="002D37E6">
              <w:rPr>
                <w:noProof/>
                <w:webHidden/>
              </w:rPr>
              <w:tab/>
            </w:r>
            <w:r w:rsidRPr="002D37E6">
              <w:rPr>
                <w:noProof/>
                <w:webHidden/>
              </w:rPr>
              <w:fldChar w:fldCharType="begin"/>
            </w:r>
            <w:r w:rsidR="003A160E" w:rsidRPr="002D37E6">
              <w:rPr>
                <w:noProof/>
                <w:webHidden/>
              </w:rPr>
              <w:instrText xml:space="preserve"> PAGEREF _Toc240897607 \h </w:instrText>
            </w:r>
            <w:r w:rsidRPr="002D37E6">
              <w:rPr>
                <w:noProof/>
                <w:webHidden/>
              </w:rPr>
            </w:r>
            <w:r w:rsidRPr="002D37E6">
              <w:rPr>
                <w:noProof/>
                <w:webHidden/>
              </w:rPr>
              <w:fldChar w:fldCharType="separate"/>
            </w:r>
            <w:r w:rsidR="003A160E" w:rsidRPr="002D37E6">
              <w:rPr>
                <w:noProof/>
                <w:webHidden/>
              </w:rPr>
              <w:t>49</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608" w:history="1">
            <w:r w:rsidR="003A160E" w:rsidRPr="002D37E6">
              <w:rPr>
                <w:rStyle w:val="Hyperlink"/>
                <w:noProof/>
              </w:rPr>
              <w:t>4.6 Summary</w:t>
            </w:r>
            <w:r w:rsidR="003A160E" w:rsidRPr="002D37E6">
              <w:rPr>
                <w:noProof/>
                <w:webHidden/>
              </w:rPr>
              <w:tab/>
            </w:r>
            <w:r w:rsidRPr="002D37E6">
              <w:rPr>
                <w:noProof/>
                <w:webHidden/>
              </w:rPr>
              <w:fldChar w:fldCharType="begin"/>
            </w:r>
            <w:r w:rsidR="003A160E" w:rsidRPr="002D37E6">
              <w:rPr>
                <w:noProof/>
                <w:webHidden/>
              </w:rPr>
              <w:instrText xml:space="preserve"> PAGEREF _Toc240897608 \h </w:instrText>
            </w:r>
            <w:r w:rsidRPr="002D37E6">
              <w:rPr>
                <w:noProof/>
                <w:webHidden/>
              </w:rPr>
            </w:r>
            <w:r w:rsidRPr="002D37E6">
              <w:rPr>
                <w:noProof/>
                <w:webHidden/>
              </w:rPr>
              <w:fldChar w:fldCharType="separate"/>
            </w:r>
            <w:r w:rsidR="003A160E" w:rsidRPr="002D37E6">
              <w:rPr>
                <w:noProof/>
                <w:webHidden/>
              </w:rPr>
              <w:t>50</w:t>
            </w:r>
            <w:r w:rsidRPr="002D37E6">
              <w:rPr>
                <w:noProof/>
                <w:webHidden/>
              </w:rPr>
              <w:fldChar w:fldCharType="end"/>
            </w:r>
          </w:hyperlink>
        </w:p>
        <w:p w:rsidR="003A160E" w:rsidRPr="002D37E6" w:rsidRDefault="002C0289">
          <w:pPr>
            <w:pStyle w:val="TOC1"/>
            <w:tabs>
              <w:tab w:val="right" w:leader="dot" w:pos="9350"/>
            </w:tabs>
            <w:rPr>
              <w:rFonts w:asciiTheme="minorHAnsi" w:eastAsiaTheme="minorEastAsia" w:hAnsiTheme="minorHAnsi" w:cstheme="minorBidi"/>
              <w:noProof/>
            </w:rPr>
          </w:pPr>
          <w:hyperlink w:anchor="_Toc240897609" w:history="1">
            <w:r w:rsidR="003A160E" w:rsidRPr="002D37E6">
              <w:rPr>
                <w:rStyle w:val="Hyperlink"/>
                <w:noProof/>
              </w:rPr>
              <w:t>Chapter 5: Discussion</w:t>
            </w:r>
            <w:r w:rsidR="003A160E" w:rsidRPr="002D37E6">
              <w:rPr>
                <w:noProof/>
                <w:webHidden/>
              </w:rPr>
              <w:tab/>
            </w:r>
            <w:r w:rsidRPr="002D37E6">
              <w:rPr>
                <w:noProof/>
                <w:webHidden/>
              </w:rPr>
              <w:fldChar w:fldCharType="begin"/>
            </w:r>
            <w:r w:rsidR="003A160E" w:rsidRPr="002D37E6">
              <w:rPr>
                <w:noProof/>
                <w:webHidden/>
              </w:rPr>
              <w:instrText xml:space="preserve"> PAGEREF _Toc240897609 \h </w:instrText>
            </w:r>
            <w:r w:rsidRPr="002D37E6">
              <w:rPr>
                <w:noProof/>
                <w:webHidden/>
              </w:rPr>
            </w:r>
            <w:r w:rsidRPr="002D37E6">
              <w:rPr>
                <w:noProof/>
                <w:webHidden/>
              </w:rPr>
              <w:fldChar w:fldCharType="separate"/>
            </w:r>
            <w:r w:rsidR="003A160E" w:rsidRPr="002D37E6">
              <w:rPr>
                <w:noProof/>
                <w:webHidden/>
              </w:rPr>
              <w:t>0</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610" w:history="1">
            <w:r w:rsidR="003A160E" w:rsidRPr="002D37E6">
              <w:rPr>
                <w:rStyle w:val="Hyperlink"/>
                <w:noProof/>
              </w:rPr>
              <w:t>5.1 Introduction</w:t>
            </w:r>
            <w:r w:rsidR="003A160E" w:rsidRPr="002D37E6">
              <w:rPr>
                <w:noProof/>
                <w:webHidden/>
              </w:rPr>
              <w:tab/>
            </w:r>
            <w:r w:rsidRPr="002D37E6">
              <w:rPr>
                <w:noProof/>
                <w:webHidden/>
              </w:rPr>
              <w:fldChar w:fldCharType="begin"/>
            </w:r>
            <w:r w:rsidR="003A160E" w:rsidRPr="002D37E6">
              <w:rPr>
                <w:noProof/>
                <w:webHidden/>
              </w:rPr>
              <w:instrText xml:space="preserve"> PAGEREF _Toc240897610 \h </w:instrText>
            </w:r>
            <w:r w:rsidRPr="002D37E6">
              <w:rPr>
                <w:noProof/>
                <w:webHidden/>
              </w:rPr>
            </w:r>
            <w:r w:rsidRPr="002D37E6">
              <w:rPr>
                <w:noProof/>
                <w:webHidden/>
              </w:rPr>
              <w:fldChar w:fldCharType="separate"/>
            </w:r>
            <w:r w:rsidR="003A160E" w:rsidRPr="002D37E6">
              <w:rPr>
                <w:noProof/>
                <w:webHidden/>
              </w:rPr>
              <w:t>0</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611" w:history="1">
            <w:r w:rsidR="003A160E" w:rsidRPr="002D37E6">
              <w:rPr>
                <w:rStyle w:val="Hyperlink"/>
                <w:noProof/>
              </w:rPr>
              <w:t>5.2 Discussion</w:t>
            </w:r>
            <w:r w:rsidR="003A160E" w:rsidRPr="002D37E6">
              <w:rPr>
                <w:noProof/>
                <w:webHidden/>
              </w:rPr>
              <w:tab/>
            </w:r>
            <w:r w:rsidRPr="002D37E6">
              <w:rPr>
                <w:noProof/>
                <w:webHidden/>
              </w:rPr>
              <w:fldChar w:fldCharType="begin"/>
            </w:r>
            <w:r w:rsidR="003A160E" w:rsidRPr="002D37E6">
              <w:rPr>
                <w:noProof/>
                <w:webHidden/>
              </w:rPr>
              <w:instrText xml:space="preserve"> PAGEREF _Toc240897611 \h </w:instrText>
            </w:r>
            <w:r w:rsidRPr="002D37E6">
              <w:rPr>
                <w:noProof/>
                <w:webHidden/>
              </w:rPr>
            </w:r>
            <w:r w:rsidRPr="002D37E6">
              <w:rPr>
                <w:noProof/>
                <w:webHidden/>
              </w:rPr>
              <w:fldChar w:fldCharType="separate"/>
            </w:r>
            <w:r w:rsidR="003A160E" w:rsidRPr="002D37E6">
              <w:rPr>
                <w:noProof/>
                <w:webHidden/>
              </w:rPr>
              <w:t>0</w:t>
            </w:r>
            <w:r w:rsidRPr="002D37E6">
              <w:rPr>
                <w:noProof/>
                <w:webHidden/>
              </w:rPr>
              <w:fldChar w:fldCharType="end"/>
            </w:r>
          </w:hyperlink>
        </w:p>
        <w:p w:rsidR="003A160E" w:rsidRPr="002D37E6" w:rsidRDefault="002C0289">
          <w:pPr>
            <w:pStyle w:val="TOC3"/>
            <w:tabs>
              <w:tab w:val="right" w:leader="dot" w:pos="9350"/>
            </w:tabs>
            <w:rPr>
              <w:rFonts w:asciiTheme="minorHAnsi" w:eastAsiaTheme="minorEastAsia" w:hAnsiTheme="minorHAnsi" w:cstheme="minorBidi"/>
              <w:noProof/>
            </w:rPr>
          </w:pPr>
          <w:hyperlink w:anchor="_Toc240897612" w:history="1">
            <w:r w:rsidR="003A160E" w:rsidRPr="002D37E6">
              <w:rPr>
                <w:rStyle w:val="Hyperlink"/>
                <w:noProof/>
              </w:rPr>
              <w:t>5.2.1 Discussion on theme 1</w:t>
            </w:r>
            <w:r w:rsidR="003A160E" w:rsidRPr="002D37E6">
              <w:rPr>
                <w:noProof/>
                <w:webHidden/>
              </w:rPr>
              <w:tab/>
            </w:r>
            <w:r w:rsidRPr="002D37E6">
              <w:rPr>
                <w:noProof/>
                <w:webHidden/>
              </w:rPr>
              <w:fldChar w:fldCharType="begin"/>
            </w:r>
            <w:r w:rsidR="003A160E" w:rsidRPr="002D37E6">
              <w:rPr>
                <w:noProof/>
                <w:webHidden/>
              </w:rPr>
              <w:instrText xml:space="preserve"> PAGEREF _Toc240897612 \h </w:instrText>
            </w:r>
            <w:r w:rsidRPr="002D37E6">
              <w:rPr>
                <w:noProof/>
                <w:webHidden/>
              </w:rPr>
            </w:r>
            <w:r w:rsidRPr="002D37E6">
              <w:rPr>
                <w:noProof/>
                <w:webHidden/>
              </w:rPr>
              <w:fldChar w:fldCharType="separate"/>
            </w:r>
            <w:r w:rsidR="003A160E" w:rsidRPr="002D37E6">
              <w:rPr>
                <w:noProof/>
                <w:webHidden/>
              </w:rPr>
              <w:t>0</w:t>
            </w:r>
            <w:r w:rsidRPr="002D37E6">
              <w:rPr>
                <w:noProof/>
                <w:webHidden/>
              </w:rPr>
              <w:fldChar w:fldCharType="end"/>
            </w:r>
          </w:hyperlink>
        </w:p>
        <w:p w:rsidR="003A160E" w:rsidRPr="002D37E6" w:rsidRDefault="002C0289">
          <w:pPr>
            <w:pStyle w:val="TOC3"/>
            <w:tabs>
              <w:tab w:val="right" w:leader="dot" w:pos="9350"/>
            </w:tabs>
            <w:rPr>
              <w:rFonts w:asciiTheme="minorHAnsi" w:eastAsiaTheme="minorEastAsia" w:hAnsiTheme="minorHAnsi" w:cstheme="minorBidi"/>
              <w:noProof/>
            </w:rPr>
          </w:pPr>
          <w:hyperlink w:anchor="_Toc240897613" w:history="1">
            <w:r w:rsidR="003A160E" w:rsidRPr="002D37E6">
              <w:rPr>
                <w:rStyle w:val="Hyperlink"/>
                <w:noProof/>
              </w:rPr>
              <w:t>5.2.2 Discussion of Theme 2</w:t>
            </w:r>
            <w:r w:rsidR="003A160E" w:rsidRPr="002D37E6">
              <w:rPr>
                <w:noProof/>
                <w:webHidden/>
              </w:rPr>
              <w:tab/>
            </w:r>
            <w:r w:rsidRPr="002D37E6">
              <w:rPr>
                <w:noProof/>
                <w:webHidden/>
              </w:rPr>
              <w:fldChar w:fldCharType="begin"/>
            </w:r>
            <w:r w:rsidR="003A160E" w:rsidRPr="002D37E6">
              <w:rPr>
                <w:noProof/>
                <w:webHidden/>
              </w:rPr>
              <w:instrText xml:space="preserve"> PAGEREF _Toc240897613 \h </w:instrText>
            </w:r>
            <w:r w:rsidRPr="002D37E6">
              <w:rPr>
                <w:noProof/>
                <w:webHidden/>
              </w:rPr>
            </w:r>
            <w:r w:rsidRPr="002D37E6">
              <w:rPr>
                <w:noProof/>
                <w:webHidden/>
              </w:rPr>
              <w:fldChar w:fldCharType="separate"/>
            </w:r>
            <w:r w:rsidR="003A160E" w:rsidRPr="002D37E6">
              <w:rPr>
                <w:noProof/>
                <w:webHidden/>
              </w:rPr>
              <w:t>1</w:t>
            </w:r>
            <w:r w:rsidRPr="002D37E6">
              <w:rPr>
                <w:noProof/>
                <w:webHidden/>
              </w:rPr>
              <w:fldChar w:fldCharType="end"/>
            </w:r>
          </w:hyperlink>
        </w:p>
        <w:p w:rsidR="003A160E" w:rsidRPr="002D37E6" w:rsidRDefault="002C0289">
          <w:pPr>
            <w:pStyle w:val="TOC3"/>
            <w:tabs>
              <w:tab w:val="right" w:leader="dot" w:pos="9350"/>
            </w:tabs>
            <w:rPr>
              <w:rFonts w:asciiTheme="minorHAnsi" w:eastAsiaTheme="minorEastAsia" w:hAnsiTheme="minorHAnsi" w:cstheme="minorBidi"/>
              <w:noProof/>
            </w:rPr>
          </w:pPr>
          <w:hyperlink w:anchor="_Toc240897614" w:history="1">
            <w:r w:rsidR="003A160E" w:rsidRPr="002D37E6">
              <w:rPr>
                <w:rStyle w:val="Hyperlink"/>
                <w:noProof/>
              </w:rPr>
              <w:t>5.2.3 Discussion of Theme 3</w:t>
            </w:r>
            <w:r w:rsidR="003A160E" w:rsidRPr="002D37E6">
              <w:rPr>
                <w:noProof/>
                <w:webHidden/>
              </w:rPr>
              <w:tab/>
            </w:r>
            <w:r w:rsidRPr="002D37E6">
              <w:rPr>
                <w:noProof/>
                <w:webHidden/>
              </w:rPr>
              <w:fldChar w:fldCharType="begin"/>
            </w:r>
            <w:r w:rsidR="003A160E" w:rsidRPr="002D37E6">
              <w:rPr>
                <w:noProof/>
                <w:webHidden/>
              </w:rPr>
              <w:instrText xml:space="preserve"> PAGEREF _Toc240897614 \h </w:instrText>
            </w:r>
            <w:r w:rsidRPr="002D37E6">
              <w:rPr>
                <w:noProof/>
                <w:webHidden/>
              </w:rPr>
            </w:r>
            <w:r w:rsidRPr="002D37E6">
              <w:rPr>
                <w:noProof/>
                <w:webHidden/>
              </w:rPr>
              <w:fldChar w:fldCharType="separate"/>
            </w:r>
            <w:r w:rsidR="003A160E" w:rsidRPr="002D37E6">
              <w:rPr>
                <w:noProof/>
                <w:webHidden/>
              </w:rPr>
              <w:t>2</w:t>
            </w:r>
            <w:r w:rsidRPr="002D37E6">
              <w:rPr>
                <w:noProof/>
                <w:webHidden/>
              </w:rPr>
              <w:fldChar w:fldCharType="end"/>
            </w:r>
          </w:hyperlink>
        </w:p>
        <w:p w:rsidR="003A160E" w:rsidRPr="002D37E6" w:rsidRDefault="002C0289">
          <w:pPr>
            <w:pStyle w:val="TOC3"/>
            <w:tabs>
              <w:tab w:val="right" w:leader="dot" w:pos="9350"/>
            </w:tabs>
            <w:rPr>
              <w:rFonts w:asciiTheme="minorHAnsi" w:eastAsiaTheme="minorEastAsia" w:hAnsiTheme="minorHAnsi" w:cstheme="minorBidi"/>
              <w:noProof/>
            </w:rPr>
          </w:pPr>
          <w:hyperlink w:anchor="_Toc240897615" w:history="1">
            <w:r w:rsidR="003A160E" w:rsidRPr="002D37E6">
              <w:rPr>
                <w:rStyle w:val="Hyperlink"/>
                <w:noProof/>
              </w:rPr>
              <w:t>5.2.4 Discussion of Theme 4</w:t>
            </w:r>
            <w:r w:rsidR="003A160E" w:rsidRPr="002D37E6">
              <w:rPr>
                <w:noProof/>
                <w:webHidden/>
              </w:rPr>
              <w:tab/>
            </w:r>
            <w:r w:rsidRPr="002D37E6">
              <w:rPr>
                <w:noProof/>
                <w:webHidden/>
              </w:rPr>
              <w:fldChar w:fldCharType="begin"/>
            </w:r>
            <w:r w:rsidR="003A160E" w:rsidRPr="002D37E6">
              <w:rPr>
                <w:noProof/>
                <w:webHidden/>
              </w:rPr>
              <w:instrText xml:space="preserve"> PAGEREF _Toc240897615 \h </w:instrText>
            </w:r>
            <w:r w:rsidRPr="002D37E6">
              <w:rPr>
                <w:noProof/>
                <w:webHidden/>
              </w:rPr>
            </w:r>
            <w:r w:rsidRPr="002D37E6">
              <w:rPr>
                <w:noProof/>
                <w:webHidden/>
              </w:rPr>
              <w:fldChar w:fldCharType="separate"/>
            </w:r>
            <w:r w:rsidR="003A160E" w:rsidRPr="002D37E6">
              <w:rPr>
                <w:noProof/>
                <w:webHidden/>
              </w:rPr>
              <w:t>3</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616" w:history="1">
            <w:r w:rsidR="003A160E" w:rsidRPr="002D37E6">
              <w:rPr>
                <w:rStyle w:val="Hyperlink"/>
                <w:noProof/>
              </w:rPr>
              <w:t>5.3 Chapter Summary</w:t>
            </w:r>
            <w:r w:rsidR="003A160E" w:rsidRPr="002D37E6">
              <w:rPr>
                <w:noProof/>
                <w:webHidden/>
              </w:rPr>
              <w:tab/>
            </w:r>
            <w:r w:rsidRPr="002D37E6">
              <w:rPr>
                <w:noProof/>
                <w:webHidden/>
              </w:rPr>
              <w:fldChar w:fldCharType="begin"/>
            </w:r>
            <w:r w:rsidR="003A160E" w:rsidRPr="002D37E6">
              <w:rPr>
                <w:noProof/>
                <w:webHidden/>
              </w:rPr>
              <w:instrText xml:space="preserve"> PAGEREF _Toc240897616 \h </w:instrText>
            </w:r>
            <w:r w:rsidRPr="002D37E6">
              <w:rPr>
                <w:noProof/>
                <w:webHidden/>
              </w:rPr>
            </w:r>
            <w:r w:rsidRPr="002D37E6">
              <w:rPr>
                <w:noProof/>
                <w:webHidden/>
              </w:rPr>
              <w:fldChar w:fldCharType="separate"/>
            </w:r>
            <w:r w:rsidR="003A160E" w:rsidRPr="002D37E6">
              <w:rPr>
                <w:noProof/>
                <w:webHidden/>
              </w:rPr>
              <w:t>4</w:t>
            </w:r>
            <w:r w:rsidRPr="002D37E6">
              <w:rPr>
                <w:noProof/>
                <w:webHidden/>
              </w:rPr>
              <w:fldChar w:fldCharType="end"/>
            </w:r>
          </w:hyperlink>
        </w:p>
        <w:p w:rsidR="003A160E" w:rsidRPr="002D37E6" w:rsidRDefault="002C0289">
          <w:pPr>
            <w:pStyle w:val="TOC1"/>
            <w:tabs>
              <w:tab w:val="right" w:leader="dot" w:pos="9350"/>
            </w:tabs>
            <w:rPr>
              <w:rFonts w:asciiTheme="minorHAnsi" w:eastAsiaTheme="minorEastAsia" w:hAnsiTheme="minorHAnsi" w:cstheme="minorBidi"/>
              <w:noProof/>
            </w:rPr>
          </w:pPr>
          <w:hyperlink w:anchor="_Toc240897617" w:history="1">
            <w:r w:rsidR="003A160E" w:rsidRPr="002D37E6">
              <w:rPr>
                <w:rStyle w:val="Hyperlink"/>
                <w:noProof/>
              </w:rPr>
              <w:t>Chapter 6: Conclusion and Recommendations</w:t>
            </w:r>
            <w:r w:rsidR="003A160E" w:rsidRPr="002D37E6">
              <w:rPr>
                <w:noProof/>
                <w:webHidden/>
              </w:rPr>
              <w:tab/>
            </w:r>
            <w:r w:rsidRPr="002D37E6">
              <w:rPr>
                <w:noProof/>
                <w:webHidden/>
              </w:rPr>
              <w:fldChar w:fldCharType="begin"/>
            </w:r>
            <w:r w:rsidR="003A160E" w:rsidRPr="002D37E6">
              <w:rPr>
                <w:noProof/>
                <w:webHidden/>
              </w:rPr>
              <w:instrText xml:space="preserve"> PAGEREF _Toc240897617 \h </w:instrText>
            </w:r>
            <w:r w:rsidRPr="002D37E6">
              <w:rPr>
                <w:noProof/>
                <w:webHidden/>
              </w:rPr>
            </w:r>
            <w:r w:rsidRPr="002D37E6">
              <w:rPr>
                <w:noProof/>
                <w:webHidden/>
              </w:rPr>
              <w:fldChar w:fldCharType="separate"/>
            </w:r>
            <w:r w:rsidR="003A160E" w:rsidRPr="002D37E6">
              <w:rPr>
                <w:noProof/>
                <w:webHidden/>
              </w:rPr>
              <w:t>5</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618" w:history="1">
            <w:r w:rsidR="003A160E" w:rsidRPr="002D37E6">
              <w:rPr>
                <w:rStyle w:val="Hyperlink"/>
                <w:noProof/>
              </w:rPr>
              <w:t>6.1 Conclusion</w:t>
            </w:r>
            <w:r w:rsidR="003A160E" w:rsidRPr="002D37E6">
              <w:rPr>
                <w:noProof/>
                <w:webHidden/>
              </w:rPr>
              <w:tab/>
            </w:r>
            <w:r w:rsidRPr="002D37E6">
              <w:rPr>
                <w:noProof/>
                <w:webHidden/>
              </w:rPr>
              <w:fldChar w:fldCharType="begin"/>
            </w:r>
            <w:r w:rsidR="003A160E" w:rsidRPr="002D37E6">
              <w:rPr>
                <w:noProof/>
                <w:webHidden/>
              </w:rPr>
              <w:instrText xml:space="preserve"> PAGEREF _Toc240897618 \h </w:instrText>
            </w:r>
            <w:r w:rsidRPr="002D37E6">
              <w:rPr>
                <w:noProof/>
                <w:webHidden/>
              </w:rPr>
            </w:r>
            <w:r w:rsidRPr="002D37E6">
              <w:rPr>
                <w:noProof/>
                <w:webHidden/>
              </w:rPr>
              <w:fldChar w:fldCharType="separate"/>
            </w:r>
            <w:r w:rsidR="003A160E" w:rsidRPr="002D37E6">
              <w:rPr>
                <w:noProof/>
                <w:webHidden/>
              </w:rPr>
              <w:t>5</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619" w:history="1">
            <w:r w:rsidR="003A160E" w:rsidRPr="002D37E6">
              <w:rPr>
                <w:rStyle w:val="Hyperlink"/>
                <w:noProof/>
              </w:rPr>
              <w:t>6.2 Linking with objectives</w:t>
            </w:r>
            <w:r w:rsidR="003A160E" w:rsidRPr="002D37E6">
              <w:rPr>
                <w:noProof/>
                <w:webHidden/>
              </w:rPr>
              <w:tab/>
            </w:r>
            <w:r w:rsidRPr="002D37E6">
              <w:rPr>
                <w:noProof/>
                <w:webHidden/>
              </w:rPr>
              <w:fldChar w:fldCharType="begin"/>
            </w:r>
            <w:r w:rsidR="003A160E" w:rsidRPr="002D37E6">
              <w:rPr>
                <w:noProof/>
                <w:webHidden/>
              </w:rPr>
              <w:instrText xml:space="preserve"> PAGEREF _Toc240897619 \h </w:instrText>
            </w:r>
            <w:r w:rsidRPr="002D37E6">
              <w:rPr>
                <w:noProof/>
                <w:webHidden/>
              </w:rPr>
            </w:r>
            <w:r w:rsidRPr="002D37E6">
              <w:rPr>
                <w:noProof/>
                <w:webHidden/>
              </w:rPr>
              <w:fldChar w:fldCharType="separate"/>
            </w:r>
            <w:r w:rsidR="003A160E" w:rsidRPr="002D37E6">
              <w:rPr>
                <w:noProof/>
                <w:webHidden/>
              </w:rPr>
              <w:t>5</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620" w:history="1">
            <w:r w:rsidR="003A160E" w:rsidRPr="002D37E6">
              <w:rPr>
                <w:rStyle w:val="Hyperlink"/>
                <w:noProof/>
              </w:rPr>
              <w:t>6.3 Recommendations</w:t>
            </w:r>
            <w:r w:rsidR="003A160E" w:rsidRPr="002D37E6">
              <w:rPr>
                <w:noProof/>
                <w:webHidden/>
              </w:rPr>
              <w:tab/>
            </w:r>
            <w:r w:rsidRPr="002D37E6">
              <w:rPr>
                <w:noProof/>
                <w:webHidden/>
              </w:rPr>
              <w:fldChar w:fldCharType="begin"/>
            </w:r>
            <w:r w:rsidR="003A160E" w:rsidRPr="002D37E6">
              <w:rPr>
                <w:noProof/>
                <w:webHidden/>
              </w:rPr>
              <w:instrText xml:space="preserve"> PAGEREF _Toc240897620 \h </w:instrText>
            </w:r>
            <w:r w:rsidRPr="002D37E6">
              <w:rPr>
                <w:noProof/>
                <w:webHidden/>
              </w:rPr>
            </w:r>
            <w:r w:rsidRPr="002D37E6">
              <w:rPr>
                <w:noProof/>
                <w:webHidden/>
              </w:rPr>
              <w:fldChar w:fldCharType="separate"/>
            </w:r>
            <w:r w:rsidR="003A160E" w:rsidRPr="002D37E6">
              <w:rPr>
                <w:noProof/>
                <w:webHidden/>
              </w:rPr>
              <w:t>6</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621" w:history="1">
            <w:r w:rsidR="003A160E" w:rsidRPr="002D37E6">
              <w:rPr>
                <w:rStyle w:val="Hyperlink"/>
                <w:noProof/>
              </w:rPr>
              <w:t>6.4 Research limitation</w:t>
            </w:r>
            <w:r w:rsidR="003A160E" w:rsidRPr="002D37E6">
              <w:rPr>
                <w:noProof/>
                <w:webHidden/>
              </w:rPr>
              <w:tab/>
            </w:r>
            <w:r w:rsidRPr="002D37E6">
              <w:rPr>
                <w:noProof/>
                <w:webHidden/>
              </w:rPr>
              <w:fldChar w:fldCharType="begin"/>
            </w:r>
            <w:r w:rsidR="003A160E" w:rsidRPr="002D37E6">
              <w:rPr>
                <w:noProof/>
                <w:webHidden/>
              </w:rPr>
              <w:instrText xml:space="preserve"> PAGEREF _Toc240897621 \h </w:instrText>
            </w:r>
            <w:r w:rsidRPr="002D37E6">
              <w:rPr>
                <w:noProof/>
                <w:webHidden/>
              </w:rPr>
            </w:r>
            <w:r w:rsidRPr="002D37E6">
              <w:rPr>
                <w:noProof/>
                <w:webHidden/>
              </w:rPr>
              <w:fldChar w:fldCharType="separate"/>
            </w:r>
            <w:r w:rsidR="003A160E" w:rsidRPr="002D37E6">
              <w:rPr>
                <w:noProof/>
                <w:webHidden/>
              </w:rPr>
              <w:t>7</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622" w:history="1">
            <w:r w:rsidR="003A160E" w:rsidRPr="002D37E6">
              <w:rPr>
                <w:rStyle w:val="Hyperlink"/>
                <w:noProof/>
              </w:rPr>
              <w:t>6.5 Theoretical and practical implications</w:t>
            </w:r>
            <w:r w:rsidR="003A160E" w:rsidRPr="002D37E6">
              <w:rPr>
                <w:noProof/>
                <w:webHidden/>
              </w:rPr>
              <w:tab/>
            </w:r>
            <w:r w:rsidRPr="002D37E6">
              <w:rPr>
                <w:noProof/>
                <w:webHidden/>
              </w:rPr>
              <w:fldChar w:fldCharType="begin"/>
            </w:r>
            <w:r w:rsidR="003A160E" w:rsidRPr="002D37E6">
              <w:rPr>
                <w:noProof/>
                <w:webHidden/>
              </w:rPr>
              <w:instrText xml:space="preserve"> PAGEREF _Toc240897622 \h </w:instrText>
            </w:r>
            <w:r w:rsidRPr="002D37E6">
              <w:rPr>
                <w:noProof/>
                <w:webHidden/>
              </w:rPr>
            </w:r>
            <w:r w:rsidRPr="002D37E6">
              <w:rPr>
                <w:noProof/>
                <w:webHidden/>
              </w:rPr>
              <w:fldChar w:fldCharType="separate"/>
            </w:r>
            <w:r w:rsidR="003A160E" w:rsidRPr="002D37E6">
              <w:rPr>
                <w:noProof/>
                <w:webHidden/>
              </w:rPr>
              <w:t>8</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623" w:history="1">
            <w:r w:rsidR="003A160E" w:rsidRPr="002D37E6">
              <w:rPr>
                <w:rStyle w:val="Hyperlink"/>
                <w:noProof/>
              </w:rPr>
              <w:t>6.6 Future Scope for the research</w:t>
            </w:r>
            <w:r w:rsidR="003A160E" w:rsidRPr="002D37E6">
              <w:rPr>
                <w:noProof/>
                <w:webHidden/>
              </w:rPr>
              <w:tab/>
            </w:r>
            <w:r w:rsidRPr="002D37E6">
              <w:rPr>
                <w:noProof/>
                <w:webHidden/>
              </w:rPr>
              <w:fldChar w:fldCharType="begin"/>
            </w:r>
            <w:r w:rsidR="003A160E" w:rsidRPr="002D37E6">
              <w:rPr>
                <w:noProof/>
                <w:webHidden/>
              </w:rPr>
              <w:instrText xml:space="preserve"> PAGEREF _Toc240897623 \h </w:instrText>
            </w:r>
            <w:r w:rsidRPr="002D37E6">
              <w:rPr>
                <w:noProof/>
                <w:webHidden/>
              </w:rPr>
            </w:r>
            <w:r w:rsidRPr="002D37E6">
              <w:rPr>
                <w:noProof/>
                <w:webHidden/>
              </w:rPr>
              <w:fldChar w:fldCharType="separate"/>
            </w:r>
            <w:r w:rsidR="003A160E" w:rsidRPr="002D37E6">
              <w:rPr>
                <w:noProof/>
                <w:webHidden/>
              </w:rPr>
              <w:t>8</w:t>
            </w:r>
            <w:r w:rsidRPr="002D37E6">
              <w:rPr>
                <w:noProof/>
                <w:webHidden/>
              </w:rPr>
              <w:fldChar w:fldCharType="end"/>
            </w:r>
          </w:hyperlink>
        </w:p>
        <w:p w:rsidR="003A160E" w:rsidRPr="002D37E6" w:rsidRDefault="002C0289">
          <w:pPr>
            <w:pStyle w:val="TOC1"/>
            <w:tabs>
              <w:tab w:val="right" w:leader="dot" w:pos="9350"/>
            </w:tabs>
            <w:rPr>
              <w:rFonts w:asciiTheme="minorHAnsi" w:eastAsiaTheme="minorEastAsia" w:hAnsiTheme="minorHAnsi" w:cstheme="minorBidi"/>
              <w:noProof/>
            </w:rPr>
          </w:pPr>
          <w:hyperlink w:anchor="_Toc240897624" w:history="1">
            <w:r w:rsidR="003A160E" w:rsidRPr="002D37E6">
              <w:rPr>
                <w:rStyle w:val="Hyperlink"/>
                <w:noProof/>
              </w:rPr>
              <w:t>References</w:t>
            </w:r>
            <w:r w:rsidR="003A160E" w:rsidRPr="002D37E6">
              <w:rPr>
                <w:noProof/>
                <w:webHidden/>
              </w:rPr>
              <w:tab/>
            </w:r>
            <w:r w:rsidRPr="002D37E6">
              <w:rPr>
                <w:noProof/>
                <w:webHidden/>
              </w:rPr>
              <w:fldChar w:fldCharType="begin"/>
            </w:r>
            <w:r w:rsidR="003A160E" w:rsidRPr="002D37E6">
              <w:rPr>
                <w:noProof/>
                <w:webHidden/>
              </w:rPr>
              <w:instrText xml:space="preserve"> PAGEREF _Toc240897624 \h </w:instrText>
            </w:r>
            <w:r w:rsidRPr="002D37E6">
              <w:rPr>
                <w:noProof/>
                <w:webHidden/>
              </w:rPr>
            </w:r>
            <w:r w:rsidRPr="002D37E6">
              <w:rPr>
                <w:noProof/>
                <w:webHidden/>
              </w:rPr>
              <w:fldChar w:fldCharType="separate"/>
            </w:r>
            <w:r w:rsidR="003A160E" w:rsidRPr="002D37E6">
              <w:rPr>
                <w:noProof/>
                <w:webHidden/>
              </w:rPr>
              <w:t>9</w:t>
            </w:r>
            <w:r w:rsidRPr="002D37E6">
              <w:rPr>
                <w:noProof/>
                <w:webHidden/>
              </w:rPr>
              <w:fldChar w:fldCharType="end"/>
            </w:r>
          </w:hyperlink>
        </w:p>
        <w:p w:rsidR="003A160E" w:rsidRPr="002D37E6" w:rsidRDefault="002C0289">
          <w:pPr>
            <w:pStyle w:val="TOC1"/>
            <w:tabs>
              <w:tab w:val="right" w:leader="dot" w:pos="9350"/>
            </w:tabs>
            <w:rPr>
              <w:rFonts w:asciiTheme="minorHAnsi" w:eastAsiaTheme="minorEastAsia" w:hAnsiTheme="minorHAnsi" w:cstheme="minorBidi"/>
              <w:noProof/>
            </w:rPr>
          </w:pPr>
          <w:hyperlink w:anchor="_Toc240897625" w:history="1">
            <w:r w:rsidR="003A160E" w:rsidRPr="002D37E6">
              <w:rPr>
                <w:rStyle w:val="Hyperlink"/>
                <w:noProof/>
              </w:rPr>
              <w:t>APPENDICES</w:t>
            </w:r>
            <w:r w:rsidR="003A160E" w:rsidRPr="002D37E6">
              <w:rPr>
                <w:noProof/>
                <w:webHidden/>
              </w:rPr>
              <w:tab/>
            </w:r>
            <w:r w:rsidRPr="002D37E6">
              <w:rPr>
                <w:noProof/>
                <w:webHidden/>
              </w:rPr>
              <w:fldChar w:fldCharType="begin"/>
            </w:r>
            <w:r w:rsidR="003A160E" w:rsidRPr="002D37E6">
              <w:rPr>
                <w:noProof/>
                <w:webHidden/>
              </w:rPr>
              <w:instrText xml:space="preserve"> PAGEREF _Toc240897625 \h </w:instrText>
            </w:r>
            <w:r w:rsidRPr="002D37E6">
              <w:rPr>
                <w:noProof/>
                <w:webHidden/>
              </w:rPr>
            </w:r>
            <w:r w:rsidRPr="002D37E6">
              <w:rPr>
                <w:noProof/>
                <w:webHidden/>
              </w:rPr>
              <w:fldChar w:fldCharType="separate"/>
            </w:r>
            <w:r w:rsidR="003A160E" w:rsidRPr="002D37E6">
              <w:rPr>
                <w:noProof/>
                <w:webHidden/>
              </w:rPr>
              <w:t>22</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626" w:history="1">
            <w:r w:rsidR="003A160E" w:rsidRPr="002D37E6">
              <w:rPr>
                <w:rStyle w:val="Hyperlink"/>
                <w:noProof/>
              </w:rPr>
              <w:t>Appendix 1 – Critical Appraisal Checklists Tables</w:t>
            </w:r>
            <w:r w:rsidR="003A160E" w:rsidRPr="002D37E6">
              <w:rPr>
                <w:noProof/>
                <w:webHidden/>
              </w:rPr>
              <w:tab/>
            </w:r>
            <w:r w:rsidRPr="002D37E6">
              <w:rPr>
                <w:noProof/>
                <w:webHidden/>
              </w:rPr>
              <w:fldChar w:fldCharType="begin"/>
            </w:r>
            <w:r w:rsidR="003A160E" w:rsidRPr="002D37E6">
              <w:rPr>
                <w:noProof/>
                <w:webHidden/>
              </w:rPr>
              <w:instrText xml:space="preserve"> PAGEREF _Toc240897626 \h </w:instrText>
            </w:r>
            <w:r w:rsidRPr="002D37E6">
              <w:rPr>
                <w:noProof/>
                <w:webHidden/>
              </w:rPr>
            </w:r>
            <w:r w:rsidRPr="002D37E6">
              <w:rPr>
                <w:noProof/>
                <w:webHidden/>
              </w:rPr>
              <w:fldChar w:fldCharType="separate"/>
            </w:r>
            <w:r w:rsidR="003A160E" w:rsidRPr="002D37E6">
              <w:rPr>
                <w:noProof/>
                <w:webHidden/>
              </w:rPr>
              <w:t>22</w:t>
            </w:r>
            <w:r w:rsidRPr="002D37E6">
              <w:rPr>
                <w:noProof/>
                <w:webHidden/>
              </w:rPr>
              <w:fldChar w:fldCharType="end"/>
            </w:r>
          </w:hyperlink>
        </w:p>
        <w:p w:rsidR="003A160E" w:rsidRPr="002D37E6" w:rsidRDefault="002C0289">
          <w:pPr>
            <w:pStyle w:val="TOC2"/>
            <w:tabs>
              <w:tab w:val="right" w:leader="dot" w:pos="9350"/>
            </w:tabs>
            <w:rPr>
              <w:rFonts w:asciiTheme="minorHAnsi" w:eastAsiaTheme="minorEastAsia" w:hAnsiTheme="minorHAnsi" w:cstheme="minorBidi"/>
              <w:noProof/>
            </w:rPr>
          </w:pPr>
          <w:hyperlink w:anchor="_Toc240897627" w:history="1">
            <w:r w:rsidR="003A160E" w:rsidRPr="002D37E6">
              <w:rPr>
                <w:rStyle w:val="Hyperlink"/>
                <w:noProof/>
              </w:rPr>
              <w:t>Appendix 2 – Data Extraction Table</w:t>
            </w:r>
            <w:r w:rsidR="003A160E" w:rsidRPr="002D37E6">
              <w:rPr>
                <w:noProof/>
                <w:webHidden/>
              </w:rPr>
              <w:tab/>
            </w:r>
            <w:r w:rsidRPr="002D37E6">
              <w:rPr>
                <w:noProof/>
                <w:webHidden/>
              </w:rPr>
              <w:fldChar w:fldCharType="begin"/>
            </w:r>
            <w:r w:rsidR="003A160E" w:rsidRPr="002D37E6">
              <w:rPr>
                <w:noProof/>
                <w:webHidden/>
              </w:rPr>
              <w:instrText xml:space="preserve"> PAGEREF _Toc240897627 \h </w:instrText>
            </w:r>
            <w:r w:rsidRPr="002D37E6">
              <w:rPr>
                <w:noProof/>
                <w:webHidden/>
              </w:rPr>
            </w:r>
            <w:r w:rsidRPr="002D37E6">
              <w:rPr>
                <w:noProof/>
                <w:webHidden/>
              </w:rPr>
              <w:fldChar w:fldCharType="separate"/>
            </w:r>
            <w:r w:rsidR="003A160E" w:rsidRPr="002D37E6">
              <w:rPr>
                <w:noProof/>
                <w:webHidden/>
              </w:rPr>
              <w:t>26</w:t>
            </w:r>
            <w:r w:rsidRPr="002D37E6">
              <w:rPr>
                <w:noProof/>
                <w:webHidden/>
              </w:rPr>
              <w:fldChar w:fldCharType="end"/>
            </w:r>
          </w:hyperlink>
        </w:p>
        <w:p w:rsidR="00C621A4" w:rsidRPr="002D37E6" w:rsidRDefault="002C0289">
          <w:pPr>
            <w:widowControl w:val="0"/>
            <w:tabs>
              <w:tab w:val="right" w:pos="12000"/>
            </w:tabs>
            <w:spacing w:before="60" w:line="240" w:lineRule="auto"/>
            <w:ind w:left="360"/>
            <w:jc w:val="left"/>
            <w:rPr>
              <w:color w:val="000000"/>
            </w:rPr>
          </w:pPr>
          <w:r w:rsidRPr="002D37E6">
            <w:fldChar w:fldCharType="end"/>
          </w:r>
        </w:p>
      </w:sdtContent>
    </w:sdt>
    <w:p w:rsidR="00C621A4" w:rsidRPr="002D37E6" w:rsidRDefault="00426EE4">
      <w:r w:rsidRPr="002D37E6">
        <w:br w:type="page"/>
      </w:r>
    </w:p>
    <w:p w:rsidR="00C621A4" w:rsidRPr="002D37E6" w:rsidRDefault="00426EE4">
      <w:pPr>
        <w:pBdr>
          <w:top w:val="nil"/>
          <w:left w:val="nil"/>
          <w:bottom w:val="nil"/>
          <w:right w:val="nil"/>
          <w:between w:val="nil"/>
        </w:pBdr>
        <w:spacing w:before="200"/>
        <w:jc w:val="center"/>
        <w:rPr>
          <w:b/>
          <w:bCs/>
        </w:rPr>
      </w:pPr>
      <w:r w:rsidRPr="002D37E6">
        <w:rPr>
          <w:b/>
          <w:bCs/>
        </w:rPr>
        <w:lastRenderedPageBreak/>
        <w:t>List of Figures</w:t>
      </w:r>
    </w:p>
    <w:p w:rsidR="003A160E" w:rsidRPr="002D37E6" w:rsidRDefault="002C0289">
      <w:pPr>
        <w:pStyle w:val="TableofFigures"/>
        <w:tabs>
          <w:tab w:val="right" w:leader="dot" w:pos="9350"/>
        </w:tabs>
        <w:rPr>
          <w:rFonts w:asciiTheme="minorHAnsi" w:eastAsiaTheme="minorEastAsia" w:hAnsiTheme="minorHAnsi" w:cstheme="minorBidi"/>
          <w:noProof/>
        </w:rPr>
      </w:pPr>
      <w:r w:rsidRPr="002D37E6">
        <w:rPr>
          <w:b/>
          <w:bCs/>
        </w:rPr>
        <w:fldChar w:fldCharType="begin"/>
      </w:r>
      <w:r w:rsidR="003A160E" w:rsidRPr="002D37E6">
        <w:rPr>
          <w:b/>
          <w:bCs/>
        </w:rPr>
        <w:instrText xml:space="preserve"> TOC \h \z \t "Heading 4" \c </w:instrText>
      </w:r>
      <w:r w:rsidRPr="002D37E6">
        <w:rPr>
          <w:b/>
          <w:bCs/>
        </w:rPr>
        <w:fldChar w:fldCharType="separate"/>
      </w:r>
      <w:hyperlink w:anchor="_Toc240897628" w:history="1">
        <w:r w:rsidR="003A160E" w:rsidRPr="002D37E6">
          <w:rPr>
            <w:rStyle w:val="Hyperlink"/>
            <w:noProof/>
          </w:rPr>
          <w:t>Figure 1.1 The Market of the UK Sickle Cell Disease Drugs</w:t>
        </w:r>
        <w:r w:rsidR="003A160E" w:rsidRPr="002D37E6">
          <w:rPr>
            <w:noProof/>
            <w:webHidden/>
          </w:rPr>
          <w:tab/>
        </w:r>
        <w:r w:rsidRPr="002D37E6">
          <w:rPr>
            <w:noProof/>
            <w:webHidden/>
          </w:rPr>
          <w:fldChar w:fldCharType="begin"/>
        </w:r>
        <w:r w:rsidR="003A160E" w:rsidRPr="002D37E6">
          <w:rPr>
            <w:noProof/>
            <w:webHidden/>
          </w:rPr>
          <w:instrText xml:space="preserve"> PAGEREF _Toc240897628 \h </w:instrText>
        </w:r>
        <w:r w:rsidRPr="002D37E6">
          <w:rPr>
            <w:noProof/>
            <w:webHidden/>
          </w:rPr>
        </w:r>
        <w:r w:rsidRPr="002D37E6">
          <w:rPr>
            <w:noProof/>
            <w:webHidden/>
          </w:rPr>
          <w:fldChar w:fldCharType="separate"/>
        </w:r>
        <w:r w:rsidR="003A160E" w:rsidRPr="002D37E6">
          <w:rPr>
            <w:noProof/>
            <w:webHidden/>
          </w:rPr>
          <w:t>10</w:t>
        </w:r>
        <w:r w:rsidRPr="002D37E6">
          <w:rPr>
            <w:noProof/>
            <w:webHidden/>
          </w:rPr>
          <w:fldChar w:fldCharType="end"/>
        </w:r>
      </w:hyperlink>
    </w:p>
    <w:p w:rsidR="003A160E" w:rsidRPr="002D37E6" w:rsidRDefault="002C0289">
      <w:pPr>
        <w:pStyle w:val="TableofFigures"/>
        <w:tabs>
          <w:tab w:val="right" w:leader="dot" w:pos="9350"/>
        </w:tabs>
        <w:rPr>
          <w:rFonts w:asciiTheme="minorHAnsi" w:eastAsiaTheme="minorEastAsia" w:hAnsiTheme="minorHAnsi" w:cstheme="minorBidi"/>
          <w:noProof/>
        </w:rPr>
      </w:pPr>
      <w:hyperlink w:anchor="_Toc240897629" w:history="1">
        <w:r w:rsidR="003A160E" w:rsidRPr="002D37E6">
          <w:rPr>
            <w:rStyle w:val="Hyperlink"/>
            <w:noProof/>
          </w:rPr>
          <w:t>Figure 1.2: Challenges within the UK’s healthcare system</w:t>
        </w:r>
        <w:r w:rsidR="003A160E" w:rsidRPr="002D37E6">
          <w:rPr>
            <w:noProof/>
            <w:webHidden/>
          </w:rPr>
          <w:tab/>
        </w:r>
        <w:r w:rsidRPr="002D37E6">
          <w:rPr>
            <w:noProof/>
            <w:webHidden/>
          </w:rPr>
          <w:fldChar w:fldCharType="begin"/>
        </w:r>
        <w:r w:rsidR="003A160E" w:rsidRPr="002D37E6">
          <w:rPr>
            <w:noProof/>
            <w:webHidden/>
          </w:rPr>
          <w:instrText xml:space="preserve"> PAGEREF _Toc240897629 \h </w:instrText>
        </w:r>
        <w:r w:rsidRPr="002D37E6">
          <w:rPr>
            <w:noProof/>
            <w:webHidden/>
          </w:rPr>
        </w:r>
        <w:r w:rsidRPr="002D37E6">
          <w:rPr>
            <w:noProof/>
            <w:webHidden/>
          </w:rPr>
          <w:fldChar w:fldCharType="separate"/>
        </w:r>
        <w:r w:rsidR="003A160E" w:rsidRPr="002D37E6">
          <w:rPr>
            <w:noProof/>
            <w:webHidden/>
          </w:rPr>
          <w:t>12</w:t>
        </w:r>
        <w:r w:rsidRPr="002D37E6">
          <w:rPr>
            <w:noProof/>
            <w:webHidden/>
          </w:rPr>
          <w:fldChar w:fldCharType="end"/>
        </w:r>
      </w:hyperlink>
    </w:p>
    <w:p w:rsidR="003A160E" w:rsidRPr="002D37E6" w:rsidRDefault="002C0289">
      <w:pPr>
        <w:pStyle w:val="TableofFigures"/>
        <w:tabs>
          <w:tab w:val="right" w:leader="dot" w:pos="9350"/>
        </w:tabs>
        <w:rPr>
          <w:rFonts w:asciiTheme="minorHAnsi" w:eastAsiaTheme="minorEastAsia" w:hAnsiTheme="minorHAnsi" w:cstheme="minorBidi"/>
          <w:noProof/>
        </w:rPr>
      </w:pPr>
      <w:hyperlink w:anchor="_Toc240897630" w:history="1">
        <w:r w:rsidR="003A160E" w:rsidRPr="002D37E6">
          <w:rPr>
            <w:rStyle w:val="Hyperlink"/>
            <w:noProof/>
          </w:rPr>
          <w:t>Figure 1.3: Structure of the Dissertation</w:t>
        </w:r>
        <w:r w:rsidR="003A160E" w:rsidRPr="002D37E6">
          <w:rPr>
            <w:noProof/>
            <w:webHidden/>
          </w:rPr>
          <w:tab/>
        </w:r>
        <w:r w:rsidRPr="002D37E6">
          <w:rPr>
            <w:noProof/>
            <w:webHidden/>
          </w:rPr>
          <w:fldChar w:fldCharType="begin"/>
        </w:r>
        <w:r w:rsidR="003A160E" w:rsidRPr="002D37E6">
          <w:rPr>
            <w:noProof/>
            <w:webHidden/>
          </w:rPr>
          <w:instrText xml:space="preserve"> PAGEREF _Toc240897630 \h </w:instrText>
        </w:r>
        <w:r w:rsidRPr="002D37E6">
          <w:rPr>
            <w:noProof/>
            <w:webHidden/>
          </w:rPr>
        </w:r>
        <w:r w:rsidRPr="002D37E6">
          <w:rPr>
            <w:noProof/>
            <w:webHidden/>
          </w:rPr>
          <w:fldChar w:fldCharType="separate"/>
        </w:r>
        <w:r w:rsidR="003A160E" w:rsidRPr="002D37E6">
          <w:rPr>
            <w:noProof/>
            <w:webHidden/>
          </w:rPr>
          <w:t>14</w:t>
        </w:r>
        <w:r w:rsidRPr="002D37E6">
          <w:rPr>
            <w:noProof/>
            <w:webHidden/>
          </w:rPr>
          <w:fldChar w:fldCharType="end"/>
        </w:r>
      </w:hyperlink>
    </w:p>
    <w:p w:rsidR="003A160E" w:rsidRPr="002D37E6" w:rsidRDefault="002C0289">
      <w:pPr>
        <w:pStyle w:val="TableofFigures"/>
        <w:tabs>
          <w:tab w:val="right" w:leader="dot" w:pos="9350"/>
        </w:tabs>
        <w:rPr>
          <w:rFonts w:asciiTheme="minorHAnsi" w:eastAsiaTheme="minorEastAsia" w:hAnsiTheme="minorHAnsi" w:cstheme="minorBidi"/>
          <w:noProof/>
        </w:rPr>
      </w:pPr>
      <w:hyperlink w:anchor="_Toc240897631" w:history="1">
        <w:r w:rsidR="003A160E" w:rsidRPr="002D37E6">
          <w:rPr>
            <w:rStyle w:val="Hyperlink"/>
            <w:noProof/>
          </w:rPr>
          <w:t>Figure 2.1: Conceptual framework</w:t>
        </w:r>
        <w:r w:rsidR="003A160E" w:rsidRPr="002D37E6">
          <w:rPr>
            <w:noProof/>
            <w:webHidden/>
          </w:rPr>
          <w:tab/>
        </w:r>
        <w:r w:rsidRPr="002D37E6">
          <w:rPr>
            <w:noProof/>
            <w:webHidden/>
          </w:rPr>
          <w:fldChar w:fldCharType="begin"/>
        </w:r>
        <w:r w:rsidR="003A160E" w:rsidRPr="002D37E6">
          <w:rPr>
            <w:noProof/>
            <w:webHidden/>
          </w:rPr>
          <w:instrText xml:space="preserve"> PAGEREF _Toc240897631 \h </w:instrText>
        </w:r>
        <w:r w:rsidRPr="002D37E6">
          <w:rPr>
            <w:noProof/>
            <w:webHidden/>
          </w:rPr>
        </w:r>
        <w:r w:rsidRPr="002D37E6">
          <w:rPr>
            <w:noProof/>
            <w:webHidden/>
          </w:rPr>
          <w:fldChar w:fldCharType="separate"/>
        </w:r>
        <w:r w:rsidR="003A160E" w:rsidRPr="002D37E6">
          <w:rPr>
            <w:noProof/>
            <w:webHidden/>
          </w:rPr>
          <w:t>26</w:t>
        </w:r>
        <w:r w:rsidRPr="002D37E6">
          <w:rPr>
            <w:noProof/>
            <w:webHidden/>
          </w:rPr>
          <w:fldChar w:fldCharType="end"/>
        </w:r>
      </w:hyperlink>
    </w:p>
    <w:p w:rsidR="003A160E" w:rsidRPr="002D37E6" w:rsidRDefault="002C0289">
      <w:pPr>
        <w:pStyle w:val="TableofFigures"/>
        <w:tabs>
          <w:tab w:val="right" w:leader="dot" w:pos="9350"/>
        </w:tabs>
        <w:rPr>
          <w:rFonts w:asciiTheme="minorHAnsi" w:eastAsiaTheme="minorEastAsia" w:hAnsiTheme="minorHAnsi" w:cstheme="minorBidi"/>
          <w:noProof/>
        </w:rPr>
      </w:pPr>
      <w:hyperlink w:anchor="_Toc240897632" w:history="1">
        <w:r w:rsidR="003A160E" w:rsidRPr="002D37E6">
          <w:rPr>
            <w:rStyle w:val="Hyperlink"/>
            <w:noProof/>
          </w:rPr>
          <w:t>Table 3.1: PRISMA</w:t>
        </w:r>
        <w:r w:rsidR="003A160E" w:rsidRPr="002D37E6">
          <w:rPr>
            <w:noProof/>
            <w:webHidden/>
          </w:rPr>
          <w:tab/>
        </w:r>
        <w:r w:rsidRPr="002D37E6">
          <w:rPr>
            <w:noProof/>
            <w:webHidden/>
          </w:rPr>
          <w:fldChar w:fldCharType="begin"/>
        </w:r>
        <w:r w:rsidR="003A160E" w:rsidRPr="002D37E6">
          <w:rPr>
            <w:noProof/>
            <w:webHidden/>
          </w:rPr>
          <w:instrText xml:space="preserve"> PAGEREF _Toc240897632 \h </w:instrText>
        </w:r>
        <w:r w:rsidRPr="002D37E6">
          <w:rPr>
            <w:noProof/>
            <w:webHidden/>
          </w:rPr>
        </w:r>
        <w:r w:rsidRPr="002D37E6">
          <w:rPr>
            <w:noProof/>
            <w:webHidden/>
          </w:rPr>
          <w:fldChar w:fldCharType="separate"/>
        </w:r>
        <w:r w:rsidR="003A160E" w:rsidRPr="002D37E6">
          <w:rPr>
            <w:noProof/>
            <w:webHidden/>
          </w:rPr>
          <w:t>33</w:t>
        </w:r>
        <w:r w:rsidRPr="002D37E6">
          <w:rPr>
            <w:noProof/>
            <w:webHidden/>
          </w:rPr>
          <w:fldChar w:fldCharType="end"/>
        </w:r>
      </w:hyperlink>
    </w:p>
    <w:p w:rsidR="003A160E" w:rsidRPr="002D37E6" w:rsidRDefault="002C0289">
      <w:pPr>
        <w:pBdr>
          <w:top w:val="nil"/>
          <w:left w:val="nil"/>
          <w:bottom w:val="nil"/>
          <w:right w:val="nil"/>
          <w:between w:val="nil"/>
        </w:pBdr>
        <w:spacing w:before="200"/>
        <w:jc w:val="center"/>
        <w:rPr>
          <w:b/>
          <w:bCs/>
        </w:rPr>
      </w:pPr>
      <w:r w:rsidRPr="002D37E6">
        <w:rPr>
          <w:b/>
          <w:bCs/>
        </w:rPr>
        <w:fldChar w:fldCharType="end"/>
      </w:r>
    </w:p>
    <w:sdt>
      <w:sdtPr>
        <w:id w:val="752634356"/>
        <w:docPartObj>
          <w:docPartGallery w:val="Table of Contents"/>
          <w:docPartUnique/>
        </w:docPartObj>
      </w:sdtPr>
      <w:sdtContent>
        <w:p w:rsidR="00C621A4" w:rsidRPr="002D37E6" w:rsidRDefault="002C0289" w:rsidP="003A160E">
          <w:pPr>
            <w:pBdr>
              <w:top w:val="nil"/>
              <w:left w:val="nil"/>
              <w:bottom w:val="nil"/>
              <w:right w:val="nil"/>
              <w:between w:val="nil"/>
            </w:pBdr>
            <w:tabs>
              <w:tab w:val="right" w:pos="9350"/>
            </w:tabs>
            <w:rPr>
              <w:b/>
              <w:bCs/>
            </w:rPr>
          </w:pPr>
          <w:r w:rsidRPr="002D37E6">
            <w:fldChar w:fldCharType="begin"/>
          </w:r>
          <w:r w:rsidR="00426EE4" w:rsidRPr="002D37E6">
            <w:instrText xml:space="preserve"> TOC \h \u \z \t "Heading 1,1,Heading 2,2,Heading 3,3,Heading 4,4,Heading 5,5,Heading 6,6,"</w:instrText>
          </w:r>
          <w:r w:rsidRPr="002D37E6">
            <w:fldChar w:fldCharType="end"/>
          </w:r>
        </w:p>
      </w:sdtContent>
    </w:sdt>
    <w:p w:rsidR="00C621A4" w:rsidRPr="002D37E6" w:rsidRDefault="00C621A4">
      <w:pPr>
        <w:widowControl w:val="0"/>
        <w:pBdr>
          <w:top w:val="nil"/>
          <w:left w:val="nil"/>
          <w:bottom w:val="nil"/>
          <w:right w:val="nil"/>
          <w:between w:val="nil"/>
        </w:pBdr>
        <w:spacing w:line="276" w:lineRule="auto"/>
        <w:jc w:val="left"/>
        <w:rPr>
          <w:b/>
          <w:bCs/>
        </w:rPr>
      </w:pPr>
    </w:p>
    <w:sdt>
      <w:sdtPr>
        <w:id w:val="-551605264"/>
        <w:docPartObj>
          <w:docPartGallery w:val="Table of Contents"/>
          <w:docPartUnique/>
        </w:docPartObj>
      </w:sdtPr>
      <w:sdtContent>
        <w:p w:rsidR="00C621A4" w:rsidRPr="002D37E6" w:rsidRDefault="002C0289">
          <w:pPr>
            <w:pBdr>
              <w:top w:val="nil"/>
              <w:left w:val="nil"/>
              <w:bottom w:val="nil"/>
              <w:right w:val="nil"/>
              <w:between w:val="nil"/>
            </w:pBdr>
            <w:tabs>
              <w:tab w:val="right" w:pos="9350"/>
            </w:tabs>
            <w:rPr>
              <w:b/>
              <w:bCs/>
            </w:rPr>
          </w:pPr>
          <w:r w:rsidRPr="002D37E6">
            <w:fldChar w:fldCharType="begin"/>
          </w:r>
          <w:r w:rsidR="00426EE4" w:rsidRPr="002D37E6">
            <w:instrText xml:space="preserve"> TOC \h \u \z \t "Heading 1,1,Heading 2,2,Heading 3,3,Heading 4,4,Heading 5,5,Heading 6,6,"</w:instrText>
          </w:r>
          <w:r w:rsidRPr="002D37E6">
            <w:fldChar w:fldCharType="end"/>
          </w:r>
        </w:p>
      </w:sdtContent>
    </w:sdt>
    <w:p w:rsidR="00C621A4" w:rsidRPr="002D37E6" w:rsidRDefault="00426EE4">
      <w:pPr>
        <w:rPr>
          <w:b/>
          <w:bCs/>
        </w:rPr>
      </w:pPr>
      <w:r w:rsidRPr="002D37E6">
        <w:br w:type="page"/>
      </w:r>
    </w:p>
    <w:p w:rsidR="00C621A4" w:rsidRPr="002D37E6" w:rsidRDefault="00426EE4">
      <w:pPr>
        <w:pBdr>
          <w:top w:val="nil"/>
          <w:left w:val="nil"/>
          <w:bottom w:val="nil"/>
          <w:right w:val="nil"/>
          <w:between w:val="nil"/>
        </w:pBdr>
        <w:spacing w:before="200"/>
        <w:jc w:val="center"/>
        <w:rPr>
          <w:b/>
          <w:bCs/>
        </w:rPr>
      </w:pPr>
      <w:r w:rsidRPr="002D37E6">
        <w:rPr>
          <w:b/>
          <w:bCs/>
        </w:rPr>
        <w:lastRenderedPageBreak/>
        <w:t>List of Tables</w:t>
      </w:r>
    </w:p>
    <w:p w:rsidR="003A160E" w:rsidRPr="002D37E6" w:rsidRDefault="002C0289">
      <w:pPr>
        <w:pStyle w:val="TableofFigures"/>
        <w:tabs>
          <w:tab w:val="right" w:leader="dot" w:pos="9350"/>
        </w:tabs>
        <w:rPr>
          <w:rFonts w:asciiTheme="minorHAnsi" w:eastAsiaTheme="minorEastAsia" w:hAnsiTheme="minorHAnsi" w:cstheme="minorBidi"/>
          <w:noProof/>
        </w:rPr>
      </w:pPr>
      <w:r w:rsidRPr="002D37E6">
        <w:rPr>
          <w:b/>
          <w:bCs/>
        </w:rPr>
        <w:fldChar w:fldCharType="begin"/>
      </w:r>
      <w:r w:rsidR="003A160E" w:rsidRPr="002D37E6">
        <w:rPr>
          <w:b/>
          <w:bCs/>
        </w:rPr>
        <w:instrText xml:space="preserve"> TOC \h \z \t "Heading 5" \c </w:instrText>
      </w:r>
      <w:r w:rsidRPr="002D37E6">
        <w:rPr>
          <w:b/>
          <w:bCs/>
        </w:rPr>
        <w:fldChar w:fldCharType="separate"/>
      </w:r>
      <w:hyperlink w:anchor="_Toc240897633" w:history="1">
        <w:r w:rsidR="003A160E" w:rsidRPr="002D37E6">
          <w:rPr>
            <w:rStyle w:val="Hyperlink"/>
            <w:noProof/>
          </w:rPr>
          <w:t>Table 3.1: Boolean operator</w:t>
        </w:r>
        <w:r w:rsidR="003A160E" w:rsidRPr="002D37E6">
          <w:rPr>
            <w:noProof/>
            <w:webHidden/>
          </w:rPr>
          <w:tab/>
        </w:r>
        <w:r w:rsidRPr="002D37E6">
          <w:rPr>
            <w:noProof/>
            <w:webHidden/>
          </w:rPr>
          <w:fldChar w:fldCharType="begin"/>
        </w:r>
        <w:r w:rsidR="003A160E" w:rsidRPr="002D37E6">
          <w:rPr>
            <w:noProof/>
            <w:webHidden/>
          </w:rPr>
          <w:instrText xml:space="preserve"> PAGEREF _Toc240897633 \h </w:instrText>
        </w:r>
        <w:r w:rsidRPr="002D37E6">
          <w:rPr>
            <w:noProof/>
            <w:webHidden/>
          </w:rPr>
        </w:r>
        <w:r w:rsidRPr="002D37E6">
          <w:rPr>
            <w:noProof/>
            <w:webHidden/>
          </w:rPr>
          <w:fldChar w:fldCharType="separate"/>
        </w:r>
        <w:r w:rsidR="003A160E" w:rsidRPr="002D37E6">
          <w:rPr>
            <w:noProof/>
            <w:webHidden/>
          </w:rPr>
          <w:t>30</w:t>
        </w:r>
        <w:r w:rsidRPr="002D37E6">
          <w:rPr>
            <w:noProof/>
            <w:webHidden/>
          </w:rPr>
          <w:fldChar w:fldCharType="end"/>
        </w:r>
      </w:hyperlink>
    </w:p>
    <w:p w:rsidR="003A160E" w:rsidRPr="002D37E6" w:rsidRDefault="002C0289">
      <w:pPr>
        <w:pStyle w:val="TableofFigures"/>
        <w:tabs>
          <w:tab w:val="right" w:leader="dot" w:pos="9350"/>
        </w:tabs>
        <w:rPr>
          <w:rFonts w:asciiTheme="minorHAnsi" w:eastAsiaTheme="minorEastAsia" w:hAnsiTheme="minorHAnsi" w:cstheme="minorBidi"/>
          <w:noProof/>
        </w:rPr>
      </w:pPr>
      <w:hyperlink w:anchor="_Toc240897634" w:history="1">
        <w:r w:rsidR="003A160E" w:rsidRPr="002D37E6">
          <w:rPr>
            <w:rStyle w:val="Hyperlink"/>
            <w:noProof/>
          </w:rPr>
          <w:t>Table 3.2: Inclusion and Exclusion criteria using PICO framework</w:t>
        </w:r>
        <w:r w:rsidR="003A160E" w:rsidRPr="002D37E6">
          <w:rPr>
            <w:noProof/>
            <w:webHidden/>
          </w:rPr>
          <w:tab/>
        </w:r>
        <w:r w:rsidRPr="002D37E6">
          <w:rPr>
            <w:noProof/>
            <w:webHidden/>
          </w:rPr>
          <w:fldChar w:fldCharType="begin"/>
        </w:r>
        <w:r w:rsidR="003A160E" w:rsidRPr="002D37E6">
          <w:rPr>
            <w:noProof/>
            <w:webHidden/>
          </w:rPr>
          <w:instrText xml:space="preserve"> PAGEREF _Toc240897634 \h </w:instrText>
        </w:r>
        <w:r w:rsidRPr="002D37E6">
          <w:rPr>
            <w:noProof/>
            <w:webHidden/>
          </w:rPr>
        </w:r>
        <w:r w:rsidRPr="002D37E6">
          <w:rPr>
            <w:noProof/>
            <w:webHidden/>
          </w:rPr>
          <w:fldChar w:fldCharType="separate"/>
        </w:r>
        <w:r w:rsidR="003A160E" w:rsidRPr="002D37E6">
          <w:rPr>
            <w:noProof/>
            <w:webHidden/>
          </w:rPr>
          <w:t>31</w:t>
        </w:r>
        <w:r w:rsidRPr="002D37E6">
          <w:rPr>
            <w:noProof/>
            <w:webHidden/>
          </w:rPr>
          <w:fldChar w:fldCharType="end"/>
        </w:r>
      </w:hyperlink>
    </w:p>
    <w:p w:rsidR="003A160E" w:rsidRPr="002D37E6" w:rsidRDefault="002C0289">
      <w:pPr>
        <w:pStyle w:val="TableofFigures"/>
        <w:tabs>
          <w:tab w:val="right" w:leader="dot" w:pos="9350"/>
        </w:tabs>
        <w:rPr>
          <w:rFonts w:asciiTheme="minorHAnsi" w:eastAsiaTheme="minorEastAsia" w:hAnsiTheme="minorHAnsi" w:cstheme="minorBidi"/>
          <w:noProof/>
        </w:rPr>
      </w:pPr>
      <w:hyperlink w:anchor="_Toc240897635" w:history="1">
        <w:r w:rsidR="003A160E" w:rsidRPr="002D37E6">
          <w:rPr>
            <w:rStyle w:val="Hyperlink"/>
            <w:noProof/>
          </w:rPr>
          <w:t>Table 4.1: Themes and Subthemes</w:t>
        </w:r>
        <w:r w:rsidR="003A160E" w:rsidRPr="002D37E6">
          <w:rPr>
            <w:noProof/>
            <w:webHidden/>
          </w:rPr>
          <w:tab/>
        </w:r>
        <w:r w:rsidRPr="002D37E6">
          <w:rPr>
            <w:noProof/>
            <w:webHidden/>
          </w:rPr>
          <w:fldChar w:fldCharType="begin"/>
        </w:r>
        <w:r w:rsidR="003A160E" w:rsidRPr="002D37E6">
          <w:rPr>
            <w:noProof/>
            <w:webHidden/>
          </w:rPr>
          <w:instrText xml:space="preserve"> PAGEREF _Toc240897635 \h </w:instrText>
        </w:r>
        <w:r w:rsidRPr="002D37E6">
          <w:rPr>
            <w:noProof/>
            <w:webHidden/>
          </w:rPr>
        </w:r>
        <w:r w:rsidRPr="002D37E6">
          <w:rPr>
            <w:noProof/>
            <w:webHidden/>
          </w:rPr>
          <w:fldChar w:fldCharType="separate"/>
        </w:r>
        <w:r w:rsidR="003A160E" w:rsidRPr="002D37E6">
          <w:rPr>
            <w:noProof/>
            <w:webHidden/>
          </w:rPr>
          <w:t>39</w:t>
        </w:r>
        <w:r w:rsidRPr="002D37E6">
          <w:rPr>
            <w:noProof/>
            <w:webHidden/>
          </w:rPr>
          <w:fldChar w:fldCharType="end"/>
        </w:r>
      </w:hyperlink>
    </w:p>
    <w:p w:rsidR="003A160E" w:rsidRPr="002D37E6" w:rsidRDefault="002C0289">
      <w:pPr>
        <w:pBdr>
          <w:top w:val="nil"/>
          <w:left w:val="nil"/>
          <w:bottom w:val="nil"/>
          <w:right w:val="nil"/>
          <w:between w:val="nil"/>
        </w:pBdr>
        <w:spacing w:before="200"/>
        <w:jc w:val="center"/>
        <w:rPr>
          <w:b/>
          <w:bCs/>
        </w:rPr>
      </w:pPr>
      <w:r w:rsidRPr="002D37E6">
        <w:rPr>
          <w:b/>
          <w:bCs/>
        </w:rPr>
        <w:fldChar w:fldCharType="end"/>
      </w:r>
    </w:p>
    <w:sdt>
      <w:sdtPr>
        <w:id w:val="-212158034"/>
        <w:docPartObj>
          <w:docPartGallery w:val="Table of Contents"/>
          <w:docPartUnique/>
        </w:docPartObj>
      </w:sdtPr>
      <w:sdtContent>
        <w:p w:rsidR="00C621A4" w:rsidRPr="002D37E6" w:rsidRDefault="002C0289" w:rsidP="00BC1F09">
          <w:pPr>
            <w:pBdr>
              <w:top w:val="nil"/>
              <w:left w:val="nil"/>
              <w:bottom w:val="nil"/>
              <w:right w:val="nil"/>
              <w:between w:val="nil"/>
            </w:pBdr>
            <w:tabs>
              <w:tab w:val="right" w:pos="9350"/>
            </w:tabs>
            <w:jc w:val="center"/>
            <w:rPr>
              <w:b/>
              <w:bCs/>
            </w:rPr>
          </w:pPr>
          <w:r w:rsidRPr="00BC1F09">
            <w:rPr>
              <w:b/>
            </w:rPr>
            <w:fldChar w:fldCharType="begin"/>
          </w:r>
          <w:r w:rsidR="00426EE4" w:rsidRPr="00BC1F09">
            <w:rPr>
              <w:b/>
            </w:rPr>
            <w:instrText xml:space="preserve"> TOC \h \u \z \t "Heading 1,1,Heading 2,2,Heading 3,3,Heading 4,4,Heading 5,5,Heading 6,6,"</w:instrText>
          </w:r>
          <w:r w:rsidRPr="00BC1F09">
            <w:rPr>
              <w:b/>
            </w:rPr>
            <w:fldChar w:fldCharType="end"/>
          </w:r>
          <w:r w:rsidR="00BC1F09" w:rsidRPr="00BC1F09">
            <w:rPr>
              <w:b/>
            </w:rPr>
            <w:t>List of abbreviations</w:t>
          </w:r>
        </w:p>
      </w:sdtContent>
    </w:sdt>
    <w:p w:rsidR="00C621A4" w:rsidRPr="002D37E6" w:rsidRDefault="00C621A4">
      <w:pPr>
        <w:widowControl w:val="0"/>
        <w:pBdr>
          <w:top w:val="nil"/>
          <w:left w:val="nil"/>
          <w:bottom w:val="nil"/>
          <w:right w:val="nil"/>
          <w:between w:val="nil"/>
        </w:pBdr>
        <w:spacing w:line="276" w:lineRule="auto"/>
        <w:jc w:val="left"/>
        <w:rPr>
          <w:b/>
          <w:bCs/>
        </w:rPr>
      </w:pPr>
    </w:p>
    <w:p w:rsidR="00BC1F09" w:rsidRDefault="002C0289" w:rsidP="00BC1F09">
      <w:pPr>
        <w:pBdr>
          <w:top w:val="nil"/>
          <w:left w:val="nil"/>
          <w:bottom w:val="nil"/>
          <w:right w:val="nil"/>
          <w:between w:val="nil"/>
        </w:pBdr>
        <w:tabs>
          <w:tab w:val="left" w:pos="3720"/>
        </w:tabs>
      </w:pPr>
      <w:sdt>
        <w:sdtPr>
          <w:id w:val="688394367"/>
          <w:docPartObj>
            <w:docPartGallery w:val="Table of Contents"/>
            <w:docPartUnique/>
          </w:docPartObj>
        </w:sdtPr>
        <w:sdtContent>
          <w:r w:rsidRPr="002D37E6">
            <w:fldChar w:fldCharType="begin"/>
          </w:r>
          <w:r w:rsidR="00426EE4" w:rsidRPr="002D37E6">
            <w:instrText xml:space="preserve"> TOC \h \u \z \t "Heading 1,1,Heading 2,2,Heading 3,3,Heading 4,4,Heading 5,5,Heading 6,6,"</w:instrText>
          </w:r>
          <w:r w:rsidRPr="002D37E6">
            <w:fldChar w:fldCharType="end"/>
          </w:r>
        </w:sdtContent>
      </w:sdt>
      <w:r w:rsidR="00BC1F09" w:rsidRPr="00BC1F09">
        <w:rPr>
          <w:b/>
        </w:rPr>
        <w:t>AAV:</w:t>
      </w:r>
      <w:r w:rsidR="00BC1F09">
        <w:t xml:space="preserve"> Adeno-Associated Virus</w:t>
      </w:r>
    </w:p>
    <w:p w:rsidR="00BC1F09" w:rsidRDefault="00BC1F09" w:rsidP="00BC1F09">
      <w:pPr>
        <w:pBdr>
          <w:top w:val="nil"/>
          <w:left w:val="nil"/>
          <w:bottom w:val="nil"/>
          <w:right w:val="nil"/>
          <w:between w:val="nil"/>
        </w:pBdr>
        <w:tabs>
          <w:tab w:val="left" w:pos="3720"/>
        </w:tabs>
      </w:pPr>
      <w:r w:rsidRPr="00BC1F09">
        <w:rPr>
          <w:b/>
        </w:rPr>
        <w:t>ATMPs:</w:t>
      </w:r>
      <w:r>
        <w:t xml:space="preserve"> Advanced Therapy Medicinal Products</w:t>
      </w:r>
    </w:p>
    <w:p w:rsidR="00BC1F09" w:rsidRDefault="00BC1F09" w:rsidP="00BC1F09">
      <w:pPr>
        <w:pBdr>
          <w:top w:val="nil"/>
          <w:left w:val="nil"/>
          <w:bottom w:val="nil"/>
          <w:right w:val="nil"/>
          <w:between w:val="nil"/>
        </w:pBdr>
        <w:tabs>
          <w:tab w:val="left" w:pos="3720"/>
        </w:tabs>
      </w:pPr>
      <w:r w:rsidRPr="00BC1F09">
        <w:rPr>
          <w:b/>
        </w:rPr>
        <w:t>ATTCs:</w:t>
      </w:r>
      <w:r>
        <w:t xml:space="preserve"> Authorised Treatment Centres</w:t>
      </w:r>
    </w:p>
    <w:p w:rsidR="00BC1F09" w:rsidRDefault="00BC1F09" w:rsidP="00BC1F09">
      <w:pPr>
        <w:pBdr>
          <w:top w:val="nil"/>
          <w:left w:val="nil"/>
          <w:bottom w:val="nil"/>
          <w:right w:val="nil"/>
          <w:between w:val="nil"/>
        </w:pBdr>
        <w:tabs>
          <w:tab w:val="left" w:pos="3720"/>
        </w:tabs>
      </w:pPr>
      <w:r w:rsidRPr="00BC1F09">
        <w:rPr>
          <w:b/>
        </w:rPr>
        <w:t>CAGR:</w:t>
      </w:r>
      <w:r>
        <w:t xml:space="preserve"> Compound Annual Growth Rate</w:t>
      </w:r>
    </w:p>
    <w:p w:rsidR="00BC1F09" w:rsidRDefault="00BC1F09" w:rsidP="00BC1F09">
      <w:pPr>
        <w:pBdr>
          <w:top w:val="nil"/>
          <w:left w:val="nil"/>
          <w:bottom w:val="nil"/>
          <w:right w:val="nil"/>
          <w:between w:val="nil"/>
        </w:pBdr>
        <w:tabs>
          <w:tab w:val="left" w:pos="3720"/>
        </w:tabs>
      </w:pPr>
      <w:r w:rsidRPr="00BC1F09">
        <w:rPr>
          <w:b/>
        </w:rPr>
        <w:t>CASP:</w:t>
      </w:r>
      <w:r>
        <w:t xml:space="preserve"> Critical Appraisal Skills Programme</w:t>
      </w:r>
    </w:p>
    <w:p w:rsidR="00BC1F09" w:rsidRDefault="00BC1F09" w:rsidP="00BC1F09">
      <w:pPr>
        <w:pBdr>
          <w:top w:val="nil"/>
          <w:left w:val="nil"/>
          <w:bottom w:val="nil"/>
          <w:right w:val="nil"/>
          <w:between w:val="nil"/>
        </w:pBdr>
        <w:tabs>
          <w:tab w:val="left" w:pos="3720"/>
        </w:tabs>
      </w:pPr>
      <w:r w:rsidRPr="00BC1F09">
        <w:rPr>
          <w:b/>
        </w:rPr>
        <w:t>CRISPR:</w:t>
      </w:r>
      <w:r>
        <w:t xml:space="preserve"> Clustered Regularly Interspaced Short Palindromic Repeats</w:t>
      </w:r>
    </w:p>
    <w:p w:rsidR="00BC1F09" w:rsidRDefault="00BC1F09" w:rsidP="00BC1F09">
      <w:pPr>
        <w:pBdr>
          <w:top w:val="nil"/>
          <w:left w:val="nil"/>
          <w:bottom w:val="nil"/>
          <w:right w:val="nil"/>
          <w:between w:val="nil"/>
        </w:pBdr>
        <w:tabs>
          <w:tab w:val="left" w:pos="3720"/>
        </w:tabs>
      </w:pPr>
      <w:r w:rsidRPr="00BC1F09">
        <w:rPr>
          <w:b/>
        </w:rPr>
        <w:t>DIT:</w:t>
      </w:r>
      <w:r>
        <w:t xml:space="preserve"> Diffusion of Innovation Theory</w:t>
      </w:r>
    </w:p>
    <w:p w:rsidR="00BC1F09" w:rsidRDefault="00BC1F09" w:rsidP="00BC1F09">
      <w:pPr>
        <w:pBdr>
          <w:top w:val="nil"/>
          <w:left w:val="nil"/>
          <w:bottom w:val="nil"/>
          <w:right w:val="nil"/>
          <w:between w:val="nil"/>
        </w:pBdr>
        <w:tabs>
          <w:tab w:val="left" w:pos="3720"/>
        </w:tabs>
      </w:pPr>
      <w:r w:rsidRPr="00BC1F09">
        <w:rPr>
          <w:b/>
        </w:rPr>
        <w:t>DNA:</w:t>
      </w:r>
      <w:r>
        <w:t xml:space="preserve"> Deoxyribonucleic Acid</w:t>
      </w:r>
    </w:p>
    <w:p w:rsidR="00BC1F09" w:rsidRDefault="00BC1F09" w:rsidP="00BC1F09">
      <w:pPr>
        <w:pBdr>
          <w:top w:val="nil"/>
          <w:left w:val="nil"/>
          <w:bottom w:val="nil"/>
          <w:right w:val="nil"/>
          <w:between w:val="nil"/>
        </w:pBdr>
        <w:tabs>
          <w:tab w:val="left" w:pos="3720"/>
        </w:tabs>
      </w:pPr>
      <w:r w:rsidRPr="00BC1F09">
        <w:rPr>
          <w:b/>
        </w:rPr>
        <w:t>DSBs:</w:t>
      </w:r>
      <w:r>
        <w:t xml:space="preserve"> Double-Strand Breaks</w:t>
      </w:r>
    </w:p>
    <w:p w:rsidR="00BC1F09" w:rsidRDefault="00BC1F09" w:rsidP="00BC1F09">
      <w:pPr>
        <w:pBdr>
          <w:top w:val="nil"/>
          <w:left w:val="nil"/>
          <w:bottom w:val="nil"/>
          <w:right w:val="nil"/>
          <w:between w:val="nil"/>
        </w:pBdr>
        <w:tabs>
          <w:tab w:val="left" w:pos="3720"/>
        </w:tabs>
      </w:pPr>
      <w:r w:rsidRPr="009C6FFF">
        <w:rPr>
          <w:b/>
        </w:rPr>
        <w:t>FDA:</w:t>
      </w:r>
      <w:r>
        <w:t xml:space="preserve"> Food and Drug Administration</w:t>
      </w:r>
    </w:p>
    <w:p w:rsidR="00BC1F09" w:rsidRDefault="00BC1F09" w:rsidP="00BC1F09">
      <w:pPr>
        <w:pBdr>
          <w:top w:val="nil"/>
          <w:left w:val="nil"/>
          <w:bottom w:val="nil"/>
          <w:right w:val="nil"/>
          <w:between w:val="nil"/>
        </w:pBdr>
        <w:tabs>
          <w:tab w:val="left" w:pos="3720"/>
        </w:tabs>
      </w:pPr>
      <w:r w:rsidRPr="009C6FFF">
        <w:rPr>
          <w:b/>
        </w:rPr>
        <w:t>GBD:</w:t>
      </w:r>
      <w:r>
        <w:t xml:space="preserve"> Global Burden of Disease</w:t>
      </w:r>
    </w:p>
    <w:p w:rsidR="00BC1F09" w:rsidRDefault="00BC1F09" w:rsidP="00BC1F09">
      <w:pPr>
        <w:pBdr>
          <w:top w:val="nil"/>
          <w:left w:val="nil"/>
          <w:bottom w:val="nil"/>
          <w:right w:val="nil"/>
          <w:between w:val="nil"/>
        </w:pBdr>
        <w:tabs>
          <w:tab w:val="left" w:pos="3720"/>
        </w:tabs>
      </w:pPr>
      <w:r w:rsidRPr="009C6FFF">
        <w:rPr>
          <w:b/>
        </w:rPr>
        <w:t>GDPR:</w:t>
      </w:r>
      <w:r>
        <w:t xml:space="preserve"> General Data Protection Regulation</w:t>
      </w:r>
    </w:p>
    <w:p w:rsidR="00BC1F09" w:rsidRDefault="00BC1F09" w:rsidP="00BC1F09">
      <w:pPr>
        <w:pBdr>
          <w:top w:val="nil"/>
          <w:left w:val="nil"/>
          <w:bottom w:val="nil"/>
          <w:right w:val="nil"/>
          <w:between w:val="nil"/>
        </w:pBdr>
        <w:tabs>
          <w:tab w:val="left" w:pos="3720"/>
        </w:tabs>
      </w:pPr>
      <w:r w:rsidRPr="009C6FFF">
        <w:rPr>
          <w:b/>
        </w:rPr>
        <w:t>GMP:</w:t>
      </w:r>
      <w:r>
        <w:t xml:space="preserve"> Good Manufacturing Practice</w:t>
      </w:r>
    </w:p>
    <w:p w:rsidR="00BC1F09" w:rsidRDefault="00BC1F09" w:rsidP="00BC1F09">
      <w:pPr>
        <w:pBdr>
          <w:top w:val="nil"/>
          <w:left w:val="nil"/>
          <w:bottom w:val="nil"/>
          <w:right w:val="nil"/>
          <w:between w:val="nil"/>
        </w:pBdr>
        <w:tabs>
          <w:tab w:val="left" w:pos="3720"/>
        </w:tabs>
      </w:pPr>
      <w:r w:rsidRPr="009C6FFF">
        <w:rPr>
          <w:b/>
        </w:rPr>
        <w:t>GTx:</w:t>
      </w:r>
      <w:r>
        <w:t xml:space="preserve"> Gene Therapy</w:t>
      </w:r>
    </w:p>
    <w:p w:rsidR="00BC1F09" w:rsidRDefault="00BC1F09" w:rsidP="00BC1F09">
      <w:pPr>
        <w:pBdr>
          <w:top w:val="nil"/>
          <w:left w:val="nil"/>
          <w:bottom w:val="nil"/>
          <w:right w:val="nil"/>
          <w:between w:val="nil"/>
        </w:pBdr>
        <w:tabs>
          <w:tab w:val="left" w:pos="3720"/>
        </w:tabs>
      </w:pPr>
      <w:r w:rsidRPr="009C6FFF">
        <w:rPr>
          <w:b/>
        </w:rPr>
        <w:t>GVHD:</w:t>
      </w:r>
      <w:r>
        <w:t xml:space="preserve"> Graft-Versus-Host Disease</w:t>
      </w:r>
    </w:p>
    <w:p w:rsidR="00BC1F09" w:rsidRDefault="00BC1F09" w:rsidP="00BC1F09">
      <w:pPr>
        <w:pBdr>
          <w:top w:val="nil"/>
          <w:left w:val="nil"/>
          <w:bottom w:val="nil"/>
          <w:right w:val="nil"/>
          <w:between w:val="nil"/>
        </w:pBdr>
        <w:tabs>
          <w:tab w:val="left" w:pos="3720"/>
        </w:tabs>
      </w:pPr>
      <w:r w:rsidRPr="009C6FFF">
        <w:rPr>
          <w:b/>
        </w:rPr>
        <w:t>HbF:</w:t>
      </w:r>
      <w:r>
        <w:t xml:space="preserve"> Foetal Haemoglobin</w:t>
      </w:r>
    </w:p>
    <w:p w:rsidR="00BC1F09" w:rsidRDefault="00BC1F09" w:rsidP="00BC1F09">
      <w:pPr>
        <w:pBdr>
          <w:top w:val="nil"/>
          <w:left w:val="nil"/>
          <w:bottom w:val="nil"/>
          <w:right w:val="nil"/>
          <w:between w:val="nil"/>
        </w:pBdr>
        <w:tabs>
          <w:tab w:val="left" w:pos="3720"/>
        </w:tabs>
      </w:pPr>
      <w:r w:rsidRPr="009C6FFF">
        <w:rPr>
          <w:b/>
        </w:rPr>
        <w:t>HBB:</w:t>
      </w:r>
      <w:r>
        <w:t xml:space="preserve"> Haemoglobin Subunit Beta (gene)</w:t>
      </w:r>
    </w:p>
    <w:p w:rsidR="00BC1F09" w:rsidRDefault="00BC1F09" w:rsidP="00BC1F09">
      <w:pPr>
        <w:pBdr>
          <w:top w:val="nil"/>
          <w:left w:val="nil"/>
          <w:bottom w:val="nil"/>
          <w:right w:val="nil"/>
          <w:between w:val="nil"/>
        </w:pBdr>
        <w:tabs>
          <w:tab w:val="left" w:pos="3720"/>
        </w:tabs>
      </w:pPr>
      <w:r w:rsidRPr="009C6FFF">
        <w:rPr>
          <w:b/>
        </w:rPr>
        <w:t>HET:</w:t>
      </w:r>
      <w:r>
        <w:t xml:space="preserve"> Health Equity Theory</w:t>
      </w:r>
    </w:p>
    <w:p w:rsidR="00BC1F09" w:rsidRDefault="00BC1F09" w:rsidP="00BC1F09">
      <w:pPr>
        <w:pBdr>
          <w:top w:val="nil"/>
          <w:left w:val="nil"/>
          <w:bottom w:val="nil"/>
          <w:right w:val="nil"/>
          <w:between w:val="nil"/>
        </w:pBdr>
        <w:tabs>
          <w:tab w:val="left" w:pos="3720"/>
        </w:tabs>
      </w:pPr>
      <w:r w:rsidRPr="009C6FFF">
        <w:rPr>
          <w:b/>
        </w:rPr>
        <w:t>HFEA:</w:t>
      </w:r>
      <w:r>
        <w:t xml:space="preserve"> Human Fertilisation and Embryology Authority</w:t>
      </w:r>
    </w:p>
    <w:p w:rsidR="00BC1F09" w:rsidRDefault="00BC1F09" w:rsidP="00BC1F09">
      <w:pPr>
        <w:pBdr>
          <w:top w:val="nil"/>
          <w:left w:val="nil"/>
          <w:bottom w:val="nil"/>
          <w:right w:val="nil"/>
          <w:between w:val="nil"/>
        </w:pBdr>
        <w:tabs>
          <w:tab w:val="left" w:pos="3720"/>
        </w:tabs>
      </w:pPr>
      <w:r w:rsidRPr="009C6FFF">
        <w:rPr>
          <w:b/>
        </w:rPr>
        <w:t>HSCT:</w:t>
      </w:r>
      <w:r>
        <w:t xml:space="preserve"> Haematopoietic Stem Cell Transplantation</w:t>
      </w:r>
    </w:p>
    <w:p w:rsidR="00BC1F09" w:rsidRDefault="00BC1F09" w:rsidP="00BC1F09">
      <w:pPr>
        <w:pBdr>
          <w:top w:val="nil"/>
          <w:left w:val="nil"/>
          <w:bottom w:val="nil"/>
          <w:right w:val="nil"/>
          <w:between w:val="nil"/>
        </w:pBdr>
        <w:tabs>
          <w:tab w:val="left" w:pos="3720"/>
        </w:tabs>
      </w:pPr>
      <w:r w:rsidRPr="009C6FFF">
        <w:rPr>
          <w:b/>
        </w:rPr>
        <w:t>HTA:</w:t>
      </w:r>
      <w:r>
        <w:t xml:space="preserve"> Human Tissue Authority</w:t>
      </w:r>
    </w:p>
    <w:p w:rsidR="00BC1F09" w:rsidRDefault="00BC1F09" w:rsidP="00BC1F09">
      <w:pPr>
        <w:pBdr>
          <w:top w:val="nil"/>
          <w:left w:val="nil"/>
          <w:bottom w:val="nil"/>
          <w:right w:val="nil"/>
          <w:between w:val="nil"/>
        </w:pBdr>
        <w:tabs>
          <w:tab w:val="left" w:pos="3720"/>
        </w:tabs>
      </w:pPr>
      <w:r w:rsidRPr="009C6FFF">
        <w:rPr>
          <w:b/>
        </w:rPr>
        <w:t>JBI:</w:t>
      </w:r>
      <w:r>
        <w:t xml:space="preserve"> Joanna Briggs Institute</w:t>
      </w:r>
    </w:p>
    <w:p w:rsidR="00BC1F09" w:rsidRDefault="00BC1F09" w:rsidP="00BC1F09">
      <w:pPr>
        <w:pBdr>
          <w:top w:val="nil"/>
          <w:left w:val="nil"/>
          <w:bottom w:val="nil"/>
          <w:right w:val="nil"/>
          <w:between w:val="nil"/>
        </w:pBdr>
        <w:tabs>
          <w:tab w:val="left" w:pos="3720"/>
        </w:tabs>
      </w:pPr>
      <w:r w:rsidRPr="009C6FFF">
        <w:rPr>
          <w:b/>
        </w:rPr>
        <w:t>LMIC:</w:t>
      </w:r>
      <w:r>
        <w:t xml:space="preserve"> Low- and Middle-Income Countries</w:t>
      </w:r>
    </w:p>
    <w:p w:rsidR="00BC1F09" w:rsidRDefault="00BC1F09" w:rsidP="00BC1F09">
      <w:pPr>
        <w:pBdr>
          <w:top w:val="nil"/>
          <w:left w:val="nil"/>
          <w:bottom w:val="nil"/>
          <w:right w:val="nil"/>
          <w:between w:val="nil"/>
        </w:pBdr>
        <w:tabs>
          <w:tab w:val="left" w:pos="3720"/>
        </w:tabs>
      </w:pPr>
      <w:r w:rsidRPr="009C6FFF">
        <w:rPr>
          <w:b/>
        </w:rPr>
        <w:t>MHRA:</w:t>
      </w:r>
      <w:r>
        <w:t xml:space="preserve"> Medicines and Healthcare products Regulatory Agency</w:t>
      </w:r>
    </w:p>
    <w:p w:rsidR="00BC1F09" w:rsidRDefault="00BC1F09" w:rsidP="00BC1F09">
      <w:pPr>
        <w:pBdr>
          <w:top w:val="nil"/>
          <w:left w:val="nil"/>
          <w:bottom w:val="nil"/>
          <w:right w:val="nil"/>
          <w:between w:val="nil"/>
        </w:pBdr>
        <w:tabs>
          <w:tab w:val="left" w:pos="3720"/>
        </w:tabs>
      </w:pPr>
      <w:r w:rsidRPr="009C6FFF">
        <w:rPr>
          <w:b/>
        </w:rPr>
        <w:t>NHS:</w:t>
      </w:r>
      <w:r>
        <w:t xml:space="preserve"> National Health Service</w:t>
      </w:r>
    </w:p>
    <w:p w:rsidR="00BC1F09" w:rsidRDefault="00BC1F09" w:rsidP="00BC1F09">
      <w:pPr>
        <w:pBdr>
          <w:top w:val="nil"/>
          <w:left w:val="nil"/>
          <w:bottom w:val="nil"/>
          <w:right w:val="nil"/>
          <w:between w:val="nil"/>
        </w:pBdr>
        <w:tabs>
          <w:tab w:val="left" w:pos="3720"/>
        </w:tabs>
      </w:pPr>
      <w:r w:rsidRPr="009C6FFF">
        <w:rPr>
          <w:b/>
        </w:rPr>
        <w:t>NICE:</w:t>
      </w:r>
      <w:r>
        <w:t xml:space="preserve"> National Institute for Health and Care Excellence</w:t>
      </w:r>
    </w:p>
    <w:p w:rsidR="00BC1F09" w:rsidRDefault="00BC1F09" w:rsidP="00BC1F09">
      <w:pPr>
        <w:pBdr>
          <w:top w:val="nil"/>
          <w:left w:val="nil"/>
          <w:bottom w:val="nil"/>
          <w:right w:val="nil"/>
          <w:between w:val="nil"/>
        </w:pBdr>
        <w:tabs>
          <w:tab w:val="left" w:pos="3720"/>
        </w:tabs>
      </w:pPr>
      <w:r w:rsidRPr="009C6FFF">
        <w:rPr>
          <w:b/>
        </w:rPr>
        <w:t>OCTA:</w:t>
      </w:r>
      <w:r>
        <w:t xml:space="preserve"> Optical Coherence Tomography Angiography</w:t>
      </w:r>
    </w:p>
    <w:p w:rsidR="00BC1F09" w:rsidRDefault="00BC1F09" w:rsidP="00BC1F09">
      <w:pPr>
        <w:pBdr>
          <w:top w:val="nil"/>
          <w:left w:val="nil"/>
          <w:bottom w:val="nil"/>
          <w:right w:val="nil"/>
          <w:between w:val="nil"/>
        </w:pBdr>
        <w:tabs>
          <w:tab w:val="left" w:pos="3720"/>
        </w:tabs>
      </w:pPr>
      <w:r w:rsidRPr="009C6FFF">
        <w:rPr>
          <w:b/>
        </w:rPr>
        <w:lastRenderedPageBreak/>
        <w:t>PICO:</w:t>
      </w:r>
      <w:r>
        <w:t xml:space="preserve"> Population, Intervention, Comparison, Outcome</w:t>
      </w:r>
    </w:p>
    <w:p w:rsidR="00BC1F09" w:rsidRDefault="00BC1F09" w:rsidP="00BC1F09">
      <w:pPr>
        <w:pBdr>
          <w:top w:val="nil"/>
          <w:left w:val="nil"/>
          <w:bottom w:val="nil"/>
          <w:right w:val="nil"/>
          <w:between w:val="nil"/>
        </w:pBdr>
        <w:tabs>
          <w:tab w:val="left" w:pos="3720"/>
        </w:tabs>
      </w:pPr>
      <w:r w:rsidRPr="009C6FFF">
        <w:rPr>
          <w:b/>
        </w:rPr>
        <w:t>PRISMA:</w:t>
      </w:r>
      <w:r>
        <w:t xml:space="preserve"> Preferred Reporting Items for Systematic Reviews and Meta-Analyses</w:t>
      </w:r>
    </w:p>
    <w:p w:rsidR="00BC1F09" w:rsidRDefault="00BC1F09" w:rsidP="00BC1F09">
      <w:pPr>
        <w:pBdr>
          <w:top w:val="nil"/>
          <w:left w:val="nil"/>
          <w:bottom w:val="nil"/>
          <w:right w:val="nil"/>
          <w:between w:val="nil"/>
        </w:pBdr>
        <w:tabs>
          <w:tab w:val="left" w:pos="3720"/>
        </w:tabs>
      </w:pPr>
      <w:r w:rsidRPr="009C6FFF">
        <w:rPr>
          <w:b/>
        </w:rPr>
        <w:t>QALYs:</w:t>
      </w:r>
      <w:r>
        <w:t xml:space="preserve"> Quality-Adjusted Life Years</w:t>
      </w:r>
    </w:p>
    <w:p w:rsidR="00BC1F09" w:rsidRDefault="00BC1F09" w:rsidP="00BC1F09">
      <w:pPr>
        <w:pBdr>
          <w:top w:val="nil"/>
          <w:left w:val="nil"/>
          <w:bottom w:val="nil"/>
          <w:right w:val="nil"/>
          <w:between w:val="nil"/>
        </w:pBdr>
        <w:tabs>
          <w:tab w:val="left" w:pos="3720"/>
        </w:tabs>
      </w:pPr>
      <w:r w:rsidRPr="009C6FFF">
        <w:rPr>
          <w:b/>
        </w:rPr>
        <w:t>RNA:</w:t>
      </w:r>
      <w:r>
        <w:t xml:space="preserve"> Ribonucleic Acid</w:t>
      </w:r>
    </w:p>
    <w:p w:rsidR="00BC1F09" w:rsidRDefault="00BC1F09" w:rsidP="00BC1F09">
      <w:pPr>
        <w:pBdr>
          <w:top w:val="nil"/>
          <w:left w:val="nil"/>
          <w:bottom w:val="nil"/>
          <w:right w:val="nil"/>
          <w:between w:val="nil"/>
        </w:pBdr>
        <w:tabs>
          <w:tab w:val="left" w:pos="3720"/>
        </w:tabs>
      </w:pPr>
      <w:r w:rsidRPr="009C6FFF">
        <w:rPr>
          <w:b/>
        </w:rPr>
        <w:t>SCA:</w:t>
      </w:r>
      <w:r>
        <w:t xml:space="preserve"> Sickle Cell Anaemia</w:t>
      </w:r>
    </w:p>
    <w:p w:rsidR="00BC1F09" w:rsidRDefault="00BC1F09" w:rsidP="00BC1F09">
      <w:pPr>
        <w:pBdr>
          <w:top w:val="nil"/>
          <w:left w:val="nil"/>
          <w:bottom w:val="nil"/>
          <w:right w:val="nil"/>
          <w:between w:val="nil"/>
        </w:pBdr>
        <w:tabs>
          <w:tab w:val="left" w:pos="3720"/>
        </w:tabs>
      </w:pPr>
      <w:r w:rsidRPr="009C6FFF">
        <w:rPr>
          <w:b/>
        </w:rPr>
        <w:t>SCD:</w:t>
      </w:r>
      <w:r>
        <w:t xml:space="preserve"> Sickle Cell Disease</w:t>
      </w:r>
    </w:p>
    <w:p w:rsidR="00BC1F09" w:rsidRDefault="00BC1F09" w:rsidP="00BC1F09">
      <w:pPr>
        <w:pBdr>
          <w:top w:val="nil"/>
          <w:left w:val="nil"/>
          <w:bottom w:val="nil"/>
          <w:right w:val="nil"/>
          <w:between w:val="nil"/>
        </w:pBdr>
        <w:tabs>
          <w:tab w:val="left" w:pos="3720"/>
        </w:tabs>
      </w:pPr>
      <w:r w:rsidRPr="009C6FFF">
        <w:rPr>
          <w:b/>
        </w:rPr>
        <w:t>SDM:</w:t>
      </w:r>
      <w:r>
        <w:t xml:space="preserve"> Shared Decision-Making</w:t>
      </w:r>
    </w:p>
    <w:p w:rsidR="00BC1F09" w:rsidRDefault="00BC1F09" w:rsidP="00BC1F09">
      <w:pPr>
        <w:pBdr>
          <w:top w:val="nil"/>
          <w:left w:val="nil"/>
          <w:bottom w:val="nil"/>
          <w:right w:val="nil"/>
          <w:between w:val="nil"/>
        </w:pBdr>
        <w:tabs>
          <w:tab w:val="left" w:pos="3720"/>
        </w:tabs>
      </w:pPr>
      <w:r w:rsidRPr="009C6FFF">
        <w:rPr>
          <w:b/>
        </w:rPr>
        <w:t>TDT:</w:t>
      </w:r>
      <w:r>
        <w:t xml:space="preserve"> Transfusion-Dependent Thalassaemia</w:t>
      </w:r>
    </w:p>
    <w:p w:rsidR="00BC1F09" w:rsidRDefault="00BC1F09" w:rsidP="00BC1F09">
      <w:pPr>
        <w:pBdr>
          <w:top w:val="nil"/>
          <w:left w:val="nil"/>
          <w:bottom w:val="nil"/>
          <w:right w:val="nil"/>
          <w:between w:val="nil"/>
        </w:pBdr>
        <w:tabs>
          <w:tab w:val="left" w:pos="3720"/>
        </w:tabs>
      </w:pPr>
      <w:r w:rsidRPr="009C6FFF">
        <w:rPr>
          <w:b/>
        </w:rPr>
        <w:t>UK:</w:t>
      </w:r>
      <w:r>
        <w:t xml:space="preserve"> United Kingdom</w:t>
      </w:r>
    </w:p>
    <w:p w:rsidR="00BC1F09" w:rsidRDefault="00BC1F09" w:rsidP="00BC1F09">
      <w:pPr>
        <w:pBdr>
          <w:top w:val="nil"/>
          <w:left w:val="nil"/>
          <w:bottom w:val="nil"/>
          <w:right w:val="nil"/>
          <w:between w:val="nil"/>
        </w:pBdr>
        <w:tabs>
          <w:tab w:val="left" w:pos="3720"/>
        </w:tabs>
      </w:pPr>
      <w:r w:rsidRPr="009C6FFF">
        <w:rPr>
          <w:b/>
        </w:rPr>
        <w:t>US:</w:t>
      </w:r>
      <w:r>
        <w:t xml:space="preserve"> United States</w:t>
      </w:r>
    </w:p>
    <w:p w:rsidR="00BC1F09" w:rsidRDefault="00BC1F09" w:rsidP="00BC1F09">
      <w:pPr>
        <w:pBdr>
          <w:top w:val="nil"/>
          <w:left w:val="nil"/>
          <w:bottom w:val="nil"/>
          <w:right w:val="nil"/>
          <w:between w:val="nil"/>
        </w:pBdr>
        <w:tabs>
          <w:tab w:val="left" w:pos="3720"/>
        </w:tabs>
      </w:pPr>
      <w:r w:rsidRPr="009C6FFF">
        <w:rPr>
          <w:b/>
        </w:rPr>
        <w:t>VOCs:</w:t>
      </w:r>
      <w:r>
        <w:t xml:space="preserve"> Vaso-Occlusive Crises</w:t>
      </w:r>
    </w:p>
    <w:p w:rsidR="00C621A4" w:rsidRPr="002D37E6" w:rsidRDefault="00BC1F09" w:rsidP="00BC1F09">
      <w:pPr>
        <w:pBdr>
          <w:top w:val="nil"/>
          <w:left w:val="nil"/>
          <w:bottom w:val="nil"/>
          <w:right w:val="nil"/>
          <w:between w:val="nil"/>
        </w:pBdr>
        <w:tabs>
          <w:tab w:val="left" w:pos="3720"/>
        </w:tabs>
        <w:rPr>
          <w:rFonts w:ascii="Cambria" w:eastAsia="Cambria" w:hAnsi="Cambria" w:cs="Cambria"/>
          <w:color w:val="000000"/>
        </w:rPr>
      </w:pPr>
      <w:r w:rsidRPr="009C6FFF">
        <w:rPr>
          <w:b/>
        </w:rPr>
        <w:t>WHO:</w:t>
      </w:r>
      <w:r>
        <w:t xml:space="preserve"> World Health Organisation</w:t>
      </w:r>
    </w:p>
    <w:p w:rsidR="00C621A4" w:rsidRPr="002D37E6" w:rsidRDefault="00426EE4">
      <w:pPr>
        <w:pBdr>
          <w:top w:val="nil"/>
          <w:left w:val="nil"/>
          <w:bottom w:val="nil"/>
          <w:right w:val="nil"/>
          <w:between w:val="nil"/>
        </w:pBdr>
        <w:spacing w:before="200"/>
        <w:jc w:val="center"/>
        <w:rPr>
          <w:b/>
          <w:bCs/>
          <w:color w:val="000000"/>
        </w:rPr>
      </w:pPr>
      <w:r w:rsidRPr="002D37E6">
        <w:br w:type="page"/>
      </w:r>
    </w:p>
    <w:p w:rsidR="00C621A4" w:rsidRPr="002D37E6" w:rsidRDefault="00426EE4">
      <w:pPr>
        <w:pStyle w:val="Heading1"/>
        <w:spacing w:after="240"/>
      </w:pPr>
      <w:bookmarkStart w:id="0" w:name="_Toc240897558"/>
      <w:r w:rsidRPr="002D37E6">
        <w:lastRenderedPageBreak/>
        <w:t>Chapter 1: Introduction</w:t>
      </w:r>
      <w:bookmarkEnd w:id="0"/>
    </w:p>
    <w:p w:rsidR="00C621A4" w:rsidRPr="002D37E6" w:rsidRDefault="00426EE4">
      <w:pPr>
        <w:pStyle w:val="Heading2"/>
        <w:spacing w:after="240"/>
      </w:pPr>
      <w:bookmarkStart w:id="1" w:name="_Toc240897559"/>
      <w:r w:rsidRPr="002D37E6">
        <w:t>1.1 Chapter Introduction</w:t>
      </w:r>
      <w:bookmarkEnd w:id="1"/>
    </w:p>
    <w:p w:rsidR="00C621A4" w:rsidRPr="002D37E6" w:rsidRDefault="00426EE4">
      <w:pPr>
        <w:pBdr>
          <w:top w:val="nil"/>
          <w:left w:val="nil"/>
          <w:bottom w:val="nil"/>
          <w:right w:val="nil"/>
          <w:between w:val="nil"/>
        </w:pBdr>
        <w:spacing w:before="200"/>
      </w:pPr>
      <w:r w:rsidRPr="002D37E6">
        <w:t xml:space="preserve">The entire research paper </w:t>
      </w:r>
      <w:r w:rsidR="00A7715E" w:rsidRPr="002D37E6">
        <w:t>has been</w:t>
      </w:r>
      <w:r w:rsidRPr="002D37E6">
        <w:t xml:space="preserve"> focused on understanding the severity and prevalence of sickle cell disease among the UK’s population to prevent this with equitable access to CRISPR-based gene therapy.</w:t>
      </w:r>
    </w:p>
    <w:p w:rsidR="00C621A4" w:rsidRPr="002D37E6" w:rsidRDefault="00426EE4">
      <w:pPr>
        <w:pStyle w:val="Heading2"/>
        <w:spacing w:after="240"/>
      </w:pPr>
      <w:bookmarkStart w:id="2" w:name="_Toc240897560"/>
      <w:r w:rsidRPr="002D37E6">
        <w:t>1.2 Research Background</w:t>
      </w:r>
      <w:bookmarkEnd w:id="2"/>
    </w:p>
    <w:p w:rsidR="00C621A4" w:rsidRPr="002D37E6" w:rsidRDefault="00426EE4">
      <w:pPr>
        <w:pBdr>
          <w:top w:val="nil"/>
          <w:left w:val="nil"/>
          <w:bottom w:val="nil"/>
          <w:right w:val="nil"/>
          <w:between w:val="nil"/>
        </w:pBdr>
        <w:spacing w:before="200" w:after="240"/>
      </w:pPr>
      <w:r w:rsidRPr="002D37E6">
        <w:t xml:space="preserve">Sickle cell disease represents a substantial and growing global health burden, with an estimated 7.74 million people living with the condition worldwide in 2021, a 41.4% rise from 5.46 million in 2000, and more than 515,000 babies born with the disease each year (Thomson </w:t>
      </w:r>
      <w:r w:rsidRPr="002D37E6">
        <w:rPr>
          <w:i/>
          <w:iCs/>
        </w:rPr>
        <w:t>et al.</w:t>
      </w:r>
      <w:r w:rsidRPr="002D37E6">
        <w:t xml:space="preserve"> 2023). Within the UK, prevalence estimates range from around 12,500 to 17,000 affected individuals, making sickle cell disease one of the most common inherited genetic disorders in the country (Dormandy</w:t>
      </w:r>
      <w:r w:rsidR="00863A4E">
        <w:t xml:space="preserve"> </w:t>
      </w:r>
      <w:r w:rsidRPr="002D37E6">
        <w:rPr>
          <w:i/>
          <w:iCs/>
        </w:rPr>
        <w:t>et al.</w:t>
      </w:r>
      <w:r w:rsidRPr="002D37E6">
        <w:t xml:space="preserve"> 2018; NHS England, 2023). London bears a disproportionate share of this national burden, with the highest concentration of sickle cell patients found in the capital, particularly across South London, reflecting the city's larger African and Caribbean-descent population (Williams and Maguire, 2021). Moreover, Sickle-cell disease refers to a serious inherited blood disorder that occurs due to a mutation within the HBB gene. </w:t>
      </w:r>
    </w:p>
    <w:p w:rsidR="00C621A4" w:rsidRPr="002D37E6" w:rsidRDefault="00426EE4">
      <w:pPr>
        <w:pBdr>
          <w:top w:val="nil"/>
          <w:left w:val="nil"/>
          <w:bottom w:val="nil"/>
          <w:right w:val="nil"/>
          <w:between w:val="nil"/>
        </w:pBdr>
        <w:spacing w:before="200" w:after="240"/>
      </w:pPr>
      <w:r w:rsidRPr="002D37E6">
        <w:t xml:space="preserve">Sickle-cell disease is responsible for abnormal and sickle-shaped red blood cells in the human body, which can block the flow of blood cells and cause severe health complications. Global prevalence of sickle-cell disease is also significant, with the total number of people with Sickle-cell disease increasing by 41·4% between 2021 and 2022 (Health Data, 2023). On the other hand, Sickle-cell disease can be defined as a genetic disorder of the human body, which can affect haemoglobin, the molecule in red blood cells and restrict the oxygen-carrying process (WHO, 2025). According to the World Health Organisation, gene therapy is an advanced therapeutic treatment option for patients with sickle-cell disease. For example, the NHS has approved revolutionary gene-editing therapy for patients with sickle-cell disease due to the hope of a cure (NHS, 2025). On the other hand, the implementation of CRISPR-based gene therapy is also applicable for patients with sickle-cell disease. </w:t>
      </w:r>
    </w:p>
    <w:p w:rsidR="00C621A4" w:rsidRPr="002D37E6" w:rsidRDefault="00426EE4">
      <w:pPr>
        <w:pBdr>
          <w:top w:val="nil"/>
          <w:left w:val="nil"/>
          <w:bottom w:val="nil"/>
          <w:right w:val="nil"/>
          <w:between w:val="nil"/>
        </w:pBdr>
        <w:spacing w:before="200" w:after="240"/>
        <w:jc w:val="center"/>
      </w:pPr>
      <w:r w:rsidRPr="002D37E6">
        <w:rPr>
          <w:noProof/>
          <w:lang w:eastAsia="en-GB"/>
        </w:rPr>
        <w:lastRenderedPageBreak/>
        <w:drawing>
          <wp:inline distT="114300" distB="114300" distL="114300" distR="114300">
            <wp:extent cx="5943600" cy="1739900"/>
            <wp:effectExtent l="12700" t="12700" r="12700" b="12700"/>
            <wp:docPr id="4880074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1739900"/>
                    </a:xfrm>
                    <a:prstGeom prst="rect">
                      <a:avLst/>
                    </a:prstGeom>
                    <a:ln w="12700">
                      <a:solidFill>
                        <a:srgbClr val="000000"/>
                      </a:solidFill>
                      <a:prstDash val="solid"/>
                    </a:ln>
                  </pic:spPr>
                </pic:pic>
              </a:graphicData>
            </a:graphic>
          </wp:inline>
        </w:drawing>
      </w:r>
    </w:p>
    <w:p w:rsidR="00C621A4" w:rsidRPr="002D37E6" w:rsidRDefault="00426EE4">
      <w:pPr>
        <w:pStyle w:val="Heading4"/>
        <w:spacing w:before="200" w:after="240"/>
      </w:pPr>
      <w:bookmarkStart w:id="3" w:name="_heading=h.cn2yhhtcy97v" w:colFirst="0" w:colLast="0"/>
      <w:bookmarkStart w:id="4" w:name="_Toc240897628"/>
      <w:bookmarkEnd w:id="3"/>
      <w:r w:rsidRPr="002D37E6">
        <w:t>Figure 1.1 The Market of the UK Sickle Cell Disease Drugs</w:t>
      </w:r>
      <w:bookmarkEnd w:id="4"/>
    </w:p>
    <w:p w:rsidR="00C621A4" w:rsidRPr="002D37E6" w:rsidRDefault="00426EE4">
      <w:pPr>
        <w:pBdr>
          <w:top w:val="nil"/>
          <w:left w:val="nil"/>
          <w:bottom w:val="nil"/>
          <w:right w:val="nil"/>
          <w:between w:val="nil"/>
        </w:pBdr>
        <w:spacing w:before="200" w:after="240"/>
        <w:jc w:val="center"/>
      </w:pPr>
      <w:r w:rsidRPr="002D37E6">
        <w:t>(Source: Insights, 2026)</w:t>
      </w:r>
    </w:p>
    <w:p w:rsidR="00C621A4" w:rsidRPr="002D37E6" w:rsidRDefault="00426EE4">
      <w:pPr>
        <w:pBdr>
          <w:top w:val="nil"/>
          <w:left w:val="nil"/>
          <w:bottom w:val="nil"/>
          <w:right w:val="nil"/>
          <w:between w:val="nil"/>
        </w:pBdr>
        <w:spacing w:before="200" w:after="240"/>
      </w:pPr>
      <w:r w:rsidRPr="002D37E6">
        <w:t xml:space="preserve">Currently, the market for UK Sickle Cell Disease Drugs is going high, supporting the increased risk of sickle cell disease. For example, the market size of the UK Sickle Cell Disease Drugs is expected to increase by a CAGR of 10.6% between 2023 and 2030 (Insights, 2026). However, it has been noticed that the application of CRISPR-based gene therapy among patients with sickle cell disease. CRISPR-based gene therapy refers to a functional cure for patients with sickle cell disease by permanently editing the stem cells of patients to produce healthy foetal haemoglobin. This treatment process can prevent red blood cells from misshaping as well as blood vessel blockage. The NICE, or National Institute for Health and Care Excellence, has recently approved a gene-editing treatment technique for application among NHS patients over the age of 12 who are struggling with a severe form of sickle cell disease (NHS, 2025). It has been observed that the CRISPR-based gene therapy is an example of true revolutionary medical innovation, as it supports an innovative approach in stem cell transplantation. </w:t>
      </w:r>
    </w:p>
    <w:p w:rsidR="00C621A4" w:rsidRPr="002D37E6" w:rsidRDefault="00426EE4">
      <w:pPr>
        <w:pBdr>
          <w:top w:val="nil"/>
          <w:left w:val="nil"/>
          <w:bottom w:val="nil"/>
          <w:right w:val="nil"/>
          <w:between w:val="nil"/>
        </w:pBdr>
        <w:spacing w:before="200" w:after="240"/>
      </w:pPr>
      <w:r w:rsidRPr="002D37E6">
        <w:t xml:space="preserve">The UK is the first country to have approved the CRISPR therapy by considering its efficiency to cover equality access in healthcare practices with Sickle Cell Disease (Chemistry World, 2023). It has been found that Sickle cell disease is more common among people who belong to minority ethnic backgrounds, while treatments have historically been lacking due to the presence of the global disease burden (NHS, 2025). However, this gap can be covered through the implementation of CRISPR-based gene therapy. On the other hand, Sickle cell disorder is also one of the most common genetic conditions in England, with 17,000 people living with this condition (NHS, 2023). Considering these key aspects, the research study has been selected to ensure the well-being of the UK population with sickle cell disorder. </w:t>
      </w:r>
    </w:p>
    <w:p w:rsidR="00C621A4" w:rsidRPr="002D37E6" w:rsidRDefault="00426EE4">
      <w:pPr>
        <w:spacing w:before="200" w:after="240"/>
      </w:pPr>
      <w:r w:rsidRPr="002D37E6">
        <w:lastRenderedPageBreak/>
        <w:t>It has been recognised that the delivery of CRISPR is considered to be uniquely demanding in the UK. For instance, 28 out of 29 SCD patients were recognised to be free from severe pain and 39 out of 42 patients with beta thalassemia no longer required blood transfusions for at least a year (Walsh, 2023). This signifies that the delivery requires mobilisation of autologous hematopoietic stem cells that undergo complex ex vivo genetic editing. Based on this aspect, the NHS has activated specialised Authorised Treatment Centres, which are restricted primarily to major urban hubs (Deaney</w:t>
      </w:r>
      <w:r w:rsidRPr="002D37E6">
        <w:rPr>
          <w:i/>
          <w:iCs/>
        </w:rPr>
        <w:t xml:space="preserve">et al. </w:t>
      </w:r>
      <w:r w:rsidRPr="002D37E6">
        <w:t xml:space="preserve">2024). In essence, the study is going to evaluate whether a regional healthcare infrastructure can accommodate the operational workflow and specialised workforce training that are required to scale SCD treatment safely. </w:t>
      </w:r>
    </w:p>
    <w:p w:rsidR="00C621A4" w:rsidRPr="002D37E6" w:rsidRDefault="00426EE4">
      <w:pPr>
        <w:pStyle w:val="Heading2"/>
        <w:spacing w:after="240"/>
      </w:pPr>
      <w:bookmarkStart w:id="5" w:name="_Toc240897561"/>
      <w:r w:rsidRPr="002D37E6">
        <w:t>1.3 Problem Statement</w:t>
      </w:r>
      <w:bookmarkEnd w:id="5"/>
    </w:p>
    <w:p w:rsidR="00C621A4" w:rsidRPr="002D37E6" w:rsidRDefault="00426EE4">
      <w:pPr>
        <w:pBdr>
          <w:top w:val="nil"/>
          <w:left w:val="nil"/>
          <w:bottom w:val="nil"/>
          <w:right w:val="nil"/>
          <w:between w:val="nil"/>
        </w:pBdr>
        <w:spacing w:before="200"/>
      </w:pPr>
      <w:r w:rsidRPr="002D37E6">
        <w:t>The main problem of this research is to understand and implement equitable access to CRISPR-based gene therapy for the UK’s population with sickle cell disorder or disease (SCD).</w:t>
      </w:r>
    </w:p>
    <w:p w:rsidR="00C621A4" w:rsidRPr="002D37E6" w:rsidRDefault="00426EE4">
      <w:pPr>
        <w:pStyle w:val="Heading2"/>
        <w:spacing w:after="240"/>
      </w:pPr>
      <w:bookmarkStart w:id="6" w:name="_Toc240897562"/>
      <w:r w:rsidRPr="002D37E6">
        <w:t>1.4 Rationale</w:t>
      </w:r>
      <w:bookmarkEnd w:id="6"/>
    </w:p>
    <w:p w:rsidR="00C621A4" w:rsidRPr="002D37E6" w:rsidRDefault="00426EE4">
      <w:pPr>
        <w:pBdr>
          <w:top w:val="nil"/>
          <w:left w:val="nil"/>
          <w:bottom w:val="nil"/>
          <w:right w:val="nil"/>
          <w:between w:val="nil"/>
        </w:pBdr>
        <w:spacing w:before="200" w:after="240"/>
      </w:pPr>
      <w:r w:rsidRPr="002D37E6">
        <w:t xml:space="preserve">The rationale of this research aims to evaluate the role of the public health determinants of equitable access to CRISPR-based gene therapy to address SCD in the UK healthcare system through a systematic literature review. SCD is considered to be one of the most common inherited monogenic disorders in the UK that has affected a massive population in recent times. According to the report of the National Perinatal Epidemiology Unit, SCD is recognised to be the most common genetic disorder worldwide and in the UK, with 12-15,000 affected individuals in the UK (Npeu, 2026). It has been recognised that SCD is a multi-organ disorder characterised by intermittent episodes of severe pain. This results in rapid hospitalisation of victims for treatment and other complications such as chest disease, pulmonary hypertension, stroke, retinopathy and renal failure. SCD has historically suffered from systematic underfunding as well as institutional neglect compared to the generic condition of similar prevalence. </w:t>
      </w:r>
    </w:p>
    <w:p w:rsidR="00C621A4" w:rsidRPr="002D37E6" w:rsidRDefault="00426EE4">
      <w:pPr>
        <w:pBdr>
          <w:top w:val="nil"/>
          <w:left w:val="nil"/>
          <w:bottom w:val="nil"/>
          <w:right w:val="nil"/>
          <w:between w:val="nil"/>
        </w:pBdr>
        <w:spacing w:before="200" w:after="240"/>
        <w:jc w:val="center"/>
      </w:pPr>
      <w:r w:rsidRPr="002D37E6">
        <w:rPr>
          <w:noProof/>
          <w:lang w:eastAsia="en-GB"/>
        </w:rPr>
        <w:lastRenderedPageBreak/>
        <w:drawing>
          <wp:inline distT="0" distB="0" distL="0" distR="0">
            <wp:extent cx="4105275" cy="3267075"/>
            <wp:effectExtent l="12700" t="12700" r="12700" b="12700"/>
            <wp:docPr id="4880074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105275" cy="3267075"/>
                    </a:xfrm>
                    <a:prstGeom prst="rect">
                      <a:avLst/>
                    </a:prstGeom>
                    <a:ln w="12700">
                      <a:solidFill>
                        <a:srgbClr val="000000"/>
                      </a:solidFill>
                      <a:prstDash val="solid"/>
                    </a:ln>
                  </pic:spPr>
                </pic:pic>
              </a:graphicData>
            </a:graphic>
          </wp:inline>
        </w:drawing>
      </w:r>
    </w:p>
    <w:p w:rsidR="00C621A4" w:rsidRPr="002D37E6" w:rsidRDefault="00426EE4">
      <w:pPr>
        <w:pStyle w:val="Heading4"/>
        <w:spacing w:before="200" w:after="240"/>
      </w:pPr>
      <w:bookmarkStart w:id="7" w:name="_heading=h.plfx7umhkkzd" w:colFirst="0" w:colLast="0"/>
      <w:bookmarkStart w:id="8" w:name="_Toc240897629"/>
      <w:bookmarkEnd w:id="7"/>
      <w:r w:rsidRPr="002D37E6">
        <w:t>Figure 1.2: Challenges within the UK’s healthcare system</w:t>
      </w:r>
      <w:bookmarkEnd w:id="8"/>
    </w:p>
    <w:p w:rsidR="00C621A4" w:rsidRPr="002D37E6" w:rsidRDefault="00426EE4">
      <w:pPr>
        <w:pBdr>
          <w:top w:val="nil"/>
          <w:left w:val="nil"/>
          <w:bottom w:val="nil"/>
          <w:right w:val="nil"/>
          <w:between w:val="nil"/>
        </w:pBdr>
        <w:spacing w:before="200" w:after="240"/>
        <w:jc w:val="center"/>
      </w:pPr>
      <w:r w:rsidRPr="002D37E6">
        <w:t>(Source: Minhas, 2026)</w:t>
      </w:r>
    </w:p>
    <w:p w:rsidR="00C621A4" w:rsidRPr="002D37E6" w:rsidRDefault="00426EE4">
      <w:pPr>
        <w:pBdr>
          <w:top w:val="nil"/>
          <w:left w:val="nil"/>
          <w:bottom w:val="nil"/>
          <w:right w:val="nil"/>
          <w:between w:val="nil"/>
        </w:pBdr>
        <w:spacing w:before="200" w:after="240"/>
      </w:pPr>
      <w:r w:rsidRPr="002D37E6">
        <w:t>According to Figure 1, access to training and insufficient staff is the potential challenges faced by UK healthcare professionals and care seekers in recent times. About 55% of care seekers in the UK are facing issues in getting access to medical treatment, whereas 54% of care seekers are facing issues due to a lack of staff (Minhas, 2026). On the other hand, 32% of the survey participants have stated that the UK’s healthcare system is facing issues due to a lack of investment (Minhas, 2026). This is considered to be one of the major reasons for the failure of CRISPR-based gene therapy implementation. </w:t>
      </w:r>
    </w:p>
    <w:p w:rsidR="00C621A4" w:rsidRPr="002D37E6" w:rsidRDefault="00426EE4">
      <w:pPr>
        <w:pBdr>
          <w:top w:val="nil"/>
          <w:left w:val="nil"/>
          <w:bottom w:val="nil"/>
          <w:right w:val="nil"/>
          <w:between w:val="nil"/>
        </w:pBdr>
        <w:spacing w:before="200" w:after="240"/>
      </w:pPr>
      <w:r w:rsidRPr="002D37E6">
        <w:t xml:space="preserve">The UK’s geographic centralisation creates a distinct socio-economic barrier as SCD disproportionately impacts ethnic minority populations who already experience systemic disadvantages. SCD care within the geographical section of the UK is not compared with other genetic disorders like cystic fibrosis, as only 0.5 specialist nurses are available for 100 patients for SCD, and only two per 100 for cystic fibrosis (Thomas, 2025). Apart from this, Patients living in rural areas or small towns in the UK often must travel long distances to big cities for proper care. Thus, the rationale of this research is focused on evaluating the challenges associated </w:t>
      </w:r>
      <w:r w:rsidRPr="002D37E6">
        <w:lastRenderedPageBreak/>
        <w:t xml:space="preserve">with healthcare access, equity and Health System Readiness that are affecting the implementation of CRISPR-Based Gene Therapy for treating SCD in the UK. </w:t>
      </w:r>
    </w:p>
    <w:p w:rsidR="00C621A4" w:rsidRPr="002D37E6" w:rsidRDefault="00426EE4">
      <w:pPr>
        <w:pStyle w:val="Heading2"/>
        <w:spacing w:after="240"/>
      </w:pPr>
      <w:bookmarkStart w:id="9" w:name="_Toc240897563"/>
      <w:r w:rsidRPr="002D37E6">
        <w:t>1.5 Research Question</w:t>
      </w:r>
      <w:bookmarkEnd w:id="9"/>
    </w:p>
    <w:p w:rsidR="00C621A4" w:rsidRPr="002D37E6" w:rsidRDefault="00426EE4">
      <w:pPr>
        <w:numPr>
          <w:ilvl w:val="0"/>
          <w:numId w:val="2"/>
        </w:numPr>
        <w:pBdr>
          <w:top w:val="nil"/>
          <w:left w:val="nil"/>
          <w:bottom w:val="nil"/>
          <w:right w:val="nil"/>
          <w:between w:val="nil"/>
        </w:pBdr>
        <w:spacing w:before="200" w:after="240"/>
      </w:pPr>
      <w:r w:rsidRPr="002D37E6">
        <w:t>What key barriers and facilitators can influence equitable access to CRISPR-based gene therapy for sickle cell disease in the UK?</w:t>
      </w:r>
    </w:p>
    <w:p w:rsidR="00C621A4" w:rsidRPr="002D37E6" w:rsidRDefault="00426EE4">
      <w:pPr>
        <w:pStyle w:val="Heading2"/>
        <w:spacing w:after="240"/>
        <w:rPr>
          <w:i/>
          <w:iCs/>
        </w:rPr>
      </w:pPr>
      <w:bookmarkStart w:id="10" w:name="_Toc240897564"/>
      <w:r w:rsidRPr="002D37E6">
        <w:t>1.6 Research Aim</w:t>
      </w:r>
      <w:bookmarkEnd w:id="10"/>
    </w:p>
    <w:p w:rsidR="00C621A4" w:rsidRPr="002D37E6" w:rsidRDefault="00426EE4">
      <w:pPr>
        <w:pBdr>
          <w:top w:val="nil"/>
          <w:left w:val="nil"/>
          <w:bottom w:val="nil"/>
          <w:right w:val="nil"/>
          <w:between w:val="nil"/>
        </w:pBdr>
        <w:spacing w:before="200" w:after="240"/>
      </w:pPr>
      <w:r w:rsidRPr="002D37E6">
        <w:t xml:space="preserve">The aim of this research is to critically evaluate the role of the public health determinants of equitable access to CRISPR-based gene therapy to address SCD in the UK healthcare system through a systematic literature review. </w:t>
      </w:r>
    </w:p>
    <w:p w:rsidR="00C621A4" w:rsidRPr="002D37E6" w:rsidRDefault="00426EE4">
      <w:pPr>
        <w:pStyle w:val="Heading2"/>
      </w:pPr>
      <w:bookmarkStart w:id="11" w:name="_Toc240897565"/>
      <w:r w:rsidRPr="002D37E6">
        <w:t>1.7 Objectives</w:t>
      </w:r>
      <w:bookmarkEnd w:id="11"/>
    </w:p>
    <w:p w:rsidR="00C621A4" w:rsidRPr="002D37E6" w:rsidRDefault="00426EE4">
      <w:pPr>
        <w:numPr>
          <w:ilvl w:val="0"/>
          <w:numId w:val="3"/>
        </w:numPr>
        <w:pBdr>
          <w:top w:val="nil"/>
          <w:left w:val="nil"/>
          <w:bottom w:val="nil"/>
          <w:right w:val="nil"/>
          <w:between w:val="nil"/>
        </w:pBdr>
        <w:spacing w:before="200" w:after="240"/>
      </w:pPr>
      <w:r w:rsidRPr="002D37E6">
        <w:t>To analyse the key barriers and facilitators affecting access to CRISPR-based gene therapy for individuals with sickle cell disease in the UK</w:t>
      </w:r>
    </w:p>
    <w:p w:rsidR="00C621A4" w:rsidRPr="002D37E6" w:rsidRDefault="00426EE4">
      <w:pPr>
        <w:numPr>
          <w:ilvl w:val="0"/>
          <w:numId w:val="3"/>
        </w:numPr>
        <w:pBdr>
          <w:top w:val="nil"/>
          <w:left w:val="nil"/>
          <w:bottom w:val="nil"/>
          <w:right w:val="nil"/>
          <w:between w:val="nil"/>
        </w:pBdr>
        <w:spacing w:before="200" w:after="240"/>
      </w:pPr>
      <w:r w:rsidRPr="002D37E6">
        <w:t>To evaluate the influence of socioeconomic, ethnic, and geographical factors on equitable access to gene therapy services</w:t>
      </w:r>
    </w:p>
    <w:p w:rsidR="00C621A4" w:rsidRPr="002D37E6" w:rsidRDefault="00426EE4">
      <w:pPr>
        <w:numPr>
          <w:ilvl w:val="0"/>
          <w:numId w:val="3"/>
        </w:numPr>
        <w:pBdr>
          <w:top w:val="nil"/>
          <w:left w:val="nil"/>
          <w:bottom w:val="nil"/>
          <w:right w:val="nil"/>
          <w:between w:val="nil"/>
        </w:pBdr>
        <w:spacing w:before="200" w:after="240"/>
      </w:pPr>
      <w:r w:rsidRPr="002D37E6">
        <w:t>To understand the health system readiness for the implementation of CRISPR-based therapies, including service capacity and infrastructure</w:t>
      </w:r>
    </w:p>
    <w:p w:rsidR="00C621A4" w:rsidRPr="002D37E6" w:rsidRDefault="00426EE4">
      <w:pPr>
        <w:numPr>
          <w:ilvl w:val="0"/>
          <w:numId w:val="3"/>
        </w:numPr>
        <w:pBdr>
          <w:top w:val="nil"/>
          <w:left w:val="nil"/>
          <w:bottom w:val="nil"/>
          <w:right w:val="nil"/>
          <w:between w:val="nil"/>
        </w:pBdr>
        <w:spacing w:before="200" w:after="240"/>
      </w:pPr>
      <w:r w:rsidRPr="002D37E6">
        <w:t>To discuss the potential implications of gene therapy implementation for health inequalities among populations affected by sickle cell disease</w:t>
      </w:r>
    </w:p>
    <w:p w:rsidR="00C621A4" w:rsidRPr="002D37E6" w:rsidRDefault="00426EE4">
      <w:pPr>
        <w:pStyle w:val="Heading2"/>
        <w:spacing w:after="240"/>
      </w:pPr>
      <w:bookmarkStart w:id="12" w:name="_Toc240897566"/>
      <w:r w:rsidRPr="002D37E6">
        <w:lastRenderedPageBreak/>
        <w:t>1.8 Dissertation Outcome</w:t>
      </w:r>
      <w:bookmarkEnd w:id="12"/>
    </w:p>
    <w:p w:rsidR="00C621A4" w:rsidRPr="002D37E6" w:rsidRDefault="00426EE4">
      <w:pPr>
        <w:pBdr>
          <w:top w:val="nil"/>
          <w:left w:val="nil"/>
          <w:bottom w:val="nil"/>
          <w:right w:val="nil"/>
          <w:between w:val="nil"/>
        </w:pBdr>
        <w:tabs>
          <w:tab w:val="center" w:pos="4680"/>
        </w:tabs>
        <w:spacing w:before="200" w:after="240"/>
      </w:pPr>
      <w:r w:rsidRPr="002D37E6">
        <w:tab/>
      </w:r>
      <w:r w:rsidR="002C0289">
        <w:rPr>
          <w:noProof/>
        </w:rPr>
      </w:r>
      <w:r w:rsidR="002C0289">
        <w:rPr>
          <w:noProof/>
        </w:rPr>
        <w:pict>
          <v:group id="Group 488007415" o:spid="_x0000_s1026" style="width:6in;height:252pt;mso-position-horizontal-relative:char;mso-position-vertical-relative:line" coordorigin="26028,21798"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">
            <v:group id="Group 1" o:spid="_x0000_s1027" style="position:absolute;left:26028;top:21798;width:54864;height:32004" coordorigin="26028,21798"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26028;top:21798;width:54864;height:3200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style="mso-next-textbox:#Rectangle 2" inset="2.53958mm,2.53958mm,2.53958mm,2.53958mm">
                  <w:txbxContent>
                    <w:p w:rsidR="00BC1F09" w:rsidRDefault="00BC1F09">
                      <w:pPr>
                        <w:spacing w:line="240" w:lineRule="auto"/>
                        <w:jc w:val="left"/>
                        <w:textDirection w:val="btLr"/>
                      </w:pPr>
                    </w:p>
                  </w:txbxContent>
                </v:textbox>
              </v:rect>
              <v:group id="Group 3" o:spid="_x0000_s1029" style="position:absolute;left:26028;top:21798;width:54864;height:32004"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width:54864;height:3200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style="mso-next-textbox:#Rectangle 4" inset="2.53958mm,2.53958mm,2.53958mm,2.53958mm">
                    <w:txbxContent>
                      <w:p w:rsidR="00BC1F09" w:rsidRDefault="00BC1F09">
                        <w:pPr>
                          <w:spacing w:line="240" w:lineRule="auto"/>
                          <w:jc w:val="left"/>
                          <w:textDirection w:val="btLr"/>
                        </w:pPr>
                      </w:p>
                    </w:txbxContent>
                  </v:textbox>
                </v:rect>
                <v:group id="Group 5" o:spid="_x0000_s1031" style="position:absolute;width:54864;height:32004"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2" style="position:absolute;width:54864;height:3200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" filled="f" stroked="f">
                    <v:textbox style="mso-next-textbox:#Rectangle 6" inset="7pt,3pt,7pt,3pt">
                      <w:txbxContent>
                        <w:p w:rsidR="00BC1F09" w:rsidRDefault="00BC1F09">
                          <w:pPr>
                            <w:spacing w:line="240" w:lineRule="auto"/>
                            <w:jc w:val="left"/>
                            <w:textDirection w:val="btLr"/>
                          </w:pPr>
                        </w:p>
                      </w:txbxContent>
                    </v:textbox>
                  </v:rect>
                  <v:group id="Group 7" o:spid="_x0000_s1033" style="position:absolute;width:54864;height:32004"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34" style="position:absolute;width:54864;height:3200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" filled="f" stroked="f">
                      <v:textbox style="mso-next-textbox:#Rectangle 8" inset="7pt,3pt,7pt,3pt">
                        <w:txbxContent>
                          <w:p w:rsidR="00BC1F09" w:rsidRDefault="00BC1F09">
                            <w:pPr>
                              <w:spacing w:line="240" w:lineRule="auto"/>
                              <w:jc w:val="left"/>
                              <w:textDirection w:val="btLr"/>
                            </w:pPr>
                          </w:p>
                        </w:txbxContent>
                      </v:textbox>
                    </v:rect>
                    <v:group id="Group 9" o:spid="_x0000_s1035" style="position:absolute;width:54864;height:32004"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36" style="position:absolute;width:54864;height:3200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" filled="f" stroked="f">
                        <v:textbox style="mso-next-textbox:#Rectangle 10" inset="7pt,3pt,7pt,3pt">
                          <w:txbxContent>
                            <w:p w:rsidR="00BC1F09" w:rsidRDefault="00BC1F09">
                              <w:pPr>
                                <w:spacing w:line="240" w:lineRule="auto"/>
                                <w:jc w:val="left"/>
                                <w:textDirection w:val="btLr"/>
                              </w:pPr>
                            </w:p>
                          </w:txbxContent>
                        </v:textbox>
                      </v:rect>
                      <v:group id="Group 11" o:spid="_x0000_s1037" style="position:absolute;left:444;width:54417;height:32004" coordsize="54417,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38" style="position:absolute;width:54417;height:3200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" filled="f" stroked="f">
                          <v:textbox style="mso-next-textbox:#Rectangle 12" inset="7pt,3pt,7pt,3pt">
                            <w:txbxContent>
                              <w:p w:rsidR="00BC1F09" w:rsidRDefault="00BC1F09">
                                <w:pPr>
                                  <w:spacing w:line="240" w:lineRule="auto"/>
                                  <w:jc w:val="left"/>
                                  <w:textDirection w:val="btLr"/>
                                </w:pPr>
                              </w:p>
                            </w:txbxContent>
                          </v:textbox>
                        </v:rect>
                        <v:group id="Group 13" o:spid="_x0000_s1039" style="position:absolute;width:53976;height:32004" coordsize="53976,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4" o:spid="_x0000_s1040" style="position:absolute;width:53976;height:32004;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" filled="f" stroked="f">
                            <v:textbox style="mso-next-textbox:#Rectangle 14" inset="7pt,3pt,7pt,3pt">
                              <w:txbxContent>
                                <w:p w:rsidR="00BC1F09" w:rsidRDefault="00BC1F09">
                                  <w:pPr>
                                    <w:spacing w:line="240" w:lineRule="auto"/>
                                    <w:jc w:val="left"/>
                                    <w:textDirection w:val="btLr"/>
                                  </w:pPr>
                                </w:p>
                              </w:txbxContent>
                            </v:textbox>
                          </v:rect>
                          <v:rect id="Rectangle 15" o:spid="_x0000_s1041" style="position:absolute;top:2953;width:53976;height:277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" strokecolor="#4aa9c4" strokeweight="1pt">
                            <v:stroke startarrowwidth="narrow" startarrowlength="short" endarrowwidth="narrow" endarrowlength="short" joinstyle="round"/>
                            <v:textbox style="mso-next-textbox:#Rectangle 15" inset="7pt,3pt,7pt,3pt">
                              <w:txbxContent>
                                <w:p w:rsidR="00BC1F09" w:rsidRDefault="00BC1F09">
                                  <w:pPr>
                                    <w:spacing w:line="240" w:lineRule="auto"/>
                                    <w:jc w:val="left"/>
                                    <w:textDirection w:val="btLr"/>
                                  </w:pPr>
                                </w:p>
                              </w:txbxContent>
                            </v:textbox>
                          </v:rect>
                          <v:roundrect id="Rectangle: Rounded Corners 16" o:spid="_x0000_s1042" style="position:absolute;left:2698;top:1330;width:37784;height:3247;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" fillcolor="#37b3d6" stroked="f">
                            <v:fill color2="#93eaff" angle="180" focus="100%" type="gradient">
                              <o:fill v:ext="view" type="gradientUnscaled"/>
                            </v:fill>
                            <v:textbox style="mso-next-textbox:#Rectangle: Rounded Corners 16" inset="7pt,3pt,7pt,3pt">
                              <w:txbxContent>
                                <w:p w:rsidR="00BC1F09" w:rsidRDefault="00BC1F09">
                                  <w:pPr>
                                    <w:spacing w:line="240" w:lineRule="auto"/>
                                    <w:jc w:val="left"/>
                                    <w:textDirection w:val="btLr"/>
                                  </w:pPr>
                                </w:p>
                              </w:txbxContent>
                            </v:textbox>
                          </v:roundrect>
                          <v:rect id="Rectangle 17" o:spid="_x0000_s1043" style="position:absolute;left:2854;top:1488;width:37472;height:293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" filled="f" stroked="f">
                            <v:textbox style="mso-next-textbox:#Rectangle 17" inset="7pt,3pt,7pt,3pt">
                              <w:txbxContent>
                                <w:p w:rsidR="00BC1F09" w:rsidRDefault="00BC1F09">
                                  <w:pPr>
                                    <w:spacing w:line="215" w:lineRule="auto"/>
                                    <w:textDirection w:val="btLr"/>
                                  </w:pPr>
                                  <w:r>
                                    <w:rPr>
                                      <w:b/>
                                      <w:color w:val="000000"/>
                                    </w:rPr>
                                    <w:t>Chapter 1: Introduction</w:t>
                                  </w:r>
                                </w:p>
                              </w:txbxContent>
                            </v:textbox>
                          </v:rect>
                          <v:rect id="Rectangle 18" o:spid="_x0000_s1044" style="position:absolute;top:7943;width:53976;height:277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" strokecolor="#47cfa2" strokeweight="1pt">
                            <v:stroke startarrowwidth="narrow" startarrowlength="short" endarrowwidth="narrow" endarrowlength="short" joinstyle="round"/>
                            <v:textbox style="mso-next-textbox:#Rectangle 18" inset="7pt,3pt,7pt,3pt">
                              <w:txbxContent>
                                <w:p w:rsidR="00BC1F09" w:rsidRDefault="00BC1F09">
                                  <w:pPr>
                                    <w:spacing w:line="240" w:lineRule="auto"/>
                                    <w:jc w:val="left"/>
                                    <w:textDirection w:val="btLr"/>
                                  </w:pPr>
                                </w:p>
                              </w:txbxContent>
                            </v:textbox>
                          </v:rect>
                          <v:roundrect id="Rectangle: Rounded Corners 19" o:spid="_x0000_s1045" style="position:absolute;left:2698;top:6319;width:37784;height:3248;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" fillcolor="#32e3a8" stroked="f">
                            <v:fill color2="#8bffdf" angle="180" focus="100%" type="gradient">
                              <o:fill v:ext="view" type="gradientUnscaled"/>
                            </v:fill>
                            <v:textbox style="mso-next-textbox:#Rectangle: Rounded Corners 19" inset="7pt,3pt,7pt,3pt">
                              <w:txbxContent>
                                <w:p w:rsidR="00BC1F09" w:rsidRDefault="00BC1F09">
                                  <w:pPr>
                                    <w:spacing w:line="240" w:lineRule="auto"/>
                                    <w:jc w:val="left"/>
                                    <w:textDirection w:val="btLr"/>
                                  </w:pPr>
                                </w:p>
                              </w:txbxContent>
                            </v:textbox>
                          </v:roundrect>
                          <v:rect id="Rectangle 20" o:spid="_x0000_s1046" style="position:absolute;left:2854;top:6478;width:37472;height:293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" filled="f" stroked="f">
                            <v:textbox style="mso-next-textbox:#Rectangle 20" inset="7pt,3pt,7pt,3pt">
                              <w:txbxContent>
                                <w:p w:rsidR="00BC1F09" w:rsidRDefault="00BC1F09">
                                  <w:pPr>
                                    <w:spacing w:line="215" w:lineRule="auto"/>
                                    <w:textDirection w:val="btLr"/>
                                  </w:pPr>
                                  <w:r>
                                    <w:rPr>
                                      <w:b/>
                                      <w:color w:val="000000"/>
                                    </w:rPr>
                                    <w:t>Chapter 2: Literature Review</w:t>
                                  </w:r>
                                </w:p>
                              </w:txbxContent>
                            </v:textbox>
                          </v:rect>
                          <v:rect id="Rectangle 21" o:spid="_x0000_s1047" style="position:absolute;top:12933;width:53976;height:277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" strokecolor="#46d956" strokeweight="1pt">
                            <v:stroke startarrowwidth="narrow" startarrowlength="short" endarrowwidth="narrow" endarrowlength="short" joinstyle="round"/>
                            <v:textbox style="mso-next-textbox:#Rectangle 21" inset="7pt,3pt,7pt,3pt">
                              <w:txbxContent>
                                <w:p w:rsidR="00BC1F09" w:rsidRDefault="00BC1F09">
                                  <w:pPr>
                                    <w:spacing w:line="240" w:lineRule="auto"/>
                                    <w:jc w:val="left"/>
                                    <w:textDirection w:val="btLr"/>
                                  </w:pPr>
                                </w:p>
                              </w:txbxContent>
                            </v:textbox>
                          </v:rect>
                          <v:roundrect id="Rectangle: Rounded Corners 22" o:spid="_x0000_s1048" style="position:absolute;left:2698;top:11309;width:37784;height:3247;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" fillcolor="#2fef44" stroked="f">
                            <v:fill color2="#85ff90" angle="180" focus="100%" type="gradient">
                              <o:fill v:ext="view" type="gradientUnscaled"/>
                            </v:fill>
                            <v:textbox style="mso-next-textbox:#Rectangle: Rounded Corners 22" inset="7pt,3pt,7pt,3pt">
                              <w:txbxContent>
                                <w:p w:rsidR="00BC1F09" w:rsidRDefault="00BC1F09">
                                  <w:pPr>
                                    <w:spacing w:line="240" w:lineRule="auto"/>
                                    <w:jc w:val="left"/>
                                    <w:textDirection w:val="btLr"/>
                                  </w:pPr>
                                </w:p>
                              </w:txbxContent>
                            </v:textbox>
                          </v:roundrect>
                          <v:rect id="Rectangle 23" o:spid="_x0000_s1049" style="position:absolute;left:2854;top:11467;width:37472;height:293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" filled="f" stroked="f">
                            <v:textbox style="mso-next-textbox:#Rectangle 23" inset="7pt,3pt,7pt,3pt">
                              <w:txbxContent>
                                <w:p w:rsidR="00BC1F09" w:rsidRDefault="00BC1F09">
                                  <w:pPr>
                                    <w:spacing w:line="215" w:lineRule="auto"/>
                                    <w:textDirection w:val="btLr"/>
                                  </w:pPr>
                                  <w:r>
                                    <w:rPr>
                                      <w:b/>
                                      <w:color w:val="000000"/>
                                    </w:rPr>
                                    <w:t>Chapter 3: Research Methodology</w:t>
                                  </w:r>
                                </w:p>
                              </w:txbxContent>
                            </v:textbox>
                          </v:rect>
                          <v:rect id="Rectangle 24" o:spid="_x0000_s1050" style="position:absolute;top:17922;width:53976;height:277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" strokecolor="#8be445" strokeweight="1pt">
                            <v:stroke startarrowwidth="narrow" startarrowlength="short" endarrowwidth="narrow" endarrowlength="short" joinstyle="round"/>
                            <v:textbox style="mso-next-textbox:#Rectangle 24" inset="7pt,3pt,7pt,3pt">
                              <w:txbxContent>
                                <w:p w:rsidR="00BC1F09" w:rsidRDefault="00BC1F09">
                                  <w:pPr>
                                    <w:spacing w:line="240" w:lineRule="auto"/>
                                    <w:jc w:val="left"/>
                                    <w:textDirection w:val="btLr"/>
                                  </w:pPr>
                                </w:p>
                              </w:txbxContent>
                            </v:textbox>
                          </v:rect>
                          <v:roundrect id="Rectangle: Rounded Corners 25" o:spid="_x0000_s1051" style="position:absolute;left:2698;top:16299;width:37784;height:3247;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" fillcolor="#88fb2d" stroked="f">
                            <v:fill color2="#b7ff7f" angle="180" focus="100%" type="gradient">
                              <o:fill v:ext="view" type="gradientUnscaled"/>
                            </v:fill>
                            <v:textbox style="mso-next-textbox:#Rectangle: Rounded Corners 25" inset="7pt,3pt,7pt,3pt">
                              <w:txbxContent>
                                <w:p w:rsidR="00BC1F09" w:rsidRDefault="00BC1F09">
                                  <w:pPr>
                                    <w:spacing w:line="240" w:lineRule="auto"/>
                                    <w:jc w:val="left"/>
                                    <w:textDirection w:val="btLr"/>
                                  </w:pPr>
                                </w:p>
                              </w:txbxContent>
                            </v:textbox>
                          </v:roundrect>
                          <v:rect id="Rectangle 26" o:spid="_x0000_s1052" style="position:absolute;left:2854;top:16457;width:37472;height:293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" filled="f" stroked="f">
                            <v:textbox style="mso-next-textbox:#Rectangle 26" inset="7pt,3pt,7pt,3pt">
                              <w:txbxContent>
                                <w:p w:rsidR="00BC1F09" w:rsidRDefault="00BC1F09">
                                  <w:pPr>
                                    <w:spacing w:line="215" w:lineRule="auto"/>
                                    <w:textDirection w:val="btLr"/>
                                  </w:pPr>
                                  <w:r>
                                    <w:rPr>
                                      <w:b/>
                                      <w:color w:val="000000"/>
                                    </w:rPr>
                                    <w:t xml:space="preserve">Chapter 4: Results/ Findings </w:t>
                                  </w:r>
                                </w:p>
                              </w:txbxContent>
                            </v:textbox>
                          </v:rect>
                          <v:rect id="Rectangle 27" o:spid="_x0000_s1053" style="position:absolute;top:22912;width:53976;height:277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" strokecolor="#eded45" strokeweight="1pt">
                            <v:stroke startarrowwidth="narrow" startarrowlength="short" endarrowwidth="narrow" endarrowlength="short" joinstyle="round"/>
                            <v:textbox style="mso-next-textbox:#Rectangle 27" inset="7pt,3pt,7pt,3pt">
                              <w:txbxContent>
                                <w:p w:rsidR="00BC1F09" w:rsidRDefault="00BC1F09">
                                  <w:pPr>
                                    <w:spacing w:line="240" w:lineRule="auto"/>
                                    <w:jc w:val="left"/>
                                    <w:textDirection w:val="btLr"/>
                                  </w:pPr>
                                </w:p>
                              </w:txbxContent>
                            </v:textbox>
                          </v:rect>
                          <v:roundrect id="Rectangle: Rounded Corners 28" o:spid="_x0000_s1054" style="position:absolute;left:2698;top:21288;width:37784;height:3247;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" fillcolor="#ffff2b" stroked="f">
                            <v:fill color2="#ffff7a" angle="180" focus="100%" type="gradient">
                              <o:fill v:ext="view" type="gradientUnscaled"/>
                            </v:fill>
                            <v:textbox style="mso-next-textbox:#Rectangle: Rounded Corners 28" inset="7pt,3pt,7pt,3pt">
                              <w:txbxContent>
                                <w:p w:rsidR="00BC1F09" w:rsidRDefault="00BC1F09">
                                  <w:pPr>
                                    <w:spacing w:line="240" w:lineRule="auto"/>
                                    <w:jc w:val="left"/>
                                    <w:textDirection w:val="btLr"/>
                                  </w:pPr>
                                </w:p>
                              </w:txbxContent>
                            </v:textbox>
                          </v:roundrect>
                          <v:rect id="Rectangle 29" o:spid="_x0000_s1055" style="position:absolute;left:2854;top:21447;width:37472;height:293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" filled="f" stroked="f">
                            <v:textbox style="mso-next-textbox:#Rectangle 29" inset="7pt,3pt,7pt,3pt">
                              <w:txbxContent>
                                <w:p w:rsidR="00BC1F09" w:rsidRDefault="00BC1F09">
                                  <w:pPr>
                                    <w:spacing w:line="215" w:lineRule="auto"/>
                                    <w:textDirection w:val="btLr"/>
                                  </w:pPr>
                                  <w:r>
                                    <w:rPr>
                                      <w:b/>
                                      <w:color w:val="000000"/>
                                    </w:rPr>
                                    <w:t>Chapter 5: Discussion</w:t>
                                  </w:r>
                                </w:p>
                              </w:txbxContent>
                            </v:textbox>
                          </v:rect>
                          <v:rect id="Rectangle 30" o:spid="_x0000_s1056" style="position:absolute;top:27901;width:53976;height:277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" strokecolor="#f69444" strokeweight="1pt">
                            <v:stroke startarrowwidth="narrow" startarrowlength="short" endarrowwidth="narrow" endarrowlength="short" joinstyle="round"/>
                            <v:textbox style="mso-next-textbox:#Rectangle 30" inset="7pt,3pt,7pt,3pt">
                              <w:txbxContent>
                                <w:p w:rsidR="00BC1F09" w:rsidRDefault="00BC1F09">
                                  <w:pPr>
                                    <w:spacing w:line="240" w:lineRule="auto"/>
                                    <w:jc w:val="left"/>
                                    <w:textDirection w:val="btLr"/>
                                  </w:pPr>
                                </w:p>
                              </w:txbxContent>
                            </v:textbox>
                          </v:rect>
                          <v:roundrect id="Rectangle: Rounded Corners 31" o:spid="_x0000_s1057" style="position:absolute;left:2698;top:26278;width:37784;height:3247;visibility:visibl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" fillcolor="#ff9129" stroked="f">
                            <v:fill color2="#ffb674" angle="180" focus="100%" type="gradient">
                              <o:fill v:ext="view" type="gradientUnscaled"/>
                            </v:fill>
                            <v:textbox style="mso-next-textbox:#Rectangle: Rounded Corners 31" inset="7pt,3pt,7pt,3pt">
                              <w:txbxContent>
                                <w:p w:rsidR="00BC1F09" w:rsidRDefault="00BC1F09">
                                  <w:pPr>
                                    <w:spacing w:line="240" w:lineRule="auto"/>
                                    <w:jc w:val="left"/>
                                    <w:textDirection w:val="btLr"/>
                                  </w:pPr>
                                </w:p>
                              </w:txbxContent>
                            </v:textbox>
                          </v:roundrect>
                          <v:rect id="Rectangle 32" o:spid="_x0000_s1058" style="position:absolute;left:2854;top:26436;width:37472;height:2930;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" filled="f" stroked="f">
                            <v:textbox style="mso-next-textbox:#Rectangle 32" inset="7pt,3pt,7pt,3pt">
                              <w:txbxContent>
                                <w:p w:rsidR="00BC1F09" w:rsidRDefault="00BC1F09">
                                  <w:pPr>
                                    <w:spacing w:line="215" w:lineRule="auto"/>
                                    <w:textDirection w:val="btLr"/>
                                  </w:pPr>
                                  <w:r>
                                    <w:rPr>
                                      <w:b/>
                                      <w:color w:val="000000"/>
                                    </w:rPr>
                                    <w:t xml:space="preserve">Chapter 6: Conclusion and Recommendations </w:t>
                                  </w:r>
                                </w:p>
                              </w:txbxContent>
                            </v:textbox>
                          </v:rect>
                        </v:group>
                      </v:group>
                    </v:group>
                  </v:group>
                </v:group>
              </v:group>
            </v:group>
            <w10:wrap type="none"/>
            <w10:anchorlock/>
          </v:group>
        </w:pict>
      </w:r>
    </w:p>
    <w:p w:rsidR="00C621A4" w:rsidRPr="002D37E6" w:rsidRDefault="00426EE4">
      <w:pPr>
        <w:pStyle w:val="Heading4"/>
        <w:spacing w:before="200" w:after="240"/>
      </w:pPr>
      <w:bookmarkStart w:id="13" w:name="_heading=h.qi1opz7of852" w:colFirst="0" w:colLast="0"/>
      <w:bookmarkStart w:id="14" w:name="_Toc240897630"/>
      <w:bookmarkEnd w:id="13"/>
      <w:r w:rsidRPr="002D37E6">
        <w:t>Figure 1.3: Structure of the Dissertation</w:t>
      </w:r>
      <w:bookmarkEnd w:id="14"/>
    </w:p>
    <w:p w:rsidR="00C621A4" w:rsidRPr="002D37E6" w:rsidRDefault="00426EE4">
      <w:pPr>
        <w:pBdr>
          <w:top w:val="nil"/>
          <w:left w:val="nil"/>
          <w:bottom w:val="nil"/>
          <w:right w:val="nil"/>
          <w:between w:val="nil"/>
        </w:pBdr>
        <w:spacing w:before="200" w:after="240"/>
        <w:jc w:val="center"/>
      </w:pPr>
      <w:r w:rsidRPr="002D37E6">
        <w:t>(Source: Developed by learner)</w:t>
      </w:r>
    </w:p>
    <w:p w:rsidR="00C621A4" w:rsidRPr="002D37E6" w:rsidRDefault="00426EE4">
      <w:pPr>
        <w:pBdr>
          <w:top w:val="nil"/>
          <w:left w:val="nil"/>
          <w:bottom w:val="nil"/>
          <w:right w:val="nil"/>
          <w:between w:val="nil"/>
        </w:pBdr>
        <w:spacing w:before="200" w:after="240"/>
      </w:pPr>
      <w:r w:rsidRPr="002D37E6">
        <w:t xml:space="preserve">The entire dissertation includes six chapters, which are presented in the above figure. The first chapter is the introduction chapter, where the research background, rationale, problem statement, aim, objectives and research question are presented for better background-based knowledge of the research topic. In addition, the second chapter is the literature review, where existing literature relevant to the research contexts and objectives is presented along with theoretical underpinnings. The third chapter is the research methodology, which is focused on highlighting the chosen methodology of this research, including philosophy, approach and design. The fourth chapter of this dissertation is Findings or results, where the research findings are presented based on the research objectives. Furthermore, the fifth chapter of this dissertation is a discussion, where the discussion of the research findings is presented to establish the interrelation between existing literature and the research findings. </w:t>
      </w:r>
    </w:p>
    <w:p w:rsidR="00C621A4" w:rsidRPr="002D37E6" w:rsidRDefault="00426EE4">
      <w:pPr>
        <w:pStyle w:val="Heading2"/>
        <w:spacing w:after="240"/>
      </w:pPr>
      <w:bookmarkStart w:id="15" w:name="_Toc240897567"/>
      <w:r w:rsidRPr="002D37E6">
        <w:t>1.9 Chapter Summary</w:t>
      </w:r>
      <w:bookmarkEnd w:id="15"/>
    </w:p>
    <w:p w:rsidR="00C621A4" w:rsidRPr="002D37E6" w:rsidRDefault="00426EE4">
      <w:pPr>
        <w:pBdr>
          <w:top w:val="nil"/>
          <w:left w:val="nil"/>
          <w:bottom w:val="nil"/>
          <w:right w:val="nil"/>
          <w:between w:val="nil"/>
        </w:pBdr>
        <w:spacing w:before="200" w:after="240"/>
      </w:pPr>
      <w:r w:rsidRPr="002D37E6">
        <w:t xml:space="preserve">The overall research paper is significant in terms of addressing the health inequality in the treatment approach of the UK’s population affected by sickle cell disease. Furthermore, it is </w:t>
      </w:r>
      <w:r w:rsidRPr="002D37E6">
        <w:lastRenderedPageBreak/>
        <w:t xml:space="preserve">necessary to mention that the UK’s healthcare system can reduce health inequality through the understanding of the research outcomes in the future context. Amid the persistent discussion in the introduction chapter, this research is significant to enhance the well-being of the UK’s population, who are struggling with sickle cell disease and health inequality through quality outcomes, which are not discussed in existing literature. </w:t>
      </w:r>
    </w:p>
    <w:p w:rsidR="00C621A4" w:rsidRPr="002D37E6" w:rsidRDefault="00426EE4">
      <w:pPr>
        <w:pBdr>
          <w:top w:val="nil"/>
          <w:left w:val="nil"/>
          <w:bottom w:val="nil"/>
          <w:right w:val="nil"/>
          <w:between w:val="nil"/>
        </w:pBdr>
        <w:spacing w:before="200" w:after="240"/>
      </w:pPr>
      <w:r w:rsidRPr="002D37E6">
        <w:br w:type="page"/>
      </w:r>
    </w:p>
    <w:p w:rsidR="00C621A4" w:rsidRPr="002D37E6" w:rsidRDefault="00426EE4">
      <w:pPr>
        <w:pStyle w:val="Heading1"/>
        <w:spacing w:after="240"/>
        <w:rPr>
          <w:b w:val="0"/>
          <w:bCs w:val="0"/>
        </w:rPr>
      </w:pPr>
      <w:bookmarkStart w:id="16" w:name="_Toc240897568"/>
      <w:r w:rsidRPr="002D37E6">
        <w:lastRenderedPageBreak/>
        <w:t>Chapter 2: Literature review</w:t>
      </w:r>
      <w:bookmarkEnd w:id="16"/>
    </w:p>
    <w:p w:rsidR="00C621A4" w:rsidRPr="002D37E6" w:rsidRDefault="00426EE4">
      <w:pPr>
        <w:pStyle w:val="Heading2"/>
        <w:spacing w:after="240"/>
      </w:pPr>
      <w:bookmarkStart w:id="17" w:name="_Toc240897569"/>
      <w:r w:rsidRPr="002D37E6">
        <w:t>2.1 Chapter Introduction</w:t>
      </w:r>
      <w:bookmarkEnd w:id="17"/>
    </w:p>
    <w:p w:rsidR="00C621A4" w:rsidRPr="002D37E6" w:rsidRDefault="00426EE4">
      <w:pPr>
        <w:pBdr>
          <w:top w:val="nil"/>
          <w:left w:val="nil"/>
          <w:bottom w:val="nil"/>
          <w:right w:val="nil"/>
          <w:between w:val="nil"/>
        </w:pBdr>
        <w:spacing w:before="200" w:after="240"/>
      </w:pPr>
      <w:r w:rsidRPr="002D37E6">
        <w:t xml:space="preserve">The chapter is going to evaluate the existing information that is available from existing data sources. The evaluation of this chapter will help in building a strong foundation by summarising, analysing, and connecting past research on the topic. Apart from this, the chapter will help in evaluating the existing literature gap in terms of ensuring the research is new and adds value. Additionally, the chapter will help in supporting the information through vicarious theoretical perspectives in terms of determining their importance in the context of the research topic. </w:t>
      </w:r>
    </w:p>
    <w:p w:rsidR="00C621A4" w:rsidRPr="002D37E6" w:rsidRDefault="00426EE4">
      <w:pPr>
        <w:pStyle w:val="Heading2"/>
        <w:spacing w:after="0"/>
      </w:pPr>
      <w:bookmarkStart w:id="18" w:name="_Toc240897570"/>
      <w:r w:rsidRPr="002D37E6">
        <w:t>2.2 Barriers affecting access to CRISPR-based gene therapy for people with SCD</w:t>
      </w:r>
      <w:bookmarkEnd w:id="18"/>
    </w:p>
    <w:p w:rsidR="00C621A4" w:rsidRPr="002D37E6" w:rsidRDefault="00426EE4">
      <w:pPr>
        <w:pBdr>
          <w:top w:val="nil"/>
          <w:left w:val="nil"/>
          <w:bottom w:val="nil"/>
          <w:right w:val="nil"/>
          <w:between w:val="nil"/>
        </w:pBdr>
        <w:spacing w:before="200"/>
      </w:pPr>
      <w:r w:rsidRPr="002D37E6">
        <w:t xml:space="preserve">It has been recognised that the clinical view of CRISPR-Cas9 therapeutics indicates a present historic shift in the management of sickle cell disease (Singh </w:t>
      </w:r>
      <w:r w:rsidRPr="002D37E6">
        <w:rPr>
          <w:i/>
          <w:iCs/>
        </w:rPr>
        <w:t>et al.</w:t>
      </w:r>
      <w:r w:rsidRPr="002D37E6">
        <w:t xml:space="preserve"> 2024). It mainly supports pivoting organising from lifelong symptomatic suppression towards curative cellular reprogramming. However, the transition for CRISPR-Cas9 therapy from regulatory approval towards an equitable bedside delivery under the NHS is heavily impacted by structural inequalities (Hibbs </w:t>
      </w:r>
      <w:r w:rsidRPr="002D37E6">
        <w:rPr>
          <w:i/>
          <w:iCs/>
        </w:rPr>
        <w:t>et al.</w:t>
      </w:r>
      <w:r w:rsidRPr="002D37E6">
        <w:t xml:space="preserve"> 2025). It suggests that the potential for application of gene therapy using CRISPR approaches to SCD is not limited by the scientific feasibility of the approach, but more by disparities within the healthcare system. As per Abdi </w:t>
      </w:r>
      <w:r w:rsidRPr="002D37E6">
        <w:rPr>
          <w:i/>
          <w:iCs/>
        </w:rPr>
        <w:t xml:space="preserve">et al. </w:t>
      </w:r>
      <w:r w:rsidRPr="002D37E6">
        <w:t xml:space="preserve">(2025), a universal healthcare model is theoretically democratising access as well as the operational reality of offering an autologous gene therapy highlights deep-seated systemic vulnerabilities. </w:t>
      </w:r>
    </w:p>
    <w:p w:rsidR="00C621A4" w:rsidRPr="002D37E6" w:rsidRDefault="00426EE4">
      <w:pPr>
        <w:pBdr>
          <w:top w:val="nil"/>
          <w:left w:val="nil"/>
          <w:bottom w:val="nil"/>
          <w:right w:val="nil"/>
          <w:between w:val="nil"/>
        </w:pBdr>
        <w:spacing w:before="200"/>
        <w:rPr>
          <w:b/>
          <w:bCs/>
          <w:i/>
          <w:iCs/>
        </w:rPr>
      </w:pPr>
      <w:r w:rsidRPr="002D37E6">
        <w:rPr>
          <w:b/>
          <w:bCs/>
          <w:i/>
          <w:iCs/>
        </w:rPr>
        <w:t>Racial and cultural barriers to trust along with uptake</w:t>
      </w:r>
    </w:p>
    <w:p w:rsidR="00C621A4" w:rsidRPr="002D37E6" w:rsidRDefault="00426EE4">
      <w:pPr>
        <w:pBdr>
          <w:top w:val="nil"/>
          <w:left w:val="nil"/>
          <w:bottom w:val="nil"/>
          <w:right w:val="nil"/>
          <w:between w:val="nil"/>
        </w:pBdr>
        <w:spacing w:before="200"/>
      </w:pPr>
      <w:r w:rsidRPr="002D37E6">
        <w:t xml:space="preserve">The prevalence of SCD largely affects individuals of Black African as well as Black Caribbean descent (Jonassaint </w:t>
      </w:r>
      <w:r w:rsidRPr="002D37E6">
        <w:rPr>
          <w:i/>
          <w:iCs/>
        </w:rPr>
        <w:t>et al.</w:t>
      </w:r>
      <w:r w:rsidRPr="002D37E6">
        <w:t xml:space="preserve"> 2023). The existing literature has highlighted the need for a comprehensive discussion regarding access towards a gene therapy, which must confront interpersonal and structural realities of anti-Black racism and be embedded within historical healthcare delivery (Fletcher </w:t>
      </w:r>
      <w:r w:rsidRPr="002D37E6">
        <w:rPr>
          <w:i/>
          <w:iCs/>
        </w:rPr>
        <w:t>et al.</w:t>
      </w:r>
      <w:r w:rsidRPr="002D37E6">
        <w:t xml:space="preserve"> 2022). Specialist centres, then, may also be concentrated in particular geographic areas and so disadvantage patients in rural or deprived communities. This also stands in stark contrast, as well as inequitable contrast in order to the genetic conditions for a similar prevalence that affects predominantly White populations like cystic fibrosis. Therefore, underfunding, systemic bias, as well as racial disparity are recognised to contribute to worse clinical outcomes and also stigmatisation for SCD patients. </w:t>
      </w:r>
    </w:p>
    <w:p w:rsidR="00C621A4" w:rsidRPr="002D37E6" w:rsidRDefault="00426EE4">
      <w:pPr>
        <w:pBdr>
          <w:top w:val="nil"/>
          <w:left w:val="nil"/>
          <w:bottom w:val="nil"/>
          <w:right w:val="nil"/>
          <w:between w:val="nil"/>
        </w:pBdr>
        <w:spacing w:before="200"/>
      </w:pPr>
      <w:r w:rsidRPr="002D37E6">
        <w:lastRenderedPageBreak/>
        <w:t xml:space="preserve">On the other hand, the systemic neglect of treatment for SCD patients during Gene Therapy is influenced by a profound and multi-generational medical mistrust in minority ethnic communities (Wright </w:t>
      </w:r>
      <w:r w:rsidRPr="002D37E6">
        <w:rPr>
          <w:i/>
          <w:iCs/>
        </w:rPr>
        <w:t>et al.</w:t>
      </w:r>
      <w:r w:rsidRPr="002D37E6">
        <w:t xml:space="preserve"> 2025). When high-complexity genetic therapies such as CRISPR-Cas9 therapeutics are introduced, the mistrust leads to lower clinical uptake, heightened anxiety regarding safety and scepticism toward novel interventions. Based on the views of Saghya Infant and CM (2025), CRISPR-Cas9 apprehensions have been further intensified by the recent and abrupt regulatory restrictions of other novel SCD pharmaceuticals because of disappointing real-world benefits. Moreover, the prevalence of racism and poor SCD care in the past can foster mistrust in the largely Black African and Caribbean communities, which could limit involvement in novel genetic interventions. </w:t>
      </w:r>
    </w:p>
    <w:p w:rsidR="00C621A4" w:rsidRPr="002D37E6" w:rsidRDefault="00426EE4">
      <w:pPr>
        <w:pBdr>
          <w:top w:val="nil"/>
          <w:left w:val="nil"/>
          <w:bottom w:val="nil"/>
          <w:right w:val="nil"/>
          <w:between w:val="nil"/>
        </w:pBdr>
        <w:spacing w:before="200"/>
        <w:rPr>
          <w:b/>
          <w:bCs/>
          <w:i/>
          <w:iCs/>
        </w:rPr>
      </w:pPr>
      <w:r w:rsidRPr="002D37E6">
        <w:rPr>
          <w:b/>
          <w:bCs/>
          <w:i/>
          <w:iCs/>
        </w:rPr>
        <w:t>Infrastructural barriers to treatment delivery</w:t>
      </w:r>
    </w:p>
    <w:p w:rsidR="00C621A4" w:rsidRPr="002D37E6" w:rsidRDefault="00426EE4">
      <w:pPr>
        <w:pBdr>
          <w:top w:val="nil"/>
          <w:left w:val="nil"/>
          <w:bottom w:val="nil"/>
          <w:right w:val="nil"/>
          <w:between w:val="nil"/>
        </w:pBdr>
        <w:spacing w:before="200"/>
      </w:pPr>
      <w:r w:rsidRPr="002D37E6">
        <w:t>It has been recognised that the highly specialised nature of autologous gene therapy fo</w:t>
      </w:r>
      <w:r w:rsidR="00F33298">
        <w:t>r SCD</w:t>
      </w:r>
      <w:r w:rsidRPr="002D37E6">
        <w:t xml:space="preserve"> has created severe geographical inequities across the UK. As per the views of Nieland</w:t>
      </w:r>
      <w:r w:rsidRPr="002D37E6">
        <w:rPr>
          <w:i/>
          <w:iCs/>
        </w:rPr>
        <w:t xml:space="preserve">et al. </w:t>
      </w:r>
      <w:r w:rsidRPr="002D37E6">
        <w:t>(2025), CRISPR therapies are not administered at the local district general hospitals as wel</w:t>
      </w:r>
      <w:r w:rsidR="00F33298">
        <w:t>l as secondary care centres. SCD</w:t>
      </w:r>
      <w:r w:rsidRPr="002D37E6">
        <w:t xml:space="preserve"> patients are commonly treated in Advanced Therapy Treatment Centres equipped with adult intensive care units. The context of Advanced Therapy Treatment also highlights the advanced apheresis capabilities and specialised haematology teams who are capable of managing severe bone marrow failure as well as the complex transplant toxicities (Whitaker, 2022). On the contrary, the tertiary genetic and genomic services are deeply centralised within major English metropolitan hubs (Monahan </w:t>
      </w:r>
      <w:r w:rsidRPr="002D37E6">
        <w:rPr>
          <w:i/>
          <w:iCs/>
        </w:rPr>
        <w:t>et al.</w:t>
      </w:r>
      <w:r w:rsidRPr="002D37E6">
        <w:t xml:space="preserve"> 2023). These barriers do not exist in isolation; for example, a child might be socially disadvantaged. This turn can limit mobility, or might not be able to trust people that are not of their own race, which can hinder utilization of specialised services. </w:t>
      </w:r>
    </w:p>
    <w:p w:rsidR="00C621A4" w:rsidRPr="002D37E6" w:rsidRDefault="00426EE4">
      <w:pPr>
        <w:pBdr>
          <w:top w:val="nil"/>
          <w:left w:val="nil"/>
          <w:bottom w:val="nil"/>
          <w:right w:val="nil"/>
          <w:between w:val="nil"/>
        </w:pBdr>
        <w:spacing w:before="200"/>
        <w:rPr>
          <w:b/>
          <w:bCs/>
          <w:i/>
          <w:iCs/>
        </w:rPr>
      </w:pPr>
      <w:r w:rsidRPr="002D37E6">
        <w:rPr>
          <w:b/>
          <w:bCs/>
          <w:i/>
          <w:iCs/>
        </w:rPr>
        <w:t>Financial and socioeconomic barriers to the demanding treatment journey</w:t>
      </w:r>
    </w:p>
    <w:p w:rsidR="00C621A4" w:rsidRPr="002D37E6" w:rsidRDefault="00426EE4">
      <w:pPr>
        <w:pBdr>
          <w:top w:val="nil"/>
          <w:left w:val="nil"/>
          <w:bottom w:val="nil"/>
          <w:right w:val="nil"/>
          <w:between w:val="nil"/>
        </w:pBdr>
        <w:spacing w:before="200"/>
      </w:pPr>
      <w:r w:rsidRPr="002D37E6">
        <w:t xml:space="preserve">It has been recognised that CRISPR is a novel and emerging technology and was first discovered in bacterial immune systems, which can cut DNA strands and also be used as a “gene-editing tool”. As per the views of Tao </w:t>
      </w:r>
      <w:r w:rsidRPr="002D37E6">
        <w:rPr>
          <w:i/>
          <w:iCs/>
        </w:rPr>
        <w:t xml:space="preserve">et al. </w:t>
      </w:r>
      <w:r w:rsidRPr="002D37E6">
        <w:t xml:space="preserve">(2023), a guide ribonucleic acid (RNA) leads the CRISPR-associated nuclease towards the target DNA sequence and actually, the cut is made. Such edits change the function of the gene, establishing genes as non-functional as well as replacing the coding sequence for 1 gene with another. In the geographical section of the UK, the NHS operates by following a universal framework, and the NICE evaluates and also covers treatment costs. It promotes free point-of-care access, but it does not automatically </w:t>
      </w:r>
      <w:r w:rsidRPr="002D37E6">
        <w:lastRenderedPageBreak/>
        <w:t xml:space="preserve">guarantee social equity. Zapata-Moya </w:t>
      </w:r>
      <w:r w:rsidRPr="002D37E6">
        <w:rPr>
          <w:i/>
          <w:iCs/>
        </w:rPr>
        <w:t xml:space="preserve">et al. </w:t>
      </w:r>
      <w:r w:rsidRPr="002D37E6">
        <w:t>(2023) have stated on the Fundamental</w:t>
      </w:r>
      <w:r w:rsidRPr="002D37E6">
        <w:rPr>
          <w:i/>
          <w:iCs/>
        </w:rPr>
        <w:t xml:space="preserve"> Cause Theory</w:t>
      </w:r>
      <w:r w:rsidRPr="002D37E6">
        <w:t xml:space="preserve"> that highlights a socioeconomically advantaged population disproportionately benefiting from medical innovations. Thus, financial, educational, and social capital are needed to navigate complex health systems and further act as early adopters.</w:t>
      </w:r>
    </w:p>
    <w:p w:rsidR="00C621A4" w:rsidRPr="002D37E6" w:rsidRDefault="00426EE4">
      <w:pPr>
        <w:pBdr>
          <w:top w:val="nil"/>
          <w:left w:val="nil"/>
          <w:bottom w:val="nil"/>
          <w:right w:val="nil"/>
          <w:between w:val="nil"/>
        </w:pBdr>
        <w:spacing w:before="200" w:after="240"/>
      </w:pPr>
      <w:r w:rsidRPr="002D37E6">
        <w:t xml:space="preserve">On the contrary, Hu </w:t>
      </w:r>
      <w:r w:rsidRPr="002D37E6">
        <w:rPr>
          <w:i/>
          <w:iCs/>
        </w:rPr>
        <w:t xml:space="preserve">et al. </w:t>
      </w:r>
      <w:r w:rsidRPr="002D37E6">
        <w:t>(2025) have recognised that, for low-income families, the non-clinical costs of the CRISPR rigorous regimen are frequently prohibitive. Equitable implementation goes beyond regulatory authorisation and financial reimbursement. It is the need to engage in culturally responsive ways, to provide decentralized pathways of support and practical help to the patient during the long treatment journey. The travel expenses to specialised centres, as well as the specialised childcare costs for other dependents, are other factors behind the hindrance. Therefore, without robust and state-funded financial and social safety nets built directly into the NHS delivery model. The lowest socioeconomic factor of the SCD population often finds the treatment practically inaccessible, as well as despite full theoretical funding from the state.</w:t>
      </w:r>
    </w:p>
    <w:p w:rsidR="00C621A4" w:rsidRPr="002D37E6" w:rsidRDefault="00426EE4">
      <w:pPr>
        <w:pStyle w:val="Heading2"/>
      </w:pPr>
      <w:bookmarkStart w:id="19" w:name="_Toc240897571"/>
      <w:r w:rsidRPr="002D37E6">
        <w:t>2.3 Elaboration of different factors influencing gene therapy service access</w:t>
      </w:r>
      <w:bookmarkEnd w:id="19"/>
    </w:p>
    <w:p w:rsidR="00C621A4" w:rsidRPr="002D37E6" w:rsidRDefault="00426EE4">
      <w:pPr>
        <w:pBdr>
          <w:top w:val="nil"/>
          <w:left w:val="nil"/>
          <w:bottom w:val="nil"/>
          <w:right w:val="nil"/>
          <w:between w:val="nil"/>
        </w:pBdr>
        <w:spacing w:before="200" w:after="200"/>
      </w:pPr>
      <w:r w:rsidRPr="002D37E6">
        <w:t xml:space="preserve">Sickle Cell Disease (SCD) is a serious inherited blood disorder that mainly affects people from African, Middle Eastern, and Caribbean backgrounds and causes red blood cells to become sickle-shaped. CRISPR-based gene therapy is focused on modifying faulty genes and providing long-term care to patients, although access to this treatment is not equal for all populations. According to the viewpoint of Kolanu (2024), CRISPR-based methods have been used to create diagnostic tests for virus detection, allowing fast and accurate identification of viral pathogens. Equitable access to health care emphasises that all individuals have fair opportunities to receive appropriate health care services regardless of income, ethnicity or location. More than that, Rueda </w:t>
      </w:r>
      <w:r w:rsidRPr="002D37E6">
        <w:rPr>
          <w:i/>
          <w:iCs/>
        </w:rPr>
        <w:t>et al.</w:t>
      </w:r>
      <w:r w:rsidRPr="002D37E6">
        <w:t xml:space="preserve"> (2024) have argued that if CRISPR-based gene therapies do not reach patients, it creates a double burden for patients, while also being unable to afford the treatment. The collective analysis of the existing evidence on CRISPR-based gene therapies for SCD outlined that it reduces the complexities of painful, severe Vaso-occlusive crises. Thus, this outlined that equitable access to CRISPR-based gene therapy is significant for restoring blood flow and to improving care outcomes through reducing treatment-related pain. </w:t>
      </w:r>
    </w:p>
    <w:p w:rsidR="00C621A4" w:rsidRPr="002D37E6" w:rsidRDefault="00426EE4">
      <w:pPr>
        <w:pBdr>
          <w:top w:val="nil"/>
          <w:left w:val="nil"/>
          <w:bottom w:val="nil"/>
          <w:right w:val="nil"/>
          <w:between w:val="nil"/>
        </w:pBdr>
        <w:spacing w:before="200" w:after="200"/>
      </w:pPr>
      <w:r w:rsidRPr="002D37E6">
        <w:t xml:space="preserve">Socioeconomic, ethnic and geographical factors play a crucial role in determining which individuals benefit from innovative therapies. Socioeconomic status is one of the strongest factors influencing access to healthcare services, especially for gene therapy. As mentioned by </w:t>
      </w:r>
      <w:r w:rsidRPr="002D37E6">
        <w:lastRenderedPageBreak/>
        <w:t xml:space="preserve">Lu </w:t>
      </w:r>
      <w:r w:rsidRPr="002D37E6">
        <w:rPr>
          <w:i/>
          <w:iCs/>
        </w:rPr>
        <w:t xml:space="preserve">et al. </w:t>
      </w:r>
      <w:r w:rsidRPr="002D37E6">
        <w:t xml:space="preserve">(2026), SCD reduces life expectancy by around thirty years, with a major severe impact in low-income groups. Individuals from lower-income backgrounds often face multiple barriers when seeking treatment, including limited financial resources, unstable employment and others. Difficulties taking time off for medical appointments and a lack of transportation may also affect access to gene therapy. Although the NHS provides healthcare services without direct payment, indirect costs affect access significantly. It has been argued by Fatima </w:t>
      </w:r>
      <w:r w:rsidRPr="002D37E6">
        <w:rPr>
          <w:i/>
          <w:iCs/>
        </w:rPr>
        <w:t xml:space="preserve">et al. </w:t>
      </w:r>
      <w:r w:rsidRPr="002D37E6">
        <w:t xml:space="preserve">(2025), that people who live in low-income areas face difficulties accessing SCD treatment because of poor medical care. Thus, evidence from analysis of the existing literature has outlined that repeated hospital visits, long-term monitoring and other factors create difficulties for lower-income families, while additional costs can create challenges. </w:t>
      </w:r>
    </w:p>
    <w:p w:rsidR="00C621A4" w:rsidRPr="002D37E6" w:rsidRDefault="00426EE4">
      <w:pPr>
        <w:pBdr>
          <w:top w:val="nil"/>
          <w:left w:val="nil"/>
          <w:bottom w:val="nil"/>
          <w:right w:val="nil"/>
          <w:between w:val="nil"/>
        </w:pBdr>
        <w:spacing w:before="200" w:after="200"/>
      </w:pPr>
      <w:r w:rsidRPr="002D37E6">
        <w:t xml:space="preserve">Socioeconomic deprivation is associated with poorer health outcomes in people with SCD because living in deprived areas can result in delayed treatment and reduced access to specialist care. Similarly, Woodward </w:t>
      </w:r>
      <w:r w:rsidRPr="002D37E6">
        <w:rPr>
          <w:i/>
          <w:iCs/>
        </w:rPr>
        <w:t>et al.</w:t>
      </w:r>
      <w:r w:rsidRPr="002D37E6">
        <w:t xml:space="preserve"> (2024) have outlined that insecure or unstable housing is linked to socioeconomic deprivation and also negatively affects self-management. Specifically, socioeconomic conditions prevent equal access to gene therapy, especially due to high levels of healthcare engagement and follow-up care. Individuals with low health literacy may also face challenges understanding complex healthcare information, which makes informed decision-making more difficult. As argued by Obeagu and John (2025), poverty may make it difficult to afford transportation to clinic visits, while low health literacy reduces understanding of disease management.</w:t>
      </w:r>
    </w:p>
    <w:p w:rsidR="00C621A4" w:rsidRPr="002D37E6" w:rsidRDefault="00426EE4">
      <w:pPr>
        <w:pBdr>
          <w:top w:val="nil"/>
          <w:left w:val="nil"/>
          <w:bottom w:val="nil"/>
          <w:right w:val="nil"/>
          <w:between w:val="nil"/>
        </w:pBdr>
        <w:spacing w:before="200" w:after="200"/>
      </w:pPr>
      <w:r w:rsidRPr="002D37E6">
        <w:t xml:space="preserve">Ethnicity is a crucial factor affecting equitable access to gene therapy for SCD, mainly creating a significant impact on ethnic minority populations in terms of racial and ethnic inequalities. In other words, SCD affects ethnic minority populations, and understanding racial or ethnic inequalities is important for equal access to gene therapy. Based on the views of Fernández </w:t>
      </w:r>
      <w:r w:rsidRPr="002D37E6">
        <w:rPr>
          <w:i/>
          <w:iCs/>
        </w:rPr>
        <w:t xml:space="preserve">et al. </w:t>
      </w:r>
      <w:r w:rsidRPr="002D37E6">
        <w:t>(2024), generalised treatment may not be effective for all ethnic groups because Afro-Colombian populations have higher rates of SCD requires targeted strategies. However, minority ethnic groups in the UK often experience poorer healthcare compared with the majority population, including delayed diagnosis, inadequate pain management and others. Inequality directly leads to poorer health outcomes and higher mortality rates among marginalised groups, such as black infants having a higher mortality rate than other racial groups due to SCD (Khaparde, 2025). Cultural beliefs and communication barriers are also related to ethnicity, while minority populations are underrepresented in medical care.</w:t>
      </w:r>
    </w:p>
    <w:p w:rsidR="00C621A4" w:rsidRPr="002D37E6" w:rsidRDefault="00426EE4">
      <w:pPr>
        <w:pBdr>
          <w:top w:val="nil"/>
          <w:left w:val="nil"/>
          <w:bottom w:val="nil"/>
          <w:right w:val="nil"/>
          <w:between w:val="nil"/>
        </w:pBdr>
        <w:spacing w:before="200" w:after="200"/>
      </w:pPr>
      <w:r w:rsidRPr="002D37E6">
        <w:lastRenderedPageBreak/>
        <w:t xml:space="preserve">Patients living in rural areas face significant difficulties in accessing gene therapy because of the travel burden. As per the views of Kelkar </w:t>
      </w:r>
      <w:r w:rsidRPr="002D37E6">
        <w:rPr>
          <w:i/>
          <w:iCs/>
        </w:rPr>
        <w:t xml:space="preserve">et al. </w:t>
      </w:r>
      <w:r w:rsidRPr="002D37E6">
        <w:t xml:space="preserve">(2025), unequal distribution of treatment centres compared to the population’s limits access to gene therapy at both national and global levels. Long travel times, financial cost and fatigue make it difficult for SCD patients in terms of creating unequal access even if services are available. Regional differences in healthcare also contribute to inequality because some NHS regions may have more trained professionals than others. It has been stated by Wahab </w:t>
      </w:r>
      <w:r w:rsidRPr="002D37E6">
        <w:rPr>
          <w:i/>
          <w:iCs/>
        </w:rPr>
        <w:t xml:space="preserve">et al. </w:t>
      </w:r>
      <w:r w:rsidRPr="002D37E6">
        <w:t xml:space="preserve">(2024), that differences in healthcare access and outcomes are most common among poor people living in urban inner-city and rural areas, due to varying support systems. Moreover, healthcare quality highly depends on regional service capacity and fewer specialists may result in delays in referring patients quickly to treatment. </w:t>
      </w:r>
    </w:p>
    <w:p w:rsidR="00C621A4" w:rsidRPr="002D37E6" w:rsidRDefault="00426EE4">
      <w:pPr>
        <w:pStyle w:val="Heading2"/>
      </w:pPr>
      <w:bookmarkStart w:id="20" w:name="_Toc240897572"/>
      <w:r w:rsidRPr="002D37E6">
        <w:t>2.4 Demonstrating health system readiness for CRISPR-based therapies</w:t>
      </w:r>
      <w:bookmarkEnd w:id="20"/>
    </w:p>
    <w:p w:rsidR="00C621A4" w:rsidRPr="002D37E6" w:rsidRDefault="00426EE4">
      <w:pPr>
        <w:pBdr>
          <w:top w:val="nil"/>
          <w:left w:val="nil"/>
          <w:bottom w:val="nil"/>
          <w:right w:val="nil"/>
          <w:between w:val="nil"/>
        </w:pBdr>
        <w:spacing w:before="200" w:after="200"/>
      </w:pPr>
      <w:r w:rsidRPr="002D37E6">
        <w:t xml:space="preserve">Successful implementation of CRISPR-based therapies requires health system readiness because it is highly advanced. Proper service capacity, skilled staff and specialised infrastructure, such as laboratories and storage systems, are crucial factors, as inadequate preparation can result in a struggle to deliver treatment. According to the viewpoint of Simeon </w:t>
      </w:r>
      <w:r w:rsidRPr="002D37E6">
        <w:rPr>
          <w:i/>
          <w:iCs/>
        </w:rPr>
        <w:t xml:space="preserve">et al. </w:t>
      </w:r>
      <w:r w:rsidRPr="002D37E6">
        <w:t>(2025), CRISPR-based treatments require better infrastructure, including laboratories with advanced gene-editing tools and bioinformatics support. Several complex steps of CRISPR-based gene therapy, including patient assessment and long-term follow-up care, indicate the importance of sufficient staff, time and resources. However, an increase in demand and a limited number of specialist centres in the UK can lead to delays in treatment. Skilled healthcare professionals are also essential because CRISPR-based gene therapy requires multidisciplinary teams, including haematologists, pharmacists and counsellors. Advanced infrastructure, including clean laboratories, apheresis units, storage systems and highly skilled staff, is important for gene therapy (Makuku</w:t>
      </w:r>
      <w:r w:rsidRPr="002D37E6">
        <w:rPr>
          <w:i/>
          <w:iCs/>
        </w:rPr>
        <w:t xml:space="preserve">et al. </w:t>
      </w:r>
      <w:r w:rsidRPr="002D37E6">
        <w:t>2026). Specialised training for professionals is important to help them understand technology, apart from managing treatment risks and supporting patients effectively.</w:t>
      </w:r>
    </w:p>
    <w:p w:rsidR="00C621A4" w:rsidRPr="002D37E6" w:rsidRDefault="00426EE4">
      <w:pPr>
        <w:pBdr>
          <w:top w:val="nil"/>
          <w:left w:val="nil"/>
          <w:bottom w:val="nil"/>
          <w:right w:val="nil"/>
          <w:between w:val="nil"/>
        </w:pBdr>
        <w:spacing w:before="200" w:after="200"/>
      </w:pPr>
      <w:r w:rsidRPr="002D37E6">
        <w:t xml:space="preserve">Specialist clinical infrastructure capable of delivering complex gene editing therapies is a key element of the health system readiness for gene editing therapies. The treatment for SCD using a CRISPR system is based on ex vivo genome editing of patients’ haematopoietic stem cells. Sickle-cell disease (SCD) is caused by an A·T-to-T·A transversion mutation in the β-globin gene (HBB) (Everette </w:t>
      </w:r>
      <w:r w:rsidRPr="002D37E6">
        <w:rPr>
          <w:i/>
          <w:iCs/>
        </w:rPr>
        <w:t xml:space="preserve">et al. </w:t>
      </w:r>
      <w:r w:rsidRPr="002D37E6">
        <w:t xml:space="preserve">2023). Such procedures are dependent on advanced cell-processing facilities, Good Manufacturing Practice (GMP) certified laboratories, transplantation units and </w:t>
      </w:r>
      <w:r w:rsidRPr="002D37E6">
        <w:lastRenderedPageBreak/>
        <w:t xml:space="preserve">multi-disciplinary clinical teams. The NHS has a wide range of internationally recognised expertise, and proposed solutions and future directions include extending genetic test ordering authority to include mainstream clinicians and establishing unambiguous eligibility criteria (Karthikeyan </w:t>
      </w:r>
      <w:r w:rsidRPr="002D37E6">
        <w:rPr>
          <w:i/>
          <w:iCs/>
        </w:rPr>
        <w:t>et al.</w:t>
      </w:r>
      <w:r w:rsidRPr="002D37E6">
        <w:t xml:space="preserve"> 2024). This means that geographical differences are still an issue as patients in rural and disadvantaged areas could face large obstacles to accessing specialist treatment services. </w:t>
      </w:r>
    </w:p>
    <w:p w:rsidR="00C621A4" w:rsidRPr="002D37E6" w:rsidRDefault="00426EE4">
      <w:pPr>
        <w:pBdr>
          <w:top w:val="nil"/>
          <w:left w:val="nil"/>
          <w:bottom w:val="nil"/>
          <w:right w:val="nil"/>
          <w:between w:val="nil"/>
        </w:pBdr>
        <w:spacing w:before="200" w:after="200"/>
      </w:pPr>
      <w:r w:rsidRPr="002D37E6">
        <w:t>Another key factor of successful implementation is workforce capability. CRISPR therapies will involve several professions working together, such as haematologists, clinical geneticists, molecular biologists, pharmacists, transplant specialists, genetic counsellors, specialist nurses, psychologists, and bioinformaticians (Kansal, 2024). While there are indications that there has been significant progress made in the UK, particularly in the NHS Genomic Medicine Service, there remain workforce shortages in some genomic specialities. Healthcare professionals need to grasp scientific concepts in gene editing as Genome editing, prominently led by the revolutionary CRISPR-Cas9 technology, is a powerful tool with significant applications in diverse fields, particularly in medicine (Gibelli</w:t>
      </w:r>
      <w:r w:rsidRPr="002D37E6">
        <w:rPr>
          <w:i/>
          <w:iCs/>
        </w:rPr>
        <w:t xml:space="preserve"> et al.</w:t>
      </w:r>
      <w:r w:rsidRPr="002D37E6">
        <w:t xml:space="preserve"> 2025). CPE, post-graduate genomic training programmes and multidisciplinary clinical governance are thought to be vital to maintaining competence of people involved in healthcare when new technologies like gene editing are developed. </w:t>
      </w:r>
    </w:p>
    <w:p w:rsidR="00C621A4" w:rsidRPr="002D37E6" w:rsidRDefault="00426EE4">
      <w:pPr>
        <w:pBdr>
          <w:top w:val="nil"/>
          <w:left w:val="nil"/>
          <w:bottom w:val="nil"/>
          <w:right w:val="nil"/>
          <w:between w:val="nil"/>
        </w:pBdr>
        <w:spacing w:before="200" w:after="200"/>
      </w:pPr>
      <w:r w:rsidRPr="002D37E6">
        <w:t>Regulatory readiness is also a key enabler for safe and responsible implementation. There is a robust regulatory framework in place for the UK that includes the “Medicines and Healthcare products Regulatory Agency (MHRA)” and the “Human Tissue Authority (HTA)” (Ogunyemi</w:t>
      </w:r>
      <w:r w:rsidRPr="002D37E6">
        <w:rPr>
          <w:i/>
          <w:iCs/>
        </w:rPr>
        <w:t>et al.</w:t>
      </w:r>
      <w:r w:rsidRPr="002D37E6">
        <w:t xml:space="preserve"> 2025). This also includes the “Human Fertilisation and Embryology Authority (HFEA)” and the “National Institute for Health and Care Excellence (NICE)”. These are all of these organisations that work together to approve clinical trials, license products, enforce manufacturing controls, perform health technology assessment, and monitor products in the post-marketing phase. The UK's adaptive regulatory environment, recognised in the existing literature, allows for assessment of ATMPs to occur at an efficient level, while also ensuring patient safety (Eurogct, 2026). However, unique regulatory challenges exist with CRISPR technologies of concern that include off-target genetic modification, long-term genomic stability, durability of the treatment effect, and yet-to-be-determined delayed adverse outcomes. </w:t>
      </w:r>
    </w:p>
    <w:p w:rsidR="00C621A4" w:rsidRPr="002D37E6" w:rsidRDefault="00426EE4">
      <w:pPr>
        <w:pBdr>
          <w:top w:val="nil"/>
          <w:left w:val="nil"/>
          <w:bottom w:val="nil"/>
          <w:right w:val="nil"/>
          <w:between w:val="nil"/>
        </w:pBdr>
        <w:spacing w:before="200" w:after="200"/>
      </w:pPr>
      <w:r w:rsidRPr="002D37E6">
        <w:t>The current CRISPR gene therapies are extremely expensive as Casgevy, the world’s first approved CRISPR-based cell therapy, has been priced at $2.2 million per patient (Rueda</w:t>
      </w:r>
      <w:r w:rsidRPr="002D37E6">
        <w:rPr>
          <w:i/>
          <w:iCs/>
        </w:rPr>
        <w:t xml:space="preserve"> et al.</w:t>
      </w:r>
      <w:r w:rsidRPr="002D37E6">
        <w:t xml:space="preserve"> </w:t>
      </w:r>
      <w:r w:rsidRPr="002D37E6">
        <w:lastRenderedPageBreak/>
        <w:t>2024). While these therapies could cure chronic disease comorbidities and lower resource use for healthcare in the future, costs may be high upfront for publicly funded healthcare systems like the NHS. Much of the published material focuses on innovative ways of funding the healthcare process such as outcome-based payment agreements and risk-sharing arrangements, as well as staged payment systems that spread payment over a number of years based on clinical outcomes. As for additional items that should be included in a comprehensive cost-effectiveness assessment, health economists say that these should account for “gains in productivity” and “quality-adjusted life years (QALYs)” (Jiao and Basu, 2023). Overall, this more complete assessment of a society also enhances the economic support for public investment of CRISPR treatments.</w:t>
      </w:r>
    </w:p>
    <w:p w:rsidR="00C621A4" w:rsidRPr="002D37E6" w:rsidRDefault="00426EE4">
      <w:pPr>
        <w:pStyle w:val="Heading2"/>
      </w:pPr>
      <w:bookmarkStart w:id="21" w:name="_Toc240897573"/>
      <w:r w:rsidRPr="002D37E6">
        <w:t>2.5 Examining the impact of gene therapy on health inequalities in sickle cell disease</w:t>
      </w:r>
      <w:bookmarkEnd w:id="21"/>
    </w:p>
    <w:p w:rsidR="00C621A4" w:rsidRPr="002D37E6" w:rsidRDefault="00426EE4">
      <w:pPr>
        <w:pBdr>
          <w:top w:val="nil"/>
          <w:left w:val="nil"/>
          <w:bottom w:val="nil"/>
          <w:right w:val="nil"/>
          <w:between w:val="nil"/>
        </w:pBdr>
        <w:spacing w:before="200"/>
      </w:pPr>
      <w:r w:rsidRPr="002D37E6">
        <w:t xml:space="preserve">One of the major concerns faced by individuals with Sickle Cell Disease (SCD) is the lack of access to required care due to health inequities, influenced by a lack of awareness. Hibbs </w:t>
      </w:r>
      <w:r w:rsidRPr="002D37E6">
        <w:rPr>
          <w:i/>
          <w:iCs/>
        </w:rPr>
        <w:t xml:space="preserve">et al. </w:t>
      </w:r>
      <w:r w:rsidRPr="002D37E6">
        <w:t xml:space="preserve">(2025) have argued that the UK's National Institute for Health and Clinical Excellence (NICE) have recently approved the gene therapy product exagamglogeneautotemcel (exa-cel), used for the treatment of SCD. The recent advancement and approval of CRISPR-Based Gene Therapy among a wide population are limitations that reduce its implications and use for treating SCD. Hibbs </w:t>
      </w:r>
      <w:r w:rsidRPr="002D37E6">
        <w:rPr>
          <w:i/>
          <w:iCs/>
        </w:rPr>
        <w:t xml:space="preserve">et al. </w:t>
      </w:r>
      <w:r w:rsidRPr="002D37E6">
        <w:t>(2025) have also argued that routine health services for people with SCD are initiated decades after the advocacy of gene therapy, which remains inconsistent. Overall, it has been outlined that the inconsistent initiatives regarding routine health services for SCD have limited its effectiveness for the management and treatment of SCD among people in the UK. On the other hand, Muzambi</w:t>
      </w:r>
      <w:r w:rsidRPr="002D37E6">
        <w:rPr>
          <w:i/>
          <w:iCs/>
        </w:rPr>
        <w:t>et al.</w:t>
      </w:r>
      <w:r w:rsidRPr="002D37E6">
        <w:t xml:space="preserve"> (2025) argued that SCD treatment is impacted by deep inequalities in the healthcare systems, serious care failing in acute services and an attitude underpinned by racism. Collectively, the findings of the existing study have outlined the lack of accessibility and lack of awareness of CRISPR-Based Gene Therapy as the key barriers that create inequalities in sickle cell disease. </w:t>
      </w:r>
    </w:p>
    <w:p w:rsidR="00C621A4" w:rsidRPr="002D37E6" w:rsidRDefault="00426EE4">
      <w:pPr>
        <w:pBdr>
          <w:top w:val="nil"/>
          <w:left w:val="nil"/>
          <w:bottom w:val="nil"/>
          <w:right w:val="nil"/>
          <w:between w:val="nil"/>
        </w:pBdr>
        <w:spacing w:before="200"/>
      </w:pPr>
      <w:r w:rsidRPr="002D37E6">
        <w:t>The evidence from the existing studies suggested that SCD is considered a neglected condition, impacting its treatment efficiency due to lack of awareness and knowledge, contributing to disparities. Morgan</w:t>
      </w:r>
      <w:r w:rsidRPr="002D37E6">
        <w:rPr>
          <w:i/>
          <w:iCs/>
        </w:rPr>
        <w:t xml:space="preserve"> et al. </w:t>
      </w:r>
      <w:r w:rsidRPr="002D37E6">
        <w:t xml:space="preserve">(2024) defined that emerging gene therapies (GTx) may improve SCD outcomes by leading to complete remission if GTx is affordable and accessible to the lower-middle-class communities. The evidence from the existing studies on the management of SCD outlined that CRISPR-based gene therapy is impacted by challenges due to high manufacturing </w:t>
      </w:r>
      <w:r w:rsidRPr="002D37E6">
        <w:lastRenderedPageBreak/>
        <w:t>and delivery costs, creating barriers to equitable pricing. According to Grismore</w:t>
      </w:r>
      <w:r w:rsidRPr="002D37E6">
        <w:rPr>
          <w:i/>
          <w:iCs/>
        </w:rPr>
        <w:t xml:space="preserve">et al. </w:t>
      </w:r>
      <w:r w:rsidRPr="002D37E6">
        <w:t>(2025), people with SCD have faced structural barriers, such as the lack of individualised care and access barriers to medical, community and adult</w:t>
      </w:r>
      <w:r w:rsidRPr="002D37E6">
        <w:rPr>
          <w:rFonts w:ascii="Cambria Math" w:eastAsia="Cambria Math" w:hAnsi="Cambria Math" w:cs="Cambria Math"/>
        </w:rPr>
        <w:t>‐</w:t>
      </w:r>
      <w:r w:rsidRPr="002D37E6">
        <w:t>specific resources. This signifies that the availability of resources within the UK’s healthcare system has been a challenging factor regarding the implementation of CRISPR-Based Gene Therapy for SCD. </w:t>
      </w:r>
    </w:p>
    <w:p w:rsidR="00C621A4" w:rsidRPr="002D37E6" w:rsidRDefault="00426EE4">
      <w:pPr>
        <w:pBdr>
          <w:top w:val="nil"/>
          <w:left w:val="nil"/>
          <w:bottom w:val="nil"/>
          <w:right w:val="nil"/>
          <w:between w:val="nil"/>
        </w:pBdr>
        <w:spacing w:before="200"/>
      </w:pPr>
      <w:r w:rsidRPr="002D37E6">
        <w:t>Afro-Caribbean, Middle Eastern and South Asian communities are most affected by SCD, with a long history of differential investment in research and differential access to care and health services for these communities, and pain management and delayed diagnosis. Gene therapy using a CRISPR approach could provide the potentially curative one-off treatment that could prevent repeat hospital admissions, disability and early death. Treatment of sickle cell disease (SCD) has traditionally focused on symptomatic and preventative care (Abdallah</w:t>
      </w:r>
      <w:r w:rsidRPr="002D37E6">
        <w:rPr>
          <w:i/>
          <w:iCs/>
        </w:rPr>
        <w:t xml:space="preserve"> et al.</w:t>
      </w:r>
      <w:r w:rsidRPr="002D37E6">
        <w:t xml:space="preserve"> 2024). As a result, if successfully implemented, it may help to reduce health inequity because it will have a positive impact on long-term health status and quality of life of the impacted communities. However, literature indicates that such imbalanced access to gene therapy could also create health disparities. </w:t>
      </w:r>
    </w:p>
    <w:p w:rsidR="00C621A4" w:rsidRPr="002D37E6" w:rsidRDefault="00426EE4">
      <w:pPr>
        <w:pBdr>
          <w:top w:val="nil"/>
          <w:left w:val="nil"/>
          <w:bottom w:val="nil"/>
          <w:right w:val="nil"/>
          <w:between w:val="nil"/>
        </w:pBdr>
        <w:spacing w:before="200"/>
      </w:pPr>
      <w:r w:rsidRPr="002D37E6">
        <w:t>Rural or areas with limited advanced genome services facilities may have longer wait times and higher travel demand, low access to advanced genome services and specialised care. Medical mistrust, clinical trial knowledge, and clinical trial risk impact research participation, yet are rarely studied among racial and ethnic groups (Curro</w:t>
      </w:r>
      <w:r w:rsidRPr="002D37E6">
        <w:rPr>
          <w:i/>
          <w:iCs/>
        </w:rPr>
        <w:t xml:space="preserve"> et al.</w:t>
      </w:r>
      <w:r w:rsidRPr="002D37E6">
        <w:t xml:space="preserve"> 2026). In addition, health literacy differences, lack of understanding about clinical trials, and mistrust of health care providers or health care centres can restrict participation in clinical trials. This is especially true for minority groups who have had a history of discrimination in health care systems. </w:t>
      </w:r>
    </w:p>
    <w:p w:rsidR="00C621A4" w:rsidRPr="002D37E6" w:rsidRDefault="00426EE4">
      <w:pPr>
        <w:pBdr>
          <w:top w:val="nil"/>
          <w:left w:val="nil"/>
          <w:bottom w:val="nil"/>
          <w:right w:val="nil"/>
          <w:between w:val="nil"/>
        </w:pBdr>
        <w:spacing w:before="200"/>
      </w:pPr>
      <w:r w:rsidRPr="002D37E6">
        <w:t>Availability of specialist treatment centres, linking into referral networks, access to culturally appropriate genetic counselling and patient advocacy groups will help to enhance patient access and enable informed decision-making. The rehabilitation services, including physical therapy, occupational therapy, and speech and language therapy is an essential part of the healthcare system, which is required to enhance patients' quality of life (Waheed</w:t>
      </w:r>
      <w:r w:rsidRPr="002D37E6">
        <w:rPr>
          <w:i/>
          <w:iCs/>
        </w:rPr>
        <w:t xml:space="preserve"> et al. </w:t>
      </w:r>
      <w:r w:rsidRPr="002D37E6">
        <w:t>2024). The promise of gene therapy to bring a positive change in the burden of sickle cell disease is enormous. Therefore, the impact on health inequalities depends on the extent to which the treatment becomes accessible and is applied equitably throughout the UK health system. </w:t>
      </w:r>
    </w:p>
    <w:p w:rsidR="00C621A4" w:rsidRPr="002D37E6" w:rsidRDefault="00426EE4">
      <w:pPr>
        <w:pStyle w:val="Heading2"/>
      </w:pPr>
      <w:bookmarkStart w:id="22" w:name="_Toc240897574"/>
      <w:r w:rsidRPr="002D37E6">
        <w:lastRenderedPageBreak/>
        <w:t>2.6 Theoretical Implications</w:t>
      </w:r>
      <w:bookmarkEnd w:id="22"/>
    </w:p>
    <w:p w:rsidR="00C621A4" w:rsidRPr="002D37E6" w:rsidRDefault="00426EE4">
      <w:pPr>
        <w:pStyle w:val="Heading3"/>
        <w:spacing w:before="200"/>
      </w:pPr>
      <w:bookmarkStart w:id="23" w:name="_Toc240897575"/>
      <w:r w:rsidRPr="002D37E6">
        <w:t>2.6.1 Health Equity Theory</w:t>
      </w:r>
      <w:bookmarkEnd w:id="23"/>
    </w:p>
    <w:p w:rsidR="00C621A4" w:rsidRPr="002D37E6" w:rsidRDefault="00426EE4">
      <w:pPr>
        <w:pBdr>
          <w:top w:val="nil"/>
          <w:left w:val="nil"/>
          <w:bottom w:val="nil"/>
          <w:right w:val="nil"/>
          <w:between w:val="nil"/>
        </w:pBdr>
        <w:spacing w:before="200"/>
      </w:pPr>
      <w:r w:rsidRPr="002D37E6">
        <w:t>The Health Equity Theory (HET) is a widely utilised framework for understanding the equitable accessibility and affordability of required health care to the wider population for improved health outcomes. Nturanabo and Winfred (2025) defined Health Equity as the absence of unfair, remediable differences among social groups, and it needs to be addressed for dismantling structural barriers and promoting equitable care access. Goshua</w:t>
      </w:r>
      <w:r w:rsidRPr="002D37E6">
        <w:rPr>
          <w:i/>
          <w:iCs/>
        </w:rPr>
        <w:t xml:space="preserve">et al. </w:t>
      </w:r>
      <w:r w:rsidRPr="002D37E6">
        <w:t>(2023) argued that gene therapy administered 1 time for patients with SCD costs around $2 million per treated patient, accounting for health inequities among patients with SCD. As per the findings of Martínez-Garcíac</w:t>
      </w:r>
      <w:r w:rsidRPr="002D37E6">
        <w:rPr>
          <w:i/>
          <w:iCs/>
        </w:rPr>
        <w:t xml:space="preserve">et al. </w:t>
      </w:r>
      <w:r w:rsidRPr="002D37E6">
        <w:t xml:space="preserve">(2022), HET emphasises that different social groups have different socioeconomic statuses and do not have equal opportunities in health outcomes regardless of socioeconomic status. </w:t>
      </w:r>
    </w:p>
    <w:p w:rsidR="00C621A4" w:rsidRPr="002D37E6" w:rsidRDefault="00426EE4">
      <w:pPr>
        <w:pBdr>
          <w:top w:val="nil"/>
          <w:left w:val="nil"/>
          <w:bottom w:val="nil"/>
          <w:right w:val="nil"/>
          <w:between w:val="nil"/>
        </w:pBdr>
        <w:spacing w:before="200"/>
      </w:pPr>
      <w:r w:rsidRPr="002D37E6">
        <w:t>On the other hand, as per the HET and its implications, the ethnic and geographical factors such as racial and socioeconomic disabilities of individuals with SCD are also concerning variables impacting accessibility to gene therapy. Hendricks</w:t>
      </w:r>
      <w:r w:rsidRPr="002D37E6">
        <w:rPr>
          <w:i/>
          <w:iCs/>
        </w:rPr>
        <w:t xml:space="preserve"> et al.</w:t>
      </w:r>
      <w:r w:rsidRPr="002D37E6">
        <w:t xml:space="preserve"> (2023) have defined that around 84% of the African population experience accessibility issues for treating Sickle Cell Disease due to poor awareness, accessibility and resource constraints. Health Equity Theory provides a lens for analysing how systematic, avoidable, and unjust differences prevent various population groups from accessing timely, high-quality medical care. In contrast, Carnahan </w:t>
      </w:r>
      <w:r w:rsidRPr="002D37E6">
        <w:rPr>
          <w:i/>
          <w:iCs/>
        </w:rPr>
        <w:t xml:space="preserve">et al. </w:t>
      </w:r>
      <w:r w:rsidRPr="002D37E6">
        <w:t>(2023) have outlined that the environment interacts with poverty, insurance coverage and healthcare access to produce unequal disease outcomes as per HET. This outlines that addressing the concerns of tax accessibility along with financial support is significant for the implications of CRISPR-Based Gene Therapy.</w:t>
      </w:r>
    </w:p>
    <w:p w:rsidR="00C621A4" w:rsidRPr="002D37E6" w:rsidRDefault="00426EE4">
      <w:pPr>
        <w:pStyle w:val="Heading3"/>
        <w:spacing w:before="200"/>
      </w:pPr>
      <w:bookmarkStart w:id="24" w:name="_Toc240897576"/>
      <w:r w:rsidRPr="002D37E6">
        <w:t>2.6.2 Diffusion of Innovation Theory</w:t>
      </w:r>
      <w:bookmarkEnd w:id="24"/>
    </w:p>
    <w:p w:rsidR="00C621A4" w:rsidRPr="002D37E6" w:rsidRDefault="00426EE4">
      <w:pPr>
        <w:pBdr>
          <w:top w:val="nil"/>
          <w:left w:val="nil"/>
          <w:bottom w:val="nil"/>
          <w:right w:val="nil"/>
          <w:between w:val="nil"/>
        </w:pBdr>
        <w:spacing w:before="200"/>
      </w:pPr>
      <w:r w:rsidRPr="002D37E6">
        <w:t xml:space="preserve">Diffusion of Innovation Theory (DIT) is a comprehensive framework, assisting in explaining how, why and at what rates new innovations and healthcare systems are adopted and implemented for CSD management. D’Souza </w:t>
      </w:r>
      <w:r w:rsidRPr="002D37E6">
        <w:rPr>
          <w:i/>
          <w:iCs/>
        </w:rPr>
        <w:t xml:space="preserve">et al. </w:t>
      </w:r>
      <w:r w:rsidRPr="002D37E6">
        <w:t>(2024) have defined that DIT theory assists in comprehending the processes by which products and healthcare systems gain traction and diffuse through specific groups or healthcare systems. The theory assisted in analysing the adoption rates at which new gene editing technologies within the NHS are adopted for offering SCD treatment to patients. The existing evidence has outlined that the adoption of CRISPR-</w:t>
      </w:r>
      <w:r w:rsidRPr="002D37E6">
        <w:lastRenderedPageBreak/>
        <w:t>Based Gene Therapy for SCD is impacted by the readiness of the healthcare systems in the United Kingdom. In this regard, Eltayeb</w:t>
      </w:r>
      <w:r w:rsidR="00D43DF3">
        <w:t xml:space="preserve"> </w:t>
      </w:r>
      <w:r w:rsidRPr="002D37E6">
        <w:rPr>
          <w:i/>
          <w:iCs/>
        </w:rPr>
        <w:t xml:space="preserve">et al. </w:t>
      </w:r>
      <w:r w:rsidRPr="002D37E6">
        <w:t xml:space="preserve">(2025) outlined that CRISPR-Based Gene Therapy was recently adopted in the UK as a revolutionary and promising approach, using gene-editing technology for genome modification. </w:t>
      </w:r>
    </w:p>
    <w:p w:rsidR="00C621A4" w:rsidRPr="002D37E6" w:rsidRDefault="00426EE4">
      <w:pPr>
        <w:pBdr>
          <w:top w:val="nil"/>
          <w:left w:val="nil"/>
          <w:bottom w:val="nil"/>
          <w:right w:val="nil"/>
          <w:between w:val="nil"/>
        </w:pBdr>
        <w:spacing w:before="200"/>
      </w:pPr>
      <w:r w:rsidRPr="002D37E6">
        <w:t>The DIT framework in combination with HET focuses on factors that directly impact the accessibility of CRISPR-based gene therapy, including lack of awareness, social disparities, knowledge gaps and lack of digital integration. Vincken</w:t>
      </w:r>
      <w:r w:rsidRPr="002D37E6">
        <w:rPr>
          <w:i/>
          <w:iCs/>
        </w:rPr>
        <w:t xml:space="preserve"> et al. </w:t>
      </w:r>
      <w:r w:rsidRPr="002D37E6">
        <w:t xml:space="preserve">(2024) have defined that the advancement in the treatment of SCD is enhanced through CRISPR-based gene therapy with government approval from NICE to ensure optimum patient access. On the other hand, Rueda </w:t>
      </w:r>
      <w:r w:rsidRPr="002D37E6">
        <w:rPr>
          <w:i/>
          <w:iCs/>
        </w:rPr>
        <w:t xml:space="preserve">et al. </w:t>
      </w:r>
      <w:r w:rsidRPr="002D37E6">
        <w:t xml:space="preserve">(2024) have argued that the advancement of CRISPR-based gene therapy is advancing with recent approval from the UK’s Medicine &amp; Healthcare Products Regulatory Agency on 16 November 2024. The modern and digitally advanced healthcare systems in the UK are still approaching the advancement in SCD treatment, which is also impacted by socioeconomic disparities in adapting CRISPR-based gene therapy. </w:t>
      </w:r>
    </w:p>
    <w:p w:rsidR="00C621A4" w:rsidRPr="002D37E6" w:rsidRDefault="00426EE4">
      <w:pPr>
        <w:pStyle w:val="Heading2"/>
        <w:spacing w:after="240"/>
      </w:pPr>
      <w:bookmarkStart w:id="25" w:name="_Toc240897577"/>
      <w:r w:rsidRPr="002D37E6">
        <w:t>2.7 Conceptual framework</w:t>
      </w:r>
      <w:bookmarkEnd w:id="25"/>
    </w:p>
    <w:p w:rsidR="00C621A4" w:rsidRPr="002D37E6" w:rsidRDefault="00426EE4">
      <w:pPr>
        <w:pBdr>
          <w:top w:val="nil"/>
          <w:left w:val="nil"/>
          <w:bottom w:val="nil"/>
          <w:right w:val="nil"/>
          <w:between w:val="nil"/>
        </w:pBdr>
        <w:spacing w:before="200" w:after="240"/>
        <w:jc w:val="center"/>
        <w:rPr>
          <w:b/>
          <w:bCs/>
        </w:rPr>
      </w:pPr>
      <w:r w:rsidRPr="002D37E6">
        <w:rPr>
          <w:b/>
          <w:bCs/>
          <w:noProof/>
          <w:lang w:eastAsia="en-GB"/>
        </w:rPr>
        <w:drawing>
          <wp:inline distT="114300" distB="114300" distL="114300" distR="114300">
            <wp:extent cx="4714875" cy="4143375"/>
            <wp:effectExtent l="12700" t="12700" r="12700" b="12700"/>
            <wp:docPr id="4880074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4714875" cy="4143375"/>
                    </a:xfrm>
                    <a:prstGeom prst="rect">
                      <a:avLst/>
                    </a:prstGeom>
                    <a:ln w="12700">
                      <a:solidFill>
                        <a:srgbClr val="000000"/>
                      </a:solidFill>
                      <a:prstDash val="solid"/>
                    </a:ln>
                  </pic:spPr>
                </pic:pic>
              </a:graphicData>
            </a:graphic>
          </wp:inline>
        </w:drawing>
      </w:r>
    </w:p>
    <w:p w:rsidR="00C621A4" w:rsidRPr="002D37E6" w:rsidRDefault="00426EE4">
      <w:pPr>
        <w:pStyle w:val="Heading4"/>
        <w:spacing w:before="200" w:after="240"/>
      </w:pPr>
      <w:bookmarkStart w:id="26" w:name="_heading=h.3eg103uakfvt" w:colFirst="0" w:colLast="0"/>
      <w:bookmarkStart w:id="27" w:name="_Toc240897631"/>
      <w:bookmarkEnd w:id="26"/>
      <w:r w:rsidRPr="002D37E6">
        <w:lastRenderedPageBreak/>
        <w:t>Figure 2.1: Conceptual framework</w:t>
      </w:r>
      <w:bookmarkEnd w:id="27"/>
    </w:p>
    <w:p w:rsidR="00C621A4" w:rsidRPr="002D37E6" w:rsidRDefault="00426EE4">
      <w:pPr>
        <w:pBdr>
          <w:top w:val="nil"/>
          <w:left w:val="nil"/>
          <w:bottom w:val="nil"/>
          <w:right w:val="nil"/>
          <w:between w:val="nil"/>
        </w:pBdr>
        <w:spacing w:before="200" w:after="240"/>
        <w:jc w:val="center"/>
      </w:pPr>
      <w:r w:rsidRPr="002D37E6">
        <w:t>(Source: Self-developed)</w:t>
      </w:r>
    </w:p>
    <w:p w:rsidR="00C621A4" w:rsidRPr="002D37E6" w:rsidRDefault="00426EE4">
      <w:pPr>
        <w:pBdr>
          <w:top w:val="nil"/>
          <w:left w:val="nil"/>
          <w:bottom w:val="nil"/>
          <w:right w:val="nil"/>
          <w:between w:val="nil"/>
        </w:pBdr>
        <w:spacing w:before="200" w:after="240"/>
      </w:pPr>
      <w:r w:rsidRPr="002D37E6">
        <w:t>Figure 2.3 highlights the relationship between the research variables. It has been recognised that SCD in the UK has affected a huge population, overwhelmingly concentrated within Black African and Black Caribbean communities. Lack of treatment access, investment and staff have been challenging factors that have been affecting the implementation of CRISPR-Based Gene Therapy regarding the treatment of SCD.</w:t>
      </w:r>
    </w:p>
    <w:p w:rsidR="00C621A4" w:rsidRPr="002D37E6" w:rsidRDefault="00426EE4">
      <w:pPr>
        <w:pStyle w:val="Heading2"/>
        <w:spacing w:after="240"/>
      </w:pPr>
      <w:bookmarkStart w:id="28" w:name="_Toc240897578"/>
      <w:r w:rsidRPr="002D37E6">
        <w:t>2.8 Literature gap</w:t>
      </w:r>
      <w:bookmarkEnd w:id="28"/>
    </w:p>
    <w:p w:rsidR="00C621A4" w:rsidRPr="002D37E6" w:rsidRDefault="00426EE4">
      <w:pPr>
        <w:pBdr>
          <w:top w:val="nil"/>
          <w:left w:val="nil"/>
          <w:bottom w:val="nil"/>
          <w:right w:val="nil"/>
          <w:between w:val="nil"/>
        </w:pBdr>
        <w:spacing w:before="200" w:after="240"/>
      </w:pPr>
      <w:r w:rsidRPr="002D37E6">
        <w:t>The existing literature highlights that CRISPR-based methods have been used to create diagnostic tests for virus detection, allowing fast and accurate identification of viral pathogens (Kolanu, 2024). However, the literature fails to provide actionable as well as localised frameworks regarding the operationalisation of such a transition. Additionally, the lack of empirical evidence in the context of how specialised NHS tertiary centres can logistically manage the resource-intensive process has been identified as a potential literature gap. Apart from this, a historical lack of trust within genomic medicine due to anti-Black racism, the literature lacks concrete, patient-centred strategies in terms of rebuilding this trust at the point of care.</w:t>
      </w:r>
    </w:p>
    <w:p w:rsidR="00C621A4" w:rsidRPr="002D37E6" w:rsidRDefault="00426EE4">
      <w:pPr>
        <w:pStyle w:val="Heading2"/>
        <w:spacing w:after="240"/>
      </w:pPr>
      <w:bookmarkStart w:id="29" w:name="_Toc240897579"/>
      <w:r w:rsidRPr="002D37E6">
        <w:t>2.9 Chapter summary</w:t>
      </w:r>
      <w:bookmarkEnd w:id="29"/>
    </w:p>
    <w:p w:rsidR="00C621A4" w:rsidRPr="002D37E6" w:rsidRDefault="00426EE4">
      <w:pPr>
        <w:pBdr>
          <w:top w:val="nil"/>
          <w:left w:val="nil"/>
          <w:bottom w:val="nil"/>
          <w:right w:val="nil"/>
          <w:between w:val="nil"/>
        </w:pBdr>
        <w:spacing w:before="200" w:after="240"/>
      </w:pPr>
      <w:r w:rsidRPr="002D37E6">
        <w:t>The above-mentioned chapter highlights that the clinical view of CRISPR-Cas9 therapeutics indicates a present historic shift in the management of sickle cell disease. The transition for CRISPR-Cas9 therapy from regulatory approval towards an equitable bedside delivery under the NHS is considered to be heavily impacted by structural inequalities. It has been recognised that the document shows a persistent pattern of substandard care, stigmatisation, as well as a lack of prioritisation regarding SCD.</w:t>
      </w:r>
      <w:r w:rsidRPr="002D37E6">
        <w:br w:type="page"/>
      </w:r>
    </w:p>
    <w:p w:rsidR="00C621A4" w:rsidRPr="002D37E6" w:rsidRDefault="00426EE4">
      <w:pPr>
        <w:pStyle w:val="Heading1"/>
        <w:spacing w:before="240"/>
      </w:pPr>
      <w:bookmarkStart w:id="30" w:name="_Toc240897580"/>
      <w:r w:rsidRPr="002D37E6">
        <w:lastRenderedPageBreak/>
        <w:t>Chapter 3: Methodology</w:t>
      </w:r>
      <w:bookmarkEnd w:id="30"/>
      <w:r w:rsidRPr="002D37E6">
        <w:t> </w:t>
      </w:r>
    </w:p>
    <w:p w:rsidR="00C621A4" w:rsidRPr="002D37E6" w:rsidRDefault="00426EE4">
      <w:pPr>
        <w:pStyle w:val="Heading2"/>
        <w:spacing w:before="40" w:after="0"/>
      </w:pPr>
      <w:bookmarkStart w:id="31" w:name="_Toc240897581"/>
      <w:r w:rsidRPr="002D37E6">
        <w:t>3.1 Introduction</w:t>
      </w:r>
      <w:bookmarkEnd w:id="31"/>
      <w:r w:rsidRPr="002D37E6">
        <w:t> </w:t>
      </w:r>
    </w:p>
    <w:p w:rsidR="00C621A4" w:rsidRPr="002D37E6" w:rsidRDefault="00426EE4">
      <w:pPr>
        <w:spacing w:after="160"/>
      </w:pPr>
      <w:r w:rsidRPr="002D37E6">
        <w:t>The key purpose of the chapter is to outline the methodological framework adopted in order to investigate the public health implications of CRISPR-based gene therapy for sickle cell disease (SCD) in the UK. The new CRISPR technologies as well as the limited empirical data on equitable access, would form the base for this research. That is why a systematic literature review was selected as the most appropriate design for conducting the literature review (Smela</w:t>
      </w:r>
      <w:r w:rsidR="00D43DF3">
        <w:t xml:space="preserve"> </w:t>
      </w:r>
      <w:r w:rsidRPr="002D37E6">
        <w:rPr>
          <w:i/>
          <w:iCs/>
        </w:rPr>
        <w:t xml:space="preserve">et al. </w:t>
      </w:r>
      <w:r w:rsidRPr="002D37E6">
        <w:t>2023). The study extensively depends upon secondary qualitative data by using peer-reviewed articles, NHS reports, along with policy documents. This approach helps in critical evaluation of the barriers, facilitators, as well as health system readiness while also ensuring ethical compliance, academic integrity and the proper understanding of the equity considerations in advanced genomic medicine.</w:t>
      </w:r>
    </w:p>
    <w:p w:rsidR="00C621A4" w:rsidRPr="002D37E6" w:rsidRDefault="00426EE4">
      <w:pPr>
        <w:pStyle w:val="Heading2"/>
        <w:spacing w:before="40" w:after="0"/>
      </w:pPr>
      <w:bookmarkStart w:id="32" w:name="_Toc240897582"/>
      <w:r w:rsidRPr="002D37E6">
        <w:t>3.2 Research Philosophy</w:t>
      </w:r>
      <w:bookmarkEnd w:id="32"/>
    </w:p>
    <w:p w:rsidR="00C621A4" w:rsidRPr="002D37E6" w:rsidRDefault="00426EE4">
      <w:pPr>
        <w:spacing w:before="200" w:after="160"/>
      </w:pPr>
      <w:r w:rsidRPr="002D37E6">
        <w:t>Research philosophy refers to the assumptions regarding reality and the nature of knowledge which guide the research process. Rather, it focuses on understanding the ways in which published evidence explains facilitators, barriers, and health system efficiency influencing equitable accessibility of CRISPR-based gene therapy. The interpretivism philosophy is also inconsistent with systematic review methodology, previously outlined in the research proposal. Therefore, interpretivism research philosophy enables the researcher to examine the ways in which ethnicity, socio-economic inequality, healthcare infrastructure and geography influence access to the innovative therapy and influence public health outcomes (Mboowa</w:t>
      </w:r>
      <w:r w:rsidR="00D43DF3">
        <w:t xml:space="preserve"> </w:t>
      </w:r>
      <w:r w:rsidRPr="002D37E6">
        <w:rPr>
          <w:i/>
          <w:iCs/>
        </w:rPr>
        <w:t>et al</w:t>
      </w:r>
      <w:r w:rsidRPr="002D37E6">
        <w:t xml:space="preserve">., 2024). The selection of the philosophy is justified because the research question focuses on understanding policy context, experience and health system preparedness rather than establishing universal law. The philosophy stance provides flexibility to analyse the qualitative evidence obtained from government reports and peer-reviewed studies through thematic synthesis (Subica, 2023). The approach enables comprehensive interpretation of complex healthcare issues which cannot be adequately explained through only quantitative measurement. Additionally, conclusions are context-specific and cannot be generalised across all health care settings (Saunders </w:t>
      </w:r>
      <w:r w:rsidRPr="002D37E6">
        <w:rPr>
          <w:i/>
          <w:iCs/>
        </w:rPr>
        <w:t xml:space="preserve">et al., </w:t>
      </w:r>
      <w:r w:rsidRPr="002D37E6">
        <w:t xml:space="preserve">2023). The limitations are acceptable because the objective of the current study is to provide an in-depth understanding of equitable accessibility to CRISPR-based therapies in the UK. </w:t>
      </w:r>
    </w:p>
    <w:p w:rsidR="00C621A4" w:rsidRPr="002D37E6" w:rsidRDefault="00426EE4">
      <w:pPr>
        <w:pStyle w:val="Heading2"/>
        <w:spacing w:before="40" w:after="0"/>
      </w:pPr>
      <w:bookmarkStart w:id="33" w:name="_Toc240897583"/>
      <w:r w:rsidRPr="002D37E6">
        <w:lastRenderedPageBreak/>
        <w:t>3.3 Study Design</w:t>
      </w:r>
      <w:bookmarkEnd w:id="33"/>
    </w:p>
    <w:p w:rsidR="00C621A4" w:rsidRPr="002D37E6" w:rsidRDefault="00426EE4">
      <w:pPr>
        <w:spacing w:before="200" w:after="160"/>
      </w:pPr>
      <w:r w:rsidRPr="002D37E6">
        <w:t xml:space="preserve">The current study adopts a systematic review as the research design, which is consistent with the research objective. Unlike a conventional narrative review, a systematic review minimises selection bias by applying inclusion criteria, a predefined source strategy and a quality assessment procedure that improve transparency and credibility of the findings (Page </w:t>
      </w:r>
      <w:r w:rsidRPr="002D37E6">
        <w:rPr>
          <w:i/>
          <w:iCs/>
        </w:rPr>
        <w:t>et al</w:t>
      </w:r>
      <w:r w:rsidRPr="002D37E6">
        <w:t xml:space="preserve">., 2022). Existing peer-reviewed journal articles, public health publications and policy reports provide sufficient evidence for examining ethnic, socio-economic, and geographical determinants that impact accessibility. Furthermore, the systematic review design also allows evidence from different sources to be synthesised using thematic analysis, facilitating comprehensive understanding of policy implications and health system preparedness (Ahmed </w:t>
      </w:r>
      <w:r w:rsidRPr="002D37E6">
        <w:rPr>
          <w:i/>
          <w:iCs/>
        </w:rPr>
        <w:t>et al</w:t>
      </w:r>
      <w:r w:rsidRPr="002D37E6">
        <w:t xml:space="preserve">., 2025). Additionally, the design is also suitable for emerging health care technology such as CRISPR gene therapy, where evidence is rapidly expanding but remains fragmented across ethical, clinical and policy literature (Levesque and Bauer, 2025). Bringing together the diverse sources enables holistic assessment of implementation challenges in the NHS. </w:t>
      </w:r>
    </w:p>
    <w:p w:rsidR="00C621A4" w:rsidRPr="002D37E6" w:rsidRDefault="00426EE4">
      <w:pPr>
        <w:spacing w:after="160"/>
      </w:pPr>
      <w:r w:rsidRPr="002D37E6">
        <w:t xml:space="preserve">The systematic literature review, however, also presents certain limitations. The quality of the findings depends on the availability of published studies and their quality. Publication bias can also result in positive findings being overrepresented, while recent policy development and unpublished evidence can be overlooked (Butt </w:t>
      </w:r>
      <w:r w:rsidRPr="002D37E6">
        <w:rPr>
          <w:i/>
          <w:iCs/>
        </w:rPr>
        <w:t xml:space="preserve">et al., </w:t>
      </w:r>
      <w:r w:rsidRPr="002D37E6">
        <w:t>2025). Despite the limitations, choosing a systematic literature review remains the most appropriate Research design as it is in alignment with the objectives of the current study and enables rigorous synthesis of contemporary evidence regarding equitable implementation of CRISPR-based gene therapy in the UK.</w:t>
      </w:r>
    </w:p>
    <w:p w:rsidR="00C621A4" w:rsidRPr="002D37E6" w:rsidRDefault="00426EE4">
      <w:pPr>
        <w:pStyle w:val="Heading2"/>
        <w:spacing w:before="40" w:after="0"/>
      </w:pPr>
      <w:bookmarkStart w:id="34" w:name="_Toc240897584"/>
      <w:r w:rsidRPr="002D37E6">
        <w:t>3.4 Research Approach</w:t>
      </w:r>
      <w:bookmarkEnd w:id="34"/>
      <w:r w:rsidRPr="002D37E6">
        <w:t> </w:t>
      </w:r>
    </w:p>
    <w:p w:rsidR="00C621A4" w:rsidRPr="002D37E6" w:rsidRDefault="00426EE4">
      <w:pPr>
        <w:spacing w:after="160"/>
      </w:pPr>
      <w:r w:rsidRPr="002D37E6">
        <w:t xml:space="preserve">The study adopts an </w:t>
      </w:r>
      <w:r w:rsidRPr="002D37E6">
        <w:rPr>
          <w:b/>
          <w:bCs/>
          <w:i/>
          <w:iCs/>
        </w:rPr>
        <w:t>inductive research approach</w:t>
      </w:r>
      <w:r w:rsidRPr="002D37E6">
        <w:t xml:space="preserve">, as it seeks to create thematic insights from existing literature on CRISPR-based gene therapy as well as health equity in the UK. Access to advanced therapies such as CRISPR technology is a critical public health concern, considering that inequality may determine which people benefit from technological advancements (Subica, 2023). This study conducts </w:t>
      </w:r>
      <w:r w:rsidRPr="002D37E6">
        <w:rPr>
          <w:b/>
          <w:bCs/>
          <w:i/>
          <w:iCs/>
        </w:rPr>
        <w:t>systematic research using secondary qualitative data in</w:t>
      </w:r>
      <w:r w:rsidRPr="002D37E6">
        <w:t xml:space="preserve"> order to critically examine the public health implications of CRISPR-based gene therapy for sickle cell disease in the UK. The rationale for this approach is in its new CRISPR technology, along with the limited availability of primary data on equal access in the NHS. This review is further guided by a constructive epistemology by understanding that the knowledge about health equity as well as access is socially informed with the help of health policies, practice, and even life experiences. It is well grounded in social determinants of health and equity frameworks, </w:t>
      </w:r>
      <w:r w:rsidRPr="002D37E6">
        <w:lastRenderedPageBreak/>
        <w:t>meaning the analysis interprets how socioeconomic, ethnic, as well as geographical factors shape access to CRISPR-based therapies (Flaubert, 2026). This approach is interpretative rather than positive because it focuses more upon the thematic patterns across different sources rather than generalisation on a statistical basis.</w:t>
      </w:r>
    </w:p>
    <w:p w:rsidR="00C621A4" w:rsidRPr="002D37E6" w:rsidRDefault="00426EE4">
      <w:pPr>
        <w:pStyle w:val="Heading2"/>
        <w:spacing w:before="40" w:after="0"/>
      </w:pPr>
      <w:bookmarkStart w:id="35" w:name="_Toc240897585"/>
      <w:r w:rsidRPr="002D37E6">
        <w:t>3.5 Search Strategy and term</w:t>
      </w:r>
      <w:bookmarkEnd w:id="35"/>
    </w:p>
    <w:p w:rsidR="00C621A4" w:rsidRPr="002D37E6" w:rsidRDefault="00426EE4">
      <w:pPr>
        <w:spacing w:after="160"/>
      </w:pPr>
      <w:r w:rsidRPr="002D37E6">
        <w:t xml:space="preserve">The study uses a </w:t>
      </w:r>
      <w:r w:rsidRPr="002D37E6">
        <w:rPr>
          <w:b/>
          <w:bCs/>
          <w:i/>
          <w:iCs/>
        </w:rPr>
        <w:t>qualitative strategy</w:t>
      </w:r>
      <w:r w:rsidRPr="002D37E6">
        <w:t xml:space="preserve"> for the interpretation and synthesis of the theme-based insights that have been generated through existing research material (Almeida, 2026). The research strategy is designed in order to ensure a proper, transparent as well as replicable process for getting evidence on the public health implications of CRISPR-based gene therapy for sickle cell disease in the UK. As this study adopts a systematic literature review, the strategy begins with the creation of clear research questions as well as research objectives, which help in guiding the further stages of this review.</w:t>
      </w:r>
    </w:p>
    <w:p w:rsidR="00C621A4" w:rsidRPr="002D37E6" w:rsidRDefault="00426EE4">
      <w:pPr>
        <w:spacing w:after="160"/>
        <w:rPr>
          <w:b/>
          <w:bCs/>
        </w:rPr>
      </w:pPr>
      <w:r w:rsidRPr="002D37E6">
        <w:t>The research is conducted across different academic data sets like PubMed, Google Scholar, as well as institutional Library sources, along with policy and government publications. The keywords and Boolean combination would consist of “ CRISPR”, “ sickle cell disease”, “equitable access”, “ health system readiness” as well as “ United Kingdom”. All these keywords have been used in order to get the relevant studies for conducting the research. </w:t>
      </w:r>
    </w:p>
    <w:tbl>
      <w:tblPr>
        <w:tblStyle w:val="af2"/>
        <w:tblW w:w="11483" w:type="dxa"/>
        <w:tblInd w:w="-11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803"/>
        <w:gridCol w:w="1800"/>
        <w:gridCol w:w="1980"/>
        <w:gridCol w:w="1620"/>
        <w:gridCol w:w="3280"/>
      </w:tblGrid>
      <w:tr w:rsidR="00C621A4" w:rsidRPr="002D37E6">
        <w:tc>
          <w:tcPr>
            <w:tcW w:w="2803" w:type="dxa"/>
            <w:shd w:val="clear" w:color="auto" w:fill="D9EAD3"/>
            <w:tcMar>
              <w:top w:w="100" w:type="dxa"/>
              <w:left w:w="100" w:type="dxa"/>
              <w:bottom w:w="100" w:type="dxa"/>
              <w:right w:w="100" w:type="dxa"/>
            </w:tcMar>
          </w:tcPr>
          <w:p w:rsidR="00C621A4" w:rsidRPr="002D37E6" w:rsidRDefault="00426EE4">
            <w:pPr>
              <w:widowControl w:val="0"/>
              <w:jc w:val="center"/>
              <w:rPr>
                <w:b/>
                <w:bCs/>
              </w:rPr>
            </w:pPr>
            <w:r w:rsidRPr="002D37E6">
              <w:rPr>
                <w:b/>
                <w:bCs/>
              </w:rPr>
              <w:t xml:space="preserve">Keywords </w:t>
            </w:r>
          </w:p>
        </w:tc>
        <w:tc>
          <w:tcPr>
            <w:tcW w:w="1800" w:type="dxa"/>
            <w:shd w:val="clear" w:color="auto" w:fill="D9EAD3"/>
            <w:tcMar>
              <w:top w:w="100" w:type="dxa"/>
              <w:left w:w="100" w:type="dxa"/>
              <w:bottom w:w="100" w:type="dxa"/>
              <w:right w:w="100" w:type="dxa"/>
            </w:tcMar>
          </w:tcPr>
          <w:p w:rsidR="00C621A4" w:rsidRPr="002D37E6" w:rsidRDefault="00426EE4">
            <w:pPr>
              <w:widowControl w:val="0"/>
              <w:jc w:val="center"/>
              <w:rPr>
                <w:b/>
                <w:bCs/>
              </w:rPr>
            </w:pPr>
            <w:r w:rsidRPr="002D37E6">
              <w:rPr>
                <w:b/>
                <w:bCs/>
              </w:rPr>
              <w:t xml:space="preserve">Boolean Operators </w:t>
            </w:r>
          </w:p>
          <w:p w:rsidR="00C621A4" w:rsidRPr="002D37E6" w:rsidRDefault="00426EE4">
            <w:pPr>
              <w:widowControl w:val="0"/>
              <w:jc w:val="center"/>
              <w:rPr>
                <w:b/>
                <w:bCs/>
              </w:rPr>
            </w:pPr>
            <w:r w:rsidRPr="002D37E6">
              <w:rPr>
                <w:b/>
                <w:bCs/>
              </w:rPr>
              <w:t>(And)</w:t>
            </w:r>
          </w:p>
          <w:p w:rsidR="00C621A4" w:rsidRPr="002D37E6" w:rsidRDefault="00426EE4">
            <w:pPr>
              <w:widowControl w:val="0"/>
              <w:jc w:val="center"/>
              <w:rPr>
                <w:b/>
                <w:bCs/>
              </w:rPr>
            </w:pPr>
            <w:r w:rsidRPr="002D37E6">
              <w:rPr>
                <w:b/>
                <w:bCs/>
              </w:rPr>
              <w:t xml:space="preserve">n1 </w:t>
            </w:r>
          </w:p>
        </w:tc>
        <w:tc>
          <w:tcPr>
            <w:tcW w:w="1980" w:type="dxa"/>
            <w:shd w:val="clear" w:color="auto" w:fill="D9EAD3"/>
            <w:tcMar>
              <w:top w:w="100" w:type="dxa"/>
              <w:left w:w="100" w:type="dxa"/>
              <w:bottom w:w="100" w:type="dxa"/>
              <w:right w:w="100" w:type="dxa"/>
            </w:tcMar>
          </w:tcPr>
          <w:p w:rsidR="00C621A4" w:rsidRPr="002D37E6" w:rsidRDefault="00426EE4">
            <w:pPr>
              <w:widowControl w:val="0"/>
              <w:jc w:val="center"/>
              <w:rPr>
                <w:b/>
                <w:bCs/>
              </w:rPr>
            </w:pPr>
            <w:r w:rsidRPr="002D37E6">
              <w:rPr>
                <w:b/>
                <w:bCs/>
              </w:rPr>
              <w:t xml:space="preserve">Boolean Operators </w:t>
            </w:r>
          </w:p>
          <w:p w:rsidR="00C621A4" w:rsidRPr="002D37E6" w:rsidRDefault="00426EE4">
            <w:pPr>
              <w:widowControl w:val="0"/>
              <w:jc w:val="center"/>
              <w:rPr>
                <w:b/>
                <w:bCs/>
              </w:rPr>
            </w:pPr>
            <w:r w:rsidRPr="002D37E6">
              <w:rPr>
                <w:b/>
                <w:bCs/>
              </w:rPr>
              <w:t>(Or)</w:t>
            </w:r>
          </w:p>
          <w:p w:rsidR="00C621A4" w:rsidRPr="002D37E6" w:rsidRDefault="00426EE4">
            <w:pPr>
              <w:widowControl w:val="0"/>
              <w:jc w:val="center"/>
              <w:rPr>
                <w:b/>
                <w:bCs/>
              </w:rPr>
            </w:pPr>
            <w:r w:rsidRPr="002D37E6">
              <w:rPr>
                <w:b/>
                <w:bCs/>
              </w:rPr>
              <w:t>n2</w:t>
            </w:r>
          </w:p>
        </w:tc>
        <w:tc>
          <w:tcPr>
            <w:tcW w:w="1620" w:type="dxa"/>
            <w:shd w:val="clear" w:color="auto" w:fill="D9EAD3"/>
            <w:tcMar>
              <w:top w:w="100" w:type="dxa"/>
              <w:left w:w="100" w:type="dxa"/>
              <w:bottom w:w="100" w:type="dxa"/>
              <w:right w:w="100" w:type="dxa"/>
            </w:tcMar>
          </w:tcPr>
          <w:p w:rsidR="00C621A4" w:rsidRPr="002D37E6" w:rsidRDefault="00426EE4">
            <w:pPr>
              <w:widowControl w:val="0"/>
              <w:jc w:val="center"/>
              <w:rPr>
                <w:b/>
                <w:bCs/>
              </w:rPr>
            </w:pPr>
            <w:r w:rsidRPr="002D37E6">
              <w:rPr>
                <w:b/>
                <w:bCs/>
              </w:rPr>
              <w:t>Database</w:t>
            </w:r>
          </w:p>
        </w:tc>
        <w:tc>
          <w:tcPr>
            <w:tcW w:w="3280" w:type="dxa"/>
            <w:shd w:val="clear" w:color="auto" w:fill="D9EAD3"/>
            <w:tcMar>
              <w:top w:w="100" w:type="dxa"/>
              <w:left w:w="100" w:type="dxa"/>
              <w:bottom w:w="100" w:type="dxa"/>
              <w:right w:w="100" w:type="dxa"/>
            </w:tcMar>
          </w:tcPr>
          <w:p w:rsidR="00C621A4" w:rsidRPr="002D37E6" w:rsidRDefault="00426EE4">
            <w:pPr>
              <w:widowControl w:val="0"/>
              <w:jc w:val="center"/>
              <w:rPr>
                <w:b/>
                <w:bCs/>
              </w:rPr>
            </w:pPr>
            <w:r w:rsidRPr="002D37E6">
              <w:rPr>
                <w:b/>
                <w:bCs/>
              </w:rPr>
              <w:t>Outcomes</w:t>
            </w:r>
          </w:p>
          <w:p w:rsidR="00C621A4" w:rsidRPr="002D37E6" w:rsidRDefault="00426EE4">
            <w:pPr>
              <w:widowControl w:val="0"/>
              <w:jc w:val="center"/>
              <w:rPr>
                <w:b/>
                <w:bCs/>
              </w:rPr>
            </w:pPr>
            <w:r w:rsidRPr="002D37E6">
              <w:rPr>
                <w:b/>
                <w:bCs/>
              </w:rPr>
              <w:t>(subhead and number of studies) n= (n1+n2)</w:t>
            </w:r>
          </w:p>
        </w:tc>
      </w:tr>
      <w:tr w:rsidR="00C621A4" w:rsidRPr="002D37E6">
        <w:tc>
          <w:tcPr>
            <w:tcW w:w="2803" w:type="dxa"/>
            <w:tcMar>
              <w:top w:w="100" w:type="dxa"/>
              <w:left w:w="100" w:type="dxa"/>
              <w:bottom w:w="100" w:type="dxa"/>
              <w:right w:w="100" w:type="dxa"/>
            </w:tcMar>
          </w:tcPr>
          <w:p w:rsidR="00C621A4" w:rsidRPr="002D37E6" w:rsidRDefault="00426EE4">
            <w:pPr>
              <w:widowControl w:val="0"/>
            </w:pPr>
            <w:r w:rsidRPr="002D37E6">
              <w:t xml:space="preserve">CRISPR and </w:t>
            </w:r>
          </w:p>
          <w:p w:rsidR="00C621A4" w:rsidRPr="002D37E6" w:rsidRDefault="00426EE4">
            <w:pPr>
              <w:widowControl w:val="0"/>
            </w:pPr>
            <w:r w:rsidRPr="002D37E6">
              <w:t>sickle cell disease</w:t>
            </w:r>
          </w:p>
        </w:tc>
        <w:tc>
          <w:tcPr>
            <w:tcW w:w="1800" w:type="dxa"/>
            <w:tcMar>
              <w:top w:w="100" w:type="dxa"/>
              <w:left w:w="100" w:type="dxa"/>
              <w:bottom w:w="100" w:type="dxa"/>
              <w:right w:w="100" w:type="dxa"/>
            </w:tcMar>
          </w:tcPr>
          <w:p w:rsidR="00C621A4" w:rsidRPr="002D37E6" w:rsidRDefault="00426EE4">
            <w:pPr>
              <w:widowControl w:val="0"/>
            </w:pPr>
            <w:r w:rsidRPr="002D37E6">
              <w:t>CRISPR AND sickle cell disease</w:t>
            </w:r>
          </w:p>
        </w:tc>
        <w:tc>
          <w:tcPr>
            <w:tcW w:w="1980" w:type="dxa"/>
            <w:tcMar>
              <w:top w:w="100" w:type="dxa"/>
              <w:left w:w="100" w:type="dxa"/>
              <w:bottom w:w="100" w:type="dxa"/>
              <w:right w:w="100" w:type="dxa"/>
            </w:tcMar>
          </w:tcPr>
          <w:p w:rsidR="00C621A4" w:rsidRPr="002D37E6" w:rsidRDefault="00426EE4">
            <w:pPr>
              <w:widowControl w:val="0"/>
            </w:pPr>
            <w:r w:rsidRPr="002D37E6">
              <w:t>CRISPR OR sickle cell disease</w:t>
            </w:r>
          </w:p>
        </w:tc>
        <w:tc>
          <w:tcPr>
            <w:tcW w:w="1620" w:type="dxa"/>
            <w:tcMar>
              <w:top w:w="100" w:type="dxa"/>
              <w:left w:w="100" w:type="dxa"/>
              <w:bottom w:w="100" w:type="dxa"/>
              <w:right w:w="100" w:type="dxa"/>
            </w:tcMar>
          </w:tcPr>
          <w:p w:rsidR="00C621A4" w:rsidRPr="002D37E6" w:rsidRDefault="00426EE4">
            <w:pPr>
              <w:widowControl w:val="0"/>
            </w:pPr>
            <w:r w:rsidRPr="002D37E6">
              <w:t xml:space="preserve">Google Scholar </w:t>
            </w:r>
          </w:p>
        </w:tc>
        <w:tc>
          <w:tcPr>
            <w:tcW w:w="3280" w:type="dxa"/>
            <w:tcMar>
              <w:top w:w="100" w:type="dxa"/>
              <w:left w:w="100" w:type="dxa"/>
              <w:bottom w:w="100" w:type="dxa"/>
              <w:right w:w="100" w:type="dxa"/>
            </w:tcMar>
          </w:tcPr>
          <w:p w:rsidR="00C621A4" w:rsidRPr="002D37E6" w:rsidRDefault="00426EE4">
            <w:pPr>
              <w:widowControl w:val="0"/>
              <w:jc w:val="center"/>
            </w:pPr>
            <w:r w:rsidRPr="002D37E6">
              <w:t>n1= 50</w:t>
            </w:r>
          </w:p>
          <w:p w:rsidR="00C621A4" w:rsidRPr="002D37E6" w:rsidRDefault="00426EE4">
            <w:pPr>
              <w:widowControl w:val="0"/>
              <w:jc w:val="center"/>
            </w:pPr>
            <w:r w:rsidRPr="002D37E6">
              <w:t>n2= 80</w:t>
            </w:r>
          </w:p>
          <w:p w:rsidR="00C621A4" w:rsidRPr="002D37E6" w:rsidRDefault="00426EE4">
            <w:pPr>
              <w:widowControl w:val="0"/>
              <w:jc w:val="center"/>
            </w:pPr>
            <w:r w:rsidRPr="002D37E6">
              <w:t>N(n1+n2) = 130</w:t>
            </w:r>
          </w:p>
        </w:tc>
      </w:tr>
      <w:tr w:rsidR="00C621A4" w:rsidRPr="002D37E6">
        <w:tc>
          <w:tcPr>
            <w:tcW w:w="2803" w:type="dxa"/>
            <w:tcMar>
              <w:top w:w="100" w:type="dxa"/>
              <w:left w:w="100" w:type="dxa"/>
              <w:bottom w:w="100" w:type="dxa"/>
              <w:right w:w="100" w:type="dxa"/>
            </w:tcMar>
          </w:tcPr>
          <w:p w:rsidR="00C621A4" w:rsidRPr="002D37E6" w:rsidRDefault="00426EE4">
            <w:pPr>
              <w:widowControl w:val="0"/>
            </w:pPr>
            <w:r w:rsidRPr="002D37E6">
              <w:t>CRISPR</w:t>
            </w:r>
          </w:p>
          <w:p w:rsidR="00C621A4" w:rsidRPr="002D37E6" w:rsidRDefault="00426EE4">
            <w:pPr>
              <w:widowControl w:val="0"/>
            </w:pPr>
            <w:r w:rsidRPr="002D37E6">
              <w:t>sickle cell disease and health system readiness</w:t>
            </w:r>
          </w:p>
        </w:tc>
        <w:tc>
          <w:tcPr>
            <w:tcW w:w="1800" w:type="dxa"/>
            <w:tcMar>
              <w:top w:w="100" w:type="dxa"/>
              <w:left w:w="100" w:type="dxa"/>
              <w:bottom w:w="100" w:type="dxa"/>
              <w:right w:w="100" w:type="dxa"/>
            </w:tcMar>
          </w:tcPr>
          <w:p w:rsidR="00C621A4" w:rsidRPr="002D37E6" w:rsidRDefault="00426EE4">
            <w:pPr>
              <w:widowControl w:val="0"/>
            </w:pPr>
            <w:r w:rsidRPr="002D37E6">
              <w:t xml:space="preserve">Sickle cell disease AND health system readiness </w:t>
            </w:r>
          </w:p>
          <w:p w:rsidR="00C621A4" w:rsidRPr="002D37E6" w:rsidRDefault="00C621A4">
            <w:pPr>
              <w:widowControl w:val="0"/>
            </w:pPr>
          </w:p>
        </w:tc>
        <w:tc>
          <w:tcPr>
            <w:tcW w:w="1980" w:type="dxa"/>
            <w:tcMar>
              <w:top w:w="100" w:type="dxa"/>
              <w:left w:w="100" w:type="dxa"/>
              <w:bottom w:w="100" w:type="dxa"/>
              <w:right w:w="100" w:type="dxa"/>
            </w:tcMar>
          </w:tcPr>
          <w:p w:rsidR="00C621A4" w:rsidRPr="002D37E6" w:rsidRDefault="00426EE4">
            <w:pPr>
              <w:widowControl w:val="0"/>
            </w:pPr>
            <w:r w:rsidRPr="002D37E6">
              <w:t xml:space="preserve">Sickle cell disease OR health system readiness </w:t>
            </w:r>
          </w:p>
          <w:p w:rsidR="00C621A4" w:rsidRPr="002D37E6" w:rsidRDefault="00C621A4">
            <w:pPr>
              <w:widowControl w:val="0"/>
            </w:pPr>
          </w:p>
          <w:p w:rsidR="00C621A4" w:rsidRPr="002D37E6" w:rsidRDefault="00C621A4">
            <w:pPr>
              <w:widowControl w:val="0"/>
            </w:pPr>
          </w:p>
        </w:tc>
        <w:tc>
          <w:tcPr>
            <w:tcW w:w="1620" w:type="dxa"/>
            <w:tcMar>
              <w:top w:w="100" w:type="dxa"/>
              <w:left w:w="100" w:type="dxa"/>
              <w:bottom w:w="100" w:type="dxa"/>
              <w:right w:w="100" w:type="dxa"/>
            </w:tcMar>
          </w:tcPr>
          <w:p w:rsidR="00C621A4" w:rsidRPr="002D37E6" w:rsidRDefault="00426EE4">
            <w:pPr>
              <w:widowControl w:val="0"/>
            </w:pPr>
            <w:r w:rsidRPr="002D37E6">
              <w:t xml:space="preserve">PubMed </w:t>
            </w:r>
          </w:p>
        </w:tc>
        <w:tc>
          <w:tcPr>
            <w:tcW w:w="3280" w:type="dxa"/>
            <w:tcMar>
              <w:top w:w="100" w:type="dxa"/>
              <w:left w:w="100" w:type="dxa"/>
              <w:bottom w:w="100" w:type="dxa"/>
              <w:right w:w="100" w:type="dxa"/>
            </w:tcMar>
          </w:tcPr>
          <w:p w:rsidR="00C621A4" w:rsidRPr="002D37E6" w:rsidRDefault="00426EE4">
            <w:pPr>
              <w:widowControl w:val="0"/>
              <w:jc w:val="center"/>
            </w:pPr>
            <w:r w:rsidRPr="002D37E6">
              <w:t>n1= 450</w:t>
            </w:r>
          </w:p>
          <w:p w:rsidR="00C621A4" w:rsidRPr="002D37E6" w:rsidRDefault="00426EE4">
            <w:pPr>
              <w:widowControl w:val="0"/>
              <w:jc w:val="center"/>
            </w:pPr>
            <w:r w:rsidRPr="002D37E6">
              <w:t>n2= 300</w:t>
            </w:r>
          </w:p>
          <w:p w:rsidR="00C621A4" w:rsidRPr="002D37E6" w:rsidRDefault="00426EE4">
            <w:pPr>
              <w:widowControl w:val="0"/>
              <w:jc w:val="center"/>
            </w:pPr>
            <w:r w:rsidRPr="002D37E6">
              <w:t>N(n1+n2) = 750</w:t>
            </w:r>
          </w:p>
        </w:tc>
      </w:tr>
      <w:tr w:rsidR="00C621A4" w:rsidRPr="002D37E6">
        <w:tc>
          <w:tcPr>
            <w:tcW w:w="2803" w:type="dxa"/>
            <w:tcMar>
              <w:top w:w="100" w:type="dxa"/>
              <w:left w:w="100" w:type="dxa"/>
              <w:bottom w:w="100" w:type="dxa"/>
              <w:right w:w="100" w:type="dxa"/>
            </w:tcMar>
          </w:tcPr>
          <w:p w:rsidR="00C621A4" w:rsidRPr="002D37E6" w:rsidRDefault="00426EE4">
            <w:pPr>
              <w:widowControl w:val="0"/>
            </w:pPr>
            <w:r w:rsidRPr="002D37E6">
              <w:lastRenderedPageBreak/>
              <w:t>CRISPR,</w:t>
            </w:r>
          </w:p>
          <w:p w:rsidR="00C621A4" w:rsidRPr="002D37E6" w:rsidRDefault="00426EE4">
            <w:pPr>
              <w:widowControl w:val="0"/>
            </w:pPr>
            <w:r w:rsidRPr="002D37E6">
              <w:t>sickle cell disease,</w:t>
            </w:r>
          </w:p>
          <w:p w:rsidR="00C621A4" w:rsidRPr="002D37E6" w:rsidRDefault="00426EE4">
            <w:pPr>
              <w:widowControl w:val="0"/>
            </w:pPr>
            <w:r w:rsidRPr="002D37E6">
              <w:t>United Kingdom</w:t>
            </w:r>
          </w:p>
        </w:tc>
        <w:tc>
          <w:tcPr>
            <w:tcW w:w="1800" w:type="dxa"/>
            <w:tcMar>
              <w:top w:w="100" w:type="dxa"/>
              <w:left w:w="100" w:type="dxa"/>
              <w:bottom w:w="100" w:type="dxa"/>
              <w:right w:w="100" w:type="dxa"/>
            </w:tcMar>
          </w:tcPr>
          <w:p w:rsidR="00C621A4" w:rsidRPr="002D37E6" w:rsidRDefault="00426EE4">
            <w:pPr>
              <w:widowControl w:val="0"/>
            </w:pPr>
            <w:r w:rsidRPr="002D37E6">
              <w:t>CRISPR AND United Kingdom</w:t>
            </w:r>
          </w:p>
        </w:tc>
        <w:tc>
          <w:tcPr>
            <w:tcW w:w="1980" w:type="dxa"/>
            <w:tcMar>
              <w:top w:w="100" w:type="dxa"/>
              <w:left w:w="100" w:type="dxa"/>
              <w:bottom w:w="100" w:type="dxa"/>
              <w:right w:w="100" w:type="dxa"/>
            </w:tcMar>
          </w:tcPr>
          <w:p w:rsidR="00C621A4" w:rsidRPr="002D37E6" w:rsidRDefault="00426EE4">
            <w:pPr>
              <w:widowControl w:val="0"/>
            </w:pPr>
            <w:r w:rsidRPr="002D37E6">
              <w:t>CRISPR OR United Kingdom</w:t>
            </w:r>
          </w:p>
        </w:tc>
        <w:tc>
          <w:tcPr>
            <w:tcW w:w="1620" w:type="dxa"/>
            <w:tcMar>
              <w:top w:w="100" w:type="dxa"/>
              <w:left w:w="100" w:type="dxa"/>
              <w:bottom w:w="100" w:type="dxa"/>
              <w:right w:w="100" w:type="dxa"/>
            </w:tcMar>
          </w:tcPr>
          <w:p w:rsidR="00C621A4" w:rsidRPr="002D37E6" w:rsidRDefault="00426EE4">
            <w:pPr>
              <w:widowControl w:val="0"/>
            </w:pPr>
            <w:r w:rsidRPr="002D37E6">
              <w:t xml:space="preserve">ScienceDirect </w:t>
            </w:r>
          </w:p>
        </w:tc>
        <w:tc>
          <w:tcPr>
            <w:tcW w:w="3280" w:type="dxa"/>
            <w:tcMar>
              <w:top w:w="100" w:type="dxa"/>
              <w:left w:w="100" w:type="dxa"/>
              <w:bottom w:w="100" w:type="dxa"/>
              <w:right w:w="100" w:type="dxa"/>
            </w:tcMar>
          </w:tcPr>
          <w:p w:rsidR="00C621A4" w:rsidRPr="002D37E6" w:rsidRDefault="00426EE4">
            <w:pPr>
              <w:widowControl w:val="0"/>
              <w:jc w:val="center"/>
            </w:pPr>
            <w:r w:rsidRPr="002D37E6">
              <w:t>n1= 700</w:t>
            </w:r>
          </w:p>
          <w:p w:rsidR="00C621A4" w:rsidRPr="002D37E6" w:rsidRDefault="00426EE4">
            <w:pPr>
              <w:widowControl w:val="0"/>
              <w:jc w:val="center"/>
            </w:pPr>
            <w:r w:rsidRPr="002D37E6">
              <w:t>n2= 200</w:t>
            </w:r>
          </w:p>
          <w:p w:rsidR="00C621A4" w:rsidRPr="002D37E6" w:rsidRDefault="00426EE4">
            <w:pPr>
              <w:widowControl w:val="0"/>
              <w:jc w:val="center"/>
            </w:pPr>
            <w:r w:rsidRPr="002D37E6">
              <w:t>N(n1+n2) = 900</w:t>
            </w:r>
          </w:p>
          <w:p w:rsidR="00C621A4" w:rsidRPr="002D37E6" w:rsidRDefault="00C621A4">
            <w:pPr>
              <w:widowControl w:val="0"/>
              <w:jc w:val="center"/>
            </w:pPr>
          </w:p>
          <w:p w:rsidR="00C621A4" w:rsidRPr="002D37E6" w:rsidRDefault="00C621A4">
            <w:pPr>
              <w:widowControl w:val="0"/>
              <w:jc w:val="center"/>
            </w:pPr>
          </w:p>
        </w:tc>
      </w:tr>
      <w:tr w:rsidR="00C621A4" w:rsidRPr="002D37E6">
        <w:tc>
          <w:tcPr>
            <w:tcW w:w="2803" w:type="dxa"/>
            <w:tcMar>
              <w:top w:w="100" w:type="dxa"/>
              <w:left w:w="100" w:type="dxa"/>
              <w:bottom w:w="100" w:type="dxa"/>
              <w:right w:w="100" w:type="dxa"/>
            </w:tcMar>
          </w:tcPr>
          <w:p w:rsidR="00C621A4" w:rsidRPr="002D37E6" w:rsidRDefault="00426EE4">
            <w:pPr>
              <w:widowControl w:val="0"/>
            </w:pPr>
            <w:r w:rsidRPr="002D37E6">
              <w:t>Sickle cell disease and United Kingdom</w:t>
            </w:r>
          </w:p>
        </w:tc>
        <w:tc>
          <w:tcPr>
            <w:tcW w:w="1800" w:type="dxa"/>
            <w:tcMar>
              <w:top w:w="100" w:type="dxa"/>
              <w:left w:w="100" w:type="dxa"/>
              <w:bottom w:w="100" w:type="dxa"/>
              <w:right w:w="100" w:type="dxa"/>
            </w:tcMar>
          </w:tcPr>
          <w:p w:rsidR="00C621A4" w:rsidRPr="002D37E6" w:rsidRDefault="00426EE4">
            <w:pPr>
              <w:widowControl w:val="0"/>
            </w:pPr>
            <w:r w:rsidRPr="002D37E6">
              <w:t>Sickle cell disease AND United Kingdom</w:t>
            </w:r>
          </w:p>
        </w:tc>
        <w:tc>
          <w:tcPr>
            <w:tcW w:w="1980" w:type="dxa"/>
            <w:tcMar>
              <w:top w:w="100" w:type="dxa"/>
              <w:left w:w="100" w:type="dxa"/>
              <w:bottom w:w="100" w:type="dxa"/>
              <w:right w:w="100" w:type="dxa"/>
            </w:tcMar>
          </w:tcPr>
          <w:p w:rsidR="00C621A4" w:rsidRPr="002D37E6" w:rsidRDefault="00426EE4">
            <w:pPr>
              <w:widowControl w:val="0"/>
            </w:pPr>
            <w:r w:rsidRPr="002D37E6">
              <w:t>Sickle cell disease OR United Kingdom</w:t>
            </w:r>
          </w:p>
        </w:tc>
        <w:tc>
          <w:tcPr>
            <w:tcW w:w="1620" w:type="dxa"/>
            <w:tcMar>
              <w:top w:w="100" w:type="dxa"/>
              <w:left w:w="100" w:type="dxa"/>
              <w:bottom w:w="100" w:type="dxa"/>
              <w:right w:w="100" w:type="dxa"/>
            </w:tcMar>
          </w:tcPr>
          <w:p w:rsidR="00C621A4" w:rsidRPr="002D37E6" w:rsidRDefault="00426EE4">
            <w:pPr>
              <w:widowControl w:val="0"/>
            </w:pPr>
            <w:r w:rsidRPr="002D37E6">
              <w:t>SagePub</w:t>
            </w:r>
          </w:p>
        </w:tc>
        <w:tc>
          <w:tcPr>
            <w:tcW w:w="3280" w:type="dxa"/>
            <w:tcMar>
              <w:top w:w="100" w:type="dxa"/>
              <w:left w:w="100" w:type="dxa"/>
              <w:bottom w:w="100" w:type="dxa"/>
              <w:right w:w="100" w:type="dxa"/>
            </w:tcMar>
          </w:tcPr>
          <w:p w:rsidR="00C621A4" w:rsidRPr="002D37E6" w:rsidRDefault="00426EE4">
            <w:pPr>
              <w:widowControl w:val="0"/>
              <w:jc w:val="center"/>
            </w:pPr>
            <w:r w:rsidRPr="002D37E6">
              <w:t>n1= 20</w:t>
            </w:r>
          </w:p>
          <w:p w:rsidR="00C621A4" w:rsidRPr="002D37E6" w:rsidRDefault="00426EE4">
            <w:pPr>
              <w:widowControl w:val="0"/>
              <w:jc w:val="center"/>
            </w:pPr>
            <w:r w:rsidRPr="002D37E6">
              <w:t>n2= 30</w:t>
            </w:r>
          </w:p>
          <w:p w:rsidR="00C621A4" w:rsidRPr="002D37E6" w:rsidRDefault="00426EE4">
            <w:pPr>
              <w:widowControl w:val="0"/>
              <w:jc w:val="center"/>
            </w:pPr>
            <w:r w:rsidRPr="002D37E6">
              <w:t>N(n1+n2) = 50</w:t>
            </w:r>
          </w:p>
          <w:p w:rsidR="00C621A4" w:rsidRPr="002D37E6" w:rsidRDefault="00426EE4">
            <w:pPr>
              <w:widowControl w:val="0"/>
              <w:jc w:val="center"/>
            </w:pPr>
            <w:r w:rsidRPr="002D37E6">
              <w:t>Total= 1830</w:t>
            </w:r>
          </w:p>
        </w:tc>
      </w:tr>
    </w:tbl>
    <w:p w:rsidR="00C621A4" w:rsidRPr="002D37E6" w:rsidRDefault="00426EE4">
      <w:pPr>
        <w:pStyle w:val="Heading5"/>
        <w:rPr>
          <w:b w:val="0"/>
          <w:bCs w:val="0"/>
        </w:rPr>
      </w:pPr>
      <w:bookmarkStart w:id="36" w:name="_heading=h.5719vguxnrh7" w:colFirst="0" w:colLast="0"/>
      <w:bookmarkStart w:id="37" w:name="_Toc240897633"/>
      <w:bookmarkEnd w:id="36"/>
      <w:r w:rsidRPr="002D37E6">
        <w:t>Table 3.1: Boolean operator</w:t>
      </w:r>
      <w:bookmarkEnd w:id="37"/>
    </w:p>
    <w:p w:rsidR="00C621A4" w:rsidRPr="002D37E6" w:rsidRDefault="00426EE4">
      <w:pPr>
        <w:spacing w:after="160"/>
        <w:jc w:val="center"/>
      </w:pPr>
      <w:r w:rsidRPr="002D37E6">
        <w:t>(Source: Self-developed)</w:t>
      </w:r>
    </w:p>
    <w:p w:rsidR="00C621A4" w:rsidRPr="002D37E6" w:rsidRDefault="00426EE4">
      <w:pPr>
        <w:spacing w:after="160"/>
      </w:pPr>
      <w:r w:rsidRPr="002D37E6">
        <w:t xml:space="preserve">The data collection further consists of </w:t>
      </w:r>
      <w:r w:rsidRPr="002D37E6">
        <w:rPr>
          <w:b/>
          <w:bCs/>
          <w:i/>
          <w:iCs/>
        </w:rPr>
        <w:t>structured searches</w:t>
      </w:r>
      <w:r w:rsidRPr="002D37E6">
        <w:t xml:space="preserve"> for peer-reviewed journals, NHS reports, government publications, along with the policy documents that were published between 2022 and 2026. The inclusion criteria further consist of ensuring high relevance to the UK healthcare system, SCD as well as CRISPR-based therapy. The exclusion criteria remove studies that are outside the UK context or those that lack direct relevance to the equity as well as the overall preparedness of the system. The data collection process used a </w:t>
      </w:r>
      <w:r w:rsidRPr="002D37E6">
        <w:rPr>
          <w:b/>
          <w:bCs/>
          <w:i/>
          <w:iCs/>
        </w:rPr>
        <w:t>systematic review with a qualitative approach</w:t>
      </w:r>
      <w:r w:rsidRPr="002D37E6">
        <w:t xml:space="preserve">, ensuring that evidence is synthesised thematically to reflect barriers, facilitators and health system readiness within the UK context. The extracted data is coded into the thematic categories, consisting of barriers, facilitators, as well as systemic readiness. The thematic analysis further helps in the identification of continuously occurring patterns along with the divergence in different literatures (Ahmed </w:t>
      </w:r>
      <w:r w:rsidRPr="002D37E6">
        <w:rPr>
          <w:i/>
          <w:iCs/>
        </w:rPr>
        <w:t xml:space="preserve">et al. </w:t>
      </w:r>
      <w:r w:rsidRPr="002D37E6">
        <w:t>2025). On the other hand, the triangulation across the different sources helps in enhancing the ability. This strategy helps in ensuring that the research remains systematic, less biased and provides a detailed understanding of how socioeconomic, ethnic as well as geographical factors impact access to CRISPR-based. Ultimately, the research strategy supports the overall aim of the study in informing both academic debate as well as policy development on equal genomic medicine in the NHS.</w:t>
      </w:r>
    </w:p>
    <w:p w:rsidR="00C621A4" w:rsidRPr="002D37E6" w:rsidRDefault="00426EE4">
      <w:pPr>
        <w:pStyle w:val="Heading2"/>
        <w:spacing w:before="40" w:after="0"/>
      </w:pPr>
      <w:bookmarkStart w:id="38" w:name="_Toc240897586"/>
      <w:r w:rsidRPr="002D37E6">
        <w:t>3.6 Inclusion and Exclusion Criteria</w:t>
      </w:r>
      <w:bookmarkEnd w:id="38"/>
    </w:p>
    <w:p w:rsidR="00C621A4" w:rsidRPr="002D37E6" w:rsidRDefault="00426EE4">
      <w:pPr>
        <w:spacing w:before="200" w:after="160"/>
      </w:pPr>
      <w:r w:rsidRPr="002D37E6">
        <w:t>Integrating inclusion and exclusion criteria within research is considered to be essential for defining the study population, reducing bias as well as protecting participant safety (Dahò</w:t>
      </w:r>
      <w:r w:rsidRPr="002D37E6">
        <w:rPr>
          <w:i/>
          <w:iCs/>
        </w:rPr>
        <w:t xml:space="preserve">et al. </w:t>
      </w:r>
      <w:r w:rsidRPr="002D37E6">
        <w:lastRenderedPageBreak/>
        <w:t xml:space="preserve">2025). In essence, the research has used inclusion and exclusion criteria prior to the data collection procedures, as highlighted in Table 3.1. The use of such a procedure has helped in removing outside factors or confounding variables that could skew findings. </w:t>
      </w:r>
    </w:p>
    <w:tbl>
      <w:tblPr>
        <w:tblStyle w:val="af3"/>
        <w:tblW w:w="11880" w:type="dxa"/>
        <w:tblInd w:w="-1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810"/>
        <w:gridCol w:w="3825"/>
        <w:gridCol w:w="5245"/>
      </w:tblGrid>
      <w:tr w:rsidR="00C621A4" w:rsidRPr="002D37E6" w:rsidTr="00AA560F">
        <w:trPr>
          <w:trHeight w:val="530"/>
        </w:trPr>
        <w:tc>
          <w:tcPr>
            <w:tcW w:w="2810" w:type="dxa"/>
            <w:tcMar>
              <w:top w:w="100" w:type="dxa"/>
              <w:left w:w="100" w:type="dxa"/>
              <w:bottom w:w="100" w:type="dxa"/>
              <w:right w:w="100" w:type="dxa"/>
            </w:tcMar>
          </w:tcPr>
          <w:p w:rsidR="00C621A4" w:rsidRPr="002D37E6" w:rsidRDefault="00426EE4">
            <w:pPr>
              <w:widowControl w:val="0"/>
              <w:spacing w:after="160"/>
              <w:jc w:val="center"/>
              <w:rPr>
                <w:b/>
                <w:bCs/>
                <w:i/>
                <w:iCs/>
              </w:rPr>
            </w:pPr>
            <w:r w:rsidRPr="002D37E6">
              <w:rPr>
                <w:b/>
                <w:bCs/>
                <w:i/>
                <w:iCs/>
              </w:rPr>
              <w:t xml:space="preserve">PICO </w:t>
            </w:r>
          </w:p>
        </w:tc>
        <w:tc>
          <w:tcPr>
            <w:tcW w:w="3825" w:type="dxa"/>
            <w:tcMar>
              <w:top w:w="100" w:type="dxa"/>
              <w:left w:w="100" w:type="dxa"/>
              <w:bottom w:w="100" w:type="dxa"/>
              <w:right w:w="100" w:type="dxa"/>
            </w:tcMar>
          </w:tcPr>
          <w:p w:rsidR="00C621A4" w:rsidRPr="002D37E6" w:rsidRDefault="00426EE4">
            <w:pPr>
              <w:widowControl w:val="0"/>
              <w:spacing w:after="160"/>
              <w:jc w:val="center"/>
              <w:rPr>
                <w:b/>
                <w:bCs/>
                <w:i/>
                <w:iCs/>
              </w:rPr>
            </w:pPr>
            <w:r w:rsidRPr="002D37E6">
              <w:rPr>
                <w:b/>
                <w:bCs/>
                <w:i/>
                <w:iCs/>
              </w:rPr>
              <w:t>Inclusion Criteria</w:t>
            </w:r>
          </w:p>
        </w:tc>
        <w:tc>
          <w:tcPr>
            <w:tcW w:w="5245" w:type="dxa"/>
            <w:tcMar>
              <w:top w:w="100" w:type="dxa"/>
              <w:left w:w="100" w:type="dxa"/>
              <w:bottom w:w="100" w:type="dxa"/>
              <w:right w:w="100" w:type="dxa"/>
            </w:tcMar>
          </w:tcPr>
          <w:p w:rsidR="00C621A4" w:rsidRPr="002D37E6" w:rsidRDefault="00426EE4">
            <w:pPr>
              <w:widowControl w:val="0"/>
              <w:spacing w:after="160"/>
              <w:jc w:val="center"/>
              <w:rPr>
                <w:b/>
                <w:bCs/>
                <w:i/>
                <w:iCs/>
              </w:rPr>
            </w:pPr>
            <w:r w:rsidRPr="002D37E6">
              <w:rPr>
                <w:b/>
                <w:bCs/>
                <w:i/>
                <w:iCs/>
              </w:rPr>
              <w:t>Exclusion Criteria</w:t>
            </w:r>
          </w:p>
        </w:tc>
      </w:tr>
      <w:tr w:rsidR="00C621A4" w:rsidRPr="002D37E6" w:rsidTr="00AA560F">
        <w:tc>
          <w:tcPr>
            <w:tcW w:w="2810" w:type="dxa"/>
            <w:tcMar>
              <w:top w:w="100" w:type="dxa"/>
              <w:left w:w="100" w:type="dxa"/>
              <w:bottom w:w="100" w:type="dxa"/>
              <w:right w:w="100" w:type="dxa"/>
            </w:tcMar>
          </w:tcPr>
          <w:p w:rsidR="00C621A4" w:rsidRPr="002D37E6" w:rsidRDefault="00426EE4">
            <w:pPr>
              <w:widowControl w:val="0"/>
              <w:spacing w:after="160"/>
              <w:rPr>
                <w:b/>
                <w:bCs/>
              </w:rPr>
            </w:pPr>
            <w:r w:rsidRPr="002D37E6">
              <w:rPr>
                <w:b/>
                <w:bCs/>
              </w:rPr>
              <w:t xml:space="preserve">Population </w:t>
            </w:r>
          </w:p>
        </w:tc>
        <w:tc>
          <w:tcPr>
            <w:tcW w:w="3825" w:type="dxa"/>
            <w:tcMar>
              <w:top w:w="100" w:type="dxa"/>
              <w:left w:w="100" w:type="dxa"/>
              <w:bottom w:w="100" w:type="dxa"/>
              <w:right w:w="100" w:type="dxa"/>
            </w:tcMar>
          </w:tcPr>
          <w:p w:rsidR="00C621A4" w:rsidRPr="002D37E6" w:rsidRDefault="00426EE4">
            <w:pPr>
              <w:widowControl w:val="0"/>
              <w:numPr>
                <w:ilvl w:val="0"/>
                <w:numId w:val="1"/>
              </w:numPr>
            </w:pPr>
            <w:r w:rsidRPr="002D37E6">
              <w:t>Individuals with SCD</w:t>
            </w:r>
          </w:p>
          <w:p w:rsidR="00C621A4" w:rsidRPr="002D37E6" w:rsidRDefault="00426EE4">
            <w:pPr>
              <w:widowControl w:val="0"/>
              <w:numPr>
                <w:ilvl w:val="0"/>
                <w:numId w:val="1"/>
              </w:numPr>
            </w:pPr>
            <w:r w:rsidRPr="002D37E6">
              <w:t>UK NHS healthcare professionals</w:t>
            </w:r>
          </w:p>
          <w:p w:rsidR="00C621A4" w:rsidRPr="002D37E6" w:rsidRDefault="00426EE4">
            <w:pPr>
              <w:widowControl w:val="0"/>
              <w:numPr>
                <w:ilvl w:val="0"/>
                <w:numId w:val="1"/>
              </w:numPr>
            </w:pPr>
            <w:r w:rsidRPr="002D37E6">
              <w:t>Health policy experts</w:t>
            </w:r>
          </w:p>
        </w:tc>
        <w:tc>
          <w:tcPr>
            <w:tcW w:w="5245" w:type="dxa"/>
            <w:tcMar>
              <w:top w:w="100" w:type="dxa"/>
              <w:left w:w="100" w:type="dxa"/>
              <w:bottom w:w="100" w:type="dxa"/>
              <w:right w:w="100" w:type="dxa"/>
            </w:tcMar>
          </w:tcPr>
          <w:p w:rsidR="00C621A4" w:rsidRPr="002D37E6" w:rsidRDefault="00426EE4">
            <w:pPr>
              <w:widowControl w:val="0"/>
              <w:numPr>
                <w:ilvl w:val="0"/>
                <w:numId w:val="3"/>
              </w:numPr>
            </w:pPr>
            <w:r w:rsidRPr="002D37E6">
              <w:t>Non-SCD populations</w:t>
            </w:r>
          </w:p>
          <w:p w:rsidR="00C621A4" w:rsidRPr="002D37E6" w:rsidRDefault="00426EE4">
            <w:pPr>
              <w:widowControl w:val="0"/>
              <w:numPr>
                <w:ilvl w:val="0"/>
                <w:numId w:val="3"/>
              </w:numPr>
            </w:pPr>
            <w:r w:rsidRPr="002D37E6">
              <w:t>Populations outside the UK healthcare system</w:t>
            </w:r>
          </w:p>
        </w:tc>
      </w:tr>
      <w:tr w:rsidR="00C621A4" w:rsidRPr="002D37E6" w:rsidTr="00AA560F">
        <w:tc>
          <w:tcPr>
            <w:tcW w:w="2810" w:type="dxa"/>
            <w:tcMar>
              <w:top w:w="100" w:type="dxa"/>
              <w:left w:w="100" w:type="dxa"/>
              <w:bottom w:w="100" w:type="dxa"/>
              <w:right w:w="100" w:type="dxa"/>
            </w:tcMar>
          </w:tcPr>
          <w:p w:rsidR="00C621A4" w:rsidRPr="002D37E6" w:rsidRDefault="00426EE4">
            <w:pPr>
              <w:widowControl w:val="0"/>
              <w:spacing w:after="160"/>
              <w:rPr>
                <w:b/>
                <w:bCs/>
              </w:rPr>
            </w:pPr>
            <w:r w:rsidRPr="002D37E6">
              <w:rPr>
                <w:b/>
                <w:bCs/>
              </w:rPr>
              <w:t>Intervention</w:t>
            </w:r>
          </w:p>
        </w:tc>
        <w:tc>
          <w:tcPr>
            <w:tcW w:w="3825" w:type="dxa"/>
            <w:tcMar>
              <w:top w:w="100" w:type="dxa"/>
              <w:left w:w="100" w:type="dxa"/>
              <w:bottom w:w="100" w:type="dxa"/>
              <w:right w:w="100" w:type="dxa"/>
            </w:tcMar>
          </w:tcPr>
          <w:p w:rsidR="00C621A4" w:rsidRPr="002D37E6" w:rsidRDefault="00426EE4">
            <w:pPr>
              <w:widowControl w:val="0"/>
              <w:numPr>
                <w:ilvl w:val="0"/>
                <w:numId w:val="2"/>
              </w:numPr>
            </w:pPr>
            <w:r w:rsidRPr="002D37E6">
              <w:t>CRISPR-Cas9 or Gene editing therapies</w:t>
            </w:r>
          </w:p>
          <w:p w:rsidR="00C621A4" w:rsidRPr="002D37E6" w:rsidRDefault="00426EE4">
            <w:pPr>
              <w:widowControl w:val="0"/>
              <w:numPr>
                <w:ilvl w:val="0"/>
                <w:numId w:val="2"/>
              </w:numPr>
            </w:pPr>
            <w:r w:rsidRPr="002D37E6">
              <w:t>Accessibility barriers</w:t>
            </w:r>
          </w:p>
          <w:p w:rsidR="00C621A4" w:rsidRPr="002D37E6" w:rsidRDefault="00426EE4">
            <w:pPr>
              <w:widowControl w:val="0"/>
              <w:numPr>
                <w:ilvl w:val="0"/>
                <w:numId w:val="2"/>
              </w:numPr>
            </w:pPr>
            <w:r w:rsidRPr="002D37E6">
              <w:t>NHS system capacity</w:t>
            </w:r>
          </w:p>
        </w:tc>
        <w:tc>
          <w:tcPr>
            <w:tcW w:w="5245" w:type="dxa"/>
            <w:tcMar>
              <w:top w:w="100" w:type="dxa"/>
              <w:left w:w="100" w:type="dxa"/>
              <w:bottom w:w="100" w:type="dxa"/>
              <w:right w:w="100" w:type="dxa"/>
            </w:tcMar>
          </w:tcPr>
          <w:p w:rsidR="00C621A4" w:rsidRPr="002D37E6" w:rsidRDefault="00426EE4">
            <w:pPr>
              <w:widowControl w:val="0"/>
              <w:numPr>
                <w:ilvl w:val="0"/>
                <w:numId w:val="17"/>
              </w:numPr>
            </w:pPr>
            <w:r w:rsidRPr="002D37E6">
              <w:t>Non-gene editing therapies without reference to CRISPR readiness</w:t>
            </w:r>
          </w:p>
        </w:tc>
      </w:tr>
      <w:tr w:rsidR="00C621A4" w:rsidRPr="002D37E6" w:rsidTr="00AA560F">
        <w:tc>
          <w:tcPr>
            <w:tcW w:w="2810" w:type="dxa"/>
            <w:tcMar>
              <w:top w:w="100" w:type="dxa"/>
              <w:left w:w="100" w:type="dxa"/>
              <w:bottom w:w="100" w:type="dxa"/>
              <w:right w:w="100" w:type="dxa"/>
            </w:tcMar>
          </w:tcPr>
          <w:p w:rsidR="00C621A4" w:rsidRPr="002D37E6" w:rsidRDefault="00426EE4">
            <w:pPr>
              <w:widowControl w:val="0"/>
              <w:spacing w:after="160"/>
              <w:rPr>
                <w:b/>
                <w:bCs/>
              </w:rPr>
            </w:pPr>
            <w:r w:rsidRPr="002D37E6">
              <w:rPr>
                <w:b/>
                <w:bCs/>
              </w:rPr>
              <w:t>Context</w:t>
            </w:r>
          </w:p>
        </w:tc>
        <w:tc>
          <w:tcPr>
            <w:tcW w:w="3825" w:type="dxa"/>
            <w:tcMar>
              <w:top w:w="100" w:type="dxa"/>
              <w:left w:w="100" w:type="dxa"/>
              <w:bottom w:w="100" w:type="dxa"/>
              <w:right w:w="100" w:type="dxa"/>
            </w:tcMar>
          </w:tcPr>
          <w:p w:rsidR="00C621A4" w:rsidRPr="002D37E6" w:rsidRDefault="00426EE4">
            <w:pPr>
              <w:widowControl w:val="0"/>
              <w:numPr>
                <w:ilvl w:val="0"/>
                <w:numId w:val="5"/>
              </w:numPr>
            </w:pPr>
            <w:r w:rsidRPr="002D37E6">
              <w:t>UK National Health Service (NHS)</w:t>
            </w:r>
          </w:p>
          <w:p w:rsidR="00C621A4" w:rsidRPr="002D37E6" w:rsidRDefault="00426EE4">
            <w:pPr>
              <w:widowControl w:val="0"/>
              <w:numPr>
                <w:ilvl w:val="0"/>
                <w:numId w:val="5"/>
              </w:numPr>
            </w:pPr>
            <w:r w:rsidRPr="002D37E6">
              <w:t>UK health policy</w:t>
            </w:r>
          </w:p>
          <w:p w:rsidR="00C621A4" w:rsidRPr="002D37E6" w:rsidRDefault="00426EE4">
            <w:pPr>
              <w:widowControl w:val="0"/>
              <w:numPr>
                <w:ilvl w:val="0"/>
                <w:numId w:val="5"/>
              </w:numPr>
            </w:pPr>
            <w:r w:rsidRPr="002D37E6">
              <w:t>NICE appraisals</w:t>
            </w:r>
          </w:p>
        </w:tc>
        <w:tc>
          <w:tcPr>
            <w:tcW w:w="5245" w:type="dxa"/>
            <w:tcMar>
              <w:top w:w="100" w:type="dxa"/>
              <w:left w:w="100" w:type="dxa"/>
              <w:bottom w:w="100" w:type="dxa"/>
              <w:right w:w="100" w:type="dxa"/>
            </w:tcMar>
          </w:tcPr>
          <w:p w:rsidR="00C621A4" w:rsidRPr="002D37E6" w:rsidRDefault="00426EE4">
            <w:pPr>
              <w:widowControl w:val="0"/>
              <w:numPr>
                <w:ilvl w:val="0"/>
                <w:numId w:val="12"/>
              </w:numPr>
            </w:pPr>
            <w:r w:rsidRPr="002D37E6">
              <w:t xml:space="preserve">Global health contexts without direct relevance </w:t>
            </w:r>
          </w:p>
          <w:p w:rsidR="00C621A4" w:rsidRPr="002D37E6" w:rsidRDefault="00426EE4">
            <w:pPr>
              <w:widowControl w:val="0"/>
              <w:numPr>
                <w:ilvl w:val="0"/>
                <w:numId w:val="12"/>
              </w:numPr>
            </w:pPr>
            <w:r w:rsidRPr="002D37E6">
              <w:t>Comparative application to the UK</w:t>
            </w:r>
          </w:p>
        </w:tc>
      </w:tr>
      <w:tr w:rsidR="00C621A4" w:rsidRPr="002D37E6" w:rsidTr="00AA560F">
        <w:tc>
          <w:tcPr>
            <w:tcW w:w="2810" w:type="dxa"/>
            <w:tcMar>
              <w:top w:w="100" w:type="dxa"/>
              <w:left w:w="100" w:type="dxa"/>
              <w:bottom w:w="100" w:type="dxa"/>
              <w:right w:w="100" w:type="dxa"/>
            </w:tcMar>
          </w:tcPr>
          <w:p w:rsidR="00C621A4" w:rsidRPr="002D37E6" w:rsidRDefault="00426EE4">
            <w:pPr>
              <w:widowControl w:val="0"/>
              <w:spacing w:after="160"/>
              <w:rPr>
                <w:b/>
                <w:bCs/>
              </w:rPr>
            </w:pPr>
            <w:r w:rsidRPr="002D37E6">
              <w:rPr>
                <w:b/>
                <w:bCs/>
              </w:rPr>
              <w:t xml:space="preserve">Outcome </w:t>
            </w:r>
          </w:p>
        </w:tc>
        <w:tc>
          <w:tcPr>
            <w:tcW w:w="3825" w:type="dxa"/>
            <w:tcMar>
              <w:top w:w="100" w:type="dxa"/>
              <w:left w:w="100" w:type="dxa"/>
              <w:bottom w:w="100" w:type="dxa"/>
              <w:right w:w="100" w:type="dxa"/>
            </w:tcMar>
          </w:tcPr>
          <w:p w:rsidR="00C621A4" w:rsidRPr="002D37E6" w:rsidRDefault="00426EE4">
            <w:pPr>
              <w:widowControl w:val="0"/>
              <w:numPr>
                <w:ilvl w:val="0"/>
                <w:numId w:val="22"/>
              </w:numPr>
            </w:pPr>
            <w:r w:rsidRPr="002D37E6">
              <w:t>Peer-reviewed empirical studies</w:t>
            </w:r>
          </w:p>
        </w:tc>
        <w:tc>
          <w:tcPr>
            <w:tcW w:w="5245" w:type="dxa"/>
            <w:tcMar>
              <w:top w:w="100" w:type="dxa"/>
              <w:left w:w="100" w:type="dxa"/>
              <w:bottom w:w="100" w:type="dxa"/>
              <w:right w:w="100" w:type="dxa"/>
            </w:tcMar>
          </w:tcPr>
          <w:p w:rsidR="00C621A4" w:rsidRPr="002D37E6" w:rsidRDefault="00426EE4">
            <w:pPr>
              <w:widowControl w:val="0"/>
              <w:numPr>
                <w:ilvl w:val="0"/>
                <w:numId w:val="23"/>
              </w:numPr>
            </w:pPr>
            <w:r w:rsidRPr="002D37E6">
              <w:t>Non-peer-reviewed opinion pieces</w:t>
            </w:r>
          </w:p>
        </w:tc>
      </w:tr>
    </w:tbl>
    <w:p w:rsidR="00C621A4" w:rsidRPr="002D37E6" w:rsidRDefault="00426EE4">
      <w:pPr>
        <w:pStyle w:val="Heading5"/>
      </w:pPr>
      <w:bookmarkStart w:id="39" w:name="_heading=h.azbtrrxqwmf0" w:colFirst="0" w:colLast="0"/>
      <w:bookmarkStart w:id="40" w:name="_Toc240897634"/>
      <w:bookmarkEnd w:id="39"/>
      <w:r w:rsidRPr="002D37E6">
        <w:t>Table 3.2: Inclusion and Exclusion criteria using PICO framework</w:t>
      </w:r>
      <w:bookmarkEnd w:id="40"/>
    </w:p>
    <w:p w:rsidR="00C621A4" w:rsidRPr="002D37E6" w:rsidRDefault="00426EE4">
      <w:pPr>
        <w:spacing w:before="200" w:after="160"/>
        <w:jc w:val="center"/>
      </w:pPr>
      <w:r w:rsidRPr="002D37E6">
        <w:t>(Source: Self-developed)</w:t>
      </w:r>
    </w:p>
    <w:p w:rsidR="00C621A4" w:rsidRPr="002D37E6" w:rsidRDefault="00426EE4">
      <w:pPr>
        <w:spacing w:before="200" w:after="160"/>
      </w:pPr>
      <w:r w:rsidRPr="002D37E6">
        <w:t xml:space="preserve">The research has used clear inclusion and exclusion criteria to identify studies that were directly relevant to the research topic and objectives. These selected criteria helped to maintain the focus of the systematic review and also reduced the inclusion of irrelevant evidence or studies. Additionally, the research has adopted the PICO framework to organise criteria around population, intervention, context and outcomes. As highlighted by Wang </w:t>
      </w:r>
      <w:r w:rsidRPr="002D37E6">
        <w:rPr>
          <w:i/>
          <w:iCs/>
        </w:rPr>
        <w:t xml:space="preserve">et al. </w:t>
      </w:r>
      <w:r w:rsidRPr="002D37E6">
        <w:t xml:space="preserve">(2022), PICO framework has been used to guide retrieval, inclusion and classification of published evidence. In the context of population in the selected PICO framework, the studies involving individuals with SCD have been included because they are the main population affected by CRISPR-based gene therapy. Furthermore, studies involving NHS healthcare professionals and health policy </w:t>
      </w:r>
      <w:r w:rsidRPr="002D37E6">
        <w:lastRenderedPageBreak/>
        <w:t xml:space="preserve">experts were also taken into consideration, as their experience is important to get useful information about treatment delivery. Studies focusing on non-SCD populations were excluded from the research, apart from individuals outside the UK healthcare system. Moreover, the intervention phase examined studies related to CRISPR-Cas9 or gene editing therapies. Studies relating to the UK NHS, UK health policy and NICE appraisals were included in the research, valuing context as part of the framework. Including peer-reviewed empirical studies in the context of outcomes has provided research-based evidence. </w:t>
      </w:r>
    </w:p>
    <w:p w:rsidR="00C621A4" w:rsidRPr="002D37E6" w:rsidRDefault="00426EE4">
      <w:pPr>
        <w:pStyle w:val="Heading2"/>
        <w:spacing w:before="40" w:after="0"/>
      </w:pPr>
      <w:bookmarkStart w:id="41" w:name="_Toc240897587"/>
      <w:r w:rsidRPr="002D37E6">
        <w:t>3.7 Screening process and study selection using PRISMA Framework</w:t>
      </w:r>
      <w:bookmarkEnd w:id="41"/>
    </w:p>
    <w:p w:rsidR="00C621A4" w:rsidRPr="002D37E6" w:rsidRDefault="00426EE4">
      <w:pPr>
        <w:spacing w:before="200" w:after="160"/>
      </w:pPr>
      <w:r w:rsidRPr="002D37E6">
        <w:t xml:space="preserve">The research has focused on including a PRISMA Framework in terms of selecting 20 peer-reviewed articles from existing secondary sources </w:t>
      </w:r>
      <w:r w:rsidRPr="002D37E6">
        <w:rPr>
          <w:i/>
          <w:iCs/>
        </w:rPr>
        <w:t>[Refer to Appendix 1]</w:t>
      </w:r>
      <w:r w:rsidRPr="002D37E6">
        <w:t>. As per the analysis of Nezameslami</w:t>
      </w:r>
      <w:r w:rsidR="00D43DF3">
        <w:t xml:space="preserve"> </w:t>
      </w:r>
      <w:r w:rsidRPr="002D37E6">
        <w:rPr>
          <w:i/>
          <w:iCs/>
        </w:rPr>
        <w:t>et al.</w:t>
      </w:r>
      <w:r w:rsidRPr="002D37E6">
        <w:t xml:space="preserve"> (2025), the use of the PRISMA framework helps to ensure transparency, reproducibility as well as completeness in systematic reviews and secondary papers by improving the data collection procedure. For instance, the above literature has included a PRISMA framework for evaluating the process of enhancing reporting quality in Genetic association studies. Apart from this, the PRISMA framework highlights the process through which 20 peer-reviewed articles were selected out of 1689 studies. Additionally, the Framework signifies that duplicate records have been removed, followed by title and abstract screening against the predefined PICO inclusion and exclusion criteria. Moreover, the full-text articles were evaluated to confirm their focus on public health implications, resource allocation as well as NHS health system readiness for CRISPR gene therapies.</w:t>
      </w:r>
    </w:p>
    <w:p w:rsidR="00C621A4" w:rsidRPr="002D37E6" w:rsidRDefault="00426EE4">
      <w:pPr>
        <w:spacing w:before="200" w:after="160"/>
        <w:jc w:val="center"/>
        <w:rPr>
          <w:b/>
          <w:bCs/>
        </w:rPr>
      </w:pPr>
      <w:r w:rsidRPr="002D37E6">
        <w:rPr>
          <w:b/>
          <w:bCs/>
          <w:noProof/>
          <w:lang w:eastAsia="en-GB"/>
        </w:rPr>
        <w:lastRenderedPageBreak/>
        <w:drawing>
          <wp:inline distT="114300" distB="114300" distL="114300" distR="114300">
            <wp:extent cx="4967075" cy="4235707"/>
            <wp:effectExtent l="12700" t="12700" r="12700" b="12700"/>
            <wp:docPr id="48800741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4967075" cy="4235707"/>
                    </a:xfrm>
                    <a:prstGeom prst="rect">
                      <a:avLst/>
                    </a:prstGeom>
                    <a:ln w="12700">
                      <a:solidFill>
                        <a:srgbClr val="000000"/>
                      </a:solidFill>
                      <a:prstDash val="solid"/>
                    </a:ln>
                  </pic:spPr>
                </pic:pic>
              </a:graphicData>
            </a:graphic>
          </wp:inline>
        </w:drawing>
      </w:r>
    </w:p>
    <w:p w:rsidR="00C621A4" w:rsidRPr="002D37E6" w:rsidRDefault="00426EE4">
      <w:pPr>
        <w:pStyle w:val="Heading4"/>
      </w:pPr>
      <w:bookmarkStart w:id="42" w:name="_heading=h.z9lhqnzbig3a" w:colFirst="0" w:colLast="0"/>
      <w:bookmarkStart w:id="43" w:name="_Toc240897632"/>
      <w:bookmarkEnd w:id="42"/>
      <w:r w:rsidRPr="002D37E6">
        <w:t>Table 3.1: PRISMA</w:t>
      </w:r>
      <w:bookmarkEnd w:id="43"/>
    </w:p>
    <w:p w:rsidR="00C621A4" w:rsidRPr="002D37E6" w:rsidRDefault="00426EE4">
      <w:pPr>
        <w:spacing w:after="160"/>
        <w:jc w:val="center"/>
      </w:pPr>
      <w:r w:rsidRPr="002D37E6">
        <w:t>(Source: Self-developed)</w:t>
      </w:r>
    </w:p>
    <w:p w:rsidR="00C621A4" w:rsidRPr="002D37E6" w:rsidRDefault="00426EE4">
      <w:pPr>
        <w:spacing w:before="200" w:after="160"/>
      </w:pPr>
      <w:r w:rsidRPr="002D37E6">
        <w:t xml:space="preserve">The PRISMA framework has been used in the research to guide the screening process and study selection. This framework provided a clear and transparent process for identifying relevant studies and removing studies that did not meet the criteria. The use of the PRISMA Framework has ensured that only peer-reviewed publications, health technology assessments and UK health policy documents directly addressing CRISPR-based interventions for Sickle Cell Disease within the NHS are selected. According to the viewpoint of Malhotra (2024), PRISMA is widely recognised as a standard framework for presenting evidence in systematic reviews and meta-analyses. During the identification stage, relevant studies were searched from academic databases, such as PubMed, Scopus, ScienceDirect and others. Keywords and combinations of terms including CRISPR, gene editing, sickle cell disease, NHS, health equity and others were used. </w:t>
      </w:r>
    </w:p>
    <w:p w:rsidR="00C621A4" w:rsidRPr="002D37E6" w:rsidRDefault="00426EE4">
      <w:pPr>
        <w:spacing w:before="200" w:after="160"/>
      </w:pPr>
      <w:r w:rsidRPr="002D37E6">
        <w:lastRenderedPageBreak/>
        <w:t>All identified records from relevant studies were collected, and duplicate records were removed. In the screening stage, titles and abstracts of the remaining studies were reviewed, and unrelated studies to SCD, CRISPR-based gene therapy and the UK healthcare context were removed. The eligibility stage of the PRISMA framework involves reviewing the full text of the remaining studies based on predefined exclusion and inclusion criteria. Nezameslami</w:t>
      </w:r>
      <w:r w:rsidR="00D43DF3">
        <w:t xml:space="preserve"> </w:t>
      </w:r>
      <w:r w:rsidRPr="002D37E6">
        <w:rPr>
          <w:i/>
          <w:iCs/>
        </w:rPr>
        <w:t xml:space="preserve">et al. </w:t>
      </w:r>
      <w:r w:rsidRPr="002D37E6">
        <w:t xml:space="preserve">(2025), stated that PRISMA guidelines are developed for systematic reviews and offer a structured approach to improve transparency, consistency and methodological rigour of reporting. Studies that did not provide sufficient information or had no direct relevance to the research topic were excluded in this stage. Moreover, studies that met all the criteria were included in the systematic review, while reasons for excluding full-text studies were recorded to improve transparency. This overall process has ensured that the evidence used in the systematic review was relevant and consistent with the research objectives. </w:t>
      </w:r>
    </w:p>
    <w:p w:rsidR="00C621A4" w:rsidRPr="002D37E6" w:rsidRDefault="00426EE4">
      <w:pPr>
        <w:pStyle w:val="Heading2"/>
        <w:spacing w:before="40" w:after="0"/>
      </w:pPr>
      <w:bookmarkStart w:id="44" w:name="_Toc240897588"/>
      <w:r w:rsidRPr="002D37E6">
        <w:t>3.8 Application of CASP tools for quality appraisal</w:t>
      </w:r>
      <w:bookmarkEnd w:id="44"/>
    </w:p>
    <w:p w:rsidR="00C621A4" w:rsidRPr="002D37E6" w:rsidRDefault="00426EE4">
      <w:pPr>
        <w:spacing w:before="200" w:after="160"/>
      </w:pPr>
      <w:r w:rsidRPr="002D37E6">
        <w:t xml:space="preserve">The research has used CASP Tools in terms of maintaining the quality aspects of the accumulated information </w:t>
      </w:r>
      <w:r w:rsidRPr="002D37E6">
        <w:rPr>
          <w:i/>
          <w:iCs/>
        </w:rPr>
        <w:t>[Refer to appendix 2]</w:t>
      </w:r>
      <w:r w:rsidRPr="002D37E6">
        <w:t>. As per the opinion of Shereefdeen</w:t>
      </w:r>
      <w:r w:rsidR="00D43DF3">
        <w:t xml:space="preserve"> </w:t>
      </w:r>
      <w:r w:rsidRPr="002D37E6">
        <w:rPr>
          <w:i/>
          <w:iCs/>
        </w:rPr>
        <w:t xml:space="preserve">et al. </w:t>
      </w:r>
      <w:r w:rsidRPr="002D37E6">
        <w:t>(2025), CASP checklists are important in research as it provides a structured framework in terms of checking study validity, assessing trustworthiness as well as determining local relevance. The use of such a tool has helped to assess whether the study addressed a clearly focused issue, used appropriate methodologies as well as minimised selection or measurement bias. Apart from this, the CASP tools have helped to evaluate data collection rigour, ethical considerations as well as the depth of data analysis, especially regarding how equity and system readiness are evaluated. On the other hand, the use of such CASP tools has helped to determine whether the thesis findings were locally applicable to the UK NHS landscape as well as contribute meaningful insight into CRISPR implementation.</w:t>
      </w:r>
    </w:p>
    <w:p w:rsidR="00C621A4" w:rsidRPr="002D37E6" w:rsidRDefault="00426EE4">
      <w:pPr>
        <w:pStyle w:val="Heading2"/>
        <w:spacing w:before="40" w:after="0"/>
      </w:pPr>
      <w:bookmarkStart w:id="45" w:name="_Toc240897589"/>
      <w:r w:rsidRPr="002D37E6">
        <w:t>3.9 Data extraction</w:t>
      </w:r>
      <w:bookmarkEnd w:id="45"/>
    </w:p>
    <w:p w:rsidR="00C621A4" w:rsidRPr="002D37E6" w:rsidRDefault="00426EE4">
      <w:pPr>
        <w:spacing w:after="160"/>
      </w:pPr>
      <w:r w:rsidRPr="002D37E6">
        <w:t xml:space="preserve">The data extraction process was followed through a unique approach that comprises analysing information’s key facts, methodology used and results from chosen studies. The data extraction steps are considered to be pivotal for clear, honest, and correct reviews. The evaluation of the data extraction process has been effective in analysing the data characteristics. In essence, the research kept details such as sample size, participant groups, and test methods in neat rows and columns. The information from the selected studies has been recorded using a standardised data extraction table, which includes authors, research objectives, methodology, </w:t>
      </w:r>
      <w:r w:rsidRPr="002D37E6">
        <w:lastRenderedPageBreak/>
        <w:t xml:space="preserve">key findings, strengths and weaknesses. The approach is supportive in organising evidence and makes it easier to compare studies. </w:t>
      </w:r>
    </w:p>
    <w:p w:rsidR="00C621A4" w:rsidRPr="002D37E6" w:rsidRDefault="00426EE4">
      <w:pPr>
        <w:spacing w:after="160"/>
      </w:pPr>
      <w:r w:rsidRPr="002D37E6">
        <w:t>The process focused on information directly related to research objectives, especially CRISPR-based gene therapy for SCD, treatment evidence, safety, accessibility, health inequalities, policy changes and health system readiness. Furthermore, information about the study design and methods was also recorded to understand the quality and type of evidence</w:t>
      </w:r>
      <w:r w:rsidRPr="002D37E6">
        <w:rPr>
          <w:i/>
          <w:iCs/>
        </w:rPr>
        <w:t xml:space="preserve"> [Refer to Appendix 2]</w:t>
      </w:r>
      <w:r w:rsidRPr="002D37E6">
        <w:t xml:space="preserve">. Several studies have highlighted the clinical potential of CRISPR, such as improved SCD control and reduced dependence on blood transfusions. On the contrary, other studies focused on challenges of implementing these therapies, like high costs, long-term monitoring and others. The data extraction table also highlights preferences in the strength of evidence, as some studies provided detailed clinical evidence while others were based mainly on narrative reviews. </w:t>
      </w:r>
    </w:p>
    <w:p w:rsidR="00C621A4" w:rsidRPr="002D37E6" w:rsidRDefault="00426EE4">
      <w:pPr>
        <w:pStyle w:val="Heading2"/>
        <w:spacing w:before="40" w:after="0"/>
      </w:pPr>
      <w:bookmarkStart w:id="46" w:name="_Toc240897590"/>
      <w:r w:rsidRPr="002D37E6">
        <w:t>3.10 Data analysis</w:t>
      </w:r>
      <w:bookmarkEnd w:id="46"/>
    </w:p>
    <w:p w:rsidR="00C621A4" w:rsidRPr="002D37E6" w:rsidRDefault="00426EE4">
      <w:pPr>
        <w:spacing w:before="200" w:after="160"/>
      </w:pPr>
      <w:r w:rsidRPr="002D37E6">
        <w:t xml:space="preserve">In this healthcare research, Braun and Clarke's six-step thematic analysis is a widely used qualitative research method to identify, analyse, and report patterns within data (Naeem </w:t>
      </w:r>
      <w:r w:rsidRPr="002D37E6">
        <w:rPr>
          <w:i/>
          <w:iCs/>
        </w:rPr>
        <w:t>et al.</w:t>
      </w:r>
      <w:r w:rsidRPr="002D37E6">
        <w:t xml:space="preserve"> 2023). Thematic analysis is selected to synthesise the data of the chosen secondary studies and answer the research questions regarding barriers, facilitators, as well as health system preparedness for CRISPR-based therapies. The core aim of this data analysis section is to evaluate the secondary database from the 20 articles to review the knowledge of the clinical impact of CRISPR usage on SCD. The implications of thematic analysis within this research have been grounded in social determinants of health, including socioeconomic status, ethnicity, and geography, as well as policy frameworks. Furthermore, thematic coding has entailed grouping these selected studies based on the factors and their influence on access to healthcare. Naeem </w:t>
      </w:r>
      <w:r w:rsidRPr="002D37E6">
        <w:rPr>
          <w:i/>
          <w:iCs/>
        </w:rPr>
        <w:t xml:space="preserve">et al. </w:t>
      </w:r>
      <w:r w:rsidRPr="002D37E6">
        <w:t xml:space="preserve">(2023) have stated that thematic analysis provides deep insights and high-quality articles. Depending on the selection, the implications for public health policy and Health equity of accessing CRISPR therapy have been enhanced. The analysis framework also supports the findings of health disparities and meets the research objective in an effective manner. On the other hand, narrative or statistical analysis methods do not support analysis of secondary qualitative data. An inclusive result can be found due to these selections, and it can make healthcare research less effective. Thus, the selection of thematic analysis can be recognised as the right selection for maintaining the quality of this research. </w:t>
      </w:r>
    </w:p>
    <w:p w:rsidR="00C621A4" w:rsidRPr="002D37E6" w:rsidRDefault="00426EE4">
      <w:pPr>
        <w:pStyle w:val="Heading2"/>
        <w:spacing w:before="40" w:after="0"/>
      </w:pPr>
      <w:bookmarkStart w:id="47" w:name="_Toc240897591"/>
      <w:r w:rsidRPr="002D37E6">
        <w:lastRenderedPageBreak/>
        <w:t>3.11 Limitations</w:t>
      </w:r>
      <w:bookmarkEnd w:id="47"/>
    </w:p>
    <w:p w:rsidR="00C621A4" w:rsidRPr="002D37E6" w:rsidRDefault="00426EE4">
      <w:pPr>
        <w:spacing w:before="200" w:after="160"/>
      </w:pPr>
      <w:r w:rsidRPr="002D37E6">
        <w:t>It has been recognised that CRISPR-based gene therapies for Sickle Cell Disease represent a very recent technological milestone. However, empirical data regarding real-world rollout, long-term health system impact as well as patient accessibility within the NHS are considered to be currently limited. This signifies that the lack of time and budget has been a potential methodological limitation that has been identified within this paper. As per the analysis of Harmel</w:t>
      </w:r>
      <w:r w:rsidR="00D43DF3">
        <w:t xml:space="preserve"> </w:t>
      </w:r>
      <w:r w:rsidRPr="002D37E6">
        <w:rPr>
          <w:i/>
          <w:iCs/>
        </w:rPr>
        <w:t xml:space="preserve">et al. </w:t>
      </w:r>
      <w:r w:rsidRPr="002D37E6">
        <w:t>(2023), time and budget constraints within research lead to reduced project scope, smaller sample sizes, as well as lower data quality. Based on this aspect, this research has been accumulating secondary articles in terms of addressing the time and budget constraints. The systematic review depended on published secondary evidence, which means finding quality was influenced by the quality of available sources. Some selected studies were narrative and did not provide primary empirical data, while research on CRISPR-based gene therapy for SCD is still developing. Differences in study methods and outcomes made direct comparison between studies difficult, although these limitations were considered when interpreting the findings.</w:t>
      </w:r>
    </w:p>
    <w:p w:rsidR="00C621A4" w:rsidRPr="002D37E6" w:rsidRDefault="00426EE4">
      <w:pPr>
        <w:pStyle w:val="Heading2"/>
        <w:spacing w:before="40" w:after="0"/>
      </w:pPr>
      <w:bookmarkStart w:id="48" w:name="_Toc240897592"/>
      <w:r w:rsidRPr="002D37E6">
        <w:t>3.12 Ethical consideration</w:t>
      </w:r>
      <w:bookmarkEnd w:id="48"/>
    </w:p>
    <w:p w:rsidR="00C621A4" w:rsidRPr="002D37E6" w:rsidRDefault="00426EE4">
      <w:pPr>
        <w:spacing w:before="200" w:after="160"/>
      </w:pPr>
      <w:r w:rsidRPr="002D37E6">
        <w:t xml:space="preserve">The research on CRISPR-based gene therapy can also raise many ethical issues, such as genetic alteration and the possible unanticipated outcomes. The reviewed literature ensures that all the studies adhered to ethical standards as well as maintained patient consent and privacy of data. Furthermore, the UK Copyright Act 1988 has been followed to ensure the usage of the scholarly information (Legislation UK, 2026). On the other hand, patient data confidentiality is a major issue within this research, which can be addressed through using the relevant UK GDPR 2018 Act. Based on the views of Ali </w:t>
      </w:r>
      <w:r w:rsidRPr="002D37E6">
        <w:rPr>
          <w:i/>
          <w:iCs/>
        </w:rPr>
        <w:t>et al</w:t>
      </w:r>
      <w:r w:rsidRPr="002D37E6">
        <w:t xml:space="preserve">. (2025), maintaining ethical considerations within research is crucial as it protects participant safety, ensures academic integrity, as well as builds public trust. Thus, by following the legal regulations, using only autism data sources and addressing biases, this healthcare research guarantees fairness, honesty, as well as without causing harm to anyone involved. </w:t>
      </w:r>
    </w:p>
    <w:p w:rsidR="00C621A4" w:rsidRPr="002D37E6" w:rsidRDefault="00426EE4">
      <w:pPr>
        <w:pStyle w:val="Heading2"/>
        <w:spacing w:before="40" w:after="0"/>
      </w:pPr>
      <w:bookmarkStart w:id="49" w:name="_Toc240897593"/>
      <w:r w:rsidRPr="002D37E6">
        <w:t>3.13 Chapter Summary</w:t>
      </w:r>
      <w:bookmarkEnd w:id="49"/>
    </w:p>
    <w:p w:rsidR="00C621A4" w:rsidRPr="002D37E6" w:rsidRDefault="00426EE4">
      <w:pPr>
        <w:spacing w:before="200"/>
        <w:rPr>
          <w:b/>
          <w:bCs/>
        </w:rPr>
      </w:pPr>
      <w:r w:rsidRPr="002D37E6">
        <w:t xml:space="preserve">It can be summed up from the above discussion that the selection of systematic research using secondary qualitative data is the best selection for critically examining the public health implications of the CRISPR-based gene therapy for sickle cell disease in the UK. Following an inductive research approach and interpretivism enables the examination of the ways in which </w:t>
      </w:r>
      <w:r w:rsidRPr="002D37E6">
        <w:lastRenderedPageBreak/>
        <w:t>ethnicity, socio-economic inequality, healthcare infrastructure and geography influence access to innovative therapy and public health outcomes. On the other hand, the study adopts a systematic review as the healthcare research design, which is consistent with the research objective. Following the design, the study has selected a qualitative strategy for the interpretation and synthesis of the theme-based insights that have been generated through existing research material. 20 articles from secondary sources such as PubMed, Google Scholar, MDPI and ResearchGate have been selected for CRISPR-based gene therapies for SCD.</w:t>
      </w:r>
      <w:r w:rsidRPr="002D37E6">
        <w:br w:type="page"/>
      </w:r>
    </w:p>
    <w:p w:rsidR="00C621A4" w:rsidRPr="002D37E6" w:rsidRDefault="00426EE4">
      <w:pPr>
        <w:pStyle w:val="Heading1"/>
      </w:pPr>
      <w:bookmarkStart w:id="50" w:name="_Toc240897594"/>
      <w:r w:rsidRPr="002D37E6">
        <w:lastRenderedPageBreak/>
        <w:t>Chapter 4: Findings and Analysis</w:t>
      </w:r>
      <w:bookmarkEnd w:id="50"/>
      <w:r w:rsidRPr="002D37E6">
        <w:t> </w:t>
      </w:r>
    </w:p>
    <w:p w:rsidR="00C621A4" w:rsidRPr="002D37E6" w:rsidRDefault="00426EE4">
      <w:pPr>
        <w:pStyle w:val="Heading2"/>
        <w:spacing w:before="0"/>
      </w:pPr>
      <w:bookmarkStart w:id="51" w:name="_Toc240897595"/>
      <w:r w:rsidRPr="002D37E6">
        <w:t>4.1 Introduction</w:t>
      </w:r>
      <w:bookmarkEnd w:id="51"/>
    </w:p>
    <w:p w:rsidR="00C621A4" w:rsidRPr="002D37E6" w:rsidRDefault="00426EE4">
      <w:pPr>
        <w:spacing w:after="200"/>
      </w:pPr>
      <w:r w:rsidRPr="002D37E6">
        <w:t>The chapter presents an analysis and findings of a systematic review of the public health implications of CRISPR-based gene therapy for SCD in the UK. The analysis primarily draws on 20 selected articles and applies a 6-step thematic analysis to identify recurring patterns across the evidence. In alignment with the research objective, 4 themes have been developed that primarily focus on facilitators and barriers to access, ethnic, socio-economic, and geographical determinants, health system efficiency and implications for health inequality. Firstly, the chapter presents the major findings before critically analysing the theme and their relationship. Further, an integrated analysis is considered of the ways in which accessibility, system preparedness, determinants, and lack of equality interact in the context of the UK. Lastly, the findings are discussed in relation to the wider public Health significance of equitable CRISPR-based treatment. The analysis identified four main themes and related subthemes, which are presented in Table 4.1.</w:t>
      </w:r>
    </w:p>
    <w:tbl>
      <w:tblPr>
        <w:tblStyle w:val="af4"/>
        <w:tblW w:w="117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055"/>
        <w:gridCol w:w="2940"/>
        <w:gridCol w:w="4705"/>
      </w:tblGrid>
      <w:tr w:rsidR="00C621A4" w:rsidRPr="002D37E6" w:rsidTr="002D37E6">
        <w:trPr>
          <w:jc w:val="center"/>
        </w:trPr>
        <w:tc>
          <w:tcPr>
            <w:tcW w:w="4055" w:type="dxa"/>
            <w:tcMar>
              <w:top w:w="100" w:type="dxa"/>
              <w:left w:w="100" w:type="dxa"/>
              <w:bottom w:w="100" w:type="dxa"/>
              <w:right w:w="100" w:type="dxa"/>
            </w:tcMar>
          </w:tcPr>
          <w:p w:rsidR="00C621A4" w:rsidRPr="002D37E6" w:rsidRDefault="00426EE4">
            <w:pPr>
              <w:widowControl w:val="0"/>
              <w:spacing w:after="200"/>
              <w:jc w:val="center"/>
              <w:rPr>
                <w:b/>
                <w:bCs/>
              </w:rPr>
            </w:pPr>
            <w:r w:rsidRPr="002D37E6">
              <w:rPr>
                <w:b/>
                <w:bCs/>
              </w:rPr>
              <w:t>Research Objective</w:t>
            </w:r>
          </w:p>
        </w:tc>
        <w:tc>
          <w:tcPr>
            <w:tcW w:w="2940" w:type="dxa"/>
            <w:tcMar>
              <w:top w:w="100" w:type="dxa"/>
              <w:left w:w="100" w:type="dxa"/>
              <w:bottom w:w="100" w:type="dxa"/>
              <w:right w:w="100" w:type="dxa"/>
            </w:tcMar>
          </w:tcPr>
          <w:p w:rsidR="00C621A4" w:rsidRPr="002D37E6" w:rsidRDefault="00426EE4">
            <w:pPr>
              <w:widowControl w:val="0"/>
              <w:spacing w:after="200"/>
              <w:jc w:val="center"/>
              <w:rPr>
                <w:b/>
                <w:bCs/>
              </w:rPr>
            </w:pPr>
            <w:r w:rsidRPr="002D37E6">
              <w:rPr>
                <w:b/>
                <w:bCs/>
              </w:rPr>
              <w:t>Main Theme</w:t>
            </w:r>
          </w:p>
        </w:tc>
        <w:tc>
          <w:tcPr>
            <w:tcW w:w="4705" w:type="dxa"/>
            <w:tcMar>
              <w:top w:w="100" w:type="dxa"/>
              <w:left w:w="100" w:type="dxa"/>
              <w:bottom w:w="100" w:type="dxa"/>
              <w:right w:w="100" w:type="dxa"/>
            </w:tcMar>
          </w:tcPr>
          <w:p w:rsidR="00C621A4" w:rsidRPr="002D37E6" w:rsidRDefault="00426EE4">
            <w:pPr>
              <w:widowControl w:val="0"/>
              <w:spacing w:after="200"/>
              <w:jc w:val="center"/>
              <w:rPr>
                <w:b/>
                <w:bCs/>
              </w:rPr>
            </w:pPr>
            <w:r w:rsidRPr="002D37E6">
              <w:rPr>
                <w:b/>
                <w:bCs/>
              </w:rPr>
              <w:t xml:space="preserve">Subtheme </w:t>
            </w:r>
          </w:p>
        </w:tc>
      </w:tr>
      <w:tr w:rsidR="009A561C" w:rsidRPr="009A561C" w:rsidTr="002D37E6">
        <w:trPr>
          <w:trHeight w:val="440"/>
          <w:jc w:val="center"/>
        </w:trPr>
        <w:tc>
          <w:tcPr>
            <w:tcW w:w="4055" w:type="dxa"/>
            <w:tcMar>
              <w:top w:w="100" w:type="dxa"/>
              <w:left w:w="100" w:type="dxa"/>
              <w:bottom w:w="100" w:type="dxa"/>
              <w:right w:w="100" w:type="dxa"/>
            </w:tcMar>
          </w:tcPr>
          <w:p w:rsidR="00C621A4" w:rsidRPr="009A561C" w:rsidRDefault="00426EE4">
            <w:pPr>
              <w:widowControl w:val="0"/>
              <w:spacing w:after="200"/>
            </w:pPr>
            <w:r w:rsidRPr="009A561C">
              <w:t>Objective 1: To analyse the key barriers and facilitators affecting access to CRISPR-based gene therapy for individuals with sickle cell disease in the UK</w:t>
            </w:r>
          </w:p>
        </w:tc>
        <w:tc>
          <w:tcPr>
            <w:tcW w:w="2940" w:type="dxa"/>
            <w:tcMar>
              <w:top w:w="100" w:type="dxa"/>
              <w:left w:w="100" w:type="dxa"/>
              <w:bottom w:w="100" w:type="dxa"/>
              <w:right w:w="100" w:type="dxa"/>
            </w:tcMar>
          </w:tcPr>
          <w:p w:rsidR="00C621A4" w:rsidRPr="009A561C" w:rsidRDefault="00426EE4">
            <w:pPr>
              <w:spacing w:after="200"/>
            </w:pPr>
            <w:r w:rsidRPr="009A561C">
              <w:t xml:space="preserve">Regulatory gaps, supply chain constraints, and complex policy reform are barriers and facilitators to access CRISPR-based gene therapy </w:t>
            </w:r>
          </w:p>
        </w:tc>
        <w:tc>
          <w:tcPr>
            <w:tcW w:w="4705" w:type="dxa"/>
            <w:tcMar>
              <w:top w:w="100" w:type="dxa"/>
              <w:left w:w="100" w:type="dxa"/>
              <w:bottom w:w="100" w:type="dxa"/>
              <w:right w:w="100" w:type="dxa"/>
            </w:tcMar>
          </w:tcPr>
          <w:p w:rsidR="00C621A4" w:rsidRPr="009A561C" w:rsidRDefault="00426EE4">
            <w:pPr>
              <w:spacing w:after="200"/>
            </w:pPr>
            <w:r w:rsidRPr="009A561C">
              <w:t>Structural Governance, Policy Pathways, and Health-System Infrastructure</w:t>
            </w:r>
          </w:p>
          <w:p w:rsidR="00C621A4" w:rsidRPr="009A561C" w:rsidRDefault="00426EE4">
            <w:pPr>
              <w:spacing w:after="200"/>
            </w:pPr>
            <w:r w:rsidRPr="009A561C">
              <w:t>System Integration, Infrastructure Readiness, and Computational Precision Governance</w:t>
            </w:r>
          </w:p>
        </w:tc>
      </w:tr>
      <w:tr w:rsidR="009A561C" w:rsidRPr="009A561C" w:rsidTr="002D37E6">
        <w:trPr>
          <w:trHeight w:val="440"/>
          <w:jc w:val="center"/>
        </w:trPr>
        <w:tc>
          <w:tcPr>
            <w:tcW w:w="4055" w:type="dxa"/>
            <w:tcMar>
              <w:top w:w="100" w:type="dxa"/>
              <w:left w:w="100" w:type="dxa"/>
              <w:bottom w:w="100" w:type="dxa"/>
              <w:right w:w="100" w:type="dxa"/>
            </w:tcMar>
          </w:tcPr>
          <w:p w:rsidR="00C621A4" w:rsidRPr="009A561C" w:rsidRDefault="00426EE4">
            <w:pPr>
              <w:widowControl w:val="0"/>
              <w:spacing w:after="200"/>
            </w:pPr>
            <w:r w:rsidRPr="009A561C">
              <w:t>Objective 2: To evaluate the influence of socioeconomic, ethnic, and geographical factors on equitable access to gene therapy services</w:t>
            </w:r>
          </w:p>
        </w:tc>
        <w:tc>
          <w:tcPr>
            <w:tcW w:w="2940" w:type="dxa"/>
            <w:tcMar>
              <w:top w:w="100" w:type="dxa"/>
              <w:left w:w="100" w:type="dxa"/>
              <w:bottom w:w="100" w:type="dxa"/>
              <w:right w:w="100" w:type="dxa"/>
            </w:tcMar>
          </w:tcPr>
          <w:p w:rsidR="00C621A4" w:rsidRPr="009A561C" w:rsidRDefault="00426EE4">
            <w:pPr>
              <w:spacing w:after="200"/>
            </w:pPr>
            <w:r w:rsidRPr="009A561C">
              <w:t>Balancing socioeconomic, Ethnic, and geographical determinants to provide access to gene therapy</w:t>
            </w:r>
          </w:p>
        </w:tc>
        <w:tc>
          <w:tcPr>
            <w:tcW w:w="4705" w:type="dxa"/>
            <w:tcMar>
              <w:top w:w="100" w:type="dxa"/>
              <w:left w:w="100" w:type="dxa"/>
              <w:bottom w:w="100" w:type="dxa"/>
              <w:right w:w="100" w:type="dxa"/>
            </w:tcMar>
          </w:tcPr>
          <w:p w:rsidR="00C621A4" w:rsidRPr="009A561C" w:rsidRDefault="00426EE4">
            <w:pPr>
              <w:spacing w:after="200"/>
            </w:pPr>
            <w:r w:rsidRPr="009A561C">
              <w:t>Socioeconomic Inequities, Ethnic Disparities, and the Gap Between Regulatory/Clinical Feasibility and Access</w:t>
            </w:r>
          </w:p>
          <w:p w:rsidR="00C621A4" w:rsidRPr="009A561C" w:rsidRDefault="00426EE4">
            <w:pPr>
              <w:spacing w:after="200"/>
            </w:pPr>
            <w:r w:rsidRPr="009A561C">
              <w:t>Geographical Centralisation, Systemic Barriers, and Implementation Models for Equitable Care</w:t>
            </w:r>
          </w:p>
        </w:tc>
      </w:tr>
      <w:tr w:rsidR="009A561C" w:rsidRPr="009A561C" w:rsidTr="002D37E6">
        <w:trPr>
          <w:trHeight w:val="440"/>
          <w:jc w:val="center"/>
        </w:trPr>
        <w:tc>
          <w:tcPr>
            <w:tcW w:w="4055" w:type="dxa"/>
            <w:tcMar>
              <w:top w:w="100" w:type="dxa"/>
              <w:left w:w="100" w:type="dxa"/>
              <w:bottom w:w="100" w:type="dxa"/>
              <w:right w:w="100" w:type="dxa"/>
            </w:tcMar>
          </w:tcPr>
          <w:p w:rsidR="00C621A4" w:rsidRPr="009A561C" w:rsidRDefault="00426EE4">
            <w:pPr>
              <w:widowControl w:val="0"/>
              <w:spacing w:after="200"/>
            </w:pPr>
            <w:r w:rsidRPr="009A561C">
              <w:t xml:space="preserve">Objective 3: To understand the health </w:t>
            </w:r>
            <w:r w:rsidRPr="009A561C">
              <w:lastRenderedPageBreak/>
              <w:t>system readiness for the implementation of CRISPR-based therapies, including service capacity and infrastructure</w:t>
            </w:r>
          </w:p>
        </w:tc>
        <w:tc>
          <w:tcPr>
            <w:tcW w:w="2940" w:type="dxa"/>
            <w:tcMar>
              <w:top w:w="100" w:type="dxa"/>
              <w:left w:w="100" w:type="dxa"/>
              <w:bottom w:w="100" w:type="dxa"/>
              <w:right w:w="100" w:type="dxa"/>
            </w:tcMar>
          </w:tcPr>
          <w:p w:rsidR="00C621A4" w:rsidRPr="009A561C" w:rsidRDefault="00426EE4">
            <w:pPr>
              <w:spacing w:after="200"/>
            </w:pPr>
            <w:r w:rsidRPr="009A561C">
              <w:lastRenderedPageBreak/>
              <w:t xml:space="preserve">Health System Readiness </w:t>
            </w:r>
            <w:r w:rsidRPr="009A561C">
              <w:lastRenderedPageBreak/>
              <w:t>and successful implementation of CRISPR-based therapies depend on service capacity and infrastructure</w:t>
            </w:r>
          </w:p>
        </w:tc>
        <w:tc>
          <w:tcPr>
            <w:tcW w:w="4705" w:type="dxa"/>
            <w:tcMar>
              <w:top w:w="100" w:type="dxa"/>
              <w:left w:w="100" w:type="dxa"/>
              <w:bottom w:w="100" w:type="dxa"/>
              <w:right w:w="100" w:type="dxa"/>
            </w:tcMar>
          </w:tcPr>
          <w:p w:rsidR="00C621A4" w:rsidRPr="009A561C" w:rsidRDefault="00426EE4">
            <w:pPr>
              <w:spacing w:after="200"/>
            </w:pPr>
            <w:r w:rsidRPr="009A561C">
              <w:lastRenderedPageBreak/>
              <w:t xml:space="preserve">Infrastructural Capacity, Clinical Biomarker </w:t>
            </w:r>
            <w:r w:rsidRPr="009A561C">
              <w:lastRenderedPageBreak/>
              <w:t>Tracking, and Delivery Bottlenecks in System Readiness</w:t>
            </w:r>
          </w:p>
          <w:p w:rsidR="00624DA9" w:rsidRPr="009A561C" w:rsidRDefault="00624DA9">
            <w:pPr>
              <w:spacing w:after="200"/>
            </w:pPr>
            <w:r>
              <w:t>Systemic Equity Frameworks and Multi-Level Governance in Health System Readiness</w:t>
            </w:r>
          </w:p>
        </w:tc>
      </w:tr>
      <w:tr w:rsidR="009A561C" w:rsidRPr="009A561C" w:rsidTr="002D37E6">
        <w:trPr>
          <w:trHeight w:val="2206"/>
          <w:jc w:val="center"/>
        </w:trPr>
        <w:tc>
          <w:tcPr>
            <w:tcW w:w="4055" w:type="dxa"/>
            <w:tcMar>
              <w:top w:w="100" w:type="dxa"/>
              <w:left w:w="100" w:type="dxa"/>
              <w:bottom w:w="100" w:type="dxa"/>
              <w:right w:w="100" w:type="dxa"/>
            </w:tcMar>
          </w:tcPr>
          <w:p w:rsidR="00C621A4" w:rsidRPr="009A561C" w:rsidRDefault="00426EE4">
            <w:pPr>
              <w:widowControl w:val="0"/>
              <w:spacing w:after="200"/>
            </w:pPr>
            <w:r w:rsidRPr="009A561C">
              <w:lastRenderedPageBreak/>
              <w:t>Objective 4: To discuss the potential implications of gene therapy implementation for health inequalities among populations affected by sickle cell disease</w:t>
            </w:r>
          </w:p>
        </w:tc>
        <w:tc>
          <w:tcPr>
            <w:tcW w:w="2940" w:type="dxa"/>
            <w:tcMar>
              <w:top w:w="100" w:type="dxa"/>
              <w:left w:w="100" w:type="dxa"/>
              <w:bottom w:w="100" w:type="dxa"/>
              <w:right w:w="100" w:type="dxa"/>
            </w:tcMar>
          </w:tcPr>
          <w:p w:rsidR="00C621A4" w:rsidRPr="009A561C" w:rsidRDefault="00426EE4">
            <w:pPr>
              <w:spacing w:after="200"/>
            </w:pPr>
            <w:r w:rsidRPr="009A561C">
              <w:t>Gene therapy implementation addresses health inequalities among populations affected by sickle cell disease</w:t>
            </w:r>
          </w:p>
        </w:tc>
        <w:tc>
          <w:tcPr>
            <w:tcW w:w="4705" w:type="dxa"/>
            <w:tcMar>
              <w:top w:w="100" w:type="dxa"/>
              <w:left w:w="100" w:type="dxa"/>
              <w:bottom w:w="100" w:type="dxa"/>
              <w:right w:w="100" w:type="dxa"/>
            </w:tcMar>
          </w:tcPr>
          <w:p w:rsidR="00C621A4" w:rsidRPr="009A561C" w:rsidRDefault="00426EE4">
            <w:pPr>
              <w:spacing w:after="200"/>
            </w:pPr>
            <w:r w:rsidRPr="009A561C">
              <w:t>Health Economic Evaluations, Affordability Models, and Sustainable Commissioning Frameworks</w:t>
            </w:r>
          </w:p>
          <w:p w:rsidR="00C621A4" w:rsidRPr="009A561C" w:rsidRDefault="00426EE4">
            <w:pPr>
              <w:spacing w:after="200"/>
            </w:pPr>
            <w:r w:rsidRPr="009A561C">
              <w:t>Patient Care Paradigms, Long-Term Monitoring Infrastructure, and Systemic Equity Alignment</w:t>
            </w:r>
          </w:p>
        </w:tc>
      </w:tr>
    </w:tbl>
    <w:p w:rsidR="00C621A4" w:rsidRPr="009A561C" w:rsidRDefault="00426EE4">
      <w:pPr>
        <w:pStyle w:val="Heading5"/>
        <w:rPr>
          <w:color w:val="auto"/>
        </w:rPr>
      </w:pPr>
      <w:bookmarkStart w:id="52" w:name="_heading=h.fxv7ezv3kwm9" w:colFirst="0" w:colLast="0"/>
      <w:bookmarkStart w:id="53" w:name="_Toc240897635"/>
      <w:bookmarkEnd w:id="52"/>
      <w:r w:rsidRPr="009A561C">
        <w:rPr>
          <w:color w:val="auto"/>
        </w:rPr>
        <w:t>Table 4.1: Themes and Subthemes</w:t>
      </w:r>
      <w:bookmarkEnd w:id="53"/>
    </w:p>
    <w:p w:rsidR="00C621A4" w:rsidRPr="009A561C" w:rsidRDefault="00426EE4">
      <w:pPr>
        <w:spacing w:after="200"/>
        <w:jc w:val="center"/>
      </w:pPr>
      <w:r w:rsidRPr="009A561C">
        <w:t>(Source: Self-developed)</w:t>
      </w:r>
    </w:p>
    <w:p w:rsidR="00C621A4" w:rsidRPr="009A561C" w:rsidRDefault="00426EE4">
      <w:pPr>
        <w:pStyle w:val="Heading2"/>
        <w:spacing w:before="0"/>
        <w:rPr>
          <w:color w:val="auto"/>
        </w:rPr>
      </w:pPr>
      <w:bookmarkStart w:id="54" w:name="_Toc240897596"/>
      <w:r w:rsidRPr="009A561C">
        <w:rPr>
          <w:color w:val="auto"/>
        </w:rPr>
        <w:t>4.2 Theme 1: Regulatory gaps, supply chain constraints, and complex policy reform are barriers and facilitators to access CRISPR-based gene therapy</w:t>
      </w:r>
      <w:bookmarkEnd w:id="54"/>
    </w:p>
    <w:p w:rsidR="00C621A4" w:rsidRPr="009A561C" w:rsidRDefault="00426EE4">
      <w:pPr>
        <w:spacing w:after="200"/>
      </w:pPr>
      <w:r w:rsidRPr="009A561C">
        <w:t>Theme 1 aims to collectively indicate that accessibility is not only determined by the availability of CRISPR therapy. Accessibility rather depends on specialist infrastructure, affordability, geographical reach, patient information and health system capacity. Addressing these factors is essential if CRISPR-based treatment is to become realistically accessible for eligible people with SCD in the UK.</w:t>
      </w:r>
    </w:p>
    <w:p w:rsidR="00C621A4" w:rsidRPr="009A561C" w:rsidRDefault="00426EE4">
      <w:pPr>
        <w:pStyle w:val="Heading3"/>
        <w:spacing w:before="0" w:after="200"/>
        <w:rPr>
          <w:color w:val="auto"/>
        </w:rPr>
      </w:pPr>
      <w:bookmarkStart w:id="55" w:name="_Toc240897597"/>
      <w:r w:rsidRPr="009A561C">
        <w:rPr>
          <w:color w:val="auto"/>
        </w:rPr>
        <w:t>4.2.1 Structural Governance, Policy Pathways, and Health-System Infrastructure</w:t>
      </w:r>
      <w:bookmarkEnd w:id="55"/>
    </w:p>
    <w:p w:rsidR="00C621A4" w:rsidRPr="009A561C" w:rsidRDefault="00426EE4">
      <w:pPr>
        <w:spacing w:after="200"/>
      </w:pPr>
      <w:r w:rsidRPr="009A561C">
        <w:t xml:space="preserve">Access to CRISPR-based gene therapy for SCD is influenced by a combination of infrastructural, clinical, financial and informational factors. According to Mathews </w:t>
      </w:r>
      <w:r w:rsidRPr="009A561C">
        <w:rPr>
          <w:i/>
          <w:iCs/>
        </w:rPr>
        <w:t xml:space="preserve">et al. </w:t>
      </w:r>
      <w:r w:rsidRPr="009A561C">
        <w:t xml:space="preserve">(2023), the formative potential of gene editing approaches for SCD is recognised, while specialist requirements and complex treatment pathways can restrict access. This qualitative case study highlights that the process of ex vivo gene therapies are constrained by financial burdens, regulatory delays, as well as safety trade-offs. ‘’n” present expert consensus review in this article and argue that current governance models fail to anticipate post-approval operational </w:t>
      </w:r>
      <w:r w:rsidRPr="009A561C">
        <w:lastRenderedPageBreak/>
        <w:t>bottlenecks.  The research also reveals that current governance structures, specifically within high-income regulatory ecosystems such as the US, fail to anticipate equitable allocation.</w:t>
      </w:r>
    </w:p>
    <w:p w:rsidR="00C621A4" w:rsidRPr="009A561C" w:rsidRDefault="00426EE4">
      <w:pPr>
        <w:spacing w:after="200"/>
      </w:pPr>
      <w:r w:rsidRPr="009A561C">
        <w:t>Basem</w:t>
      </w:r>
      <w:r w:rsidR="00D43DF3">
        <w:t xml:space="preserve"> </w:t>
      </w:r>
      <w:r w:rsidRPr="009A561C">
        <w:rPr>
          <w:i/>
          <w:iCs/>
        </w:rPr>
        <w:t xml:space="preserve">et al. </w:t>
      </w:r>
      <w:r w:rsidRPr="009A561C">
        <w:t>(2026) further from [n=systematic policy synthesis], identified healthcare resource requirements and affordability as important considerations that impact accessibility to the emerging gene therapies. Equitable NHS provision therefore within the UK not only depends on whether therapy is clinically available but also on the extent to which specialist capacity and resources exist for delivering the service consistently. The secondary study has provided insights into macro-level operational and economic challenges facing advanced biopharmaceuticals. It also identifies severe manufacturing, financial, as well as infrastructural bottlenecks which prevent global health systems from absorbing cell and gene therapies. Lee and Sawai (2024) emphasized from [n=qualitative ethical analysis], the importance of implementation and patient-related factors in determining the accessibility to gene editing therapies. Thus, over 60% report Informed decision-making, patient understanding and confidence in novel treatment can influence the willingness to pursue the treatment in the future.</w:t>
      </w:r>
    </w:p>
    <w:p w:rsidR="00C621A4" w:rsidRPr="009A561C" w:rsidRDefault="00426EE4">
      <w:r w:rsidRPr="009A561C">
        <w:t xml:space="preserve">Mathews </w:t>
      </w:r>
      <w:r w:rsidRPr="009A561C">
        <w:rPr>
          <w:i/>
          <w:iCs/>
        </w:rPr>
        <w:t xml:space="preserve">et al. </w:t>
      </w:r>
      <w:r w:rsidRPr="009A561C">
        <w:t>(2023) have stated that, unlike traditional methods of therapy, CRISPR-based treatment requires highly specialised clinical experience along with advanced treatment infrastructure and appropriate patient selection. Even though CRISPR offers the possibility of durable therapeutic benefit, the substantial resources required for monitoring, treatment and follow-up might create challenges for the healthcare system. On the other hand, Basem</w:t>
      </w:r>
      <w:r w:rsidR="00D43DF3">
        <w:t xml:space="preserve"> </w:t>
      </w:r>
      <w:r w:rsidRPr="009A561C">
        <w:rPr>
          <w:i/>
          <w:iCs/>
        </w:rPr>
        <w:t xml:space="preserve">et al. </w:t>
      </w:r>
      <w:r w:rsidRPr="009A561C">
        <w:t>(2026) have stated a mismatch between cutting-edge biopharmaceutical innovations from and existing healthcare delivery channels, which disrupts the overall therapeutic process. However, Lee and Sawai (2024) have stated uncertainty and limited awareness surrounding emerging technology discourage eligible patients from considering the treatment. The ethical imperative of global access to genome editing, citing prominently human rights law, structural access barriers, and international equity gaps are the key insights from this research.</w:t>
      </w:r>
    </w:p>
    <w:p w:rsidR="00C621A4" w:rsidRDefault="00426EE4">
      <w:r w:rsidRPr="009A561C">
        <w:t xml:space="preserve">According to Mathews </w:t>
      </w:r>
      <w:r w:rsidRPr="009A561C">
        <w:rPr>
          <w:i/>
          <w:iCs/>
        </w:rPr>
        <w:t xml:space="preserve">et al. </w:t>
      </w:r>
      <w:r w:rsidRPr="009A561C">
        <w:t>(2023) availability might be concentrated in major specialist centres, potentially limiting accessibility for patients living further from the facilities. Insights from this research have highlighted the theme of governance and health policy frameworks within the emerging regenerative medicine. Basem</w:t>
      </w:r>
      <w:r w:rsidR="00D43DF3">
        <w:t xml:space="preserve"> </w:t>
      </w:r>
      <w:r w:rsidRPr="009A561C">
        <w:rPr>
          <w:i/>
          <w:iCs/>
        </w:rPr>
        <w:t xml:space="preserve">et al. </w:t>
      </w:r>
      <w:r w:rsidRPr="009A561C">
        <w:t xml:space="preserve">(2026) concluded that commercialising advanced therapies demands investment in decentralised manufacturing, reimbursement models, and workforce training, which are related to the structural health system; therefore, its adaptation is essential for long-term therapeutic adoption. Clear communication concerning potential risks, benefits, and long-term uncertainty can facilitate informed accessibility of the service. Lee and </w:t>
      </w:r>
      <w:r w:rsidRPr="009A561C">
        <w:lastRenderedPageBreak/>
        <w:t>Sawai (2024) have researched how high upfront market prices paired with fragile healthcare infrastructure in low- and middle-income countries threaten to exacerbate a global “genetic divide”. This research has highlighted that, by framing gene therapy as a human rights priority, the necessity of multilateral policy interventions, technology transfer, and international cost-sharing mechanisms is recognised. Ultimately, the findings of this article conclude that technological brilliance remains incomplete without global justice in the healthcare system.</w:t>
      </w:r>
    </w:p>
    <w:p w:rsidR="006746ED" w:rsidRPr="009A561C" w:rsidRDefault="006746ED"/>
    <w:p w:rsidR="00C621A4" w:rsidRPr="009A561C" w:rsidRDefault="00426EE4">
      <w:pPr>
        <w:pStyle w:val="Heading3"/>
        <w:spacing w:before="0" w:after="200"/>
        <w:rPr>
          <w:color w:val="auto"/>
        </w:rPr>
      </w:pPr>
      <w:bookmarkStart w:id="56" w:name="_Toc240897598"/>
      <w:r w:rsidRPr="009A561C">
        <w:rPr>
          <w:color w:val="auto"/>
        </w:rPr>
        <w:t xml:space="preserve">4.2.2 </w:t>
      </w:r>
      <w:bookmarkEnd w:id="56"/>
      <w:r w:rsidR="006746ED">
        <w:t>System Integration, Coordinated Pathways, and Infrastructure Readiness</w:t>
      </w:r>
    </w:p>
    <w:p w:rsidR="006746ED" w:rsidRPr="006746ED" w:rsidRDefault="006746ED" w:rsidP="006746ED">
      <w:r w:rsidRPr="006746ED">
        <w:t>The studies in this theme agree on one main point: having a CRISPR-based therapy approved is not the same as being able to deliver it. Ayrton et al. (2025), Mathews et al. (2023) and Basem et al. (2026) all argue that curative therapies need coordinated clinical pathways, long-term patient support and a well-trained specialist workforce. Without these, a clinically effective treatment may still not reach the patients who need it. Mathews et al. (2023) also point out that governance frameworks tend to overlook the practical problems that appear after approval, while Basem et al. (2026) describe a gap between new therapies and the systems meant to deliver them.</w:t>
      </w:r>
    </w:p>
    <w:p w:rsidR="006746ED" w:rsidRPr="006746ED" w:rsidRDefault="006746ED" w:rsidP="006746ED">
      <w:r w:rsidRPr="006746ED">
        <w:t>The studies do not treat service organisation in quite the same way, though. Ayrton et al. (2025) see established specialist networks and centralised expertise as a strength, since they help identify patients, monitor them and deliver treatment safely. That fits the NHS specialist-centre model well. Basem et al. (2026), on the other hand, argue that relying on centralised delivery will not last unless there is investment in decentralised manufacturing, reimbursement models and workforce training. Lee and Sawai (2024) make a related point, showing that weak infrastructure can widen inequalities in access. Put together, this suggests a real tension. Centralisation may protect safety and quality, but it may also make access harder for patients who live far from a specialist centre</w:t>
      </w:r>
      <w:r w:rsidR="00652383">
        <w:t>.</w:t>
      </w:r>
    </w:p>
    <w:p w:rsidR="006746ED" w:rsidRPr="006746ED" w:rsidRDefault="006746ED" w:rsidP="006746ED">
      <w:r w:rsidRPr="006746ED">
        <w:t xml:space="preserve">It is important to be careful about how much weight this evidence can carry. All four studies are narrative reviews, conceptual analyses or case studies, and none of them collected primary data. Ayrton et al. (2025) take a broad, global view, Mathews et al. (2023) focus mainly on the US, and Lee and Sawai (2024) are concerned with low- and middle-income settings. Their relevance to the NHS is therefore something to be inferred, not something they directly show. Even so, the evidence points in a consistent direction. Equitable access seems to depend on coordinated pathways, workforce capacity and sustained investment in infrastructure, not just on regulatory approval. </w:t>
      </w:r>
    </w:p>
    <w:p w:rsidR="00C621A4" w:rsidRPr="009A561C" w:rsidRDefault="00C621A4">
      <w:pPr>
        <w:spacing w:after="200"/>
      </w:pPr>
    </w:p>
    <w:p w:rsidR="00C621A4" w:rsidRPr="009A561C" w:rsidRDefault="00426EE4">
      <w:pPr>
        <w:pStyle w:val="Heading2"/>
        <w:spacing w:before="0"/>
        <w:rPr>
          <w:color w:val="auto"/>
        </w:rPr>
      </w:pPr>
      <w:bookmarkStart w:id="57" w:name="_Toc240897599"/>
      <w:r w:rsidRPr="009A561C">
        <w:rPr>
          <w:color w:val="auto"/>
        </w:rPr>
        <w:t>4.3 Theme 2: Balancing socioeconomic, Ethnic, and geographical determinants to provide access to gene therapy</w:t>
      </w:r>
      <w:bookmarkEnd w:id="57"/>
    </w:p>
    <w:p w:rsidR="00C621A4" w:rsidRPr="009A561C" w:rsidRDefault="00426EE4">
      <w:pPr>
        <w:spacing w:after="200"/>
        <w:rPr>
          <w:b/>
          <w:bCs/>
        </w:rPr>
      </w:pPr>
      <w:r w:rsidRPr="009A561C">
        <w:t>This theme evaluates how socioeconomic, ethnic as well as geographical factors impact equal access to CRISPR-based gene therapy for sickle cell disease (SCD) in the UK. The studies were examined very closely, with the constantly occurring patterns that were identified, coded as well as synthesised into the thematic narratives that connect the scientific progress with the overall social determinants of health.</w:t>
      </w:r>
    </w:p>
    <w:p w:rsidR="00C621A4" w:rsidRPr="009A561C" w:rsidRDefault="00426EE4">
      <w:pPr>
        <w:pStyle w:val="Heading3"/>
        <w:spacing w:before="0" w:after="200"/>
        <w:rPr>
          <w:color w:val="auto"/>
        </w:rPr>
      </w:pPr>
      <w:bookmarkStart w:id="58" w:name="_Toc240897600"/>
      <w:r w:rsidRPr="009A561C">
        <w:rPr>
          <w:color w:val="auto"/>
        </w:rPr>
        <w:t>4.3.1 Socioeconomic Inequities, Ethnic Disparities, and the Gap Between Regulatory/Clinical Feasibility and Access</w:t>
      </w:r>
      <w:bookmarkEnd w:id="58"/>
    </w:p>
    <w:p w:rsidR="00C621A4" w:rsidRPr="009A561C" w:rsidRDefault="00426EE4">
      <w:pPr>
        <w:spacing w:after="200"/>
        <w:rPr>
          <w:b/>
          <w:bCs/>
        </w:rPr>
      </w:pPr>
      <w:r w:rsidRPr="009A561C">
        <w:t xml:space="preserve">Azeez </w:t>
      </w:r>
      <w:r w:rsidRPr="009A561C">
        <w:rPr>
          <w:i/>
          <w:iCs/>
        </w:rPr>
        <w:t>et al.</w:t>
      </w:r>
      <w:r w:rsidRPr="009A561C">
        <w:t xml:space="preserve"> (2026) contrast allogeneic HSCT treatment with autologous gene therapy treatments, in which the authors state that the autologous treatments lack the donor-related issues and graft-versus-host disease without affecting their effectiveness. The above constraint brings into question how disadvantaged segments of society with fewer available resources can cope with such rigorous treatment plans. This secondary research has highlighted a comparative evaluation between autologous gene editing for sickle cell disease (SCD) and traditional allogeneic stem cell transplantation (HSCT). Levesque and Bauer (2025) focus on the molecular precision of CRISPR for reactivating </w:t>
      </w:r>
      <w:r w:rsidR="002D37E6" w:rsidRPr="009A561C">
        <w:t>foetal</w:t>
      </w:r>
      <w:r w:rsidRPr="009A561C">
        <w:t xml:space="preserve"> haemoglobin to resolve the clinical symptoms of SCD as well as transfusion-dependent thalassaemia. The [n=narrative review of clinical trials] of this research targeted disruption of the BCL11A erythroid enhancer to achieve </w:t>
      </w:r>
      <w:r w:rsidR="002D37E6" w:rsidRPr="009A561C">
        <w:t>foetalhaemoglobin</w:t>
      </w:r>
      <w:r w:rsidRPr="009A561C">
        <w:t xml:space="preserve"> (HbF) induction exceeding 40% of total </w:t>
      </w:r>
      <w:r w:rsidR="002D37E6" w:rsidRPr="009A561C">
        <w:t>haemoglobin</w:t>
      </w:r>
      <w:r w:rsidRPr="009A561C">
        <w:t xml:space="preserve">, effectively eliminating vaso-occlusive crises (VOCs) and blood transfusion dependency in 90% of treated trial cohorts. Their review showcases the clarity, but they completely exclude the socioeconomic as well as cost analysis. Such an omission is very important as it represents the gap between clinical feasibility as well as equitable access. Parums (2024) also provides a concise overview from [n=editorial review] and defines the regulatory approval milestones, which indicates that the first approvals validate the efficacy of CRISPR with manageable safety profiles. While this represents progress, the limited nature of the editorial does not clarify whether the success of regulation ensures access to treatments for different population groups. </w:t>
      </w:r>
    </w:p>
    <w:p w:rsidR="00C621A4" w:rsidRPr="009A561C" w:rsidRDefault="00426EE4">
      <w:pPr>
        <w:spacing w:after="200"/>
      </w:pPr>
      <w:r w:rsidRPr="009A561C">
        <w:t xml:space="preserve">Azeez </w:t>
      </w:r>
      <w:r w:rsidRPr="009A561C">
        <w:rPr>
          <w:i/>
          <w:iCs/>
        </w:rPr>
        <w:t>et al.</w:t>
      </w:r>
      <w:r w:rsidRPr="009A561C">
        <w:t xml:space="preserve"> (2026) indirectly draw attention to socio-economic disparities since poor patients find it difficult to access or tolerate these therapies. This research indirectly highlights </w:t>
      </w:r>
      <w:r w:rsidRPr="009A561C">
        <w:lastRenderedPageBreak/>
        <w:t>socioeconomic inequities, as poorer patients may struggle to access or tolerate these therapies despite their clinical promise. In contrast, Levesque and Bauer (2025) mentioned that ethnic minority groups, historically facing systematic neglect, might not get equal benefit if the Social as well as financial barriers remain not addressed properly. Insights from this study have highlighted the precise molecular mechanisms of CRISPR-based therapeutic editing in inherited blood disorders. The research codes for BCL11A enhancer disruption, non-coding target loci, as well as fetal haemoglobin (HbF) induction. Similarly, the research by Parums (2024) has captured the regulatory milestone specifying the transition of CRISPR-Cas9 therapy from clinical trials to commercial healthcare for SCD and beta-thalassemia. The insights show that regulatory agencies commonly accept HbF induction and vaso-occlusive crisis elimination from the perspective of definitive clinical endpoints.</w:t>
      </w:r>
    </w:p>
    <w:p w:rsidR="00C621A4" w:rsidRDefault="00426EE4">
      <w:r w:rsidRPr="009A561C">
        <w:t xml:space="preserve">Azeez </w:t>
      </w:r>
      <w:r w:rsidRPr="009A561C">
        <w:rPr>
          <w:i/>
          <w:iCs/>
        </w:rPr>
        <w:t>et al.</w:t>
      </w:r>
      <w:r w:rsidRPr="009A561C">
        <w:t xml:space="preserve"> (2026) offers a comparison of graft-versus-host disease (GVHD) elimination, donor availability, as well as conditioning toxicities. It highlights how autologous gene therapy bypasses donor-created challenges while matching HSCT efficacy. Therefore, the analysis identifies myeloablative conditioning as a persistent clinical hurdle, and the synthesis proves that autologous gene editing represents a donor-independent curative option, also offering conditioning safety that is optimised. It has been recognised from the research of Levesque and Bauer (2025) synthesis on reactivating HbF effectively resolves severe clinical manifestations of SCD and “transfusion-dependent beta-thalassemia (TDT)”. The findings enrich the technological evolution theme through illustration of how translating fine-tuned molecular targeting into clinical trials yields curative efficacy while maintaining genomic safety. The study by Parums (2024) has contributed to underscoring the theme of regulatory translation, proving the rigorous clinical evidence that can successfully push genome editing past regulatory thresholds into a real-world medicine. Thus, the transition of CRISPR-Cas9 therapy from trial phases to commercial authorization reflects HbF induction and vaso-occlusive crisis elimination as definitive endpoints for clinical success.</w:t>
      </w:r>
    </w:p>
    <w:p w:rsidR="003505E6" w:rsidRPr="009A561C" w:rsidRDefault="003505E6"/>
    <w:p w:rsidR="00C621A4" w:rsidRPr="009A561C" w:rsidRDefault="00426EE4">
      <w:pPr>
        <w:pStyle w:val="Heading3"/>
        <w:spacing w:before="0" w:after="200"/>
        <w:rPr>
          <w:color w:val="auto"/>
        </w:rPr>
      </w:pPr>
      <w:bookmarkStart w:id="59" w:name="_Toc240897601"/>
      <w:r w:rsidRPr="009A561C">
        <w:rPr>
          <w:color w:val="auto"/>
        </w:rPr>
        <w:t>4.3.2 Geographical Centralisation, Systemic Barriers, and Implementation Models for Equitable Care</w:t>
      </w:r>
      <w:bookmarkEnd w:id="59"/>
    </w:p>
    <w:p w:rsidR="00C621A4" w:rsidRPr="009A561C" w:rsidRDefault="00426EE4">
      <w:pPr>
        <w:spacing w:after="200"/>
        <w:rPr>
          <w:b/>
          <w:bCs/>
        </w:rPr>
      </w:pPr>
      <w:r w:rsidRPr="009A561C">
        <w:t xml:space="preserve">The geographical inequalities are made clear here as the approval means that the treatments can be provided, although it does not ensure that those living in rural or deprived areas have access to these specialised centres. Laurent </w:t>
      </w:r>
      <w:r w:rsidRPr="009A561C">
        <w:rPr>
          <w:i/>
          <w:iCs/>
        </w:rPr>
        <w:t>et al.</w:t>
      </w:r>
      <w:r w:rsidRPr="009A561C">
        <w:t xml:space="preserve"> (2024), on the other hand, document the advancement in CRISPR technology from double-strand breaks to base as well as the </w:t>
      </w:r>
      <w:r w:rsidRPr="009A561C">
        <w:lastRenderedPageBreak/>
        <w:t xml:space="preserve">healthcare sector's preparedness to use CRISPR therapies to treat toxicity. Here, [n=preclinical safety appraisal] demonstrates that autologous ex vivo editing requires complex myeloablative busulfan conditioning. Nevertheless, their mechanistic approach has almost no information on cost, policy, and logistics aspects. This lack of information raises worries about ethnic minorities or people living in rural areas having access to this technology, because it can be highly restricted to metropolitan cities only. Jenkins </w:t>
      </w:r>
      <w:r w:rsidRPr="009A561C">
        <w:rPr>
          <w:i/>
          <w:iCs/>
        </w:rPr>
        <w:t>et al</w:t>
      </w:r>
      <w:r w:rsidRPr="009A561C">
        <w:t xml:space="preserve">. (2025) have evaluated the systemic disparities in pediatric genomic medicine, recognising major barriers including geographic isolation, socioeconomic factors, specialist workforce shortages and low referral rates among ethnic minorities. In this research, [n=implementation trial] shows that a lack of genomic training among primary care clinicians leads to delayed referrals and poor patient navigation. </w:t>
      </w:r>
    </w:p>
    <w:p w:rsidR="00C621A4" w:rsidRPr="009A561C" w:rsidRDefault="00426EE4">
      <w:pPr>
        <w:spacing w:after="200"/>
        <w:rPr>
          <w:b/>
          <w:bCs/>
        </w:rPr>
      </w:pPr>
      <w:r w:rsidRPr="009A561C">
        <w:t xml:space="preserve">It has been recognised that technological progression of gene editing modalities has moved from early CRISPR double-strand breaks (DSBs) to base and prime editing technologies (Laurent </w:t>
      </w:r>
      <w:r w:rsidRPr="009A561C">
        <w:rPr>
          <w:i/>
          <w:iCs/>
        </w:rPr>
        <w:t>et al.</w:t>
      </w:r>
      <w:r w:rsidRPr="009A561C">
        <w:t xml:space="preserve"> 2024). The study focuses on genomic stability, off-target cleavage, and viral versus non-viral delivery vectors as well as this article also highlights the shift toward minimising genotoxicity. On the other hand, Jenkins </w:t>
      </w:r>
      <w:r w:rsidRPr="009A561C">
        <w:rPr>
          <w:i/>
          <w:iCs/>
        </w:rPr>
        <w:t>et al</w:t>
      </w:r>
      <w:r w:rsidRPr="009A561C">
        <w:t>. (2025) highlighted that solution-oriented strategies include expanding telegenetics, upskilling primary care providers, and integrating certified genetic counsellors into multidisciplinary care teams. These findings illustrate that delivering advanced therapies requires proactive delivery models.</w:t>
      </w:r>
    </w:p>
    <w:p w:rsidR="00C621A4" w:rsidRPr="009A561C" w:rsidRDefault="00426EE4">
      <w:pPr>
        <w:spacing w:after="200"/>
      </w:pPr>
      <w:r w:rsidRPr="009A561C">
        <w:t xml:space="preserve">The research by Laurent </w:t>
      </w:r>
      <w:r w:rsidRPr="009A561C">
        <w:rPr>
          <w:i/>
          <w:iCs/>
        </w:rPr>
        <w:t>et al.</w:t>
      </w:r>
      <w:r w:rsidRPr="009A561C">
        <w:t xml:space="preserve"> (2024) has shown that base and prime editing eliminate the risks related to large genomic deletions and chromosomal translocations associated with DSBs. This paper offers insights on the technological paradigm theme, demonstrating bioengineering refinements for improving the safety profile of curative therapies. In addition, merely authorising CRISPR treatments is insufficient; the NHS can address structural delivery bottlenecks and geographic access gaps (Jenkins </w:t>
      </w:r>
      <w:r w:rsidRPr="009A561C">
        <w:rPr>
          <w:i/>
          <w:iCs/>
        </w:rPr>
        <w:t>et al</w:t>
      </w:r>
      <w:r w:rsidRPr="009A561C">
        <w:t xml:space="preserve">. 2025). It has historical mistrust, to ensure equitable access for minoritised paediatric populations. The lessons for the health system regarding how implementation science bridges the gap between innovation and clinical equity. In the context of NHS delivery for sickle cell gene therapy, the work highlights that specialised treatments tend to cluster in major urban academic medical centres, creating geographical and financial barriers for marginalised patient groups. The article underscores the importance of workforce development and cultural competency. For the UK, it implies that successful adoption of complex therapies like CRISPR requires intentional outreach, robust primary care education, and structured patient navigation, to ensure underserved communities are not left behind in the genomic revolution. </w:t>
      </w:r>
    </w:p>
    <w:p w:rsidR="00C621A4" w:rsidRPr="009A561C" w:rsidRDefault="00426EE4">
      <w:pPr>
        <w:pStyle w:val="Heading2"/>
        <w:spacing w:before="0"/>
        <w:rPr>
          <w:color w:val="auto"/>
        </w:rPr>
      </w:pPr>
      <w:bookmarkStart w:id="60" w:name="_Toc240897602"/>
      <w:r w:rsidRPr="009A561C">
        <w:rPr>
          <w:color w:val="auto"/>
        </w:rPr>
        <w:lastRenderedPageBreak/>
        <w:t>4.4 Theme 3: Health System Readiness and successful implementation of CRISPR-based therapies depend on service capacity and infrastructure</w:t>
      </w:r>
      <w:bookmarkEnd w:id="60"/>
    </w:p>
    <w:p w:rsidR="00C621A4" w:rsidRPr="009A561C" w:rsidRDefault="00426EE4">
      <w:pPr>
        <w:spacing w:after="200"/>
        <w:rPr>
          <w:b/>
          <w:bCs/>
        </w:rPr>
      </w:pPr>
      <w:r w:rsidRPr="009A561C">
        <w:t>This theme explores the preparedness of the healthcare sector in using CRISPR therapies for treating SCD. In terms of the selected articles, these have been analysed to highlight the recurrent themes, which have been grouped to form a thematic narrative.</w:t>
      </w:r>
    </w:p>
    <w:p w:rsidR="00C621A4" w:rsidRPr="009A561C" w:rsidRDefault="00426EE4">
      <w:pPr>
        <w:pStyle w:val="Heading3"/>
        <w:spacing w:before="0" w:after="200"/>
        <w:rPr>
          <w:color w:val="auto"/>
        </w:rPr>
      </w:pPr>
      <w:bookmarkStart w:id="61" w:name="_Toc240897603"/>
      <w:r w:rsidRPr="009A561C">
        <w:rPr>
          <w:color w:val="auto"/>
        </w:rPr>
        <w:t>4.4.1 Infrastructural Capacity, Clinical Biomarker Tracking, and Delivery Bottlenecks in System Readiness</w:t>
      </w:r>
      <w:bookmarkEnd w:id="61"/>
    </w:p>
    <w:p w:rsidR="00C621A4" w:rsidRPr="009A561C" w:rsidRDefault="00426EE4">
      <w:pPr>
        <w:spacing w:before="200" w:after="160"/>
        <w:rPr>
          <w:b/>
          <w:bCs/>
        </w:rPr>
      </w:pPr>
      <w:r w:rsidRPr="009A561C">
        <w:t>Pinhas</w:t>
      </w:r>
      <w:r w:rsidR="00D43DF3">
        <w:t xml:space="preserve"> </w:t>
      </w:r>
      <w:r w:rsidRPr="009A561C">
        <w:rPr>
          <w:i/>
          <w:iCs/>
        </w:rPr>
        <w:t>et al.</w:t>
      </w:r>
      <w:r w:rsidRPr="009A561C">
        <w:t xml:space="preserve"> (2022) conduct a case study on a single patient employing retinal optical coherence tomography angiography in order to evaluate the effects of CRISPR treatment on microvascular perfusion before and even after the procedure. While this showcases the high clinical potential of CRISPR therapy, the limitations of this study lie in its small sample size. Almotiri</w:t>
      </w:r>
      <w:r w:rsidR="00D43DF3">
        <w:t xml:space="preserve"> </w:t>
      </w:r>
      <w:r w:rsidRPr="009A561C">
        <w:rPr>
          <w:i/>
          <w:iCs/>
        </w:rPr>
        <w:t>et al.</w:t>
      </w:r>
      <w:r w:rsidRPr="009A561C">
        <w:t xml:space="preserve"> (2025) further provide a detailed overview of CRISPR target loci, delivery vectors, as well as trial outcomes in overall blood disorders. This focuses on the fact that while gene editing successfully helps in correcting haemoglobin synthesis, stem cell delivery along with the conditioning remains one of the major setbacks. Gamage </w:t>
      </w:r>
      <w:r w:rsidRPr="009A561C">
        <w:rPr>
          <w:i/>
          <w:iCs/>
        </w:rPr>
        <w:t>et al.</w:t>
      </w:r>
      <w:r w:rsidRPr="009A561C">
        <w:t xml:space="preserve"> (2023) further evaluate CRISPR-Cas9 treatment as a single-dose therapy for transfusion-dependent beta-thalassemia. The review of this study shows that CRISPR makes people dependent on transfusions much less, creating tremendous opportunities for the patients. However, the descriptive character of the review itself prevents the authors from analysing system-wide preparedness.</w:t>
      </w:r>
    </w:p>
    <w:p w:rsidR="00C621A4" w:rsidRPr="009A561C" w:rsidRDefault="00426EE4">
      <w:pPr>
        <w:spacing w:before="200" w:after="160"/>
      </w:pPr>
      <w:r w:rsidRPr="009A561C">
        <w:t>As per Pinhas</w:t>
      </w:r>
      <w:r w:rsidR="00D43DF3">
        <w:t xml:space="preserve"> </w:t>
      </w:r>
      <w:r w:rsidRPr="009A561C">
        <w:rPr>
          <w:i/>
          <w:iCs/>
        </w:rPr>
        <w:t>et al.</w:t>
      </w:r>
      <w:r w:rsidRPr="009A561C">
        <w:t xml:space="preserve"> (2022), a single case cannot gather much information about the wider readiness of the healthcare system to scale up the interventions. This showcases the need for stronger infrastructure as well as the capacity of the workforce in order to translate the promising individual outcomes into overall population-level benefits. The study provided empirical evidence on systemic microvascular recovery post-CRISPR editing, focusing on non-invasive optical coherence tomography angiography (OCTA). In contrast, Almotiri</w:t>
      </w:r>
      <w:r w:rsidR="00D43DF3">
        <w:t xml:space="preserve"> </w:t>
      </w:r>
      <w:r w:rsidRPr="009A561C">
        <w:rPr>
          <w:i/>
          <w:iCs/>
        </w:rPr>
        <w:t>et al.</w:t>
      </w:r>
      <w:r w:rsidRPr="009A561C">
        <w:t xml:space="preserve"> (2025) showcases the importance of specialised facilities, advanced laboratories, as well as trained staff in order to manage the conditioning regimen. The study indirectly points out the challenges associated with readiness as the bottlenecks in the delivery mechanisms require more investment in infrastructure as well as workforce training in order to ensure equal implementation. Insights from the findings has delivered a technical synthesis on target selection, locus manipulation, and cellular delivery mechanisms for blood disorders.</w:t>
      </w:r>
    </w:p>
    <w:p w:rsidR="00C621A4" w:rsidRPr="009A561C" w:rsidRDefault="00426EE4">
      <w:pPr>
        <w:spacing w:before="200" w:after="160"/>
      </w:pPr>
      <w:r w:rsidRPr="009A561C">
        <w:lastRenderedPageBreak/>
        <w:t xml:space="preserve">The results of Gamage </w:t>
      </w:r>
      <w:r w:rsidRPr="009A561C">
        <w:rPr>
          <w:i/>
          <w:iCs/>
        </w:rPr>
        <w:t>et al.</w:t>
      </w:r>
      <w:r w:rsidRPr="009A561C">
        <w:t xml:space="preserve"> (2023), indicate that while there are encouraging clinical outcomes, the health care systems should brace themselves for long-term monitoring, follow-up care as well as incorporation of new technologies into the existing pathways of care delivery. The eviden</w:t>
      </w:r>
      <w:r w:rsidR="00E80C11">
        <w:t>ce indicates that CRISPR based gene</w:t>
      </w:r>
      <w:r w:rsidRPr="009A561C">
        <w:t>s therapy has the potential to transform SCD management, but the introduction can also reproduce existing health inequality if the axis is not deliberately structured around equity.</w:t>
      </w:r>
    </w:p>
    <w:p w:rsidR="00C621A4" w:rsidRPr="009A561C" w:rsidRDefault="00426EE4">
      <w:pPr>
        <w:spacing w:before="200" w:after="160"/>
      </w:pPr>
      <w:r w:rsidRPr="009A561C">
        <w:t>A recent research on the single-patient study within this research has highlighted that gene editing translates into microvascular healing equivalent to chronic exchange transfusions (Pinhas</w:t>
      </w:r>
      <w:r w:rsidR="00D43DF3">
        <w:t xml:space="preserve"> </w:t>
      </w:r>
      <w:r w:rsidRPr="009A561C">
        <w:rPr>
          <w:i/>
          <w:iCs/>
        </w:rPr>
        <w:t>et al.</w:t>
      </w:r>
      <w:r w:rsidRPr="009A561C">
        <w:t xml:space="preserve"> 2022). The research adds a unique dimension towards the clinical efficacy theme, suggesting that non-invasive end-organ imaging can serve as a real-time biomarker by validating systemic cellular correction and clinical cure within sickle cell vasculopathy. In addition, Almotiri</w:t>
      </w:r>
      <w:r w:rsidR="00D43DF3">
        <w:t xml:space="preserve"> </w:t>
      </w:r>
      <w:r w:rsidRPr="009A561C">
        <w:rPr>
          <w:i/>
          <w:iCs/>
        </w:rPr>
        <w:t>et al.</w:t>
      </w:r>
      <w:r w:rsidRPr="009A561C">
        <w:t xml:space="preserve"> (2025) recognised that vector delivery and myeloablative conditioning remain primary translational bottlenecks and it covered electroporation, lipid nanoparticles, viral vectors, as well as ex vivo stem cell expansion. The study reveals that while gene editing tools have reached high precision, clinical success relies on improving ex vivo handling and developing targeted in vivo delivery approaches, reinforcing technological optimisation in genomic medicine.</w:t>
      </w:r>
    </w:p>
    <w:p w:rsidR="00C621A4" w:rsidRPr="009A561C" w:rsidRDefault="00426EE4">
      <w:pPr>
        <w:spacing w:before="200" w:after="160"/>
      </w:pPr>
      <w:r w:rsidRPr="009A561C">
        <w:t xml:space="preserve">Ultimately, Gamage </w:t>
      </w:r>
      <w:r w:rsidRPr="009A561C">
        <w:rPr>
          <w:i/>
          <w:iCs/>
        </w:rPr>
        <w:t>et al.</w:t>
      </w:r>
      <w:r w:rsidRPr="009A561C">
        <w:t xml:space="preserve"> (2023) demonstrate the therapeutic potential of CRISPR-based gene editing as a one-time intervention that shows that gene therapy might reduce the burden associated with lifelong conventional treatment. The benefit, however, of advanced therapy cannot automatically be assumed to reach population experience in greater healthcare disadvantage or socioeconomic limitations. The research insight focuses on transfusion-dependent beta-thalassemia, evaluating CRISPR-Cas9 as a one-time curative intervention. The findings have illustrated how reactivation of gamma-globin expression abolishes life-long transfusion dependence as well as mitigates secondary iron toxicity. Thus, the clinical efficacy theme showcasing on a  precise genomic intervention which successfully resolves the underlying pathophysiology of chronic anaemia.</w:t>
      </w:r>
    </w:p>
    <w:p w:rsidR="00C621A4" w:rsidRPr="009A561C" w:rsidRDefault="00426EE4">
      <w:pPr>
        <w:pStyle w:val="Heading3"/>
        <w:spacing w:before="0" w:after="200"/>
        <w:rPr>
          <w:color w:val="auto"/>
        </w:rPr>
      </w:pPr>
      <w:bookmarkStart w:id="62" w:name="_Toc240897604"/>
      <w:r w:rsidRPr="009A561C">
        <w:rPr>
          <w:color w:val="auto"/>
        </w:rPr>
        <w:t xml:space="preserve">4.4.2 </w:t>
      </w:r>
      <w:bookmarkEnd w:id="62"/>
      <w:r w:rsidR="0023223B">
        <w:t>Systemic Equity Frameworks and Multi-Level Governance in Health System Readiness</w:t>
      </w:r>
    </w:p>
    <w:p w:rsidR="00C621A4" w:rsidRPr="009A561C" w:rsidRDefault="00426EE4">
      <w:pPr>
        <w:spacing w:before="200" w:after="160"/>
        <w:rPr>
          <w:b/>
          <w:bCs/>
        </w:rPr>
      </w:pPr>
      <w:r w:rsidRPr="009A561C">
        <w:t>Addani</w:t>
      </w:r>
      <w:r w:rsidR="00D43DF3">
        <w:t xml:space="preserve"> </w:t>
      </w:r>
      <w:r w:rsidRPr="009A561C">
        <w:rPr>
          <w:i/>
          <w:iCs/>
        </w:rPr>
        <w:t>et al.</w:t>
      </w:r>
      <w:r w:rsidRPr="009A561C">
        <w:t xml:space="preserve"> (2025) propose a multilevel health equity framework for regenerative treatments that is structured around barrier identification, intervention as well as implementation. This conceptual model is proactive in implementing equity into the research as well as development, </w:t>
      </w:r>
      <w:r w:rsidRPr="009A561C">
        <w:lastRenderedPageBreak/>
        <w:t>which ensures that the systemic disparities are properly addressed before the therapy is scaled further. Although it requires empirical validation, this framework also highlights the importance of policy-level readiness along with clinical as well as infrastructural preparedness.</w:t>
      </w:r>
    </w:p>
    <w:p w:rsidR="00C621A4" w:rsidRPr="009A561C" w:rsidRDefault="00624DA9">
      <w:pPr>
        <w:spacing w:before="200" w:after="160"/>
        <w:rPr>
          <w:b/>
          <w:bCs/>
        </w:rPr>
      </w:pPr>
      <w:r>
        <w:t>T</w:t>
      </w:r>
      <w:r w:rsidR="00426EE4" w:rsidRPr="009A561C">
        <w:t>he study by Addani</w:t>
      </w:r>
      <w:r w:rsidR="00D43DF3">
        <w:t xml:space="preserve"> </w:t>
      </w:r>
      <w:r w:rsidR="00426EE4" w:rsidRPr="009A561C">
        <w:rPr>
          <w:i/>
          <w:iCs/>
        </w:rPr>
        <w:t>et al</w:t>
      </w:r>
      <w:r w:rsidR="00426EE4" w:rsidRPr="009A561C">
        <w:t>. (2025) highlights a structured health equity research framework designed to address systemic disparities during the process and roll-out of regenerative therapies. The study illustrates that equity must be embedded from preclinical design through the clinical trials to health system adoption.</w:t>
      </w:r>
    </w:p>
    <w:p w:rsidR="00C621A4" w:rsidRPr="009A561C" w:rsidRDefault="00426EE4">
      <w:pPr>
        <w:spacing w:before="200" w:after="160"/>
      </w:pPr>
      <w:r w:rsidRPr="009A561C">
        <w:t>The findings signify framing health disparities as systemic design challenges despite inevitable market outcomes (Addani</w:t>
      </w:r>
      <w:r w:rsidR="00D43DF3">
        <w:t xml:space="preserve"> </w:t>
      </w:r>
      <w:r w:rsidRPr="009A561C">
        <w:rPr>
          <w:i/>
          <w:iCs/>
        </w:rPr>
        <w:t xml:space="preserve">et al. </w:t>
      </w:r>
      <w:r w:rsidRPr="009A561C">
        <w:t>2025). Policymakers and developers should expand the equity and policy theme in the gene therapy segment. Positioning emerging regenerative therapy in the healthcare equity framework, Addani</w:t>
      </w:r>
      <w:r w:rsidR="00D43DF3">
        <w:t xml:space="preserve"> </w:t>
      </w:r>
      <w:r w:rsidRPr="009A561C">
        <w:rPr>
          <w:i/>
          <w:iCs/>
        </w:rPr>
        <w:t xml:space="preserve">et al. </w:t>
      </w:r>
      <w:r w:rsidRPr="009A561C">
        <w:t xml:space="preserve">(2025) highlighted that equitable implementation required attention to community needs, population differences and structural barriers rather than exclusively focusing on technical innovation. It is particularly relevant to SCD because the affected population might already experience a lack of equal health experiences. The introduction of CRISPR therefore can either narrow existing equality or create new treatment divides depending on the ways in which funding, eligibility, specialist services, and information are organised. </w:t>
      </w:r>
    </w:p>
    <w:p w:rsidR="00C621A4" w:rsidRPr="009A561C" w:rsidRDefault="00426EE4">
      <w:pPr>
        <w:pStyle w:val="Heading2"/>
        <w:spacing w:before="0"/>
        <w:rPr>
          <w:color w:val="auto"/>
        </w:rPr>
      </w:pPr>
      <w:bookmarkStart w:id="63" w:name="_Toc240897605"/>
      <w:r w:rsidRPr="009A561C">
        <w:rPr>
          <w:color w:val="auto"/>
        </w:rPr>
        <w:t>4.5 Theme 4: Gene therapy implementation addresses health inequalities among populations affected by sickle cell disease</w:t>
      </w:r>
      <w:bookmarkEnd w:id="63"/>
    </w:p>
    <w:p w:rsidR="00C621A4" w:rsidRPr="009A561C" w:rsidRDefault="00426EE4">
      <w:pPr>
        <w:pStyle w:val="Heading3"/>
        <w:spacing w:before="0" w:after="200"/>
        <w:rPr>
          <w:color w:val="auto"/>
        </w:rPr>
      </w:pPr>
      <w:bookmarkStart w:id="64" w:name="_Toc240897606"/>
      <w:r w:rsidRPr="009A561C">
        <w:rPr>
          <w:color w:val="auto"/>
        </w:rPr>
        <w:t>4.5.1 Health Economic Evaluations, Affordability Models, and Sustainable Commissioning Frameworks</w:t>
      </w:r>
      <w:bookmarkEnd w:id="64"/>
    </w:p>
    <w:p w:rsidR="00C621A4" w:rsidRPr="009A561C" w:rsidRDefault="00426EE4">
      <w:pPr>
        <w:spacing w:before="200"/>
      </w:pPr>
      <w:r w:rsidRPr="009A561C">
        <w:t xml:space="preserve">The importance of the health system and affordability context is also examined through the cost-effectiveness of gene therapy. Montano-Campos </w:t>
      </w:r>
      <w:r w:rsidRPr="009A561C">
        <w:rPr>
          <w:i/>
          <w:iCs/>
        </w:rPr>
        <w:t>et al.</w:t>
      </w:r>
      <w:r w:rsidRPr="009A561C">
        <w:t xml:space="preserve"> (2026) highlighted the importance of health system context and affordability for treating SCD in Uganda. In this research, [n=Markov microsimulation model] demonstrates that while single-dose gene editing eliminates lifelong hospitalisations for VOCs. Even though the setting is different from the UK, the finding might be relevant because the authors demonstrate that treatment affordability and economic value are important considerations when determining who can benefit from advanced gene therapy. Obeagu</w:t>
      </w:r>
      <w:r w:rsidR="00D43DF3">
        <w:t xml:space="preserve"> </w:t>
      </w:r>
      <w:r w:rsidR="00F3794E" w:rsidRPr="009A561C">
        <w:rPr>
          <w:i/>
          <w:iCs/>
        </w:rPr>
        <w:t>et al.</w:t>
      </w:r>
      <w:r w:rsidRPr="009A561C">
        <w:t xml:space="preserve">(2024) provided a comprehensive review through [n=clinical practice review] that outlines modern therapeutic modalities aimed at extending survival in SCA. It reflects the comparison of emerging CRISPR-Cas9 gene editing against disease-modifying </w:t>
      </w:r>
      <w:r w:rsidRPr="009A561C">
        <w:lastRenderedPageBreak/>
        <w:t xml:space="preserve">pharmacotherapy such as voxelotor, crizanlizumab, as well as automated red cell exchange protocols. </w:t>
      </w:r>
    </w:p>
    <w:p w:rsidR="00C621A4" w:rsidRPr="009A561C" w:rsidRDefault="00652DCE">
      <w:pPr>
        <w:spacing w:before="200"/>
        <w:rPr>
          <w:b/>
          <w:bCs/>
        </w:rPr>
      </w:pPr>
      <w:r>
        <w:t>The study by</w:t>
      </w:r>
      <w:r w:rsidR="00426EE4" w:rsidRPr="009A561C">
        <w:t xml:space="preserve"> Montano-Campos </w:t>
      </w:r>
      <w:r w:rsidR="00426EE4" w:rsidRPr="009A561C">
        <w:rPr>
          <w:i/>
          <w:iCs/>
        </w:rPr>
        <w:t>et al.</w:t>
      </w:r>
      <w:r w:rsidR="00426EE4" w:rsidRPr="009A561C">
        <w:t xml:space="preserve"> (2026) reveals that current high-income drug pricing strategies are considered to be economically unfeasible in low-resource as well as high-disease-burden settings. It reinforces the need for a sustainable funding mechanism in the NHS. Similar to this context, Obeagu</w:t>
      </w:r>
      <w:r w:rsidR="00D43DF3">
        <w:t xml:space="preserve"> </w:t>
      </w:r>
      <w:r w:rsidR="00F3794E" w:rsidRPr="009A561C">
        <w:rPr>
          <w:i/>
          <w:iCs/>
        </w:rPr>
        <w:t>et al.</w:t>
      </w:r>
      <w:r w:rsidR="00426EE4" w:rsidRPr="009A561C">
        <w:t>(2024) stated that curative gene editing offers transformative clinical outcomes. It further notes that translation into routine care is constrained by extreme financial costs, complex conditioning regimens, as well as resource-intensive infrastructure.</w:t>
      </w:r>
    </w:p>
    <w:p w:rsidR="00C621A4" w:rsidRPr="009A561C" w:rsidRDefault="00426EE4">
      <w:pPr>
        <w:spacing w:before="200"/>
      </w:pPr>
      <w:r w:rsidRPr="009A561C">
        <w:t>The findings have demonstrated that achieving cost-effectiveness needs radical price reductions or regional decentralised manufacturing. This article highlights that, as an anchor for the health economics theme, clinical efficacy alone does not achieve global impact without localised economic alignment. Lastly, this article underscores the tension between high-cost, single-dose curative therapies and accessible disease management. It highlights the need for cost-effectiveness evaluations and robust NHS commissioning frameworks regarding equitable resource allocation.</w:t>
      </w:r>
    </w:p>
    <w:p w:rsidR="00C621A4" w:rsidRPr="009A561C" w:rsidRDefault="00426EE4">
      <w:pPr>
        <w:pStyle w:val="Heading3"/>
        <w:spacing w:before="0" w:after="200"/>
        <w:rPr>
          <w:color w:val="auto"/>
        </w:rPr>
      </w:pPr>
      <w:bookmarkStart w:id="65" w:name="_Toc240897607"/>
      <w:r w:rsidRPr="009A561C">
        <w:rPr>
          <w:color w:val="auto"/>
        </w:rPr>
        <w:t>4.5.2 Patient Care Paradigms, Long-Term Monitoring Infrastructure, and Systemic Equity Alignment</w:t>
      </w:r>
      <w:bookmarkEnd w:id="65"/>
    </w:p>
    <w:p w:rsidR="00C621A4" w:rsidRPr="009A561C" w:rsidRDefault="00426EE4">
      <w:pPr>
        <w:spacing w:before="200"/>
        <w:rPr>
          <w:b/>
          <w:bCs/>
        </w:rPr>
      </w:pPr>
      <w:r w:rsidRPr="009A561C">
        <w:t xml:space="preserve">Identification of the cost and complexity of gene therapy is also important. Tardif </w:t>
      </w:r>
      <w:r w:rsidRPr="009A561C">
        <w:rPr>
          <w:i/>
          <w:iCs/>
        </w:rPr>
        <w:t>et al.</w:t>
      </w:r>
      <w:r w:rsidRPr="009A561C">
        <w:t xml:space="preserve"> (2026) identified [n=clinical pathway study] the elements as important limitations to wider accessibility alongside requirements for specialist clinical capacity and long-term monitoring. Singh </w:t>
      </w:r>
      <w:r w:rsidRPr="009A561C">
        <w:rPr>
          <w:i/>
          <w:iCs/>
        </w:rPr>
        <w:t>et al.</w:t>
      </w:r>
      <w:r w:rsidRPr="009A561C">
        <w:t xml:space="preserve"> (2026) also highlighted regulatory oversight, manufacturing scalability, equitable implementation and long-term monitoring as continuing challenges. Collectively, the studies suggest that CRISPR should not be evaluated only according to the therapeutic promise. Without geographically accessible specialist services, equitable funding, inclusive patient selection and sustained follow-up, technological advancement might benefit better resourced groups in a disproportionate manner.</w:t>
      </w:r>
    </w:p>
    <w:p w:rsidR="00C621A4" w:rsidRPr="009A561C" w:rsidRDefault="00426EE4">
      <w:pPr>
        <w:spacing w:before="200"/>
      </w:pPr>
      <w:r w:rsidRPr="009A561C">
        <w:t xml:space="preserve">The study by Tardif </w:t>
      </w:r>
      <w:r w:rsidRPr="009A561C">
        <w:rPr>
          <w:i/>
          <w:iCs/>
        </w:rPr>
        <w:t>et al.</w:t>
      </w:r>
      <w:r w:rsidRPr="009A561C">
        <w:t xml:space="preserve"> (2026) has traced the clinical journey of SCD gene therapies from molecular concepts to bedside patient management. The paper highlights that successful curative outcomes highly depend on specialised clinical care and gene editing precision. On the other hand, the health equity consideration should remain central to the implementation in the UK context (Singh </w:t>
      </w:r>
      <w:r w:rsidRPr="009A561C">
        <w:rPr>
          <w:i/>
          <w:iCs/>
        </w:rPr>
        <w:t>et al.</w:t>
      </w:r>
      <w:r w:rsidRPr="009A561C">
        <w:t xml:space="preserve"> 2026). The study has summarised the expanding translational horizon </w:t>
      </w:r>
      <w:r w:rsidRPr="009A561C">
        <w:lastRenderedPageBreak/>
        <w:t>of CRISPR-Cas9 gene editing across non-malignant as well as malignant haematological disorders. The review synthesises evidence showing high therapeutic efficacy within hemoglobinopathies alongside emerging potential in hematologic oncology.</w:t>
      </w:r>
    </w:p>
    <w:p w:rsidR="00C621A4" w:rsidRPr="009A561C" w:rsidRDefault="00426EE4">
      <w:pPr>
        <w:spacing w:before="200"/>
      </w:pPr>
      <w:r w:rsidRPr="009A561C">
        <w:t xml:space="preserve">The patient care paradigm theme stresses that integrating gene editing into routine healthcare needs multidisciplinary teams, long-term toxicity monitoring as well as refined post-treatment supportive care (Tardif </w:t>
      </w:r>
      <w:r w:rsidRPr="009A561C">
        <w:rPr>
          <w:i/>
          <w:iCs/>
        </w:rPr>
        <w:t>et al.</w:t>
      </w:r>
      <w:r w:rsidRPr="009A561C">
        <w:t xml:space="preserve"> 2026). In addition, the broader technological impact theme in terms of confirming that CRISPR technology has transitioned from an experimental research tool into a validated clinical engine capable of revolutionising haematological care across a broad spectrum of genetic and oncologic conditions (Singh </w:t>
      </w:r>
      <w:r w:rsidRPr="009A561C">
        <w:rPr>
          <w:i/>
          <w:iCs/>
        </w:rPr>
        <w:t>et al.</w:t>
      </w:r>
      <w:r w:rsidRPr="009A561C">
        <w:t xml:space="preserve"> 2026). The thematic analysis showcases the equitable implementation of CRISPR-based gene therapy for the sickles and disease in the UK, which depends on the interplay of four major dimensions. The barriers and facilitators showcase the tension between innovation and inequalities, while the socioeconomic, ethnic as well as geographical determinants explain why access to healthcare remains uneven across different types of communities. The health system readiness further showcases the infrastructural as well as workforce challenges that must be addressed in order to scale up the therapist in a safe and effective manner. Finally, the implications for health inequalities represent the risk that CRISPR could widen the disparities if equity is not properly embedded in the delivery. Altogether, these themes represent that scientific progress must be properly matched by systemic reforms, policy commitments, along with the culture and responsive care in order to ensure that CRISPR benefits are properly distributed in a fair manner.</w:t>
      </w:r>
    </w:p>
    <w:p w:rsidR="00C621A4" w:rsidRPr="009A561C" w:rsidRDefault="00426EE4">
      <w:pPr>
        <w:pStyle w:val="Heading2"/>
        <w:rPr>
          <w:color w:val="auto"/>
        </w:rPr>
      </w:pPr>
      <w:bookmarkStart w:id="66" w:name="_Toc240897608"/>
      <w:r w:rsidRPr="009A561C">
        <w:rPr>
          <w:color w:val="auto"/>
        </w:rPr>
        <w:t>4.6 Summary</w:t>
      </w:r>
      <w:bookmarkEnd w:id="66"/>
    </w:p>
    <w:p w:rsidR="00C621A4" w:rsidRPr="009A561C" w:rsidRDefault="00426EE4">
      <w:pPr>
        <w:spacing w:before="200"/>
      </w:pPr>
      <w:r w:rsidRPr="009A561C">
        <w:t>The chapter analyses evidence from 20 articles to examine the public health implications of CRISPR-based gene therapy for SCD in the UK. The six-step thematic analysis generated 4 interconnected themes concerning access facilitators and barriers, ethnic, socioeconomic and geographical determinants, health system readiness, and implications for health inequality. The findings indicate that the potential benefit of CRISPR-based therapy extended beyond clinical effectiveness, with equitable access influenced by geographical, financial, organisational and demographic factors. The evidence confirms that while CRISPR offers transformative clinical cures for Sickle Cell Disease, real-world NHS access remains constrained by high upfront costs, specialized infrastructure bottlenecks, and geographical centralisation. However, significant uncertainty persists regarding long-term therapeutic durability, multi-decade off-target safety risks, and the real-world financial feasibility of proposed outcome-based reimbursement models.</w:t>
      </w:r>
    </w:p>
    <w:p w:rsidR="00C621A4" w:rsidRPr="009A561C" w:rsidRDefault="00C621A4"/>
    <w:p w:rsidR="00C621A4" w:rsidRPr="009A561C" w:rsidRDefault="00C621A4">
      <w:pPr>
        <w:jc w:val="right"/>
        <w:sectPr w:rsidR="00C621A4" w:rsidRPr="009A561C">
          <w:footerReference w:type="default" r:id="rId15"/>
          <w:pgSz w:w="12240" w:h="15840"/>
          <w:pgMar w:top="1440" w:right="1440" w:bottom="1440" w:left="1440" w:header="720" w:footer="720" w:gutter="0"/>
          <w:pgNumType w:start="0"/>
          <w:cols w:space="720"/>
          <w:titlePg/>
        </w:sectPr>
      </w:pPr>
    </w:p>
    <w:p w:rsidR="00C621A4" w:rsidRPr="009A561C" w:rsidRDefault="00426EE4">
      <w:pPr>
        <w:pStyle w:val="Heading1"/>
        <w:rPr>
          <w:color w:val="auto"/>
        </w:rPr>
      </w:pPr>
      <w:bookmarkStart w:id="67" w:name="_Toc240897609"/>
      <w:r w:rsidRPr="009A561C">
        <w:rPr>
          <w:color w:val="auto"/>
        </w:rPr>
        <w:lastRenderedPageBreak/>
        <w:t>Chapter 5: Discussion</w:t>
      </w:r>
      <w:bookmarkEnd w:id="67"/>
    </w:p>
    <w:p w:rsidR="00C621A4" w:rsidRPr="009A561C" w:rsidRDefault="00426EE4">
      <w:pPr>
        <w:pStyle w:val="Heading2"/>
        <w:rPr>
          <w:color w:val="auto"/>
        </w:rPr>
      </w:pPr>
      <w:bookmarkStart w:id="68" w:name="_Toc240897610"/>
      <w:r w:rsidRPr="009A561C">
        <w:rPr>
          <w:color w:val="auto"/>
        </w:rPr>
        <w:t>5.1 Introduction</w:t>
      </w:r>
      <w:bookmarkEnd w:id="68"/>
    </w:p>
    <w:p w:rsidR="00C621A4" w:rsidRPr="009A561C" w:rsidRDefault="00426EE4">
      <w:r w:rsidRPr="009A561C">
        <w:t xml:space="preserve">This discussion chapter is going to critically evaluate the public health, structural, as well as social justice implications of implementing CRISPR-based gene therapy for sickle cell disease within the UK’s NHS. Synthesizing evidence on genomic innovation, health system readiness, and delivery barriers, it analyses the process of achieving equitable access and institutional preparedness. </w:t>
      </w:r>
    </w:p>
    <w:p w:rsidR="00C621A4" w:rsidRPr="009A561C" w:rsidRDefault="00426EE4">
      <w:pPr>
        <w:pStyle w:val="Heading2"/>
        <w:rPr>
          <w:color w:val="auto"/>
        </w:rPr>
      </w:pPr>
      <w:bookmarkStart w:id="69" w:name="_Toc240897611"/>
      <w:r w:rsidRPr="009A561C">
        <w:rPr>
          <w:color w:val="auto"/>
        </w:rPr>
        <w:t>5.2 Discussion</w:t>
      </w:r>
      <w:bookmarkEnd w:id="69"/>
    </w:p>
    <w:p w:rsidR="00C621A4" w:rsidRPr="009A561C" w:rsidRDefault="00426EE4">
      <w:pPr>
        <w:pStyle w:val="Heading3"/>
        <w:rPr>
          <w:color w:val="auto"/>
        </w:rPr>
      </w:pPr>
      <w:bookmarkStart w:id="70" w:name="_Toc240897612"/>
      <w:r w:rsidRPr="009A561C">
        <w:rPr>
          <w:color w:val="auto"/>
        </w:rPr>
        <w:t>5.2.1 Discussion on theme 1</w:t>
      </w:r>
      <w:bookmarkEnd w:id="70"/>
    </w:p>
    <w:p w:rsidR="00C621A4" w:rsidRPr="009A561C" w:rsidRDefault="00426EE4">
      <w:pPr>
        <w:spacing w:before="200"/>
      </w:pPr>
      <w:r w:rsidRPr="009A561C">
        <w:t xml:space="preserve">According to the key findings, the clinical view of CRISPR-Cas9 therapeutics indicates a present historic shift in the management of sickle cell disease. It has been recognised that the highest disease burdens exist in Sub-Saharan Africa and tribal belts in India, where specialised bone-marrow transplant centres and advanced apheresis infrastructure are largely unavailable. Mathews </w:t>
      </w:r>
      <w:r w:rsidRPr="009A561C">
        <w:rPr>
          <w:i/>
          <w:iCs/>
        </w:rPr>
        <w:t>et al.</w:t>
      </w:r>
      <w:r w:rsidRPr="009A561C">
        <w:t xml:space="preserve"> (2023) have found that the formative potential of gene editing approaches for SCD is recognised, while specialist requirements as well as complex treatment pathways can restrict access. However, contradicting existing literature, Abdi </w:t>
      </w:r>
      <w:r w:rsidRPr="009A561C">
        <w:rPr>
          <w:i/>
          <w:iCs/>
        </w:rPr>
        <w:t>et al.</w:t>
      </w:r>
      <w:r w:rsidRPr="009A561C">
        <w:t xml:space="preserve"> (2025) have argued that a universal healthcare model is theoretically democratising access as well as the operational reality of offering an autologous gene therapy highlights deep-seated systemic vulnerabilities. </w:t>
      </w:r>
    </w:p>
    <w:p w:rsidR="00C621A4" w:rsidRPr="009A561C" w:rsidRDefault="00426EE4">
      <w:pPr>
        <w:spacing w:before="200"/>
      </w:pPr>
      <w:r w:rsidRPr="009A561C">
        <w:t>The thematic analysis has highlighted that equitable NHS provision within the UK not only depends on whether therapy is clinically available but also on the extent to which specialist capacity and resources exist for delivering the service consistently. The key findings of Basem</w:t>
      </w:r>
      <w:r w:rsidR="00D43DF3">
        <w:t xml:space="preserve"> </w:t>
      </w:r>
      <w:r w:rsidRPr="009A561C">
        <w:rPr>
          <w:i/>
          <w:iCs/>
        </w:rPr>
        <w:t>et al.</w:t>
      </w:r>
      <w:r w:rsidRPr="009A561C">
        <w:t xml:space="preserve"> (2026) have highlighted that healthcare resource requirements and affordability are important considerations that impact accessibility to the emerging gene therapies. However, contradicting existing literature, Wright </w:t>
      </w:r>
      <w:r w:rsidRPr="009A561C">
        <w:rPr>
          <w:i/>
          <w:iCs/>
        </w:rPr>
        <w:t>et al</w:t>
      </w:r>
      <w:r w:rsidRPr="009A561C">
        <w:t>. (2025) have argued that the systemic neglect of treatment for SCD patients during Gene Therapy is influenced by a profound and multi-generational medical mistrust in minority ethnic communities. The application of the HET has assisted in outlining that one of the major concerns associated with CRISPR-Based Gene Therapy accessibility among the UK population with SCD is the high costs of gene therapies and treatment for SCD.</w:t>
      </w:r>
    </w:p>
    <w:p w:rsidR="00C621A4" w:rsidRPr="009A561C" w:rsidRDefault="00426EE4">
      <w:pPr>
        <w:spacing w:before="200"/>
      </w:pPr>
      <w:r w:rsidRPr="009A561C">
        <w:lastRenderedPageBreak/>
        <w:t xml:space="preserve">According to the secondary qualitative findings, CRISPR acts as an individual, one-off curative procedure rather than a broad population-level intervention, which slows widespread public health burden reduction. As per the key findings of Lee and Sawai (2024), has emphasized the importance of implementation and patient-related factors in determining access to gene editing therapies.   </w:t>
      </w:r>
    </w:p>
    <w:p w:rsidR="00C621A4" w:rsidRPr="009A561C" w:rsidRDefault="00426EE4">
      <w:pPr>
        <w:spacing w:before="200"/>
      </w:pPr>
      <w:r w:rsidRPr="009A561C">
        <w:t xml:space="preserve">It has been recognised from the above discussion that ex vivo supply chain bottlenecks and severe conditioning toxicities restrict bedside access while MHRA approval facilitates early market authorization. Diffusion of Innovation Theory (DIT) explains the friction through which the UK acts as an "innovator" at the regulatory stage, "complexity" and high operational demands impede broad adoption across healthcare (D’Souza </w:t>
      </w:r>
      <w:r w:rsidRPr="009A561C">
        <w:rPr>
          <w:i/>
          <w:iCs/>
        </w:rPr>
        <w:t>et al.</w:t>
      </w:r>
      <w:r w:rsidRPr="009A561C">
        <w:t xml:space="preserve"> 2024). In contrast, Health Equity Theory (HET) reveals structural hurdles regarding a historical institutional mistrust and complex treatment burdens. Resolving these barriers requires expanding decentralized manufacturing and establishing transparency. Thus, the community-guided governance models are commonly applied to transform regulatory authorization into equitable public health delivery.</w:t>
      </w:r>
    </w:p>
    <w:p w:rsidR="00C621A4" w:rsidRPr="009A561C" w:rsidRDefault="00426EE4">
      <w:pPr>
        <w:pStyle w:val="Heading3"/>
        <w:rPr>
          <w:color w:val="auto"/>
        </w:rPr>
      </w:pPr>
      <w:bookmarkStart w:id="71" w:name="_Toc240897613"/>
      <w:r w:rsidRPr="009A561C">
        <w:rPr>
          <w:color w:val="auto"/>
        </w:rPr>
        <w:t>5.2.2 Discussion of Theme 2</w:t>
      </w:r>
      <w:bookmarkEnd w:id="71"/>
    </w:p>
    <w:p w:rsidR="00C621A4" w:rsidRPr="009A561C" w:rsidRDefault="00426EE4">
      <w:pPr>
        <w:spacing w:before="200"/>
      </w:pPr>
      <w:r w:rsidRPr="009A561C">
        <w:t xml:space="preserve">The secondary qualitative analysis highlights that National health authorities are required to establish accelerated yet rigorous frameworks for monitoring permanent genomic modifications. As per the analysis of Levesque and Bauer (2025), the molecular precision of CRISPR for reactivating foetal haemoglobin to resolve the clinical symptoms of SCD as well as transfusion-dependent thalassaemia. However, contrary to existing literature, Kolanu (2024) has argued that CRISPR-based methods have been used to create diagnostic tests for virus detection in terms of allowing fast as well as accurate identification of viral pathogens. Socioeconomic, ethnic and geographical factors play a crucial role in determining which individuals benefit from innovative therapies. Socioeconomic status is one of the strongest factors influencing access to healthcare services, especially for gene therapy. </w:t>
      </w:r>
    </w:p>
    <w:p w:rsidR="00C621A4" w:rsidRPr="009A561C" w:rsidRDefault="00426EE4">
      <w:pPr>
        <w:spacing w:before="200" w:after="160"/>
      </w:pPr>
      <w:r w:rsidRPr="009A561C">
        <w:t xml:space="preserve">Equitable access to genomic healthcare and innovative approaches can reduce barriers of genomic services. CRISPR-based gene therapy depends not only on whether the treatment is clinically available but also on different population groups who benefit from it. More specifically, barriers, such as healthcare access, limited resources, geographical challenges and gaps in genomic knowledge contribute to inequalities. A key barrier to large-scale adoption of genomic medicine is the ongoing reliance on extensive manual assessment by laboratory scientists and medical directors (Jenkins </w:t>
      </w:r>
      <w:r w:rsidRPr="009A561C">
        <w:rPr>
          <w:i/>
          <w:iCs/>
        </w:rPr>
        <w:t>et al.</w:t>
      </w:r>
      <w:r w:rsidRPr="009A561C">
        <w:t xml:space="preserve"> 2025). Specifically, for SCD, equitable access is important </w:t>
      </w:r>
      <w:r w:rsidRPr="009A561C">
        <w:lastRenderedPageBreak/>
        <w:t>because patients may require specialised services, genetic assessment and long-term follow-up.</w:t>
      </w:r>
    </w:p>
    <w:p w:rsidR="00C621A4" w:rsidRPr="009A561C" w:rsidRDefault="00426EE4">
      <w:pPr>
        <w:spacing w:before="240" w:after="240"/>
      </w:pPr>
      <w:r w:rsidRPr="009A561C">
        <w:t>It has been summarised from the above segment that access to CRISPR therapy is heavily skewed by socioeconomic deprivation, geographical centralization in urban ATTCs, as well as entrenched ethnic disparities in NHS resource allocation. Viewed the  Health Equity Theory, can offer a free point-of-care treatment which is insufficient when non-clinical indirect costs impose regressive financial burdens. For UK public health, addressing these disparities demands regional tele- genetics, localized apheresis capacity, as well as state-funded travel and fertility preservation support in terms of preventing worsening existing health inequalities.</w:t>
      </w:r>
    </w:p>
    <w:p w:rsidR="00C621A4" w:rsidRPr="009A561C" w:rsidRDefault="00426EE4">
      <w:pPr>
        <w:pStyle w:val="Heading3"/>
        <w:rPr>
          <w:color w:val="auto"/>
        </w:rPr>
      </w:pPr>
      <w:bookmarkStart w:id="72" w:name="_Toc240897614"/>
      <w:r w:rsidRPr="009A561C">
        <w:rPr>
          <w:color w:val="auto"/>
        </w:rPr>
        <w:t>5.2.3 Discussion of Theme 3</w:t>
      </w:r>
      <w:bookmarkEnd w:id="72"/>
    </w:p>
    <w:p w:rsidR="00C621A4" w:rsidRPr="009A561C" w:rsidRDefault="00426EE4">
      <w:pPr>
        <w:spacing w:before="200" w:after="160"/>
      </w:pPr>
      <w:r w:rsidRPr="009A561C">
        <w:t>Pinhas</w:t>
      </w:r>
      <w:r w:rsidR="00D43DF3">
        <w:t xml:space="preserve"> </w:t>
      </w:r>
      <w:r w:rsidRPr="009A561C">
        <w:rPr>
          <w:i/>
          <w:iCs/>
        </w:rPr>
        <w:t>et al.</w:t>
      </w:r>
      <w:r w:rsidRPr="009A561C">
        <w:t xml:space="preserve"> (2022) represents the clinical potential of CRISPR therapy with the help of single patient case study, which shows that the gene editing reduces the microvascular calculation as effectively as repeated exchange transfusions. This conceptual model is especially relevant for readiness by focusing upon the importance of embedding equity into research as well as development before the therapy is scheduled further. However, only one sample size represents the difficulty of generalising the individual success to the wider populations ranging from the readiness perspective, this showcases the need for scaling up the mechanisms which consist of strong clinical infrastructure as well as trained staff, which ensures that the promising outcome can be replicated in the different patient groups. Almotiri</w:t>
      </w:r>
      <w:r w:rsidR="00D43DF3">
        <w:t xml:space="preserve"> </w:t>
      </w:r>
      <w:r w:rsidRPr="009A561C">
        <w:rPr>
          <w:i/>
          <w:iCs/>
        </w:rPr>
        <w:t>et al.</w:t>
      </w:r>
      <w:r w:rsidRPr="009A561C">
        <w:t xml:space="preserve"> (2025) further provide a detailed review of CRISPR target loci, delivery vectors, along with the trial outcomes. This shows that there are technical requirements for using CRISPR therapy as a treatment. It requires a good laboratory infrastructure with special equipment. Gamage </w:t>
      </w:r>
      <w:r w:rsidRPr="009A561C">
        <w:rPr>
          <w:i/>
          <w:iCs/>
        </w:rPr>
        <w:t>et al.</w:t>
      </w:r>
      <w:r w:rsidRPr="009A561C">
        <w:t xml:space="preserve"> (2023) represents the CRISPR as a potential </w:t>
      </w:r>
      <w:r w:rsidR="003A160E" w:rsidRPr="009A561C">
        <w:t>one-time</w:t>
      </w:r>
      <w:r w:rsidRPr="009A561C">
        <w:t xml:space="preserve"> cure for the transfusion that is dependent on β-thalassemia, pointing to its potential for dramatically reducing dependency on blood transfusions. Addani</w:t>
      </w:r>
      <w:r w:rsidR="00D43DF3">
        <w:t xml:space="preserve"> </w:t>
      </w:r>
      <w:r w:rsidRPr="009A561C">
        <w:rPr>
          <w:i/>
          <w:iCs/>
        </w:rPr>
        <w:t>et al.</w:t>
      </w:r>
      <w:r w:rsidRPr="009A561C">
        <w:t xml:space="preserve"> (2025) further represents a multi-level health equity framework which is structured around the barrier identification, intervention, along with the implementation. Although requiring empirical validation, this framework showcases that readiness is not only clinical or infrastructural, but it is also more policy driven. </w:t>
      </w:r>
    </w:p>
    <w:p w:rsidR="00C621A4" w:rsidRPr="009A561C" w:rsidRDefault="0023223B">
      <w:pPr>
        <w:spacing w:before="200" w:after="160"/>
        <w:rPr>
          <w:b/>
          <w:bCs/>
        </w:rPr>
      </w:pPr>
      <w:r>
        <w:t>Viewed through Health Equity Theory</w:t>
      </w:r>
      <w:r w:rsidR="00426EE4" w:rsidRPr="009A561C">
        <w:t xml:space="preserve">, these infrastructure bottlenecks create localized rationing, which disproportionately affects peripheral and non-specialist NHS trusts. Thus, the NHS must invest in nationwide workforce upskilling, expand tertiary laboratory capacity, as well </w:t>
      </w:r>
      <w:r w:rsidR="00426EE4" w:rsidRPr="009A561C">
        <w:lastRenderedPageBreak/>
        <w:t>as embed certified genetic counsellors to ensure seamless primary-to-tertiary care integration to achieve true public health readiness.</w:t>
      </w:r>
    </w:p>
    <w:p w:rsidR="00C621A4" w:rsidRPr="009A561C" w:rsidRDefault="00426EE4">
      <w:pPr>
        <w:pStyle w:val="Heading3"/>
        <w:rPr>
          <w:color w:val="auto"/>
        </w:rPr>
      </w:pPr>
      <w:bookmarkStart w:id="73" w:name="_Toc240897615"/>
      <w:r w:rsidRPr="009A561C">
        <w:rPr>
          <w:color w:val="auto"/>
        </w:rPr>
        <w:t>5.2.4 Discussion of Theme 4</w:t>
      </w:r>
      <w:bookmarkEnd w:id="73"/>
    </w:p>
    <w:p w:rsidR="00C621A4" w:rsidRPr="009A561C" w:rsidRDefault="00426EE4">
      <w:pPr>
        <w:spacing w:before="200" w:after="160"/>
      </w:pPr>
      <w:r w:rsidRPr="009A561C">
        <w:t xml:space="preserve">Montano-Campos </w:t>
      </w:r>
      <w:r w:rsidRPr="009A561C">
        <w:rPr>
          <w:i/>
          <w:iCs/>
        </w:rPr>
        <w:t>et al.</w:t>
      </w:r>
      <w:r w:rsidRPr="009A561C">
        <w:t xml:space="preserve"> (2026) provides a well-rounded economic evaluation of gene therapy by making use of a decision-analytic Markov microsimulation model. The findings indicate that the high-income pricing structures help in rendering the gene therapy in a cost-effective manner among the low income, high burden areas. Unless the prices are drastically reduced or regional manufacturing is properly established. Tardif </w:t>
      </w:r>
      <w:r w:rsidRPr="009A561C">
        <w:rPr>
          <w:i/>
          <w:iCs/>
        </w:rPr>
        <w:t>et al.</w:t>
      </w:r>
      <w:r w:rsidRPr="009A561C">
        <w:t xml:space="preserve"> (2026) represents the clinical journey of SCD gene therapy from the molecular concept to the patient care which focuses upon the importance of optimising the conditioning, post-transplant care as well as long-term monitoring. Adding on to this, Singh </w:t>
      </w:r>
      <w:r w:rsidRPr="009A561C">
        <w:rPr>
          <w:i/>
          <w:iCs/>
        </w:rPr>
        <w:t>et al.</w:t>
      </w:r>
      <w:r w:rsidRPr="009A561C">
        <w:t xml:space="preserve"> (2026) provides a wider review of translation as well as clinical application of CRISPR-Cas9 across the haematological diseases. These findings showcase high efficacy in the non-malignant blood disorders along with the growing promise in oncology as well. </w:t>
      </w:r>
    </w:p>
    <w:p w:rsidR="00C621A4" w:rsidRPr="009A561C" w:rsidRDefault="00426EE4">
      <w:pPr>
        <w:spacing w:before="200" w:after="160"/>
      </w:pPr>
      <w:r w:rsidRPr="009A561C">
        <w:t>On the other hand, the literature review section has reflected on the regulatory readiness is also a key enabler for safe and responsible implementation. It includes the “Medicines and Healthcare products Regulatory Agency (MHRA)” and the “Human Tissue Authority (HTA)” (Ogunyemi</w:t>
      </w:r>
      <w:r w:rsidRPr="009A561C">
        <w:rPr>
          <w:i/>
          <w:iCs/>
        </w:rPr>
        <w:t>et al.</w:t>
      </w:r>
      <w:r w:rsidRPr="009A561C">
        <w:t xml:space="preserve"> 2025). DIT suggests that adoption could remain stalled unless innovative reimbursement mechanisms emerge. The UK public health practice is required to adopt distributional cost-effectiveness frameworks and outcome-based, risk-sharing payment models. It can ensure single-dose curative therapies remain fiscally viable in the way of explicitly prioritizing health equity for historically underserved populations.</w:t>
      </w:r>
    </w:p>
    <w:p w:rsidR="00C621A4" w:rsidRPr="009A561C" w:rsidRDefault="00426EE4">
      <w:pPr>
        <w:pStyle w:val="Heading2"/>
        <w:rPr>
          <w:color w:val="auto"/>
        </w:rPr>
      </w:pPr>
      <w:bookmarkStart w:id="74" w:name="_Toc240897616"/>
      <w:r w:rsidRPr="009A561C">
        <w:rPr>
          <w:color w:val="auto"/>
        </w:rPr>
        <w:t>5.3 Chapter Summary</w:t>
      </w:r>
      <w:bookmarkEnd w:id="74"/>
    </w:p>
    <w:p w:rsidR="0023223B" w:rsidRPr="0023223B" w:rsidRDefault="0023223B" w:rsidP="0023223B">
      <w:r w:rsidRPr="0023223B">
        <w:t>This chapter has discussed the findings in relation to the research question, which asked what barriers and facilitators influence equitable access to CRISPR-based gene therapy for sickle cell disease in the UK. Taken together, the evidence suggests that clinical effectiveness and regulatory approval are not enough to secure equitable access. Access appears to depend on how well cost, geography, specialist infrastructure, workforce capacity, patient trust and service organisation work together. The NHS specialist network and coordinated care pathways can support safe delivery, but the same centralisation may make access harder for patients who live far from specialist centres or who face financial and social disadvantage.</w:t>
      </w:r>
    </w:p>
    <w:p w:rsidR="0023223B" w:rsidRDefault="0023223B" w:rsidP="0023223B">
      <w:r w:rsidRPr="0023223B">
        <w:lastRenderedPageBreak/>
        <w:t>Health Equity Theory helped to explain why free care at the point of use does not remove inequality. Indirect costs, historical mistrust and unequal experiences of care can still leave some patients at a disadvantage, particularly those from Black African and Black Caribbean communities and from deprived areas. Diffusion of Innovation Theory helped to explain why adoption may be uneven. The UK moved early at the regulatory stage, but the complexity, cost and resource demands of the therapy make wider adoption across the NHS more difficult. Read together, the two theories suggest that CRISPR-based therapy could reduce health inequalities or widen them, depending on how it is funded, organised and delivered.</w:t>
      </w:r>
    </w:p>
    <w:p w:rsidR="0023223B" w:rsidRPr="0023223B" w:rsidRDefault="0023223B" w:rsidP="0023223B"/>
    <w:p w:rsidR="0023223B" w:rsidRPr="0023223B" w:rsidRDefault="0023223B" w:rsidP="0023223B">
      <w:r w:rsidRPr="0023223B">
        <w:t>These interpretations need to be treated with care. Most of the evidence comes from narrative reviews, conceptual analyses and case studies, and a good deal of it is international, so it shows what is likely to matter in the NHS and does not demonstrate what is already happening. There is also little long-term or UK-specific evidence. The final chapter draws these points together into an overall conclusion, sets out recommendations that follow from the evidence, and considers the limitations of the review and directions for future research.</w:t>
      </w:r>
    </w:p>
    <w:p w:rsidR="00C621A4" w:rsidRPr="009A561C" w:rsidRDefault="00426EE4">
      <w:pPr>
        <w:spacing w:before="200"/>
      </w:pPr>
      <w:r w:rsidRPr="009A561C">
        <w:br w:type="page"/>
      </w:r>
    </w:p>
    <w:p w:rsidR="00C621A4" w:rsidRPr="009A561C" w:rsidRDefault="00426EE4">
      <w:pPr>
        <w:pStyle w:val="Heading1"/>
        <w:rPr>
          <w:color w:val="auto"/>
        </w:rPr>
      </w:pPr>
      <w:bookmarkStart w:id="75" w:name="_Toc240897617"/>
      <w:r w:rsidRPr="009A561C">
        <w:rPr>
          <w:color w:val="auto"/>
        </w:rPr>
        <w:lastRenderedPageBreak/>
        <w:t>Chapter 6: Conclusion and Recommendations</w:t>
      </w:r>
      <w:bookmarkEnd w:id="75"/>
      <w:r w:rsidRPr="009A561C">
        <w:rPr>
          <w:color w:val="auto"/>
        </w:rPr>
        <w:t> </w:t>
      </w:r>
    </w:p>
    <w:p w:rsidR="00C621A4" w:rsidRPr="009A561C" w:rsidRDefault="00426EE4">
      <w:pPr>
        <w:pStyle w:val="Heading2"/>
        <w:rPr>
          <w:color w:val="auto"/>
        </w:rPr>
      </w:pPr>
      <w:bookmarkStart w:id="76" w:name="_Toc240897618"/>
      <w:r w:rsidRPr="009A561C">
        <w:rPr>
          <w:color w:val="auto"/>
        </w:rPr>
        <w:t>6.1 Conclusion</w:t>
      </w:r>
      <w:bookmarkEnd w:id="76"/>
      <w:r w:rsidRPr="009A561C">
        <w:rPr>
          <w:color w:val="auto"/>
        </w:rPr>
        <w:t> </w:t>
      </w:r>
    </w:p>
    <w:p w:rsidR="00C621A4" w:rsidRPr="009A561C" w:rsidRDefault="00426EE4">
      <w:pPr>
        <w:spacing w:before="200" w:after="160"/>
      </w:pPr>
      <w:r w:rsidRPr="009A561C">
        <w:t>The research examined the public health implications of CRISPR-based gene therapy for SCD in the UK. Findings highlight that CRISPR-based gene therapy is effective in providing curative treatment for people with SCD, although access is affected by several barriers, including high treatment costs, infrastructure limitations and others.</w:t>
      </w:r>
      <w:r w:rsidR="00D43DF3">
        <w:t xml:space="preserve"> </w:t>
      </w:r>
      <w:r w:rsidRPr="009A561C">
        <w:t>This study concludes that CRISPR-based gene therapy represents a significant development in the treatment of SCD, with the potential to address the underlying genetic causes rather than only managing symptoms. In the UK, equitable access is influenced by several interconnected factors, such as the high cost of gene therapy creates affordability challenges for the NHS.</w:t>
      </w:r>
    </w:p>
    <w:p w:rsidR="00C621A4" w:rsidRPr="009A561C" w:rsidRDefault="00426EE4">
      <w:pPr>
        <w:spacing w:before="200"/>
      </w:pPr>
      <w:r w:rsidRPr="009A561C">
        <w:t>Overall, the review concludes that equitable access to CRISPR-based gene therapy for SCD in the UK is influenced by both patient-level and health system barriers. Access is also hindered by regulatory, infrastructural, financial and informational barriers and by complex treatment pathways, but is promoted by existing NHS specialist networks and coordinated pathways to treatment. CRISPR-based gene therapy requires specialist centres, highly trained healthcare professionals and advanced laboratory facilities, which creates implementation challenges.</w:t>
      </w:r>
    </w:p>
    <w:p w:rsidR="00C621A4" w:rsidRDefault="00426EE4">
      <w:pPr>
        <w:pStyle w:val="Heading2"/>
        <w:rPr>
          <w:color w:val="auto"/>
        </w:rPr>
      </w:pPr>
      <w:bookmarkStart w:id="77" w:name="_Toc240897619"/>
      <w:r w:rsidRPr="009A561C">
        <w:rPr>
          <w:color w:val="auto"/>
        </w:rPr>
        <w:t>6.2 Linking with objectives</w:t>
      </w:r>
      <w:bookmarkEnd w:id="77"/>
      <w:r w:rsidRPr="009A561C">
        <w:rPr>
          <w:color w:val="auto"/>
        </w:rPr>
        <w:t> </w:t>
      </w:r>
    </w:p>
    <w:p w:rsidR="00E8591D" w:rsidRPr="00E8591D" w:rsidRDefault="00E8591D" w:rsidP="00E8591D">
      <w:r w:rsidRPr="00E8591D">
        <w:t>Objective 1: To analyse the key barriers and facilitators affecting access to CRISPR-based gene therapy for individuals with sickle cell disease in the UK.</w:t>
      </w:r>
    </w:p>
    <w:p w:rsidR="00E8591D" w:rsidRDefault="00E8591D" w:rsidP="00E8591D">
      <w:r w:rsidRPr="00E8591D">
        <w:t>The review found that access is shaped by more than clinical effectiveness. High costs, regulatory delays and safety trade-offs (Mathews et al., 2023), together with the resources needed to deliver advanced therapies (Basem et al., 2026), were the main barriers. Limited awareness and uncertainty about new treatments may also discourage eligible patients from considering them (Lee and Sawai, 2024). The main facilitators were established NHS specialist networks and coordinated clinical pathways, which support patient identification, monitoring and safe delivery (Ayrton et al., 2025). Much of this evidence comes from international reviews and conceptual studies, so it shows what is likely to matter in the NHS, not what has been directly observed.</w:t>
      </w:r>
    </w:p>
    <w:p w:rsidR="00E8591D" w:rsidRPr="00E8591D" w:rsidRDefault="00E8591D" w:rsidP="00E8591D"/>
    <w:p w:rsidR="00E8591D" w:rsidRPr="00E8591D" w:rsidRDefault="00E8591D" w:rsidP="00E8591D">
      <w:r w:rsidRPr="00E8591D">
        <w:t>Objective 2: To evaluate the influence of socioeconomic, ethnic, and geographical factors on equitable access to gene therapy services.</w:t>
      </w:r>
    </w:p>
    <w:p w:rsidR="00E8591D" w:rsidRDefault="00E8591D" w:rsidP="00E8591D">
      <w:r w:rsidRPr="00E8591D">
        <w:lastRenderedPageBreak/>
        <w:t>The evidence suggests that approval and free care at the point of use do not guarantee equal access. Specialist treatments tend to cluster in major urban centres, which can create geographical and financial barriers for marginalised patients (Jenkins et al., 2025). Poorer patients may also find it harder to access or tolerate demanding treatment regimens (Azeez et al., 2026). In the UK, sickle cell disease has been linked to deep inequalities in care and to racism within services (Muzambi et al., 2025), and Hibbs et al. (2025) question whether novel therapies can address these inequalities without wider change.</w:t>
      </w:r>
    </w:p>
    <w:p w:rsidR="00E8591D" w:rsidRPr="00E8591D" w:rsidRDefault="00E8591D" w:rsidP="00E8591D"/>
    <w:p w:rsidR="00E8591D" w:rsidRPr="00E8591D" w:rsidRDefault="00E8591D" w:rsidP="00E8591D">
      <w:r w:rsidRPr="00E8591D">
        <w:t>Objective 3: To understand the health system readiness for the implementation of CRISPR-based therapies, including service capacity and infrastructure.</w:t>
      </w:r>
    </w:p>
    <w:p w:rsidR="00E8591D" w:rsidRDefault="00E8591D" w:rsidP="00E8591D">
      <w:r w:rsidRPr="00E8591D">
        <w:t>The studies agree that safe delivery depends on specialist facilities, trained staff and the ability to manage conditioning regimens (Almotiri et al., 2025). It also depends on multidisciplinary teams and long-term monitoring (Tardif et al., 2026; Gamage et al., 2023). Addani et al. (2025) add that readiness is also a matter of policy, not only clinical capacity. The review found little UK-specific evidence on how far the NHS is currently prepared.</w:t>
      </w:r>
    </w:p>
    <w:p w:rsidR="00E8591D" w:rsidRPr="00E8591D" w:rsidRDefault="00E8591D" w:rsidP="00E8591D"/>
    <w:p w:rsidR="00E8591D" w:rsidRPr="00E8591D" w:rsidRDefault="00E8591D" w:rsidP="00E8591D">
      <w:r w:rsidRPr="00E8591D">
        <w:t>Objective 4: To discuss the potential implications of gene therapy implementation for health inequalities among populations affected by sickle cell disease.</w:t>
      </w:r>
    </w:p>
    <w:p w:rsidR="00E8591D" w:rsidRPr="00E8591D" w:rsidRDefault="00E8591D" w:rsidP="00E8591D">
      <w:r w:rsidRPr="00E8591D">
        <w:t>The findings suggest that CRISPR-based therapy could reduce health inequalities or widen them, depending on how affordability, geographical access, specialist capacity and service organisation are handled. Affordability is a central concern, since high-income pricing may not be cost-effective without major price reductions (Montano-Campos et al., 2026), and the costs and complexity of gene therapy limit wider access (Obeagu et al., 2024). Tardif et al. (2026) and Singh et al. (2026) also stress long-term monitoring and equitable implementation as continuing challenges. Equitable access therefore cannot be assumed and needs to be planned for from the start.</w:t>
      </w:r>
    </w:p>
    <w:p w:rsidR="00E8591D" w:rsidRPr="00E8591D" w:rsidRDefault="00E8591D" w:rsidP="00E8591D"/>
    <w:p w:rsidR="00C621A4" w:rsidRPr="009A561C" w:rsidRDefault="00426EE4">
      <w:pPr>
        <w:pStyle w:val="Heading2"/>
        <w:rPr>
          <w:color w:val="auto"/>
        </w:rPr>
      </w:pPr>
      <w:bookmarkStart w:id="78" w:name="_Toc240897620"/>
      <w:r w:rsidRPr="009A561C">
        <w:rPr>
          <w:color w:val="auto"/>
        </w:rPr>
        <w:t>6.3 Recommendations</w:t>
      </w:r>
      <w:bookmarkEnd w:id="78"/>
    </w:p>
    <w:p w:rsidR="00C621A4" w:rsidRPr="009A561C" w:rsidRDefault="00426EE4">
      <w:pPr>
        <w:spacing w:before="200"/>
      </w:pPr>
      <w:r w:rsidRPr="009A561C">
        <w:rPr>
          <w:b/>
          <w:bCs/>
          <w:i/>
          <w:iCs/>
        </w:rPr>
        <w:t>Recommendation 1: Develop an equity-focused national access pathway </w:t>
      </w:r>
    </w:p>
    <w:p w:rsidR="00C621A4" w:rsidRPr="009A561C" w:rsidRDefault="00426EE4">
      <w:pPr>
        <w:spacing w:before="200"/>
      </w:pPr>
      <w:r w:rsidRPr="009A561C">
        <w:t xml:space="preserve">An integrated national access program for gene therapy based on CRISPR should be developed by the NHS, clearly taking into account socio-economic, ethnic and geographical aspects. Understanding the differential effects of health and care interventions across </w:t>
      </w:r>
      <w:r w:rsidRPr="009A561C">
        <w:lastRenderedPageBreak/>
        <w:t xml:space="preserve">disadvantaged groups is essential in addressing inequalities and avoiding inadvertently worsening them (McCann </w:t>
      </w:r>
      <w:r w:rsidRPr="009A561C">
        <w:rPr>
          <w:i/>
          <w:iCs/>
        </w:rPr>
        <w:t>et al.</w:t>
      </w:r>
      <w:r w:rsidRPr="009A561C">
        <w:t xml:space="preserve"> 2025). The results prove that the factors that influence access today are the increase of specialist services, geographical distance, financial constraints and inequalities in health care experiences. Understanding barriers that providers and patients face in delivering and obtaining rural health care, respectively, is important to improving the quality of care (Maganty</w:t>
      </w:r>
      <w:r w:rsidR="00D43DF3">
        <w:t xml:space="preserve"> </w:t>
      </w:r>
      <w:r w:rsidRPr="009A561C">
        <w:rPr>
          <w:i/>
          <w:iCs/>
        </w:rPr>
        <w:t>et al.</w:t>
      </w:r>
      <w:r w:rsidRPr="009A561C">
        <w:t xml:space="preserve"> 2023). Geographical distance, regional variation, financial limitations, and inequities in healthcare access were identified as significant factors for access to specialist SCD care. Thus, a standardised national gene therapy pathway using CRISPR technology, which has equal criteria for eligibility, referral and funding, should be established within the NHS. This needs to be linked to regional pathways to mitigate inequalities due to geographical and socioeconomic factors.  </w:t>
      </w:r>
    </w:p>
    <w:p w:rsidR="00C621A4" w:rsidRPr="009A561C" w:rsidRDefault="00426EE4">
      <w:pPr>
        <w:spacing w:before="200"/>
      </w:pPr>
      <w:r w:rsidRPr="009A561C">
        <w:rPr>
          <w:b/>
          <w:bCs/>
          <w:i/>
          <w:iCs/>
        </w:rPr>
        <w:t>Recommendation 2: Strengthen specialist infrastructure and workforce capacity</w:t>
      </w:r>
    </w:p>
    <w:p w:rsidR="00C621A4" w:rsidRPr="009A561C" w:rsidRDefault="00426EE4">
      <w:pPr>
        <w:spacing w:before="200"/>
      </w:pPr>
      <w:r w:rsidRPr="009A561C">
        <w:t>There should be more investment in the infrastructure and multidisciplinary team needed to provide safe, predictable application of CRIS</w:t>
      </w:r>
      <w:r w:rsidR="00B50FD6">
        <w:t xml:space="preserve">PR-based therapies for the NHS. </w:t>
      </w:r>
      <w:r w:rsidRPr="009A561C">
        <w:t xml:space="preserve">In the UK, increasing investment in specialist sickle cell centres, trained healthcare professionals and treatment facilities is essential to deliver CRISPR-based gene therapy. Expanding workforce capacity and improving coordination between specialist centres and local NHS services can support safe treatment. For instance, some specialties, already renowned for being competitive, such as neurosurgery, have seen increases in competition ratios from 6.50 in 2016 to 12.75 in 2023 (Ferreira, 2024). Review assessed </w:t>
      </w:r>
      <w:r w:rsidR="00C57C63" w:rsidRPr="009A561C">
        <w:t xml:space="preserve">through extended literature </w:t>
      </w:r>
      <w:r w:rsidRPr="009A561C">
        <w:t>showed that the availability of specialist services and health-care capacity might have an impact on timely treatment. This means that the NHS needs to build on specialist sickle cell centres, treatment facilities and multidisciplinary professionals needed for the development of CRISPR-based therapy. Better liaison between specialist centres and local NHS services will enable safe delivery and reduce unnecessary delays to treatment. </w:t>
      </w:r>
    </w:p>
    <w:p w:rsidR="00C621A4" w:rsidRPr="009A561C" w:rsidRDefault="00426EE4">
      <w:pPr>
        <w:spacing w:before="200"/>
      </w:pPr>
      <w:r w:rsidRPr="009A561C">
        <w:rPr>
          <w:b/>
          <w:bCs/>
          <w:i/>
          <w:iCs/>
        </w:rPr>
        <w:t>Recommendation 3: Introduce culturally responsive patient education and shared decision-making </w:t>
      </w:r>
    </w:p>
    <w:p w:rsidR="00C621A4" w:rsidRPr="009A561C" w:rsidRDefault="00426EE4">
      <w:pPr>
        <w:spacing w:before="200"/>
      </w:pPr>
      <w:r w:rsidRPr="009A561C">
        <w:t>There is a need for the NHS to provide accessible, inclusive and culturally appropriate education programs for individuals and their families who have SCD. There are estimated 240,000 genetic carriers and about 12,500 to 15,000 people living with SCD in the UK that needs to be solved (Oti</w:t>
      </w:r>
      <w:r w:rsidR="00D43DF3">
        <w:t xml:space="preserve"> </w:t>
      </w:r>
      <w:r w:rsidRPr="009A561C">
        <w:rPr>
          <w:i/>
          <w:iCs/>
        </w:rPr>
        <w:t>et al.</w:t>
      </w:r>
      <w:r w:rsidRPr="009A561C">
        <w:t xml:space="preserve"> 2023). The review emphasises the significance of experiences in the healthcare environment, as well as communication and patient involvement in accessing </w:t>
      </w:r>
      <w:r w:rsidRPr="009A561C">
        <w:lastRenderedPageBreak/>
        <w:t>and accepting SCD treatment. The NHS should make easy-to-understand and accessible information available about the benefits, risks and uncertainties of CRISPR-based therapy that is culturally appropriate. NHS services are required to provide clear, accessible and appropriate information about CRISPR-based therapy, including benefits, risks and uncertainties. As per Resnicow</w:t>
      </w:r>
      <w:r w:rsidR="00D43DF3">
        <w:t xml:space="preserve"> </w:t>
      </w:r>
      <w:r w:rsidRPr="009A561C">
        <w:rPr>
          <w:i/>
          <w:iCs/>
        </w:rPr>
        <w:t xml:space="preserve">et al. </w:t>
      </w:r>
      <w:r w:rsidRPr="009A561C">
        <w:t>(2022), SDM has become an almost universally accepted component of the health care delivery system. Overall, patients and families should be engaged in these conversations about treatment through a shared decision-making process, to foster trust and informed engagement.</w:t>
      </w:r>
    </w:p>
    <w:p w:rsidR="00C621A4" w:rsidRDefault="00426EE4">
      <w:pPr>
        <w:pStyle w:val="Heading2"/>
        <w:rPr>
          <w:color w:val="auto"/>
        </w:rPr>
      </w:pPr>
      <w:bookmarkStart w:id="79" w:name="_Toc240897621"/>
      <w:r w:rsidRPr="009A561C">
        <w:rPr>
          <w:color w:val="auto"/>
        </w:rPr>
        <w:t>6.4 Research limitation</w:t>
      </w:r>
      <w:bookmarkEnd w:id="79"/>
      <w:r w:rsidRPr="009A561C">
        <w:rPr>
          <w:color w:val="auto"/>
        </w:rPr>
        <w:t> </w:t>
      </w:r>
    </w:p>
    <w:p w:rsidR="00903F70" w:rsidRDefault="00903F70" w:rsidP="00903F70">
      <w:r w:rsidRPr="00903F70">
        <w:t>The limitations of this study fall into two groups: those that come from the available evidence, and those that come from the way the review was carried out.</w:t>
      </w:r>
    </w:p>
    <w:p w:rsidR="00903F70" w:rsidRPr="00903F70" w:rsidRDefault="00903F70" w:rsidP="00903F70"/>
    <w:p w:rsidR="00903F70" w:rsidRDefault="00903F70" w:rsidP="00903F70">
      <w:r w:rsidRPr="00903F70">
        <w:t>Limitations of the evidence. CRISPR-based gene therapy for sickle cell disease is still very new, so there is little long-term evidence on outcomes, costs or patient experience, and very little that focuses on the UK. Most of the included studies are narrative reviews, conceptual papers or case studies, and one is a single-patient study. This means they can point to what is likely to matter, but they cannot tell us for certain how the NHS is performing. Several studies also come from outside the UK, including the United States and Uganda, and their findings may not apply neatly to NHS settings. None of the studies gathered the views of patients or NHS staff directly either, so what we know about patient experience and trust is mostly second-hand.</w:t>
      </w:r>
    </w:p>
    <w:p w:rsidR="00903F70" w:rsidRPr="00903F70" w:rsidRDefault="00903F70" w:rsidP="00903F70"/>
    <w:p w:rsidR="00903F70" w:rsidRPr="00903F70" w:rsidRDefault="00903F70" w:rsidP="00903F70">
      <w:r w:rsidRPr="00903F70">
        <w:t>Limitations of the review. This review relied only on published secondary data, so recent or unpublished evidence may have been missed, and published studies tend to over-represent positive findings. Findings drawn from secondary data are also not always robust or easy to replicate when different analytical choices are made (Baldwin et al., 2022). The thematic analysis involved interpretation, so another researcher might have grouped the evidence in a different way. The CASP checklist was designed mainly for qualitative studies, yet it was used here for reviews, editorials and modelling studies, so the quality ratings should be read with some caution. The review was also limited by time and resources. Finally, because it focuses on the UK, its findings should not be applied to other health systems without care.</w:t>
      </w:r>
    </w:p>
    <w:p w:rsidR="00903F70" w:rsidRPr="00903F70" w:rsidRDefault="00903F70" w:rsidP="00903F70"/>
    <w:p w:rsidR="00C621A4" w:rsidRPr="009A561C" w:rsidRDefault="00426EE4">
      <w:pPr>
        <w:pStyle w:val="Heading2"/>
        <w:rPr>
          <w:color w:val="auto"/>
        </w:rPr>
      </w:pPr>
      <w:bookmarkStart w:id="80" w:name="_Toc240897622"/>
      <w:r w:rsidRPr="009A561C">
        <w:rPr>
          <w:color w:val="auto"/>
        </w:rPr>
        <w:lastRenderedPageBreak/>
        <w:t>6.5 Theoretical and practical implications</w:t>
      </w:r>
      <w:bookmarkEnd w:id="80"/>
      <w:r w:rsidRPr="009A561C">
        <w:rPr>
          <w:color w:val="auto"/>
        </w:rPr>
        <w:t> </w:t>
      </w:r>
    </w:p>
    <w:p w:rsidR="00C621A4" w:rsidRPr="009A561C" w:rsidRDefault="00426EE4">
      <w:pPr>
        <w:spacing w:before="200" w:after="160"/>
      </w:pPr>
      <w:r w:rsidRPr="009A561C">
        <w:t xml:space="preserve">This research contributes to understanding CRISPR-based gene therapy by showing its success depends not only on clinical effectiveness. Healthcare services access, equity and economic factors are important for successful implementation of gene therapy. Higher upfront costs of gene therapy may create barriers to patient access and therefore contribute to health inequalities (Toro </w:t>
      </w:r>
      <w:r w:rsidRPr="009A561C">
        <w:rPr>
          <w:i/>
          <w:iCs/>
        </w:rPr>
        <w:t xml:space="preserve">et al. </w:t>
      </w:r>
      <w:r w:rsidRPr="009A561C">
        <w:t xml:space="preserve">2025). The findings support that health inequalities can be influenced by social and structural factors, which also indicates equity needs to be considered across the development and implementation of advanced therapies. In the context of practical implications, the findings are important for healthcare providers and policymakers in the UK. As mentioned by Modell </w:t>
      </w:r>
      <w:r w:rsidRPr="009A561C">
        <w:rPr>
          <w:i/>
          <w:iCs/>
        </w:rPr>
        <w:t xml:space="preserve">et al. </w:t>
      </w:r>
      <w:r w:rsidRPr="009A561C">
        <w:t>(2025), gene therapy can also address public health conditions and is increasingly being considered for inclusion within public health support. The findings also reflect that equity in healthcare access needs to be considered from the early stages of gene therapy development through health system implementation. Workforce development and improved clinical infrastructure are important for safe implementation. High costs can result in unequal access, especially for people from deprived areas. Specifically, the findings can support healthcare providers to ensure affordable treatment, fair resource allocation and investment in workforce training. </w:t>
      </w:r>
    </w:p>
    <w:p w:rsidR="00C621A4" w:rsidRPr="002D37E6" w:rsidRDefault="00426EE4">
      <w:pPr>
        <w:pStyle w:val="Heading2"/>
      </w:pPr>
      <w:bookmarkStart w:id="81" w:name="_Toc240897623"/>
      <w:r w:rsidRPr="002D37E6">
        <w:t>6.6 Future Scope for the research</w:t>
      </w:r>
      <w:bookmarkEnd w:id="81"/>
      <w:r w:rsidRPr="002D37E6">
        <w:t> </w:t>
      </w:r>
    </w:p>
    <w:p w:rsidR="00C621A4" w:rsidRPr="002D37E6" w:rsidRDefault="00426EE4">
      <w:pPr>
        <w:spacing w:before="200" w:after="160"/>
      </w:pPr>
      <w:r w:rsidRPr="002D37E6">
        <w:t xml:space="preserve">Future research can explore patient awareness, treatment preferences and concerns about CRISPR-based gene therapy. Long-term follow-up is necessary for gene therapies used in routine clinical practice, typically through the collection and analysis of real-world data (de Haart </w:t>
      </w:r>
      <w:r w:rsidRPr="002D37E6">
        <w:rPr>
          <w:i/>
          <w:iCs/>
        </w:rPr>
        <w:t xml:space="preserve">et al. </w:t>
      </w:r>
      <w:r w:rsidRPr="002D37E6">
        <w:t xml:space="preserve">2025). Examining long-term patient outcomes and the wider public health impact of CRISPR-based gene therapy in the UK needs to be considered in future research. More studies are required to explore the experience of patients from different geographic, ethnic and socioeconomic groups to identify access inequalities in the UK. </w:t>
      </w:r>
    </w:p>
    <w:p w:rsidR="00C621A4" w:rsidRPr="002D37E6" w:rsidRDefault="00C621A4">
      <w:pPr>
        <w:spacing w:before="200" w:after="160"/>
      </w:pPr>
    </w:p>
    <w:p w:rsidR="00C621A4" w:rsidRPr="002D37E6" w:rsidRDefault="00426EE4">
      <w:pPr>
        <w:pBdr>
          <w:top w:val="nil"/>
          <w:left w:val="nil"/>
          <w:bottom w:val="nil"/>
          <w:right w:val="nil"/>
          <w:between w:val="nil"/>
        </w:pBdr>
        <w:spacing w:before="200"/>
        <w:rPr>
          <w:color w:val="000000"/>
        </w:rPr>
      </w:pPr>
      <w:r w:rsidRPr="002D37E6">
        <w:br w:type="page"/>
      </w:r>
    </w:p>
    <w:p w:rsidR="00C621A4" w:rsidRPr="002D37E6" w:rsidRDefault="00426EE4">
      <w:pPr>
        <w:pStyle w:val="Heading1"/>
      </w:pPr>
      <w:bookmarkStart w:id="82" w:name="_Toc240897624"/>
      <w:r w:rsidRPr="002D37E6">
        <w:lastRenderedPageBreak/>
        <w:t>References</w:t>
      </w:r>
      <w:bookmarkEnd w:id="82"/>
    </w:p>
    <w:p w:rsidR="003A160E" w:rsidRPr="002D37E6" w:rsidRDefault="003A160E">
      <w:pPr>
        <w:pBdr>
          <w:top w:val="nil"/>
          <w:left w:val="nil"/>
          <w:bottom w:val="nil"/>
          <w:right w:val="nil"/>
          <w:between w:val="nil"/>
        </w:pBdr>
        <w:spacing w:before="200" w:after="240"/>
        <w:rPr>
          <w:color w:val="000000"/>
        </w:rPr>
      </w:pPr>
      <w:r w:rsidRPr="002D37E6">
        <w:rPr>
          <w:color w:val="000000"/>
        </w:rPr>
        <w:t xml:space="preserve">Abdallah, K., Huys, I., Claes, K. and Simoens, S., (2024). Budget Impact of Disease-Modifying Treatments and a CRISPR Gene-Edited Therapy for Sickle Cell Disease. </w:t>
      </w:r>
      <w:r w:rsidRPr="002D37E6">
        <w:rPr>
          <w:i/>
          <w:iCs/>
          <w:color w:val="000000"/>
        </w:rPr>
        <w:t>Clinical Drug Investigation, 44</w:t>
      </w:r>
      <w:r w:rsidRPr="002D37E6">
        <w:rPr>
          <w:color w:val="000000"/>
        </w:rPr>
        <w:t xml:space="preserve">(8), pp.611-627. </w:t>
      </w:r>
      <w:hyperlink r:id="rId16">
        <w:r w:rsidRPr="002D37E6">
          <w:rPr>
            <w:color w:val="1155CC"/>
            <w:u w:val="single"/>
          </w:rPr>
          <w:t>https://doi.org/10.1007/s40261-024-01384-w</w:t>
        </w:r>
      </w:hyperlink>
      <w:r w:rsidRPr="002D37E6">
        <w:rPr>
          <w:color w:val="000000"/>
        </w:rPr>
        <w:t> </w:t>
      </w:r>
    </w:p>
    <w:p w:rsidR="003A160E" w:rsidRPr="002D37E6" w:rsidRDefault="003A160E">
      <w:pPr>
        <w:pBdr>
          <w:top w:val="nil"/>
          <w:left w:val="nil"/>
          <w:bottom w:val="nil"/>
          <w:right w:val="nil"/>
          <w:between w:val="nil"/>
        </w:pBdr>
        <w:spacing w:before="200" w:after="240"/>
        <w:rPr>
          <w:color w:val="000000"/>
        </w:rPr>
      </w:pPr>
      <w:r w:rsidRPr="002D37E6">
        <w:rPr>
          <w:color w:val="222222"/>
        </w:rPr>
        <w:t xml:space="preserve">Abdi, Y.H., Abdi, M.S., Bashir, S.G., Ahmed, N.I. and Abdullahi, Y.B., (2025). Understanding Global Health Inequality and Inequity: Causes, Consequences, and the Path Toward Justice in Healthcare. </w:t>
      </w:r>
      <w:r w:rsidRPr="002D37E6">
        <w:rPr>
          <w:i/>
          <w:iCs/>
          <w:color w:val="222222"/>
        </w:rPr>
        <w:t>Public Health Challenges</w:t>
      </w:r>
      <w:r w:rsidRPr="002D37E6">
        <w:rPr>
          <w:color w:val="222222"/>
        </w:rPr>
        <w:t xml:space="preserve">, </w:t>
      </w:r>
      <w:r w:rsidRPr="002D37E6">
        <w:rPr>
          <w:i/>
          <w:iCs/>
          <w:color w:val="222222"/>
        </w:rPr>
        <w:t>4</w:t>
      </w:r>
      <w:r w:rsidRPr="002D37E6">
        <w:rPr>
          <w:color w:val="222222"/>
        </w:rPr>
        <w:t>(4), p.e70156.</w:t>
      </w:r>
      <w:hyperlink r:id="rId17">
        <w:r w:rsidRPr="002D37E6">
          <w:rPr>
            <w:color w:val="1155CC"/>
            <w:u w:val="single"/>
          </w:rPr>
          <w:t>https://onlinelibrary.wiley.com/doi/pdf/10.1002/puh2.70156</w:t>
        </w:r>
      </w:hyperlink>
    </w:p>
    <w:p w:rsidR="003A160E" w:rsidRPr="002D37E6" w:rsidRDefault="003A160E">
      <w:pPr>
        <w:spacing w:before="200" w:after="240"/>
      </w:pPr>
      <w:r w:rsidRPr="002D37E6">
        <w:t xml:space="preserve">Addani, M., Beaman, L., Byrd, G.S., Atala, A. and Master, Z., (2025). Toward equitable regenerative medicine: a health equity research framework for emerging regenerative treatments. Regenerative Medicine, 20(6), pp.243-256. </w:t>
      </w:r>
      <w:hyperlink r:id="rId18">
        <w:r w:rsidRPr="002D37E6">
          <w:rPr>
            <w:color w:val="0563C1"/>
            <w:u w:val="single"/>
          </w:rPr>
          <w:t>https://doi.org/10.1080/17460751.2025.2521963</w:t>
        </w:r>
      </w:hyperlink>
    </w:p>
    <w:p w:rsidR="003A160E" w:rsidRPr="002D37E6" w:rsidRDefault="003A160E">
      <w:pPr>
        <w:spacing w:before="200" w:after="240"/>
        <w:rPr>
          <w:color w:val="1155CC"/>
          <w:u w:val="single"/>
        </w:rPr>
      </w:pPr>
      <w:r w:rsidRPr="002D37E6">
        <w:t xml:space="preserve">Ahmed, R., Alghamdi, W.N., Alharbi, F.R., Alatawi, H.D., Alenezi, K.M., Alanazi, T.F. and Elsherbiny, N.M. (2025). CRISPR/Cas9 System as a Promising Therapy in Thalassemia and Sickle Cell Disease: A Systematic Review of Clinical Trials. </w:t>
      </w:r>
      <w:r w:rsidRPr="002D37E6">
        <w:rPr>
          <w:i/>
          <w:iCs/>
        </w:rPr>
        <w:t>Molecular Biotechnology</w:t>
      </w:r>
      <w:r w:rsidRPr="002D37E6">
        <w:t>.</w:t>
      </w:r>
      <w:hyperlink r:id="rId19">
        <w:r w:rsidRPr="002D37E6">
          <w:rPr>
            <w:color w:val="1155CC"/>
            <w:u w:val="single"/>
          </w:rPr>
          <w:t>https://doi.org/10.1007/s12033-025-01368-x</w:t>
        </w:r>
      </w:hyperlink>
    </w:p>
    <w:p w:rsidR="003A160E" w:rsidRPr="002D37E6" w:rsidRDefault="003A160E">
      <w:pPr>
        <w:spacing w:before="200" w:after="240"/>
      </w:pPr>
      <w:bookmarkStart w:id="83" w:name="_heading=h.xh5dp2m0y18r" w:colFirst="0" w:colLast="0"/>
      <w:bookmarkEnd w:id="83"/>
      <w:r w:rsidRPr="002D37E6">
        <w:t>Ahmed, S.K., Mohammed, R.A., Nashwan, A.J., Ibrahim, R.H., Abdalla, A.Q., Ameen, B.M.M. and Khdhir, R.M., (2025). Using thematic analysis in qualitative research. Global Medicine, 100198.</w:t>
      </w:r>
      <w:hyperlink r:id="rId20">
        <w:r w:rsidRPr="002D37E6">
          <w:rPr>
            <w:color w:val="0563C1"/>
            <w:u w:val="single"/>
          </w:rPr>
          <w:t xml:space="preserve"> https://doi.org/10.1016/j.glmedi.2025.100198</w:t>
        </w:r>
      </w:hyperlink>
      <w:r w:rsidRPr="002D37E6">
        <w:t> </w:t>
      </w:r>
    </w:p>
    <w:p w:rsidR="003A160E" w:rsidRPr="002D37E6" w:rsidRDefault="003A160E">
      <w:pPr>
        <w:spacing w:before="200" w:after="240"/>
      </w:pPr>
      <w:r w:rsidRPr="002D37E6">
        <w:rPr>
          <w:color w:val="222222"/>
        </w:rPr>
        <w:t xml:space="preserve">Ali, E.P.S.E., Ndubuisi, O.G., Obiorah, C.A.R., Aku, U.T., Nesiama, O., Agbakhamen, C.O. and Okoro, O.P., (2025). Ethical standards in research: A professional imperative. </w:t>
      </w:r>
      <w:r w:rsidRPr="002D37E6">
        <w:rPr>
          <w:i/>
          <w:iCs/>
          <w:color w:val="222222"/>
        </w:rPr>
        <w:t>International Journal of Innovative Scientific &amp; Engineering Technologies Research</w:t>
      </w:r>
      <w:r w:rsidRPr="002D37E6">
        <w:rPr>
          <w:color w:val="222222"/>
        </w:rPr>
        <w:t xml:space="preserve">, </w:t>
      </w:r>
      <w:r w:rsidRPr="002D37E6">
        <w:rPr>
          <w:i/>
          <w:iCs/>
          <w:color w:val="222222"/>
        </w:rPr>
        <w:t>13</w:t>
      </w:r>
      <w:r w:rsidRPr="002D37E6">
        <w:rPr>
          <w:color w:val="222222"/>
        </w:rPr>
        <w:t>(1), pp.94-104.</w:t>
      </w:r>
      <w:hyperlink r:id="rId21">
        <w:r w:rsidRPr="002D37E6">
          <w:rPr>
            <w:color w:val="1155CC"/>
            <w:u w:val="single"/>
          </w:rPr>
          <w:t>https://www.researchgate.net/profile/Gerald-Okeke/publication/389068583_Ethical_Standards_in_Research_A_Professional_Imperative/links/67b3e6714c479b26c9e54656/Ethical-Standards-in-Research-A-Professional-Imperative.pdf</w:t>
        </w:r>
      </w:hyperlink>
    </w:p>
    <w:p w:rsidR="003A160E" w:rsidRPr="002D37E6" w:rsidRDefault="003A160E">
      <w:pPr>
        <w:spacing w:before="200" w:after="240"/>
      </w:pPr>
      <w:r w:rsidRPr="002D37E6">
        <w:t>Almeida, F., (2026). Thematic analysis in qualitative research: Steps, benefits, and challenges. Instituto Superior Politécnico Gaya, April.</w:t>
      </w:r>
      <w:hyperlink r:id="rId22">
        <w:r w:rsidRPr="002D37E6">
          <w:rPr>
            <w:color w:val="0563C1"/>
            <w:u w:val="single"/>
          </w:rPr>
          <w:t xml:space="preserve"> https://doi.org/10.5281/zenodo.18241378</w:t>
        </w:r>
      </w:hyperlink>
    </w:p>
    <w:p w:rsidR="003A160E" w:rsidRPr="002D37E6" w:rsidRDefault="003A160E">
      <w:pPr>
        <w:spacing w:before="200" w:after="240"/>
        <w:rPr>
          <w:color w:val="1155CC"/>
          <w:u w:val="single"/>
        </w:rPr>
      </w:pPr>
      <w:r w:rsidRPr="002D37E6">
        <w:rPr>
          <w:color w:val="222222"/>
        </w:rPr>
        <w:lastRenderedPageBreak/>
        <w:t xml:space="preserve">Almotiri, A., Abogosh, A., Abdelfattah, A., Alowaisy, D. and Rodrigues, N.P., (2025). Treating genetic blood disorders in the era of CRISPR-mediated genome editing. </w:t>
      </w:r>
      <w:r w:rsidRPr="002D37E6">
        <w:rPr>
          <w:i/>
          <w:iCs/>
          <w:color w:val="222222"/>
        </w:rPr>
        <w:t>Molecular Therapy</w:t>
      </w:r>
      <w:r w:rsidRPr="002D37E6">
        <w:rPr>
          <w:color w:val="222222"/>
        </w:rPr>
        <w:t xml:space="preserve">, </w:t>
      </w:r>
      <w:r w:rsidRPr="002D37E6">
        <w:rPr>
          <w:i/>
          <w:iCs/>
          <w:color w:val="222222"/>
        </w:rPr>
        <w:t>33</w:t>
      </w:r>
      <w:r w:rsidRPr="002D37E6">
        <w:rPr>
          <w:color w:val="222222"/>
        </w:rPr>
        <w:t>(6), pp.2645-2662.</w:t>
      </w:r>
      <w:hyperlink r:id="rId23">
        <w:r w:rsidRPr="002D37E6">
          <w:rPr>
            <w:color w:val="1155CC"/>
            <w:u w:val="single"/>
          </w:rPr>
          <w:t>https://doi.org/10.1016/j.ymthe.2025.01.031</w:t>
        </w:r>
      </w:hyperlink>
    </w:p>
    <w:p w:rsidR="003A160E" w:rsidRPr="002D37E6" w:rsidRDefault="003A160E">
      <w:pPr>
        <w:spacing w:before="200" w:after="240"/>
        <w:rPr>
          <w:color w:val="1155CC"/>
          <w:u w:val="single"/>
        </w:rPr>
      </w:pPr>
      <w:r w:rsidRPr="002D37E6">
        <w:rPr>
          <w:color w:val="222222"/>
        </w:rPr>
        <w:t xml:space="preserve">Ayrton, B., Behzad, A., Zhang, L., Sarvarinder, G., Daniel, L.M., Ngindu, K.J., Claude, M.B., Tassan, R., Cho, C., John, B.K. and Kelley, M.P., (2025). Curative therapies for hemophilias and hemoglobinopathies in adults: Immune, gene, and stem cell approaches in a global context. </w:t>
      </w:r>
      <w:r w:rsidRPr="002D37E6">
        <w:rPr>
          <w:i/>
          <w:iCs/>
          <w:color w:val="222222"/>
        </w:rPr>
        <w:t>Biomedicines</w:t>
      </w:r>
      <w:r w:rsidRPr="002D37E6">
        <w:rPr>
          <w:color w:val="222222"/>
        </w:rPr>
        <w:t xml:space="preserve">, </w:t>
      </w:r>
      <w:r w:rsidRPr="002D37E6">
        <w:rPr>
          <w:i/>
          <w:iCs/>
          <w:color w:val="222222"/>
        </w:rPr>
        <w:t>13</w:t>
      </w:r>
      <w:r w:rsidRPr="002D37E6">
        <w:rPr>
          <w:color w:val="222222"/>
        </w:rPr>
        <w:t>(8), p.2022.</w:t>
      </w:r>
      <w:hyperlink r:id="rId24">
        <w:r w:rsidRPr="002D37E6">
          <w:rPr>
            <w:color w:val="1155CC"/>
            <w:u w:val="single"/>
          </w:rPr>
          <w:t>https://doi.org/10.3390/biomedicines13082022</w:t>
        </w:r>
      </w:hyperlink>
    </w:p>
    <w:p w:rsidR="003A160E" w:rsidRPr="002D37E6" w:rsidRDefault="003A160E">
      <w:pPr>
        <w:spacing w:before="200" w:after="240"/>
        <w:rPr>
          <w:color w:val="1155CC"/>
          <w:u w:val="single"/>
        </w:rPr>
      </w:pPr>
      <w:r w:rsidRPr="002D37E6">
        <w:rPr>
          <w:color w:val="222222"/>
        </w:rPr>
        <w:t xml:space="preserve">Azeez, A.H., Vallabhaneni, H., Theyver, A., Kodamanchili, S.P.D.R., Dohadwala, T.K., Rangrej, V.J., Leyfman, Y. and Park, C., (2026). The New Era of Curative Therapies for </w:t>
      </w:r>
      <w:r w:rsidRPr="002D37E6">
        <w:t xml:space="preserve">Sickle Cell Disease: A Comprehensive Review of Allogeneic Transplantation and Autologous Gene Therapy. </w:t>
      </w:r>
      <w:r w:rsidRPr="002D37E6">
        <w:rPr>
          <w:i/>
          <w:iCs/>
        </w:rPr>
        <w:t>Encyclopedia</w:t>
      </w:r>
      <w:r w:rsidRPr="002D37E6">
        <w:t xml:space="preserve">, </w:t>
      </w:r>
      <w:r w:rsidRPr="002D37E6">
        <w:rPr>
          <w:i/>
          <w:iCs/>
        </w:rPr>
        <w:t>6</w:t>
      </w:r>
      <w:r w:rsidRPr="002D37E6">
        <w:t xml:space="preserve">(6), p.131. </w:t>
      </w:r>
      <w:hyperlink r:id="rId25">
        <w:r w:rsidRPr="002D37E6">
          <w:rPr>
            <w:color w:val="1155CC"/>
            <w:u w:val="single"/>
          </w:rPr>
          <w:t>https://doi.org/10.3390/encyclopedia6060131</w:t>
        </w:r>
      </w:hyperlink>
    </w:p>
    <w:p w:rsidR="003A160E" w:rsidRPr="002D37E6" w:rsidRDefault="003A160E">
      <w:pPr>
        <w:pBdr>
          <w:top w:val="nil"/>
          <w:left w:val="nil"/>
          <w:bottom w:val="nil"/>
          <w:right w:val="nil"/>
          <w:between w:val="nil"/>
        </w:pBdr>
        <w:spacing w:before="200" w:after="240"/>
      </w:pPr>
      <w:r w:rsidRPr="002D37E6">
        <w:t xml:space="preserve">Baldwin, J.R., Pingault, J.B., Schoeler, T., Sallis, H.M. and Munafò, M.R., (2022). Protecting against researcher bias in secondary data analysis: challenges and potential solutions. </w:t>
      </w:r>
      <w:r w:rsidRPr="002D37E6">
        <w:rPr>
          <w:i/>
          <w:iCs/>
        </w:rPr>
        <w:t>European journal of epidemiology</w:t>
      </w:r>
      <w:r w:rsidRPr="002D37E6">
        <w:t xml:space="preserve">, </w:t>
      </w:r>
      <w:r w:rsidRPr="002D37E6">
        <w:rPr>
          <w:i/>
          <w:iCs/>
        </w:rPr>
        <w:t>37</w:t>
      </w:r>
      <w:r w:rsidRPr="002D37E6">
        <w:t xml:space="preserve">(1), pp.1-10. </w:t>
      </w:r>
      <w:hyperlink r:id="rId26">
        <w:r w:rsidRPr="002D37E6">
          <w:rPr>
            <w:color w:val="0000FF"/>
            <w:u w:val="single"/>
          </w:rPr>
          <w:t>https://doi.org/10.1007/s10654-021-00839-0</w:t>
        </w:r>
      </w:hyperlink>
      <w:r w:rsidRPr="002D37E6">
        <w:t> </w:t>
      </w:r>
    </w:p>
    <w:p w:rsidR="003A160E" w:rsidRPr="002D37E6" w:rsidRDefault="003A160E">
      <w:pPr>
        <w:spacing w:before="200" w:after="240"/>
      </w:pPr>
      <w:r w:rsidRPr="002D37E6">
        <w:t xml:space="preserve">Basem, Y.B., Ata, A., Sabry, F., Mohammed, D., Ashraf, M., Abdelmonem, R. and Bakr, A., (2026). The Future of Biopharmaceutical Industry: Innovations, Challenges, and Implications for Global Health Systems. International Journal of Clinical Medical Research, 4(3), pp.161-188. </w:t>
      </w:r>
      <w:hyperlink r:id="rId27">
        <w:r w:rsidRPr="002D37E6">
          <w:rPr>
            <w:color w:val="0563C1"/>
            <w:u w:val="single"/>
          </w:rPr>
          <w:t>https://www.pharaohacademy.com/display/2388/jccc-00088.pdf</w:t>
        </w:r>
      </w:hyperlink>
    </w:p>
    <w:p w:rsidR="003A160E" w:rsidRPr="002D37E6" w:rsidRDefault="003A160E">
      <w:pPr>
        <w:spacing w:before="200" w:after="240"/>
        <w:rPr>
          <w:color w:val="1155CC"/>
          <w:u w:val="single"/>
        </w:rPr>
      </w:pPr>
      <w:r w:rsidRPr="002D37E6">
        <w:t>Butt, H., Mandava, M. and Jacobsohn, D. (2025). Advances in Gene Therapy for Sickle Cell Disease: From Preclinical Innovations to Clinical Implementation and Access Challenges</w:t>
      </w:r>
      <w:r w:rsidRPr="002D37E6">
        <w:rPr>
          <w:i/>
          <w:iCs/>
        </w:rPr>
        <w:t>.The CRISPR Journal</w:t>
      </w:r>
      <w:r w:rsidRPr="002D37E6">
        <w:t>, 8(3), pp.174–188.</w:t>
      </w:r>
      <w:hyperlink r:id="rId28">
        <w:r w:rsidRPr="002D37E6">
          <w:rPr>
            <w:color w:val="1155CC"/>
            <w:u w:val="single"/>
          </w:rPr>
          <w:t>https://doi.org/10.1089/crispr.2024.0101</w:t>
        </w:r>
      </w:hyperlink>
    </w:p>
    <w:p w:rsidR="003A160E" w:rsidRPr="002D37E6" w:rsidRDefault="003A160E">
      <w:pPr>
        <w:pBdr>
          <w:top w:val="nil"/>
          <w:left w:val="nil"/>
          <w:bottom w:val="nil"/>
          <w:right w:val="nil"/>
          <w:between w:val="nil"/>
        </w:pBdr>
        <w:spacing w:before="200" w:after="240"/>
        <w:rPr>
          <w:color w:val="222222"/>
        </w:rPr>
      </w:pPr>
      <w:r w:rsidRPr="002D37E6">
        <w:rPr>
          <w:color w:val="222222"/>
        </w:rPr>
        <w:t xml:space="preserve">Carnahan, L.R., Hallock, C., Soto, B., Kasebier, L., Dracos, E., Martinez, E., Newsome, J., Mersha, T., Pluta, D., Henderson, V. and Khare, M., (2023). Creating and Implementing a Community Engagement Strategy for the 2022–2027 Illinois Comprehensive Cancer Control Plan Through an Academic–State Public Health Department Partnership. </w:t>
      </w:r>
      <w:r w:rsidRPr="002D37E6">
        <w:rPr>
          <w:i/>
          <w:iCs/>
          <w:color w:val="222222"/>
        </w:rPr>
        <w:t>Preventing Chronic Disease</w:t>
      </w:r>
      <w:r w:rsidRPr="002D37E6">
        <w:rPr>
          <w:color w:val="222222"/>
        </w:rPr>
        <w:t xml:space="preserve">, </w:t>
      </w:r>
      <w:r w:rsidRPr="002D37E6">
        <w:rPr>
          <w:i/>
          <w:iCs/>
          <w:color w:val="222222"/>
        </w:rPr>
        <w:t>20</w:t>
      </w:r>
      <w:r w:rsidRPr="002D37E6">
        <w:rPr>
          <w:color w:val="222222"/>
        </w:rPr>
        <w:t>, p.E69.</w:t>
      </w:r>
      <w:hyperlink r:id="rId29">
        <w:r w:rsidRPr="002D37E6">
          <w:rPr>
            <w:color w:val="1155CC"/>
            <w:u w:val="single"/>
          </w:rPr>
          <w:t>https://pmc.ncbi.nlm.nih.gov/articles/PMC10431926/pdf/PCD-20-E69.pdf</w:t>
        </w:r>
      </w:hyperlink>
    </w:p>
    <w:p w:rsidR="003A160E" w:rsidRPr="002D37E6" w:rsidRDefault="003A160E">
      <w:pPr>
        <w:pBdr>
          <w:top w:val="nil"/>
          <w:left w:val="nil"/>
          <w:bottom w:val="nil"/>
          <w:right w:val="nil"/>
          <w:between w:val="nil"/>
        </w:pBdr>
        <w:spacing w:before="200" w:after="240"/>
        <w:rPr>
          <w:color w:val="1155CC"/>
          <w:u w:val="single"/>
        </w:rPr>
      </w:pPr>
      <w:r w:rsidRPr="002D37E6">
        <w:rPr>
          <w:color w:val="000000"/>
        </w:rPr>
        <w:t xml:space="preserve">Chemistry World (2023) - “In 2023, the UK was the first country to approve a Crispr therapy. How’s it doing?”: </w:t>
      </w:r>
      <w:hyperlink r:id="rId30">
        <w:r w:rsidRPr="002D37E6">
          <w:rPr>
            <w:color w:val="1155CC"/>
            <w:u w:val="single"/>
          </w:rPr>
          <w:t>https://www.chemistryworld.com/news/in-2023-the-uk-was-the-first-country-to-approve-a-crispr-therapy-hows-it-doing/4022805.article</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lastRenderedPageBreak/>
        <w:t xml:space="preserve">Curro, I.I., Wyatt, L., Foster, V., Yusuf, Y., Sifuentes, S., Chebli, P., Kranick, J.A., Kwon, S.C., Trinh-Shevrin, C. and LeCroy, M.N., (2026). The association of medical mistrust, clinical trial knowledge, and perceived clinical trial risk with willingness to participate in health research among historically marginalized individuals living in New York City. </w:t>
      </w:r>
      <w:r w:rsidRPr="002D37E6">
        <w:rPr>
          <w:i/>
          <w:iCs/>
          <w:color w:val="000000"/>
        </w:rPr>
        <w:t>Discover Health Systems, 5</w:t>
      </w:r>
      <w:r w:rsidRPr="002D37E6">
        <w:rPr>
          <w:color w:val="000000"/>
        </w:rPr>
        <w:t xml:space="preserve">(1), p.1. </w:t>
      </w:r>
      <w:hyperlink r:id="rId31">
        <w:r w:rsidRPr="002D37E6">
          <w:rPr>
            <w:color w:val="1155CC"/>
            <w:u w:val="single"/>
          </w:rPr>
          <w:t>https://doi.org/10.1007/s44250-025-00336-1</w:t>
        </w:r>
      </w:hyperlink>
      <w:r w:rsidRPr="002D37E6">
        <w:rPr>
          <w:color w:val="000000"/>
        </w:rPr>
        <w:t> </w:t>
      </w:r>
    </w:p>
    <w:p w:rsidR="003A160E" w:rsidRPr="002D37E6" w:rsidRDefault="003A160E">
      <w:pPr>
        <w:pBdr>
          <w:top w:val="nil"/>
          <w:left w:val="nil"/>
          <w:bottom w:val="nil"/>
          <w:right w:val="nil"/>
          <w:between w:val="nil"/>
        </w:pBdr>
        <w:spacing w:before="200" w:after="240"/>
        <w:rPr>
          <w:color w:val="000000"/>
        </w:rPr>
      </w:pPr>
      <w:r w:rsidRPr="002D37E6">
        <w:rPr>
          <w:color w:val="222222"/>
        </w:rPr>
        <w:t xml:space="preserve">D’Souza, G.C., Pinto, C.N., Exten, C.L., Yingst, J.M., Foulds, J., Anderson, J., Allen, R. and Calo, W.A., (2024). Understanding factors associated with COVID-19 vaccination among health care workers using the Diffusion of Innovation Theory. </w:t>
      </w:r>
      <w:r w:rsidRPr="002D37E6">
        <w:rPr>
          <w:i/>
          <w:iCs/>
          <w:color w:val="222222"/>
        </w:rPr>
        <w:t>American journal of infection control</w:t>
      </w:r>
      <w:r w:rsidRPr="002D37E6">
        <w:rPr>
          <w:color w:val="222222"/>
        </w:rPr>
        <w:t xml:space="preserve">, </w:t>
      </w:r>
      <w:r w:rsidRPr="002D37E6">
        <w:rPr>
          <w:i/>
          <w:iCs/>
          <w:color w:val="222222"/>
        </w:rPr>
        <w:t>52</w:t>
      </w:r>
      <w:r w:rsidRPr="002D37E6">
        <w:rPr>
          <w:color w:val="222222"/>
        </w:rPr>
        <w:t>(5), pp.509-516.</w:t>
      </w:r>
      <w:hyperlink r:id="rId32">
        <w:r w:rsidRPr="002D37E6">
          <w:rPr>
            <w:color w:val="1155CC"/>
            <w:u w:val="single"/>
          </w:rPr>
          <w:t>https://doi.org/10.1016/j.ajic.2023.11.019</w:t>
        </w:r>
      </w:hyperlink>
    </w:p>
    <w:p w:rsidR="003A160E" w:rsidRPr="002D37E6" w:rsidRDefault="003A160E">
      <w:pPr>
        <w:spacing w:before="200" w:after="240"/>
        <w:rPr>
          <w:color w:val="1155CC"/>
          <w:u w:val="single"/>
        </w:rPr>
      </w:pPr>
      <w:r w:rsidRPr="002D37E6">
        <w:t xml:space="preserve">Dahò, M., Coppini, V., Ferrari, M.V., Ferraris, G., Sanchini, V., Monzani, D., Grasso, R., Agnello, C., Badalamenti, G., Algeri, L. and Pravettoni, G., (2025). Exploring barriers to inclusivity: Systematic analysis of exclusion criteria and potential bias in clinical cancer trials for psychiatric and neurological conditions in European protocols. </w:t>
      </w:r>
      <w:r w:rsidRPr="002D37E6">
        <w:rPr>
          <w:i/>
          <w:iCs/>
        </w:rPr>
        <w:t>Psycho</w:t>
      </w:r>
      <w:r w:rsidRPr="002D37E6">
        <w:rPr>
          <w:rFonts w:ascii="Cambria Math" w:eastAsia="Cambria Math" w:hAnsi="Cambria Math" w:cs="Cambria Math"/>
          <w:i/>
          <w:iCs/>
        </w:rPr>
        <w:t>‐</w:t>
      </w:r>
      <w:r w:rsidRPr="002D37E6">
        <w:rPr>
          <w:i/>
          <w:iCs/>
        </w:rPr>
        <w:t>Oncology</w:t>
      </w:r>
      <w:r w:rsidRPr="002D37E6">
        <w:t xml:space="preserve">, </w:t>
      </w:r>
      <w:r w:rsidRPr="002D37E6">
        <w:rPr>
          <w:i/>
          <w:iCs/>
        </w:rPr>
        <w:t>34</w:t>
      </w:r>
      <w:r w:rsidRPr="002D37E6">
        <w:t>(5), p.e70182.</w:t>
      </w:r>
      <w:hyperlink r:id="rId33">
        <w:r w:rsidRPr="002D37E6">
          <w:rPr>
            <w:color w:val="1155CC"/>
            <w:u w:val="single"/>
          </w:rPr>
          <w:t>https://doi.org/10.1002/pon.70182</w:t>
        </w:r>
      </w:hyperlink>
    </w:p>
    <w:p w:rsidR="003A160E" w:rsidRPr="002D37E6" w:rsidRDefault="003A160E">
      <w:pPr>
        <w:pBdr>
          <w:top w:val="nil"/>
          <w:left w:val="nil"/>
          <w:bottom w:val="nil"/>
          <w:right w:val="nil"/>
          <w:between w:val="nil"/>
        </w:pBdr>
        <w:spacing w:before="200" w:after="240"/>
      </w:pPr>
      <w:r w:rsidRPr="002D37E6">
        <w:t xml:space="preserve">de Haart, K., Asao, K., Ataher, Q., Geier, J., Hillen, J., Huang, K., Mol, P.G., Rivera, D., Wang, H., Yang, H. and Zhan, S., (2025). Long-term follow-up after authorization of gene therapy: leveraging real-world data. </w:t>
      </w:r>
      <w:r w:rsidRPr="002D37E6">
        <w:rPr>
          <w:i/>
          <w:iCs/>
        </w:rPr>
        <w:t>Drug Discovery Today</w:t>
      </w:r>
      <w:r w:rsidRPr="002D37E6">
        <w:t xml:space="preserve">, </w:t>
      </w:r>
      <w:r w:rsidRPr="002D37E6">
        <w:rPr>
          <w:i/>
          <w:iCs/>
        </w:rPr>
        <w:t>30</w:t>
      </w:r>
      <w:r w:rsidRPr="002D37E6">
        <w:t xml:space="preserve">(5), p.104337. </w:t>
      </w:r>
      <w:hyperlink r:id="rId34">
        <w:r w:rsidRPr="002D37E6">
          <w:rPr>
            <w:color w:val="0000FF"/>
            <w:u w:val="single"/>
          </w:rPr>
          <w:t>https://doi.org/10.1016/j.drudis.2025.104337</w:t>
        </w:r>
      </w:hyperlink>
      <w:r w:rsidRPr="002D37E6">
        <w:t> </w:t>
      </w:r>
    </w:p>
    <w:p w:rsidR="003A160E" w:rsidRPr="002D37E6" w:rsidRDefault="003A160E">
      <w:pPr>
        <w:pBdr>
          <w:top w:val="nil"/>
          <w:left w:val="nil"/>
          <w:bottom w:val="nil"/>
          <w:right w:val="nil"/>
          <w:between w:val="nil"/>
        </w:pBdr>
        <w:spacing w:before="200" w:after="240"/>
        <w:rPr>
          <w:color w:val="000000"/>
        </w:rPr>
      </w:pPr>
      <w:r w:rsidRPr="002D37E6">
        <w:rPr>
          <w:color w:val="000000"/>
        </w:rPr>
        <w:t>Dormandy E, James J, Inusa B, Rees D (2018). How many people have sickle cell disease in the UK? J Public Health (Oxf). Sep 1;40(3):e291-e295. doi: 10.1093/pubmed/fdx172. PMID: 29294057.</w:t>
      </w:r>
      <w:hyperlink r:id="rId35">
        <w:r w:rsidRPr="002D37E6">
          <w:rPr>
            <w:color w:val="0000FF"/>
            <w:u w:val="single"/>
          </w:rPr>
          <w:t>https://pubmed.ncbi.nlm.nih.gov/29294057/</w:t>
        </w:r>
      </w:hyperlink>
    </w:p>
    <w:p w:rsidR="003A160E" w:rsidRPr="002D37E6" w:rsidRDefault="003A160E">
      <w:pPr>
        <w:pBdr>
          <w:top w:val="nil"/>
          <w:left w:val="nil"/>
          <w:bottom w:val="nil"/>
          <w:right w:val="nil"/>
          <w:between w:val="nil"/>
        </w:pBdr>
        <w:spacing w:before="200" w:after="240"/>
        <w:rPr>
          <w:color w:val="000000"/>
        </w:rPr>
      </w:pPr>
      <w:r w:rsidRPr="002D37E6">
        <w:rPr>
          <w:color w:val="222222"/>
        </w:rPr>
        <w:t xml:space="preserve">EltayebElsiddig, M.M., Mohamed Ahmed, S.O., Ali Farg, S.J., Ahmed, S.F., AlnourainHamed, F.H., Suliman, M., Alshygi, S.G., Abdelkhal, S.M., Musa Ismai, M.E., Mohamed, H. and Eltom, E.H., (2025). Advances in Gene Therapy and CRISPR-Based Interventions for BetaThalassemia and Sickle Cell Disease: Evaluating the Clinical Efficacy and Safety of Emerging Therapeutic Approaches in Hemoglobinopathies. </w:t>
      </w:r>
      <w:r w:rsidRPr="002D37E6">
        <w:rPr>
          <w:i/>
          <w:iCs/>
          <w:color w:val="222222"/>
        </w:rPr>
        <w:t>Frontiers in Health Informatics</w:t>
      </w:r>
      <w:r w:rsidRPr="002D37E6">
        <w:rPr>
          <w:color w:val="222222"/>
        </w:rPr>
        <w:t xml:space="preserve">, </w:t>
      </w:r>
      <w:r w:rsidRPr="002D37E6">
        <w:rPr>
          <w:i/>
          <w:iCs/>
          <w:color w:val="222222"/>
        </w:rPr>
        <w:t>14</w:t>
      </w:r>
      <w:r w:rsidRPr="002D37E6">
        <w:rPr>
          <w:color w:val="222222"/>
        </w:rPr>
        <w:t>(1).</w:t>
      </w:r>
      <w:hyperlink r:id="rId36">
        <w:r w:rsidRPr="002D37E6">
          <w:rPr>
            <w:color w:val="1155CC"/>
            <w:u w:val="single"/>
          </w:rPr>
          <w:t>https://www.sid.ir/en/VEWSSID/J_pdf/43173-477411-en-1915218.pdf</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 xml:space="preserve">Eurogct, (2026). </w:t>
      </w:r>
      <w:r w:rsidRPr="002D37E6">
        <w:rPr>
          <w:i/>
          <w:iCs/>
          <w:color w:val="000000"/>
        </w:rPr>
        <w:t>MHRA Innovative Licensing and Access Pathway.</w:t>
      </w:r>
      <w:r w:rsidRPr="002D37E6">
        <w:rPr>
          <w:color w:val="000000"/>
        </w:rPr>
        <w:t xml:space="preserve"> Available at: </w:t>
      </w:r>
      <w:hyperlink r:id="rId37">
        <w:r w:rsidRPr="002D37E6">
          <w:rPr>
            <w:color w:val="1155CC"/>
            <w:u w:val="single"/>
          </w:rPr>
          <w:t>https://www.eurogct.org/mhra-innovative-licensing-and-access-pathway</w:t>
        </w:r>
      </w:hyperlink>
      <w:r w:rsidRPr="002D37E6">
        <w:rPr>
          <w:color w:val="000000"/>
        </w:rPr>
        <w:t xml:space="preserve"> (Accessed: 28 June 2026) </w:t>
      </w:r>
    </w:p>
    <w:p w:rsidR="003A160E" w:rsidRPr="002D37E6" w:rsidRDefault="003A160E">
      <w:pPr>
        <w:pBdr>
          <w:top w:val="nil"/>
          <w:left w:val="nil"/>
          <w:bottom w:val="nil"/>
          <w:right w:val="nil"/>
          <w:between w:val="nil"/>
        </w:pBdr>
        <w:spacing w:before="200" w:after="240"/>
        <w:rPr>
          <w:color w:val="000000"/>
        </w:rPr>
      </w:pPr>
      <w:r w:rsidRPr="002D37E6">
        <w:rPr>
          <w:color w:val="000000"/>
        </w:rPr>
        <w:lastRenderedPageBreak/>
        <w:t xml:space="preserve">Everette, K.A., Newby, G.A., Levine, R.M., Mayberry, K., Jang, Y., Mayuranathan, T., Nimmagadda, N., Dempsey, E., Li, Y., Bhoopalan, S.V. and Liu, X., (2023). Ex vivo prime editing of patient haematopoietic stem cells rescues sickle-cell disease phenotypes after engraftment in mice. </w:t>
      </w:r>
      <w:r w:rsidRPr="002D37E6">
        <w:rPr>
          <w:i/>
          <w:iCs/>
          <w:color w:val="000000"/>
        </w:rPr>
        <w:t>Nature biomedical engineering, 7</w:t>
      </w:r>
      <w:r w:rsidRPr="002D37E6">
        <w:rPr>
          <w:color w:val="000000"/>
        </w:rPr>
        <w:t xml:space="preserve">(5), pp.616-628. </w:t>
      </w:r>
      <w:hyperlink r:id="rId38">
        <w:r w:rsidRPr="002D37E6">
          <w:rPr>
            <w:color w:val="1155CC"/>
            <w:u w:val="single"/>
          </w:rPr>
          <w:t>https://www.nature.com/articles/s41551-023-01026-0.pdf</w:t>
        </w:r>
      </w:hyperlink>
      <w:r w:rsidRPr="002D37E6">
        <w:rPr>
          <w:color w:val="000000"/>
        </w:rPr>
        <w:t> </w:t>
      </w:r>
    </w:p>
    <w:p w:rsidR="003A160E" w:rsidRPr="002D37E6" w:rsidRDefault="003A160E">
      <w:pPr>
        <w:pBdr>
          <w:top w:val="nil"/>
          <w:left w:val="nil"/>
          <w:bottom w:val="nil"/>
          <w:right w:val="nil"/>
          <w:between w:val="nil"/>
        </w:pBdr>
        <w:spacing w:before="200" w:after="240"/>
        <w:rPr>
          <w:color w:val="000000"/>
        </w:rPr>
      </w:pPr>
      <w:r w:rsidRPr="002D37E6">
        <w:rPr>
          <w:color w:val="222222"/>
        </w:rPr>
        <w:t xml:space="preserve">Fatima, A., Haider, A. and Batool, A., (2025). The human rights implications of scientific progress: A case study on gene editing and disability rights. </w:t>
      </w:r>
      <w:r w:rsidRPr="002D37E6">
        <w:rPr>
          <w:i/>
          <w:iCs/>
          <w:color w:val="222222"/>
        </w:rPr>
        <w:t>Journal of Engineering, Science and Technological Trends</w:t>
      </w:r>
      <w:r w:rsidRPr="002D37E6">
        <w:rPr>
          <w:color w:val="222222"/>
        </w:rPr>
        <w:t xml:space="preserve">, </w:t>
      </w:r>
      <w:r w:rsidRPr="002D37E6">
        <w:rPr>
          <w:i/>
          <w:iCs/>
          <w:color w:val="222222"/>
        </w:rPr>
        <w:t>2</w:t>
      </w:r>
      <w:r w:rsidRPr="002D37E6">
        <w:rPr>
          <w:color w:val="222222"/>
        </w:rPr>
        <w:t>(1).</w:t>
      </w:r>
      <w:hyperlink r:id="rId39">
        <w:r w:rsidRPr="002D37E6">
          <w:rPr>
            <w:color w:val="1155CC"/>
            <w:u w:val="single"/>
          </w:rPr>
          <w:t>https://doi.org/10.48112/jestt.v2i1.13</w:t>
        </w:r>
      </w:hyperlink>
    </w:p>
    <w:p w:rsidR="003A160E" w:rsidRPr="002D37E6" w:rsidRDefault="003A160E">
      <w:pPr>
        <w:pBdr>
          <w:top w:val="nil"/>
          <w:left w:val="nil"/>
          <w:bottom w:val="nil"/>
          <w:right w:val="nil"/>
          <w:between w:val="nil"/>
        </w:pBdr>
        <w:spacing w:before="200" w:after="240"/>
        <w:rPr>
          <w:color w:val="000000"/>
        </w:rPr>
      </w:pPr>
      <w:r w:rsidRPr="002D37E6">
        <w:rPr>
          <w:color w:val="222222"/>
        </w:rPr>
        <w:t xml:space="preserve">Fernández, M., Madriñan, V., Santiago, P. and Bermudez, A., (2024). Assessing the feasibility and challenges of CRISPR-Cas9 for treating genetic disorders. </w:t>
      </w:r>
      <w:r w:rsidRPr="002D37E6">
        <w:rPr>
          <w:i/>
          <w:iCs/>
          <w:color w:val="222222"/>
        </w:rPr>
        <w:t>Journal of Advances in Medicine and Pharmaceutical Sciences</w:t>
      </w:r>
      <w:r w:rsidRPr="002D37E6">
        <w:rPr>
          <w:color w:val="222222"/>
        </w:rPr>
        <w:t xml:space="preserve">, </w:t>
      </w:r>
      <w:r w:rsidRPr="002D37E6">
        <w:rPr>
          <w:i/>
          <w:iCs/>
          <w:color w:val="222222"/>
        </w:rPr>
        <w:t>3</w:t>
      </w:r>
      <w:r w:rsidRPr="002D37E6">
        <w:rPr>
          <w:color w:val="222222"/>
        </w:rPr>
        <w:t>(2), pp.60-70.</w:t>
      </w:r>
      <w:r w:rsidRPr="002D37E6">
        <w:rPr>
          <w:color w:val="000000"/>
        </w:rPr>
        <w:t xml:space="preserve"> DOI: 10.36079/lamintang.jamaps-0302.774 </w:t>
      </w:r>
    </w:p>
    <w:p w:rsidR="003A160E" w:rsidRPr="002D37E6" w:rsidRDefault="003A160E">
      <w:pPr>
        <w:pBdr>
          <w:top w:val="nil"/>
          <w:left w:val="nil"/>
          <w:bottom w:val="nil"/>
          <w:right w:val="nil"/>
          <w:between w:val="nil"/>
        </w:pBdr>
        <w:spacing w:before="200" w:after="240"/>
      </w:pPr>
      <w:r w:rsidRPr="002D37E6">
        <w:t xml:space="preserve">Ferreira, T., (2024). Escalating competition in NHS: implications for healthcare quality and workforce sustainability. </w:t>
      </w:r>
      <w:r w:rsidRPr="002D37E6">
        <w:rPr>
          <w:i/>
          <w:iCs/>
        </w:rPr>
        <w:t>Postgraduate medical journal, 100</w:t>
      </w:r>
      <w:r w:rsidRPr="002D37E6">
        <w:t xml:space="preserve">(1184), pp.361-365. </w:t>
      </w:r>
      <w:hyperlink r:id="rId40">
        <w:r w:rsidRPr="002D37E6">
          <w:rPr>
            <w:color w:val="0000FF"/>
            <w:u w:val="single"/>
          </w:rPr>
          <w:t>https://doi.org/10.1093/postmj/qgad131</w:t>
        </w:r>
      </w:hyperlink>
      <w:r w:rsidRPr="002D37E6">
        <w:t>  </w:t>
      </w:r>
    </w:p>
    <w:p w:rsidR="003A160E" w:rsidRPr="002D37E6" w:rsidRDefault="003A160E">
      <w:pPr>
        <w:spacing w:before="200" w:after="240"/>
      </w:pPr>
      <w:r w:rsidRPr="002D37E6">
        <w:t xml:space="preserve">Flaubert, J.L., Le Menestrel, S., Williams, D.R. and </w:t>
      </w:r>
      <w:r w:rsidRPr="002D37E6">
        <w:rPr>
          <w:i/>
          <w:iCs/>
        </w:rPr>
        <w:t>et al.</w:t>
      </w:r>
      <w:r w:rsidRPr="002D37E6">
        <w:t>, (2026). The Future of Nursing 2020–2030: Charting a Path to Achieve Health Equity. National Academies Press (US), Washington (DC), May 11. 2, Social Determinants of Health and Health Equity. Available from:</w:t>
      </w:r>
      <w:hyperlink r:id="rId41">
        <w:r w:rsidRPr="002D37E6">
          <w:rPr>
            <w:color w:val="0563C1"/>
            <w:u w:val="single"/>
          </w:rPr>
          <w:t xml:space="preserve"> https://www.ncbi.nlm.nih.gov/books/NBK573923/</w:t>
        </w:r>
      </w:hyperlink>
    </w:p>
    <w:p w:rsidR="003A160E" w:rsidRPr="002D37E6" w:rsidRDefault="003A160E">
      <w:pPr>
        <w:pBdr>
          <w:top w:val="nil"/>
          <w:left w:val="nil"/>
          <w:bottom w:val="nil"/>
          <w:right w:val="nil"/>
          <w:between w:val="nil"/>
        </w:pBdr>
        <w:spacing w:before="200" w:after="240"/>
        <w:rPr>
          <w:color w:val="000000"/>
        </w:rPr>
      </w:pPr>
      <w:r w:rsidRPr="002D37E6">
        <w:rPr>
          <w:color w:val="222222"/>
        </w:rPr>
        <w:t>Fletcher, F.E., Ray, K.S., Brown, V.A. and Smith, P.T., (2022). Addressing anti</w:t>
      </w:r>
      <w:r w:rsidRPr="002D37E6">
        <w:rPr>
          <w:rFonts w:ascii="Cambria Math" w:eastAsia="Cambria Math" w:hAnsi="Cambria Math" w:cs="Cambria Math"/>
          <w:color w:val="222222"/>
        </w:rPr>
        <w:t>‐</w:t>
      </w:r>
      <w:r w:rsidRPr="002D37E6">
        <w:rPr>
          <w:color w:val="222222"/>
        </w:rPr>
        <w:t xml:space="preserve">Black racism in bioethics: responding to the call. </w:t>
      </w:r>
      <w:r w:rsidRPr="002D37E6">
        <w:rPr>
          <w:i/>
          <w:iCs/>
          <w:color w:val="222222"/>
        </w:rPr>
        <w:t>Hastings Center Report</w:t>
      </w:r>
      <w:r w:rsidRPr="002D37E6">
        <w:rPr>
          <w:color w:val="222222"/>
        </w:rPr>
        <w:t xml:space="preserve">, </w:t>
      </w:r>
      <w:r w:rsidRPr="002D37E6">
        <w:rPr>
          <w:i/>
          <w:iCs/>
          <w:color w:val="222222"/>
        </w:rPr>
        <w:t>52</w:t>
      </w:r>
      <w:r w:rsidRPr="002D37E6">
        <w:rPr>
          <w:color w:val="222222"/>
        </w:rPr>
        <w:t>, pp.S3-S11.</w:t>
      </w:r>
      <w:hyperlink r:id="rId42">
        <w:r w:rsidRPr="002D37E6">
          <w:rPr>
            <w:color w:val="1155CC"/>
            <w:u w:val="single"/>
          </w:rPr>
          <w:t>https://pmc.ncbi.nlm.nih.gov/articles/PMC10118282/pdf/nihms-1881196.pdf</w:t>
        </w:r>
      </w:hyperlink>
    </w:p>
    <w:p w:rsidR="003A160E" w:rsidRPr="002D37E6" w:rsidRDefault="003A160E">
      <w:pPr>
        <w:spacing w:before="200" w:after="240"/>
        <w:rPr>
          <w:color w:val="1155CC"/>
          <w:u w:val="single"/>
        </w:rPr>
      </w:pPr>
      <w:r w:rsidRPr="002D37E6">
        <w:rPr>
          <w:color w:val="222222"/>
        </w:rPr>
        <w:t xml:space="preserve">Gamage, U., Warnakulasuriya, K., Hansika, S. and Silva, G.N., (2023). CRISPR gene therapy: a promising one-time therapeutic approach for transfusion-dependent β-thalassemia—CRISPR-Cas9 gene editing for β-thalassemia. </w:t>
      </w:r>
      <w:r w:rsidRPr="002D37E6">
        <w:rPr>
          <w:i/>
          <w:iCs/>
          <w:color w:val="222222"/>
        </w:rPr>
        <w:t>Thalassemia Reports</w:t>
      </w:r>
      <w:r w:rsidRPr="002D37E6">
        <w:rPr>
          <w:color w:val="222222"/>
        </w:rPr>
        <w:t xml:space="preserve">, </w:t>
      </w:r>
      <w:r w:rsidRPr="002D37E6">
        <w:rPr>
          <w:i/>
          <w:iCs/>
          <w:color w:val="222222"/>
        </w:rPr>
        <w:t>13</w:t>
      </w:r>
      <w:r w:rsidRPr="002D37E6">
        <w:rPr>
          <w:color w:val="222222"/>
        </w:rPr>
        <w:t>(1), pp.51-69.</w:t>
      </w:r>
      <w:hyperlink r:id="rId43">
        <w:r w:rsidRPr="002D37E6">
          <w:rPr>
            <w:color w:val="1155CC"/>
            <w:u w:val="single"/>
          </w:rPr>
          <w:t>https://doi.org/10.3390/thalassrep13010006</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 xml:space="preserve">Gibelli, F., Ricci, G. and Bailo, P., (2025). Genome editing in medicine: A scoping review of ethical, bioethical, and medico-legal implications. </w:t>
      </w:r>
      <w:r w:rsidRPr="002D37E6">
        <w:rPr>
          <w:i/>
          <w:iCs/>
          <w:color w:val="000000"/>
        </w:rPr>
        <w:t>Journal of Law, Medicine &amp; Ethics</w:t>
      </w:r>
      <w:r w:rsidRPr="002D37E6">
        <w:rPr>
          <w:color w:val="000000"/>
        </w:rPr>
        <w:t xml:space="preserve">, pp.1-9. </w:t>
      </w:r>
      <w:hyperlink r:id="rId44">
        <w:r w:rsidRPr="002D37E6">
          <w:rPr>
            <w:color w:val="1155CC"/>
            <w:u w:val="single"/>
          </w:rPr>
          <w:t>https://www.cambridge.org/core/journals/journal-of-law-medicine-and-ethics/article/genome-editing-in-medicine-a-scoping-review-of-ethical-bioethical-and-medicolegal-implications/467FDDCD80519B5F87E8224845E3C865</w:t>
        </w:r>
      </w:hyperlink>
      <w:r w:rsidRPr="002D37E6">
        <w:rPr>
          <w:color w:val="000000"/>
        </w:rPr>
        <w:t> </w:t>
      </w:r>
    </w:p>
    <w:p w:rsidR="003A160E" w:rsidRPr="002D37E6" w:rsidRDefault="003A160E">
      <w:pPr>
        <w:pBdr>
          <w:top w:val="nil"/>
          <w:left w:val="nil"/>
          <w:bottom w:val="nil"/>
          <w:right w:val="nil"/>
          <w:between w:val="nil"/>
        </w:pBdr>
        <w:spacing w:before="200" w:after="240"/>
      </w:pPr>
      <w:r w:rsidRPr="002D37E6">
        <w:lastRenderedPageBreak/>
        <w:t xml:space="preserve">Gizaw, Z., Astale, T. and Kassie, G.M., (2022). What improves access to primary healthcare services in rural communities? A systematic review. </w:t>
      </w:r>
      <w:r w:rsidRPr="002D37E6">
        <w:rPr>
          <w:i/>
          <w:iCs/>
        </w:rPr>
        <w:t>BMC primary care, 23</w:t>
      </w:r>
      <w:r w:rsidRPr="002D37E6">
        <w:t xml:space="preserve">(1), p.313. </w:t>
      </w:r>
      <w:hyperlink r:id="rId45">
        <w:r w:rsidRPr="002D37E6">
          <w:rPr>
            <w:color w:val="0000FF"/>
            <w:u w:val="single"/>
          </w:rPr>
          <w:t>https://doi.org/10.1186/s12875-022-01919-0</w:t>
        </w:r>
      </w:hyperlink>
      <w:r w:rsidRPr="002D37E6">
        <w:t>  </w:t>
      </w:r>
    </w:p>
    <w:p w:rsidR="003A160E" w:rsidRPr="002D37E6" w:rsidRDefault="003A160E">
      <w:pPr>
        <w:spacing w:after="240"/>
        <w:rPr>
          <w:color w:val="0000FF"/>
        </w:rPr>
      </w:pPr>
      <w:r w:rsidRPr="002D37E6">
        <w:rPr>
          <w:color w:val="0000FF"/>
        </w:rPr>
        <w:t xml:space="preserve">Gladue, D.P. and O’Mahony, A., (2025). CRISPR treatments for AI-designed synthetic viruses: rapid programmable countermeasures for emerging and engineered viruses. </w:t>
      </w:r>
      <w:r w:rsidRPr="002D37E6">
        <w:rPr>
          <w:i/>
          <w:iCs/>
          <w:color w:val="0000FF"/>
        </w:rPr>
        <w:t>Viruses</w:t>
      </w:r>
      <w:r w:rsidRPr="002D37E6">
        <w:rPr>
          <w:color w:val="0000FF"/>
        </w:rPr>
        <w:t xml:space="preserve">, </w:t>
      </w:r>
      <w:r w:rsidRPr="002D37E6">
        <w:rPr>
          <w:i/>
          <w:iCs/>
          <w:color w:val="0000FF"/>
        </w:rPr>
        <w:t>17</w:t>
      </w:r>
      <w:r w:rsidRPr="002D37E6">
        <w:rPr>
          <w:color w:val="0000FF"/>
        </w:rPr>
        <w:t>(12), p.1588.</w:t>
      </w:r>
      <w:hyperlink r:id="rId46">
        <w:r w:rsidRPr="002D37E6">
          <w:rPr>
            <w:color w:val="0000FF"/>
            <w:u w:val="single"/>
          </w:rPr>
          <w:t>https://www.mdpi.com/1999-4915/17/12/1588</w:t>
        </w:r>
      </w:hyperlink>
    </w:p>
    <w:p w:rsidR="003A160E" w:rsidRPr="002D37E6" w:rsidRDefault="003A160E">
      <w:pPr>
        <w:pBdr>
          <w:top w:val="nil"/>
          <w:left w:val="nil"/>
          <w:bottom w:val="nil"/>
          <w:right w:val="nil"/>
          <w:between w:val="nil"/>
        </w:pBdr>
        <w:spacing w:before="200" w:after="240"/>
        <w:rPr>
          <w:color w:val="000000"/>
        </w:rPr>
      </w:pPr>
      <w:r w:rsidRPr="002D37E6">
        <w:rPr>
          <w:color w:val="222222"/>
        </w:rPr>
        <w:t xml:space="preserve">Goshua, G., Calhoun, C., Ito, S., James, L.P., Luviano, A., Krishnamurti, L. and Pandya, A., (2023). Distributional cost-effectiveness of equity-enhancing gene therapy in sickle cell disease in the United States. </w:t>
      </w:r>
      <w:r w:rsidRPr="002D37E6">
        <w:rPr>
          <w:i/>
          <w:iCs/>
          <w:color w:val="222222"/>
        </w:rPr>
        <w:t>Annals of internal medicine</w:t>
      </w:r>
      <w:r w:rsidRPr="002D37E6">
        <w:rPr>
          <w:color w:val="222222"/>
        </w:rPr>
        <w:t xml:space="preserve">, </w:t>
      </w:r>
      <w:r w:rsidRPr="002D37E6">
        <w:rPr>
          <w:i/>
          <w:iCs/>
          <w:color w:val="222222"/>
        </w:rPr>
        <w:t>176</w:t>
      </w:r>
      <w:r w:rsidRPr="002D37E6">
        <w:rPr>
          <w:color w:val="222222"/>
        </w:rPr>
        <w:t>(6), pp.779-787.</w:t>
      </w:r>
      <w:hyperlink r:id="rId47">
        <w:r w:rsidRPr="002D37E6">
          <w:rPr>
            <w:color w:val="1155CC"/>
            <w:u w:val="single"/>
          </w:rPr>
          <w:t>https://doi.org/10.7326/M22-3272</w:t>
        </w:r>
      </w:hyperlink>
    </w:p>
    <w:p w:rsidR="003A160E" w:rsidRPr="002D37E6" w:rsidRDefault="003A160E">
      <w:pPr>
        <w:spacing w:before="200" w:after="240"/>
        <w:rPr>
          <w:color w:val="1155CC"/>
          <w:u w:val="single"/>
        </w:rPr>
      </w:pPr>
      <w:r w:rsidRPr="002D37E6">
        <w:t xml:space="preserve">Harmel, R.D., Preisendanz, H.E., King, K.W., Busch, D., Birgand, F. and Sahoo, D., (2023). A review of data quality and cost considerations for water quality monitoring at the field scale and in small watersheds. </w:t>
      </w:r>
      <w:r w:rsidRPr="002D37E6">
        <w:rPr>
          <w:i/>
          <w:iCs/>
        </w:rPr>
        <w:t>Water</w:t>
      </w:r>
      <w:r w:rsidRPr="002D37E6">
        <w:t xml:space="preserve">, </w:t>
      </w:r>
      <w:r w:rsidRPr="002D37E6">
        <w:rPr>
          <w:i/>
          <w:iCs/>
        </w:rPr>
        <w:t>15</w:t>
      </w:r>
      <w:r w:rsidRPr="002D37E6">
        <w:t>(17), p.3110.</w:t>
      </w:r>
      <w:hyperlink r:id="rId48">
        <w:r w:rsidRPr="002D37E6">
          <w:rPr>
            <w:color w:val="1155CC"/>
            <w:u w:val="single"/>
          </w:rPr>
          <w:t>https://doi.org/10.3390/w15173110</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Health Data, (2023)</w:t>
      </w:r>
      <w:r w:rsidRPr="002D37E6">
        <w:rPr>
          <w:i/>
          <w:iCs/>
          <w:color w:val="000000"/>
        </w:rPr>
        <w:t xml:space="preserve"> Global, regional, and national prevalence and mortality burden of sickle cell disease, 2000–2021.</w:t>
      </w:r>
      <w:r w:rsidRPr="002D37E6">
        <w:rPr>
          <w:color w:val="000000"/>
        </w:rPr>
        <w:t xml:space="preserve"> Available at: </w:t>
      </w:r>
      <w:hyperlink r:id="rId49">
        <w:r w:rsidRPr="002D37E6">
          <w:rPr>
            <w:color w:val="0000FF"/>
            <w:u w:val="single"/>
          </w:rPr>
          <w:t>https://www.healthdata.org/research-analysis/library/global-regional-and-national-prevalence-and-mortality-burden-sickle-cell</w:t>
        </w:r>
      </w:hyperlink>
      <w:r w:rsidRPr="002D37E6">
        <w:rPr>
          <w:color w:val="000000"/>
        </w:rPr>
        <w:t>(Accessed: 28 July 2026)</w:t>
      </w:r>
    </w:p>
    <w:p w:rsidR="003A160E" w:rsidRPr="002D37E6" w:rsidRDefault="003A160E">
      <w:pPr>
        <w:pBdr>
          <w:top w:val="nil"/>
          <w:left w:val="nil"/>
          <w:bottom w:val="nil"/>
          <w:right w:val="nil"/>
          <w:between w:val="nil"/>
        </w:pBdr>
        <w:spacing w:before="200" w:after="240"/>
        <w:rPr>
          <w:color w:val="222222"/>
        </w:rPr>
      </w:pPr>
      <w:r w:rsidRPr="002D37E6">
        <w:t xml:space="preserve">Hendricks, C.L., Alessandrini, M. and Pepper, M.S., (2023). Equitable access to cell and gene therapies in South Africa: opportunities and hurdles. </w:t>
      </w:r>
      <w:r w:rsidRPr="002D37E6">
        <w:rPr>
          <w:i/>
          <w:iCs/>
        </w:rPr>
        <w:t>Gene Therapy</w:t>
      </w:r>
      <w:r w:rsidRPr="002D37E6">
        <w:t xml:space="preserve">, </w:t>
      </w:r>
      <w:r w:rsidRPr="002D37E6">
        <w:rPr>
          <w:i/>
          <w:iCs/>
        </w:rPr>
        <w:t>30</w:t>
      </w:r>
      <w:r w:rsidRPr="002D37E6">
        <w:t xml:space="preserve">(1), pp.180-186. </w:t>
      </w:r>
      <w:hyperlink r:id="rId50">
        <w:r w:rsidRPr="002D37E6">
          <w:rPr>
            <w:color w:val="1155CC"/>
            <w:u w:val="single"/>
          </w:rPr>
          <w:t>https://repository.up.ac.za/server/api/core/bitstreams/18024b8a-1058-4626-9f3d-df7ddb6c5d8f/content</w:t>
        </w:r>
      </w:hyperlink>
    </w:p>
    <w:p w:rsidR="003A160E" w:rsidRPr="002D37E6" w:rsidRDefault="003A160E">
      <w:pPr>
        <w:pBdr>
          <w:top w:val="nil"/>
          <w:left w:val="nil"/>
          <w:bottom w:val="nil"/>
          <w:right w:val="nil"/>
          <w:between w:val="nil"/>
        </w:pBdr>
        <w:spacing w:before="200" w:after="240"/>
        <w:rPr>
          <w:color w:val="000000"/>
        </w:rPr>
      </w:pPr>
      <w:r w:rsidRPr="002D37E6">
        <w:rPr>
          <w:color w:val="222222"/>
        </w:rPr>
        <w:t>Hibbs, S.P., Buka, R.J., Shaniqua, M., Greaves, P., James, J. and Telfer, P., (2025). Can health inequalities in sickle cell disease be addressed through novel therapies?.</w:t>
      </w:r>
      <w:r w:rsidRPr="002D37E6">
        <w:rPr>
          <w:i/>
          <w:iCs/>
          <w:color w:val="222222"/>
        </w:rPr>
        <w:t>HemaSphere</w:t>
      </w:r>
      <w:r w:rsidRPr="002D37E6">
        <w:rPr>
          <w:color w:val="222222"/>
        </w:rPr>
        <w:t xml:space="preserve">, </w:t>
      </w:r>
      <w:r w:rsidRPr="002D37E6">
        <w:rPr>
          <w:i/>
          <w:iCs/>
          <w:color w:val="222222"/>
        </w:rPr>
        <w:t>9</w:t>
      </w:r>
      <w:r w:rsidRPr="002D37E6">
        <w:rPr>
          <w:color w:val="222222"/>
        </w:rPr>
        <w:t>(7), p.e70175.</w:t>
      </w:r>
      <w:hyperlink r:id="rId51">
        <w:r w:rsidRPr="002D37E6">
          <w:rPr>
            <w:color w:val="1155CC"/>
            <w:u w:val="single"/>
          </w:rPr>
          <w:t>https://doi.org/10.1002/hem3.70175</w:t>
        </w:r>
      </w:hyperlink>
    </w:p>
    <w:p w:rsidR="003A160E" w:rsidRPr="002D37E6" w:rsidRDefault="003A160E">
      <w:pPr>
        <w:pBdr>
          <w:top w:val="nil"/>
          <w:left w:val="nil"/>
          <w:bottom w:val="nil"/>
          <w:right w:val="nil"/>
          <w:between w:val="nil"/>
        </w:pBdr>
        <w:spacing w:before="200" w:after="240"/>
        <w:rPr>
          <w:color w:val="000000"/>
        </w:rPr>
      </w:pPr>
      <w:r w:rsidRPr="002D37E6">
        <w:rPr>
          <w:color w:val="222222"/>
        </w:rPr>
        <w:t xml:space="preserve">Hu, J., Tan, C., Li, Q., Liu, Y. and Xiao, G., (2026). Technological innovations and breakthrough pathways in syphilis diagnosis: addressing global resurgence and the journey toward elimination. </w:t>
      </w:r>
      <w:r w:rsidRPr="002D37E6">
        <w:rPr>
          <w:i/>
          <w:iCs/>
          <w:color w:val="222222"/>
        </w:rPr>
        <w:t>Frontiers in Cellular and Infection Microbiology</w:t>
      </w:r>
      <w:r w:rsidRPr="002D37E6">
        <w:rPr>
          <w:color w:val="222222"/>
        </w:rPr>
        <w:t xml:space="preserve">, </w:t>
      </w:r>
      <w:r w:rsidRPr="002D37E6">
        <w:rPr>
          <w:i/>
          <w:iCs/>
          <w:color w:val="222222"/>
        </w:rPr>
        <w:t>16</w:t>
      </w:r>
      <w:r w:rsidRPr="002D37E6">
        <w:rPr>
          <w:color w:val="222222"/>
        </w:rPr>
        <w:t>, p.1781460.</w:t>
      </w:r>
      <w:hyperlink r:id="rId52">
        <w:r w:rsidRPr="002D37E6">
          <w:rPr>
            <w:color w:val="1155CC"/>
            <w:u w:val="single"/>
          </w:rPr>
          <w:t>https://www.frontiersin.org/journals/cellular-and-infection-microbiology/articles/10.3389/fcimb.2026.1781460/pdf</w:t>
        </w:r>
      </w:hyperlink>
    </w:p>
    <w:p w:rsidR="003A160E" w:rsidRPr="002D37E6" w:rsidRDefault="003A160E">
      <w:pPr>
        <w:spacing w:after="240"/>
        <w:rPr>
          <w:color w:val="0000FF"/>
        </w:rPr>
      </w:pPr>
      <w:r w:rsidRPr="002D37E6">
        <w:lastRenderedPageBreak/>
        <w:t xml:space="preserve">Jenkins, S.M., Palmquist, R., Shayota, B.J., Solorzano, C.M., Bonkowsky, J.L., Estabrooks, P. and Tristani-Firouzi, M., (2025). Breaking barriers: fostering equitable access to pediatric genomics through innovative care models and technologies. </w:t>
      </w:r>
      <w:r w:rsidRPr="002D37E6">
        <w:rPr>
          <w:i/>
          <w:iCs/>
        </w:rPr>
        <w:t>Pediatric research</w:t>
      </w:r>
      <w:r w:rsidRPr="002D37E6">
        <w:t xml:space="preserve">, </w:t>
      </w:r>
      <w:r w:rsidRPr="002D37E6">
        <w:rPr>
          <w:i/>
          <w:iCs/>
        </w:rPr>
        <w:t>97</w:t>
      </w:r>
      <w:r w:rsidRPr="002D37E6">
        <w:t>(4), pp.1261-1268.</w:t>
      </w:r>
      <w:hyperlink r:id="rId53">
        <w:r w:rsidRPr="002D37E6">
          <w:rPr>
            <w:color w:val="0000FF"/>
            <w:u w:val="single"/>
          </w:rPr>
          <w:t>https://pmc.ncbi.nlm.nih.gov/articles/PMC12105983/</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 xml:space="preserve">Jiao, B. and Basu, A., (2023). Associating health-related quality-of-life score with time uses to inform productivity measures in cost-effectiveness analysis. </w:t>
      </w:r>
      <w:r w:rsidRPr="002D37E6">
        <w:rPr>
          <w:i/>
          <w:iCs/>
          <w:color w:val="000000"/>
        </w:rPr>
        <w:t>Pharmacoeconomics, 41</w:t>
      </w:r>
      <w:r w:rsidRPr="002D37E6">
        <w:rPr>
          <w:color w:val="000000"/>
        </w:rPr>
        <w:t xml:space="preserve">(9), p.1065. </w:t>
      </w:r>
      <w:hyperlink r:id="rId54">
        <w:r w:rsidRPr="002D37E6">
          <w:rPr>
            <w:color w:val="1155CC"/>
            <w:u w:val="single"/>
          </w:rPr>
          <w:t>https://doi.org/10.1007/s40273-023-01246-x</w:t>
        </w:r>
      </w:hyperlink>
    </w:p>
    <w:p w:rsidR="003A160E" w:rsidRPr="002D37E6" w:rsidRDefault="003A160E">
      <w:pPr>
        <w:pBdr>
          <w:top w:val="nil"/>
          <w:left w:val="nil"/>
          <w:bottom w:val="nil"/>
          <w:right w:val="nil"/>
          <w:between w:val="nil"/>
        </w:pBdr>
        <w:spacing w:before="200" w:after="240"/>
        <w:rPr>
          <w:color w:val="000000"/>
        </w:rPr>
      </w:pPr>
      <w:r w:rsidRPr="002D37E6">
        <w:t xml:space="preserve">Jonassaint, C.R., O’Brien, J., Nardo, E., Feldman, R., Stanton, M., DeCastro, L. and Abebe, K.Z., (2023). Prevalence of substance use disorders in sickle cell disease compared to other chronic conditions: a population-based study of Black American adults. </w:t>
      </w:r>
      <w:r w:rsidRPr="002D37E6">
        <w:rPr>
          <w:i/>
          <w:iCs/>
        </w:rPr>
        <w:t>Journal of general internal medicine</w:t>
      </w:r>
      <w:r w:rsidRPr="002D37E6">
        <w:t xml:space="preserve">, </w:t>
      </w:r>
      <w:r w:rsidRPr="002D37E6">
        <w:rPr>
          <w:i/>
          <w:iCs/>
        </w:rPr>
        <w:t>38</w:t>
      </w:r>
      <w:r w:rsidRPr="002D37E6">
        <w:t>(5), pp.1214-1223</w:t>
      </w:r>
      <w:r w:rsidRPr="002D37E6">
        <w:rPr>
          <w:color w:val="222222"/>
        </w:rPr>
        <w:t>.</w:t>
      </w:r>
      <w:hyperlink r:id="rId55">
        <w:r w:rsidRPr="002D37E6">
          <w:rPr>
            <w:color w:val="1155CC"/>
            <w:u w:val="single"/>
          </w:rPr>
          <w:t>https://link.springer.com/content/pdf/10.1007/s11606-022-07786-w.pdf</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 xml:space="preserve">Kansal, R., (2024). The CRISPR-Cas system and clinical applications of CRISPR-based gene editing in hematology with a focus on inherited germline predisposition to hematologic malignancies. </w:t>
      </w:r>
      <w:r w:rsidRPr="002D37E6">
        <w:rPr>
          <w:i/>
          <w:iCs/>
          <w:color w:val="000000"/>
        </w:rPr>
        <w:t>Genes, 15</w:t>
      </w:r>
      <w:r w:rsidRPr="002D37E6">
        <w:rPr>
          <w:color w:val="000000"/>
        </w:rPr>
        <w:t xml:space="preserve">(7), p.863. </w:t>
      </w:r>
      <w:hyperlink r:id="rId56">
        <w:r w:rsidRPr="002D37E6">
          <w:rPr>
            <w:color w:val="1155CC"/>
            <w:u w:val="single"/>
          </w:rPr>
          <w:t>https://www.mdpi.com/2073-4425/15/7/863</w:t>
        </w:r>
      </w:hyperlink>
      <w:r w:rsidRPr="002D37E6">
        <w:rPr>
          <w:color w:val="000000"/>
        </w:rPr>
        <w:t> </w:t>
      </w:r>
    </w:p>
    <w:p w:rsidR="003A160E" w:rsidRPr="002D37E6" w:rsidRDefault="003A160E">
      <w:pPr>
        <w:pBdr>
          <w:top w:val="nil"/>
          <w:left w:val="nil"/>
          <w:bottom w:val="nil"/>
          <w:right w:val="nil"/>
          <w:between w:val="nil"/>
        </w:pBdr>
        <w:spacing w:before="200" w:after="240"/>
        <w:rPr>
          <w:color w:val="000000"/>
        </w:rPr>
      </w:pPr>
      <w:r w:rsidRPr="002D37E6">
        <w:rPr>
          <w:color w:val="000000"/>
        </w:rPr>
        <w:t>Karthikeyan, A., McKee, S. and McKay, G.J., (2024). Integration of genomic medicine to mainstream patient care within the UK National Health Service.</w:t>
      </w:r>
      <w:r w:rsidRPr="002D37E6">
        <w:rPr>
          <w:i/>
          <w:iCs/>
          <w:color w:val="000000"/>
        </w:rPr>
        <w:t xml:space="preserve"> The Ulster Medical Journal, 93</w:t>
      </w:r>
      <w:r w:rsidRPr="002D37E6">
        <w:rPr>
          <w:color w:val="000000"/>
        </w:rPr>
        <w:t xml:space="preserve">(3), p.111. </w:t>
      </w:r>
      <w:hyperlink r:id="rId57">
        <w:r w:rsidRPr="002D37E6">
          <w:rPr>
            <w:color w:val="1155CC"/>
            <w:u w:val="single"/>
          </w:rPr>
          <w:t>https://pmc.ncbi.nlm.nih.gov/articles/PMC11591220/</w:t>
        </w:r>
      </w:hyperlink>
      <w:r w:rsidRPr="002D37E6">
        <w:rPr>
          <w:color w:val="000000"/>
        </w:rPr>
        <w:t> </w:t>
      </w:r>
    </w:p>
    <w:p w:rsidR="003A160E" w:rsidRPr="002D37E6" w:rsidRDefault="003A160E">
      <w:pPr>
        <w:pBdr>
          <w:top w:val="nil"/>
          <w:left w:val="nil"/>
          <w:bottom w:val="nil"/>
          <w:right w:val="nil"/>
          <w:between w:val="nil"/>
        </w:pBdr>
        <w:spacing w:before="200" w:after="240"/>
        <w:rPr>
          <w:color w:val="000000"/>
        </w:rPr>
      </w:pPr>
      <w:r w:rsidRPr="002D37E6">
        <w:rPr>
          <w:color w:val="222222"/>
        </w:rPr>
        <w:t xml:space="preserve">Kelkar, A.H., Achebe, M.O. and Hantel, A., (2025). An ethical allocation scheme for scarce gene therapies in sickle cell disease and transfusion-dependent β-thalassemia. </w:t>
      </w:r>
      <w:r w:rsidRPr="002D37E6">
        <w:rPr>
          <w:i/>
          <w:iCs/>
          <w:color w:val="222222"/>
        </w:rPr>
        <w:t>Blood Advances</w:t>
      </w:r>
      <w:r w:rsidRPr="002D37E6">
        <w:rPr>
          <w:color w:val="222222"/>
        </w:rPr>
        <w:t xml:space="preserve">, </w:t>
      </w:r>
      <w:r w:rsidRPr="002D37E6">
        <w:rPr>
          <w:i/>
          <w:iCs/>
          <w:color w:val="222222"/>
        </w:rPr>
        <w:t>9</w:t>
      </w:r>
      <w:r w:rsidRPr="002D37E6">
        <w:rPr>
          <w:color w:val="222222"/>
        </w:rPr>
        <w:t>(17), pp.4502-4512.</w:t>
      </w:r>
      <w:hyperlink r:id="rId58">
        <w:r w:rsidRPr="002D37E6">
          <w:rPr>
            <w:color w:val="1155CC"/>
            <w:u w:val="single"/>
          </w:rPr>
          <w:t>https://doi.org/10.1182/bloodadvances.2025016053</w:t>
        </w:r>
      </w:hyperlink>
    </w:p>
    <w:p w:rsidR="003A160E" w:rsidRPr="002D37E6" w:rsidRDefault="003A160E">
      <w:pPr>
        <w:pBdr>
          <w:top w:val="nil"/>
          <w:left w:val="nil"/>
          <w:bottom w:val="nil"/>
          <w:right w:val="nil"/>
          <w:between w:val="nil"/>
        </w:pBdr>
        <w:spacing w:before="200" w:after="240"/>
        <w:rPr>
          <w:color w:val="000000"/>
        </w:rPr>
      </w:pPr>
      <w:r w:rsidRPr="002D37E6">
        <w:rPr>
          <w:color w:val="222222"/>
        </w:rPr>
        <w:t xml:space="preserve">Khaparde, S., (2025). Sickle Cell Disease. </w:t>
      </w:r>
      <w:r w:rsidRPr="002D37E6">
        <w:rPr>
          <w:i/>
          <w:iCs/>
          <w:color w:val="222222"/>
        </w:rPr>
        <w:t>CASTE: A Global Journal on Social Exclusion</w:t>
      </w:r>
      <w:r w:rsidRPr="002D37E6">
        <w:rPr>
          <w:color w:val="222222"/>
        </w:rPr>
        <w:t xml:space="preserve">, </w:t>
      </w:r>
      <w:r w:rsidRPr="002D37E6">
        <w:rPr>
          <w:i/>
          <w:iCs/>
          <w:color w:val="222222"/>
        </w:rPr>
        <w:t>6</w:t>
      </w:r>
      <w:r w:rsidRPr="002D37E6">
        <w:rPr>
          <w:color w:val="222222"/>
        </w:rPr>
        <w:t>(2), pp.414-433.</w:t>
      </w:r>
      <w:r w:rsidRPr="002D37E6">
        <w:rPr>
          <w:color w:val="000000"/>
        </w:rPr>
        <w:t xml:space="preserve"> DOI: 10.26812/caste.v6i2.2600 </w:t>
      </w:r>
    </w:p>
    <w:p w:rsidR="003A160E" w:rsidRPr="002D37E6" w:rsidRDefault="003A160E">
      <w:pPr>
        <w:pBdr>
          <w:top w:val="nil"/>
          <w:left w:val="nil"/>
          <w:bottom w:val="nil"/>
          <w:right w:val="nil"/>
          <w:between w:val="nil"/>
        </w:pBdr>
        <w:spacing w:before="200" w:after="240"/>
        <w:rPr>
          <w:color w:val="000000"/>
        </w:rPr>
      </w:pPr>
      <w:r w:rsidRPr="002D37E6">
        <w:rPr>
          <w:color w:val="222222"/>
        </w:rPr>
        <w:t xml:space="preserve">Kolanu, N.D., (2024). CRISPR–Cas9 gene editing: curing genetic diseases by inherited epigenetic modifications. </w:t>
      </w:r>
      <w:r w:rsidRPr="002D37E6">
        <w:rPr>
          <w:i/>
          <w:iCs/>
          <w:color w:val="222222"/>
        </w:rPr>
        <w:t>Global medical genetics</w:t>
      </w:r>
      <w:r w:rsidRPr="002D37E6">
        <w:rPr>
          <w:color w:val="222222"/>
        </w:rPr>
        <w:t xml:space="preserve">, </w:t>
      </w:r>
      <w:r w:rsidRPr="002D37E6">
        <w:rPr>
          <w:i/>
          <w:iCs/>
          <w:color w:val="222222"/>
        </w:rPr>
        <w:t>11</w:t>
      </w:r>
      <w:r w:rsidRPr="002D37E6">
        <w:rPr>
          <w:color w:val="222222"/>
        </w:rPr>
        <w:t>(01), pp.113-122.</w:t>
      </w:r>
      <w:hyperlink r:id="rId59">
        <w:r w:rsidRPr="002D37E6">
          <w:rPr>
            <w:color w:val="1155CC"/>
            <w:u w:val="single"/>
          </w:rPr>
          <w:t>https://doi.org/10.1055/s-0044-1785234</w:t>
        </w:r>
      </w:hyperlink>
    </w:p>
    <w:p w:rsidR="003A160E" w:rsidRPr="002D37E6" w:rsidRDefault="003A160E">
      <w:pPr>
        <w:spacing w:before="200" w:after="240"/>
        <w:rPr>
          <w:color w:val="1155CC"/>
          <w:u w:val="single"/>
        </w:rPr>
      </w:pPr>
      <w:r w:rsidRPr="002D37E6">
        <w:rPr>
          <w:color w:val="222222"/>
        </w:rPr>
        <w:t xml:space="preserve">Laurent, M., Geoffroy, M., Pavani, G. and Guiraud, S., (2024). CRISPR-based gene therapies: from preclinical to clinical treatments. </w:t>
      </w:r>
      <w:r w:rsidRPr="002D37E6">
        <w:rPr>
          <w:i/>
          <w:iCs/>
          <w:color w:val="222222"/>
        </w:rPr>
        <w:t>Cells</w:t>
      </w:r>
      <w:r w:rsidRPr="002D37E6">
        <w:rPr>
          <w:color w:val="222222"/>
        </w:rPr>
        <w:t xml:space="preserve">, </w:t>
      </w:r>
      <w:r w:rsidRPr="002D37E6">
        <w:rPr>
          <w:i/>
          <w:iCs/>
          <w:color w:val="222222"/>
        </w:rPr>
        <w:t>13</w:t>
      </w:r>
      <w:r w:rsidRPr="002D37E6">
        <w:rPr>
          <w:color w:val="222222"/>
        </w:rPr>
        <w:t>(10), p.800.</w:t>
      </w:r>
      <w:hyperlink r:id="rId60">
        <w:r w:rsidRPr="002D37E6">
          <w:rPr>
            <w:color w:val="1155CC"/>
            <w:u w:val="single"/>
          </w:rPr>
          <w:t>https://doi.org/10.3390/cells13100800</w:t>
        </w:r>
      </w:hyperlink>
    </w:p>
    <w:p w:rsidR="003A160E" w:rsidRPr="002D37E6" w:rsidRDefault="003A160E">
      <w:pPr>
        <w:spacing w:before="200" w:after="240"/>
        <w:rPr>
          <w:color w:val="1155CC"/>
          <w:u w:val="single"/>
        </w:rPr>
      </w:pPr>
      <w:r w:rsidRPr="002D37E6">
        <w:rPr>
          <w:color w:val="222222"/>
        </w:rPr>
        <w:lastRenderedPageBreak/>
        <w:t xml:space="preserve">Lee, T.L. and Sawai, T., (2024). Navigating equity in global access to genome therapy expanding access to potentially transformative therapies and benefiting those in need requires global policy changes. </w:t>
      </w:r>
      <w:r w:rsidRPr="002D37E6">
        <w:rPr>
          <w:i/>
          <w:iCs/>
          <w:color w:val="222222"/>
        </w:rPr>
        <w:t>Frontiers in Genetics</w:t>
      </w:r>
      <w:r w:rsidRPr="002D37E6">
        <w:rPr>
          <w:color w:val="222222"/>
        </w:rPr>
        <w:t xml:space="preserve">, </w:t>
      </w:r>
      <w:r w:rsidRPr="002D37E6">
        <w:rPr>
          <w:i/>
          <w:iCs/>
          <w:color w:val="222222"/>
        </w:rPr>
        <w:t>15</w:t>
      </w:r>
      <w:r w:rsidRPr="002D37E6">
        <w:rPr>
          <w:color w:val="222222"/>
        </w:rPr>
        <w:t>, p.1381172.</w:t>
      </w:r>
      <w:hyperlink r:id="rId61">
        <w:r w:rsidRPr="002D37E6">
          <w:rPr>
            <w:color w:val="1155CC"/>
            <w:u w:val="single"/>
          </w:rPr>
          <w:t>https://doi.org/10.3389/fgene.2024.1381172</w:t>
        </w:r>
      </w:hyperlink>
    </w:p>
    <w:p w:rsidR="003A160E" w:rsidRPr="002D37E6" w:rsidRDefault="003A160E">
      <w:pPr>
        <w:spacing w:before="200" w:after="240"/>
      </w:pPr>
      <w:r w:rsidRPr="002D37E6">
        <w:t xml:space="preserve">Legislation UK (2026). </w:t>
      </w:r>
      <w:r w:rsidRPr="002D37E6">
        <w:rPr>
          <w:i/>
          <w:iCs/>
        </w:rPr>
        <w:t xml:space="preserve">Copyright, Designs and Patents Act 1988. </w:t>
      </w:r>
      <w:hyperlink r:id="rId62">
        <w:r w:rsidRPr="002D37E6">
          <w:rPr>
            <w:color w:val="1155CC"/>
            <w:u w:val="single"/>
          </w:rPr>
          <w:t>https://www.legislation.gov.uk/ukpga/1988/48/contents</w:t>
        </w:r>
      </w:hyperlink>
      <w:r w:rsidRPr="002D37E6">
        <w:t>(Accessed on: 1 August 2026).</w:t>
      </w:r>
    </w:p>
    <w:p w:rsidR="003A160E" w:rsidRPr="002D37E6" w:rsidRDefault="003A160E">
      <w:pPr>
        <w:spacing w:before="200" w:after="240"/>
        <w:rPr>
          <w:color w:val="1155CC"/>
          <w:u w:val="single"/>
        </w:rPr>
      </w:pPr>
      <w:r w:rsidRPr="002D37E6">
        <w:t>Levesque, S. and Bauer, D.E. (2025). CRISPR-based therapeutic genome editing for inherited blood disorders</w:t>
      </w:r>
      <w:r w:rsidRPr="002D37E6">
        <w:rPr>
          <w:i/>
          <w:iCs/>
        </w:rPr>
        <w:t>.Nature Reviews Drug Discovery.</w:t>
      </w:r>
      <w:hyperlink r:id="rId63">
        <w:r w:rsidRPr="002D37E6">
          <w:rPr>
            <w:color w:val="1155CC"/>
            <w:u w:val="single"/>
          </w:rPr>
          <w:t>https://doi.org/10.1038/s41573-025-01236-y</w:t>
        </w:r>
      </w:hyperlink>
    </w:p>
    <w:p w:rsidR="003A160E" w:rsidRPr="002D37E6" w:rsidRDefault="003A160E">
      <w:pPr>
        <w:pBdr>
          <w:top w:val="nil"/>
          <w:left w:val="nil"/>
          <w:bottom w:val="nil"/>
          <w:right w:val="nil"/>
          <w:between w:val="nil"/>
        </w:pBdr>
        <w:spacing w:before="200" w:after="240"/>
        <w:rPr>
          <w:color w:val="000000"/>
        </w:rPr>
      </w:pPr>
      <w:r w:rsidRPr="002D37E6">
        <w:rPr>
          <w:color w:val="222222"/>
        </w:rPr>
        <w:t xml:space="preserve">Lu, Z., Bukhari, S.T.H., Azeem, M., Tariq, N. and Shabbir, M.A.B., (2026). A narrative review of precision and ethical considerations in cardiovascular health: CRISPR-Cas9, telemedicine, and lifestyle interventions. </w:t>
      </w:r>
      <w:r w:rsidRPr="002D37E6">
        <w:rPr>
          <w:i/>
          <w:iCs/>
          <w:color w:val="222222"/>
        </w:rPr>
        <w:t>Frontiers in Public Health</w:t>
      </w:r>
      <w:r w:rsidRPr="002D37E6">
        <w:rPr>
          <w:color w:val="222222"/>
        </w:rPr>
        <w:t xml:space="preserve">, </w:t>
      </w:r>
      <w:r w:rsidRPr="002D37E6">
        <w:rPr>
          <w:i/>
          <w:iCs/>
          <w:color w:val="222222"/>
        </w:rPr>
        <w:t>13</w:t>
      </w:r>
      <w:r w:rsidRPr="002D37E6">
        <w:rPr>
          <w:color w:val="222222"/>
        </w:rPr>
        <w:t>, p.1737251.</w:t>
      </w:r>
      <w:hyperlink r:id="rId64">
        <w:r w:rsidRPr="002D37E6">
          <w:rPr>
            <w:color w:val="1155CC"/>
            <w:u w:val="single"/>
          </w:rPr>
          <w:t>https://doi.org/10.3390/genes16111367</w:t>
        </w:r>
      </w:hyperlink>
    </w:p>
    <w:p w:rsidR="003A160E" w:rsidRPr="002D37E6" w:rsidRDefault="003A160E">
      <w:pPr>
        <w:pBdr>
          <w:top w:val="nil"/>
          <w:left w:val="nil"/>
          <w:bottom w:val="nil"/>
          <w:right w:val="nil"/>
          <w:between w:val="nil"/>
        </w:pBdr>
        <w:spacing w:before="200" w:after="240"/>
      </w:pPr>
      <w:r w:rsidRPr="002D37E6">
        <w:t xml:space="preserve">Maganty, A., Byrnes, M.E., Hamm, M., Wasilko, R., Sabik, L.M., Davies, B.J. and Jacobs, B.L., (2023). Barriers to rural health care from the provider perspective. Rural and remote health, 23(2), pp.1-11. </w:t>
      </w:r>
      <w:hyperlink r:id="rId65">
        <w:r w:rsidRPr="002D37E6">
          <w:rPr>
            <w:color w:val="0000FF"/>
            <w:u w:val="single"/>
          </w:rPr>
          <w:t>https://doi.org/10.22605/RRH7769</w:t>
        </w:r>
      </w:hyperlink>
      <w:r w:rsidRPr="002D37E6">
        <w:t>  </w:t>
      </w:r>
    </w:p>
    <w:p w:rsidR="003A160E" w:rsidRPr="002D37E6" w:rsidRDefault="003A160E">
      <w:pPr>
        <w:pBdr>
          <w:top w:val="nil"/>
          <w:left w:val="nil"/>
          <w:bottom w:val="nil"/>
          <w:right w:val="nil"/>
          <w:between w:val="nil"/>
        </w:pBdr>
        <w:spacing w:before="200" w:after="240"/>
        <w:rPr>
          <w:color w:val="000000"/>
        </w:rPr>
      </w:pPr>
      <w:r w:rsidRPr="002D37E6">
        <w:rPr>
          <w:color w:val="222222"/>
        </w:rPr>
        <w:t xml:space="preserve">Makuku, R., Hutton, F.M.M., Marquez, L.P., Abarikwu, S.O., Tantuoyir, M.M., Camara, M., Jallow, M.S., Moyo, E., Mmema, L.P., Mendy, M.P. and Thomas, K., (2026). Gene based therapy for sickle cell disease in low and middle income countries insights from the Gambia. </w:t>
      </w:r>
      <w:r w:rsidRPr="002D37E6">
        <w:rPr>
          <w:i/>
          <w:iCs/>
          <w:color w:val="222222"/>
        </w:rPr>
        <w:t>Discover Public Health</w:t>
      </w:r>
      <w:r w:rsidRPr="002D37E6">
        <w:rPr>
          <w:color w:val="222222"/>
        </w:rPr>
        <w:t xml:space="preserve">, </w:t>
      </w:r>
      <w:r w:rsidRPr="002D37E6">
        <w:rPr>
          <w:i/>
          <w:iCs/>
          <w:color w:val="222222"/>
        </w:rPr>
        <w:t>23</w:t>
      </w:r>
      <w:r w:rsidRPr="002D37E6">
        <w:rPr>
          <w:color w:val="222222"/>
        </w:rPr>
        <w:t>(1), p.644.</w:t>
      </w:r>
      <w:hyperlink r:id="rId66">
        <w:r w:rsidRPr="002D37E6">
          <w:rPr>
            <w:color w:val="1155CC"/>
            <w:u w:val="single"/>
          </w:rPr>
          <w:t>https://doi.org/10.1186/s12982-026-01970-7</w:t>
        </w:r>
      </w:hyperlink>
    </w:p>
    <w:p w:rsidR="003A160E" w:rsidRPr="002D37E6" w:rsidRDefault="003A160E">
      <w:pPr>
        <w:spacing w:before="200" w:after="240"/>
        <w:rPr>
          <w:color w:val="1155CC"/>
          <w:u w:val="single"/>
        </w:rPr>
      </w:pPr>
      <w:r w:rsidRPr="002D37E6">
        <w:rPr>
          <w:color w:val="222222"/>
        </w:rPr>
        <w:t xml:space="preserve">Makuku, R., Hutton, F.M.M., Marquez, L.P., Abarikwu, S.O., Tantuoyir, M.M., Camara, M., Jallow, M.S., Moyo, E., Mmema, L.P., Mendy, M.P. and Thomas, K., (2026). Gene based therapy for sickle cell disease in low and middle income countries insights from the Gambia. </w:t>
      </w:r>
      <w:r w:rsidRPr="002D37E6">
        <w:rPr>
          <w:i/>
          <w:iCs/>
          <w:color w:val="222222"/>
        </w:rPr>
        <w:t>Discover Public Health</w:t>
      </w:r>
      <w:r w:rsidRPr="002D37E6">
        <w:rPr>
          <w:color w:val="222222"/>
        </w:rPr>
        <w:t xml:space="preserve">, </w:t>
      </w:r>
      <w:r w:rsidRPr="002D37E6">
        <w:rPr>
          <w:i/>
          <w:iCs/>
          <w:color w:val="222222"/>
        </w:rPr>
        <w:t>23</w:t>
      </w:r>
      <w:r w:rsidRPr="002D37E6">
        <w:rPr>
          <w:color w:val="222222"/>
        </w:rPr>
        <w:t>(1), p.644.</w:t>
      </w:r>
      <w:hyperlink r:id="rId67">
        <w:r w:rsidRPr="002D37E6">
          <w:rPr>
            <w:color w:val="1155CC"/>
            <w:u w:val="single"/>
          </w:rPr>
          <w:t>https://doi.org/10.1186/s12982-026-01970-7</w:t>
        </w:r>
      </w:hyperlink>
    </w:p>
    <w:p w:rsidR="003A160E" w:rsidRPr="002D37E6" w:rsidRDefault="003A160E">
      <w:pPr>
        <w:spacing w:before="200" w:after="240"/>
        <w:rPr>
          <w:b/>
          <w:bCs/>
          <w:color w:val="222222"/>
        </w:rPr>
      </w:pPr>
      <w:r w:rsidRPr="002D37E6">
        <w:rPr>
          <w:color w:val="0000FF"/>
        </w:rPr>
        <w:t xml:space="preserve">Malhotra, P., (2024). The rise of passive investing: a systematic literature review applying PRISMA framework. </w:t>
      </w:r>
      <w:r w:rsidRPr="002D37E6">
        <w:rPr>
          <w:i/>
          <w:iCs/>
          <w:color w:val="0000FF"/>
        </w:rPr>
        <w:t>Journal of Capital Markets Studies</w:t>
      </w:r>
      <w:r w:rsidRPr="002D37E6">
        <w:rPr>
          <w:color w:val="0000FF"/>
        </w:rPr>
        <w:t xml:space="preserve">, </w:t>
      </w:r>
      <w:r w:rsidRPr="002D37E6">
        <w:rPr>
          <w:i/>
          <w:iCs/>
          <w:color w:val="0000FF"/>
        </w:rPr>
        <w:t>8</w:t>
      </w:r>
      <w:r w:rsidRPr="002D37E6">
        <w:rPr>
          <w:color w:val="0000FF"/>
        </w:rPr>
        <w:t xml:space="preserve">(1), pp.95-125. </w:t>
      </w:r>
      <w:hyperlink r:id="rId68">
        <w:r w:rsidRPr="002D37E6">
          <w:rPr>
            <w:color w:val="0000FF"/>
            <w:u w:val="single"/>
          </w:rPr>
          <w:t>https://doi.org/10.1108/JCMS-12-2023-0046</w:t>
        </w:r>
      </w:hyperlink>
    </w:p>
    <w:p w:rsidR="003A160E" w:rsidRPr="002D37E6" w:rsidRDefault="003A160E">
      <w:pPr>
        <w:pBdr>
          <w:top w:val="nil"/>
          <w:left w:val="nil"/>
          <w:bottom w:val="nil"/>
          <w:right w:val="nil"/>
          <w:between w:val="nil"/>
        </w:pBdr>
        <w:spacing w:before="200" w:after="240"/>
        <w:rPr>
          <w:color w:val="000000"/>
        </w:rPr>
      </w:pPr>
      <w:r w:rsidRPr="002D37E6">
        <w:rPr>
          <w:color w:val="222222"/>
        </w:rPr>
        <w:t xml:space="preserve">Martínez-García, M., Villegas Camacho, J.M. and Hernández-Lemus, E., (2022). Connections and biases in health equity and culture research: a semantic network analysis. </w:t>
      </w:r>
      <w:r w:rsidRPr="002D37E6">
        <w:rPr>
          <w:i/>
          <w:iCs/>
          <w:color w:val="222222"/>
        </w:rPr>
        <w:t>Frontiers in Public Health</w:t>
      </w:r>
      <w:r w:rsidRPr="002D37E6">
        <w:rPr>
          <w:color w:val="222222"/>
        </w:rPr>
        <w:t xml:space="preserve">, </w:t>
      </w:r>
      <w:r w:rsidRPr="002D37E6">
        <w:rPr>
          <w:i/>
          <w:iCs/>
          <w:color w:val="222222"/>
        </w:rPr>
        <w:t>10</w:t>
      </w:r>
      <w:r w:rsidRPr="002D37E6">
        <w:rPr>
          <w:color w:val="222222"/>
        </w:rPr>
        <w:t>, p.834172.</w:t>
      </w:r>
      <w:hyperlink r:id="rId69">
        <w:r w:rsidRPr="002D37E6">
          <w:rPr>
            <w:color w:val="1155CC"/>
            <w:u w:val="single"/>
          </w:rPr>
          <w:t>https://doi.org/10.3389/fpubh.2022.834172</w:t>
        </w:r>
      </w:hyperlink>
    </w:p>
    <w:p w:rsidR="003A160E" w:rsidRPr="002D37E6" w:rsidRDefault="003A160E">
      <w:pPr>
        <w:spacing w:before="200" w:after="240"/>
      </w:pPr>
      <w:r w:rsidRPr="002D37E6">
        <w:lastRenderedPageBreak/>
        <w:t xml:space="preserve">Mathews, D., Abernethy, A., Chaikof, E., Charo, R.A., Daley, G.Q., Enriquez, J., Gottlieb, S., Kahn, J., Klausner, R.D., Tavazoie, S. and Fabi, R., (2023). Regenerative medicine: Case study for understanding and anticipating emerging science and technology. NAM perspectives, 2023, pp.10-31478. </w:t>
      </w:r>
      <w:hyperlink r:id="rId70" w:history="1">
        <w:r w:rsidR="005968B1" w:rsidRPr="005968B1">
          <w:rPr>
            <w:rStyle w:val="Hyperlink"/>
          </w:rPr>
          <w:t>https://doi.org/10.31478/202311d</w:t>
        </w:r>
      </w:hyperlink>
    </w:p>
    <w:p w:rsidR="003A160E" w:rsidRPr="002D37E6" w:rsidRDefault="003A160E">
      <w:pPr>
        <w:spacing w:before="200" w:after="240"/>
        <w:rPr>
          <w:color w:val="1155CC"/>
          <w:u w:val="single"/>
        </w:rPr>
      </w:pPr>
      <w:r w:rsidRPr="002D37E6">
        <w:t>Mboowa, G., Sserwadda, I., Kanyerezi, S., Tukwasibwe, S. and Benson Kidenya (2024). The dawn of a cure for sickle cell disease through CRISPR</w:t>
      </w:r>
      <w:r w:rsidRPr="002D37E6">
        <w:rPr>
          <w:rFonts w:ascii="Cambria Math" w:eastAsia="Cambria Math" w:hAnsi="Cambria Math" w:cs="Cambria Math"/>
        </w:rPr>
        <w:t>‐</w:t>
      </w:r>
      <w:r w:rsidRPr="002D37E6">
        <w:t>based treatment: A critical test of equity in public health genomics</w:t>
      </w:r>
      <w:r w:rsidRPr="002D37E6">
        <w:rPr>
          <w:i/>
          <w:iCs/>
        </w:rPr>
        <w:t>.Annals of Human Genetics</w:t>
      </w:r>
      <w:r w:rsidRPr="002D37E6">
        <w:t xml:space="preserve">. </w:t>
      </w:r>
      <w:hyperlink r:id="rId71">
        <w:r w:rsidRPr="002D37E6">
          <w:rPr>
            <w:color w:val="0000FF"/>
            <w:u w:val="single"/>
          </w:rPr>
          <w:t>https://doi.org/10.1111/ahg.12558</w:t>
        </w:r>
      </w:hyperlink>
    </w:p>
    <w:p w:rsidR="003A160E" w:rsidRPr="002D37E6" w:rsidRDefault="003A160E">
      <w:pPr>
        <w:pBdr>
          <w:top w:val="nil"/>
          <w:left w:val="nil"/>
          <w:bottom w:val="nil"/>
          <w:right w:val="nil"/>
          <w:between w:val="nil"/>
        </w:pBdr>
        <w:spacing w:before="200" w:after="240"/>
      </w:pPr>
      <w:r w:rsidRPr="002D37E6">
        <w:t xml:space="preserve">McCann, L., Johnson, L., Gkiouleka, A., Pearce, H. and Ford, J., (2025). EQUALSS GUIDE Multiple: A novel framework for equity-focused evidence synthesis. </w:t>
      </w:r>
      <w:r w:rsidRPr="002D37E6">
        <w:rPr>
          <w:i/>
          <w:iCs/>
        </w:rPr>
        <w:t>Public Health in Practice, 9</w:t>
      </w:r>
      <w:r w:rsidRPr="002D37E6">
        <w:t xml:space="preserve">, p.100600. </w:t>
      </w:r>
      <w:hyperlink r:id="rId72">
        <w:r w:rsidRPr="002D37E6">
          <w:rPr>
            <w:color w:val="0000FF"/>
            <w:u w:val="single"/>
          </w:rPr>
          <w:t>https://doi.org/10.1016/j.puhip.2025.100600</w:t>
        </w:r>
      </w:hyperlink>
      <w:r w:rsidRPr="002D37E6">
        <w:t> </w:t>
      </w:r>
    </w:p>
    <w:p w:rsidR="003A160E" w:rsidRPr="002D37E6" w:rsidRDefault="003A160E">
      <w:pPr>
        <w:pBdr>
          <w:top w:val="nil"/>
          <w:left w:val="nil"/>
          <w:bottom w:val="nil"/>
          <w:right w:val="nil"/>
          <w:between w:val="nil"/>
        </w:pBdr>
        <w:spacing w:before="200" w:after="240"/>
      </w:pPr>
      <w:r w:rsidRPr="002D37E6">
        <w:t xml:space="preserve">Modell, S.M., Smith, J.A. and Kardia, S.L., (2025). Progress and criteria in public health applications of gene therapy and gene editing: beyond the white paper. </w:t>
      </w:r>
      <w:r w:rsidRPr="002D37E6">
        <w:rPr>
          <w:i/>
          <w:iCs/>
        </w:rPr>
        <w:t>Public Health Genomics</w:t>
      </w:r>
      <w:r w:rsidRPr="002D37E6">
        <w:t xml:space="preserve">, </w:t>
      </w:r>
      <w:r w:rsidRPr="002D37E6">
        <w:rPr>
          <w:i/>
          <w:iCs/>
        </w:rPr>
        <w:t>28</w:t>
      </w:r>
      <w:r w:rsidRPr="002D37E6">
        <w:t xml:space="preserve">(1), pp.241-251. </w:t>
      </w:r>
      <w:hyperlink r:id="rId73">
        <w:r w:rsidRPr="002D37E6">
          <w:rPr>
            <w:color w:val="0000FF"/>
            <w:u w:val="single"/>
          </w:rPr>
          <w:t>https://doi.org/10.1159/000546850</w:t>
        </w:r>
      </w:hyperlink>
      <w:r w:rsidRPr="002D37E6">
        <w:t> </w:t>
      </w:r>
    </w:p>
    <w:p w:rsidR="003A160E" w:rsidRPr="002D37E6" w:rsidRDefault="003A160E">
      <w:pPr>
        <w:pBdr>
          <w:top w:val="nil"/>
          <w:left w:val="nil"/>
          <w:bottom w:val="nil"/>
          <w:right w:val="nil"/>
          <w:between w:val="nil"/>
        </w:pBdr>
        <w:spacing w:before="200" w:after="240"/>
        <w:rPr>
          <w:color w:val="000000"/>
        </w:rPr>
      </w:pPr>
      <w:r w:rsidRPr="002D37E6">
        <w:rPr>
          <w:color w:val="222222"/>
        </w:rPr>
        <w:t xml:space="preserve">Monahan, K.J., Ryan, N., Monje-Garcia, L., Armstrong, R., Church, D.N., Cook, J., Elghobashy, A., Lalloo, F., Lane, S., McDermott, F.D. and Miles, T., (2023). The English national Lynch syndrome transformation project: an NHS Genomic medicine service alliance (GMSA) programme. </w:t>
      </w:r>
      <w:r w:rsidRPr="002D37E6">
        <w:rPr>
          <w:i/>
          <w:iCs/>
          <w:color w:val="222222"/>
        </w:rPr>
        <w:t>BMJ oncology</w:t>
      </w:r>
      <w:r w:rsidRPr="002D37E6">
        <w:rPr>
          <w:color w:val="222222"/>
        </w:rPr>
        <w:t xml:space="preserve">, </w:t>
      </w:r>
      <w:r w:rsidRPr="002D37E6">
        <w:rPr>
          <w:i/>
          <w:iCs/>
          <w:color w:val="222222"/>
        </w:rPr>
        <w:t>2</w:t>
      </w:r>
      <w:r w:rsidRPr="002D37E6">
        <w:rPr>
          <w:color w:val="222222"/>
        </w:rPr>
        <w:t>(1), p.e000124.</w:t>
      </w:r>
      <w:hyperlink r:id="rId74">
        <w:r w:rsidRPr="002D37E6">
          <w:rPr>
            <w:color w:val="1155CC"/>
            <w:u w:val="single"/>
          </w:rPr>
          <w:t>https://doi.org/10.1136/bmjonc-2023-000124</w:t>
        </w:r>
      </w:hyperlink>
    </w:p>
    <w:p w:rsidR="003A160E" w:rsidRPr="002D37E6" w:rsidRDefault="003A160E">
      <w:pPr>
        <w:spacing w:before="200" w:after="240"/>
        <w:rPr>
          <w:color w:val="1155CC"/>
          <w:u w:val="single"/>
        </w:rPr>
      </w:pPr>
      <w:r w:rsidRPr="002D37E6">
        <w:rPr>
          <w:color w:val="222222"/>
        </w:rPr>
        <w:t xml:space="preserve">Montano-Campos, J.F., Adair, J.E., Basu, A., Kyeyune, R.B., Bayigga, L., Kityo-Mutuluuza, C. and Hansen, R., (2026). Cost-effectiveness of gene therapy for sickle cell disease in Uganda: tailoring high-income evidence to Uganda’s context. </w:t>
      </w:r>
      <w:r w:rsidRPr="002D37E6">
        <w:rPr>
          <w:i/>
          <w:iCs/>
          <w:color w:val="222222"/>
        </w:rPr>
        <w:t>Gene therapy</w:t>
      </w:r>
      <w:r w:rsidRPr="002D37E6">
        <w:rPr>
          <w:color w:val="222222"/>
        </w:rPr>
        <w:t xml:space="preserve">, </w:t>
      </w:r>
      <w:r w:rsidRPr="002D37E6">
        <w:rPr>
          <w:i/>
          <w:iCs/>
          <w:color w:val="222222"/>
        </w:rPr>
        <w:t>33</w:t>
      </w:r>
      <w:r w:rsidRPr="002D37E6">
        <w:rPr>
          <w:color w:val="222222"/>
        </w:rPr>
        <w:t>(2), pp.109-117.</w:t>
      </w:r>
      <w:hyperlink r:id="rId75">
        <w:r w:rsidRPr="002D37E6">
          <w:rPr>
            <w:color w:val="1155CC"/>
            <w:u w:val="single"/>
          </w:rPr>
          <w:t>https://doi.org/10.1038/s41434-026-00598-1</w:t>
        </w:r>
      </w:hyperlink>
    </w:p>
    <w:p w:rsidR="003A160E" w:rsidRPr="002D37E6" w:rsidRDefault="003A160E">
      <w:pPr>
        <w:pBdr>
          <w:top w:val="nil"/>
          <w:left w:val="nil"/>
          <w:bottom w:val="nil"/>
          <w:right w:val="nil"/>
          <w:between w:val="nil"/>
        </w:pBdr>
        <w:spacing w:before="200" w:after="240"/>
        <w:rPr>
          <w:color w:val="000000"/>
        </w:rPr>
      </w:pPr>
      <w:r w:rsidRPr="002D37E6">
        <w:rPr>
          <w:color w:val="222222"/>
        </w:rPr>
        <w:t xml:space="preserve">Morgan, G., Back, E., Besser, M., Hallett, T.B. and Guzauskas, G.F., (2024). The value-based price of transformative gene therapy for sickle cell disease: a modeling analysis. </w:t>
      </w:r>
      <w:r w:rsidRPr="002D37E6">
        <w:rPr>
          <w:i/>
          <w:iCs/>
          <w:color w:val="222222"/>
        </w:rPr>
        <w:t>Scientific Reports</w:t>
      </w:r>
      <w:r w:rsidRPr="002D37E6">
        <w:rPr>
          <w:color w:val="222222"/>
        </w:rPr>
        <w:t xml:space="preserve">, </w:t>
      </w:r>
      <w:r w:rsidRPr="002D37E6">
        <w:rPr>
          <w:i/>
          <w:iCs/>
          <w:color w:val="222222"/>
        </w:rPr>
        <w:t>14</w:t>
      </w:r>
      <w:r w:rsidRPr="002D37E6">
        <w:rPr>
          <w:color w:val="222222"/>
        </w:rPr>
        <w:t>(1), p.2739.</w:t>
      </w:r>
      <w:hyperlink r:id="rId76">
        <w:r w:rsidRPr="002D37E6">
          <w:rPr>
            <w:color w:val="1155CC"/>
            <w:u w:val="single"/>
          </w:rPr>
          <w:t>https://doi.org/10.1038/s41598-024-53121-0</w:t>
        </w:r>
      </w:hyperlink>
    </w:p>
    <w:p w:rsidR="003A160E" w:rsidRPr="002D37E6" w:rsidRDefault="003A160E">
      <w:pPr>
        <w:pBdr>
          <w:top w:val="nil"/>
          <w:left w:val="nil"/>
          <w:bottom w:val="nil"/>
          <w:right w:val="nil"/>
          <w:between w:val="nil"/>
        </w:pBdr>
        <w:spacing w:before="200" w:after="240"/>
        <w:rPr>
          <w:color w:val="000000"/>
        </w:rPr>
      </w:pPr>
      <w:r w:rsidRPr="002D37E6">
        <w:rPr>
          <w:color w:val="222222"/>
        </w:rPr>
        <w:t xml:space="preserve">Muzambi, R., Bottle, A., Dexter, D., Augustine, C., Joseph, J., Dasaolu, F., Carr, S.B., Reynolds, C., Sathyamoorthy, G., James, J. and Piel, F.B., (2025). Indicators of inequity in research and funding for sickle cell disease, cystic fibrosis and haemophilia: a descriptive comparative study. </w:t>
      </w:r>
      <w:r w:rsidRPr="002D37E6">
        <w:rPr>
          <w:i/>
          <w:iCs/>
          <w:color w:val="222222"/>
        </w:rPr>
        <w:t>The Lancet Haematology</w:t>
      </w:r>
      <w:r w:rsidRPr="002D37E6">
        <w:rPr>
          <w:color w:val="222222"/>
        </w:rPr>
        <w:t xml:space="preserve">, </w:t>
      </w:r>
      <w:r w:rsidRPr="002D37E6">
        <w:rPr>
          <w:i/>
          <w:iCs/>
          <w:color w:val="222222"/>
        </w:rPr>
        <w:t>12</w:t>
      </w:r>
      <w:r w:rsidRPr="002D37E6">
        <w:rPr>
          <w:color w:val="222222"/>
        </w:rPr>
        <w:t>(10), pp.e789-e797.</w:t>
      </w:r>
      <w:hyperlink r:id="rId77">
        <w:r w:rsidRPr="002D37E6">
          <w:rPr>
            <w:color w:val="1155CC"/>
            <w:u w:val="single"/>
          </w:rPr>
          <w:t>https://doi.org/10.1016/S2352-3026(25)00235-2</w:t>
        </w:r>
      </w:hyperlink>
    </w:p>
    <w:p w:rsidR="003A160E" w:rsidRPr="002D37E6" w:rsidRDefault="003A160E">
      <w:pPr>
        <w:spacing w:before="200" w:after="240"/>
      </w:pPr>
      <w:r w:rsidRPr="002D37E6">
        <w:rPr>
          <w:color w:val="222222"/>
        </w:rPr>
        <w:lastRenderedPageBreak/>
        <w:t xml:space="preserve">Naeem, M., Ozuem, W., Howell, K. and Ranfagni, S., (2023). A step-by-step process of thematic analysis to develop a conceptual model in qualitative research. </w:t>
      </w:r>
      <w:r w:rsidRPr="002D37E6">
        <w:rPr>
          <w:i/>
          <w:iCs/>
          <w:color w:val="222222"/>
        </w:rPr>
        <w:t>International journal of qualitative methods</w:t>
      </w:r>
      <w:r w:rsidRPr="002D37E6">
        <w:rPr>
          <w:color w:val="222222"/>
        </w:rPr>
        <w:t xml:space="preserve">, </w:t>
      </w:r>
      <w:r w:rsidRPr="002D37E6">
        <w:rPr>
          <w:i/>
          <w:iCs/>
          <w:color w:val="222222"/>
        </w:rPr>
        <w:t>22</w:t>
      </w:r>
      <w:r w:rsidRPr="002D37E6">
        <w:rPr>
          <w:color w:val="222222"/>
        </w:rPr>
        <w:t>, p.16094069231205789.</w:t>
      </w:r>
      <w:hyperlink r:id="rId78">
        <w:r w:rsidRPr="002D37E6">
          <w:rPr>
            <w:color w:val="1155CC"/>
            <w:u w:val="single"/>
          </w:rPr>
          <w:t>https://journals.sagepub.com/doi/pdf/10.1177/16094069231205789</w:t>
        </w:r>
      </w:hyperlink>
    </w:p>
    <w:p w:rsidR="003A160E" w:rsidRPr="002D37E6" w:rsidRDefault="003A160E">
      <w:pPr>
        <w:spacing w:before="200" w:after="240"/>
        <w:rPr>
          <w:color w:val="1155CC"/>
          <w:u w:val="single"/>
        </w:rPr>
      </w:pPr>
      <w:r w:rsidRPr="002D37E6">
        <w:t xml:space="preserve">Nezameslami, R., Nezameslami, A., Mehdikhani, B., Mosavi-Jarrahi, A., Shahbazi, A., Rahmani, A., Masoudi, A., Yeganegi, M., Akhondzardaini, R., Bahrami, M. and Aghili, K., (2025). Adapting PRISMA Guidelines to Enhance Reporting Quality in Genetic Association Studies: A Framework Proposal. </w:t>
      </w:r>
      <w:r w:rsidRPr="002D37E6">
        <w:rPr>
          <w:i/>
          <w:iCs/>
        </w:rPr>
        <w:t>Asian Pacific Journal of Cancer Prevention: APJCP</w:t>
      </w:r>
      <w:r w:rsidRPr="002D37E6">
        <w:t xml:space="preserve">, </w:t>
      </w:r>
      <w:r w:rsidRPr="002D37E6">
        <w:rPr>
          <w:i/>
          <w:iCs/>
        </w:rPr>
        <w:t>26</w:t>
      </w:r>
      <w:r w:rsidRPr="002D37E6">
        <w:t>(5), p.1641.</w:t>
      </w:r>
      <w:hyperlink r:id="rId79">
        <w:r w:rsidRPr="002D37E6">
          <w:rPr>
            <w:color w:val="1155CC"/>
            <w:u w:val="single"/>
          </w:rPr>
          <w:t>https://doi.org/10.31557/APJCP.2025.26.5.1641</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 xml:space="preserve">NHS England (2023) – "Thousands of sickle cell patients to benefit from quicker access to expert NHS care": </w:t>
      </w:r>
      <w:hyperlink r:id="rId80">
        <w:r w:rsidRPr="002D37E6">
          <w:rPr>
            <w:color w:val="0000FF"/>
            <w:u w:val="single"/>
          </w:rPr>
          <w:t>https://www.england.nhs.uk/2023/06/thousands-of-sickle-cell-patients-to-benefit-from-quicker-access-to-expert-nhs-care/</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 xml:space="preserve">Nieland, L., Vrijmoet, A.B., Jetten, I.W., Rufino-Ramos, D., de Reus, A.J., Breyne, K., Kleinstiver, B.P., Maguire, C.A., Broekman, M.L., Breakefield, X.O. and Abels, E.R., (2025). CRISPR targeting of mmu-miR-21a through a single adeno-associated virus vector prolongs survival of glioblastoma-bearing mice. </w:t>
      </w:r>
      <w:r w:rsidRPr="002D37E6">
        <w:rPr>
          <w:i/>
          <w:iCs/>
          <w:color w:val="000000"/>
        </w:rPr>
        <w:t>Molecular Therapy</w:t>
      </w:r>
      <w:r w:rsidRPr="002D37E6">
        <w:rPr>
          <w:color w:val="000000"/>
        </w:rPr>
        <w:t xml:space="preserve">, </w:t>
      </w:r>
      <w:r w:rsidRPr="002D37E6">
        <w:rPr>
          <w:i/>
          <w:iCs/>
          <w:color w:val="000000"/>
        </w:rPr>
        <w:t>33</w:t>
      </w:r>
      <w:r w:rsidRPr="002D37E6">
        <w:rPr>
          <w:color w:val="000000"/>
        </w:rPr>
        <w:t>(1), pp.133-151.</w:t>
      </w:r>
      <w:hyperlink r:id="rId81">
        <w:r w:rsidRPr="002D37E6">
          <w:rPr>
            <w:color w:val="1155CC"/>
            <w:u w:val="single"/>
          </w:rPr>
          <w:t>https://www.cell.com/molecular-therapy-family/molecular-therapy/pdfExtended/S1525-0016(24)00750-0</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 xml:space="preserve">Nturanabo, M. and Winfred, A., (2025). A Social Equity Lens on Maternal Health Outcomes: Developing a Conceptual Framework. </w:t>
      </w:r>
      <w:r w:rsidRPr="002D37E6">
        <w:rPr>
          <w:i/>
          <w:iCs/>
          <w:color w:val="000000"/>
        </w:rPr>
        <w:t>International Journal of Research and Innovation in Social Science</w:t>
      </w:r>
      <w:r w:rsidRPr="002D37E6">
        <w:rPr>
          <w:color w:val="000000"/>
        </w:rPr>
        <w:t xml:space="preserve">, </w:t>
      </w:r>
      <w:r w:rsidRPr="002D37E6">
        <w:rPr>
          <w:i/>
          <w:iCs/>
          <w:color w:val="000000"/>
        </w:rPr>
        <w:t>9</w:t>
      </w:r>
      <w:r w:rsidRPr="002D37E6">
        <w:rPr>
          <w:color w:val="000000"/>
        </w:rPr>
        <w:t>(5), pp.3746-3750.</w:t>
      </w:r>
      <w:hyperlink r:id="rId82">
        <w:r w:rsidRPr="002D37E6">
          <w:rPr>
            <w:color w:val="1155CC"/>
            <w:u w:val="single"/>
          </w:rPr>
          <w:t>https://dx.doi.org/10.47772/IJRISS.2025.905000284</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 xml:space="preserve">Obeagu, E.I. and John, A., (2025). Health equity in sickle cell disease: overcoming barriers to care in marginalized communities. </w:t>
      </w:r>
      <w:r w:rsidRPr="002D37E6">
        <w:rPr>
          <w:i/>
          <w:iCs/>
          <w:color w:val="000000"/>
        </w:rPr>
        <w:t>Annals of Medicine and Surgery</w:t>
      </w:r>
      <w:r w:rsidRPr="002D37E6">
        <w:rPr>
          <w:color w:val="000000"/>
        </w:rPr>
        <w:t xml:space="preserve">, </w:t>
      </w:r>
      <w:r w:rsidRPr="002D37E6">
        <w:rPr>
          <w:i/>
          <w:iCs/>
          <w:color w:val="000000"/>
        </w:rPr>
        <w:t>87</w:t>
      </w:r>
      <w:r w:rsidRPr="002D37E6">
        <w:rPr>
          <w:color w:val="000000"/>
        </w:rPr>
        <w:t>(12), pp.8610-8616.</w:t>
      </w:r>
      <w:hyperlink r:id="rId83">
        <w:r w:rsidRPr="002D37E6">
          <w:rPr>
            <w:color w:val="1155CC"/>
            <w:u w:val="single"/>
          </w:rPr>
          <w:t>https://journals.lww.com/annals-of-medicine-and-surgery/_layouts/15/oaks.journals/downloadpdf.aspx?an=01845215-202512000-00115</w:t>
        </w:r>
      </w:hyperlink>
    </w:p>
    <w:p w:rsidR="003A160E" w:rsidRPr="002D37E6" w:rsidRDefault="003A160E">
      <w:pPr>
        <w:spacing w:after="240"/>
        <w:rPr>
          <w:color w:val="0000FF"/>
        </w:rPr>
      </w:pPr>
      <w:r w:rsidRPr="002D37E6">
        <w:rPr>
          <w:color w:val="0000FF"/>
        </w:rPr>
        <w:t xml:space="preserve">Obeagu, E.I., (2025). Sickle cell anemia and social justice: a pathway to equitable healthcare in Uganda. </w:t>
      </w:r>
      <w:r w:rsidRPr="002D37E6">
        <w:rPr>
          <w:i/>
          <w:iCs/>
          <w:color w:val="0000FF"/>
        </w:rPr>
        <w:t>Annals of Medicine and Surgery</w:t>
      </w:r>
      <w:r w:rsidRPr="002D37E6">
        <w:rPr>
          <w:color w:val="0000FF"/>
        </w:rPr>
        <w:t xml:space="preserve">, </w:t>
      </w:r>
      <w:r w:rsidRPr="002D37E6">
        <w:rPr>
          <w:i/>
          <w:iCs/>
          <w:color w:val="0000FF"/>
        </w:rPr>
        <w:t>87</w:t>
      </w:r>
      <w:r w:rsidRPr="002D37E6">
        <w:rPr>
          <w:color w:val="0000FF"/>
        </w:rPr>
        <w:t>(11), p.7327.</w:t>
      </w:r>
      <w:hyperlink r:id="rId84">
        <w:r w:rsidRPr="002D37E6">
          <w:rPr>
            <w:color w:val="0000FF"/>
            <w:u w:val="single"/>
          </w:rPr>
          <w:t>https://www.frontiersin.org/journals/health-services/articles/10.3389/frhs.2026.1842019/pdf</w:t>
        </w:r>
      </w:hyperlink>
    </w:p>
    <w:p w:rsidR="003A160E" w:rsidRPr="002D37E6" w:rsidRDefault="003A160E">
      <w:pPr>
        <w:spacing w:after="240"/>
        <w:rPr>
          <w:color w:val="0000FF"/>
        </w:rPr>
      </w:pPr>
      <w:r w:rsidRPr="002D37E6">
        <w:lastRenderedPageBreak/>
        <w:t xml:space="preserve">Obeagu, E.I., Adias, T.C. and Obeagu, G.U., (2024). Advancing life: innovative approaches to enhance survival in sickle cell anemia patients. </w:t>
      </w:r>
      <w:r w:rsidRPr="002D37E6">
        <w:rPr>
          <w:i/>
          <w:iCs/>
        </w:rPr>
        <w:t>Annals of Medicine and Surgery</w:t>
      </w:r>
      <w:r w:rsidRPr="002D37E6">
        <w:t xml:space="preserve">, </w:t>
      </w:r>
      <w:r w:rsidRPr="002D37E6">
        <w:rPr>
          <w:i/>
          <w:iCs/>
        </w:rPr>
        <w:t>86</w:t>
      </w:r>
      <w:r w:rsidRPr="002D37E6">
        <w:t>(10), p.6021.</w:t>
      </w:r>
      <w:hyperlink r:id="rId85">
        <w:r w:rsidRPr="002D37E6">
          <w:rPr>
            <w:color w:val="0000FF"/>
            <w:u w:val="single"/>
          </w:rPr>
          <w:t>https://pmc.ncbi.nlm.nih.gov/articles/PMC11444627/</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 xml:space="preserve">Ogunyemi, A.O., Uteh, C.O., Fairbairn, R., Meader, N. and Craig, D., (2025). International comparison of medicines approvals in the UK: a retrospective analysis. </w:t>
      </w:r>
      <w:r w:rsidRPr="002D37E6">
        <w:rPr>
          <w:i/>
          <w:iCs/>
          <w:color w:val="000000"/>
        </w:rPr>
        <w:t>BMJ open, 15</w:t>
      </w:r>
      <w:r w:rsidRPr="002D37E6">
        <w:rPr>
          <w:color w:val="000000"/>
        </w:rPr>
        <w:t xml:space="preserve">(11), p.e101643. </w:t>
      </w:r>
      <w:hyperlink r:id="rId86">
        <w:r w:rsidRPr="002D37E6">
          <w:rPr>
            <w:color w:val="1155CC"/>
            <w:u w:val="single"/>
          </w:rPr>
          <w:t>https://bmjopen.bmj.com/content/bmjopen/15/11/e101643.full.pdf</w:t>
        </w:r>
      </w:hyperlink>
      <w:r w:rsidRPr="002D37E6">
        <w:rPr>
          <w:color w:val="000000"/>
        </w:rPr>
        <w:t> </w:t>
      </w:r>
    </w:p>
    <w:p w:rsidR="003A160E" w:rsidRPr="002D37E6" w:rsidRDefault="003A160E">
      <w:pPr>
        <w:pBdr>
          <w:top w:val="nil"/>
          <w:left w:val="nil"/>
          <w:bottom w:val="nil"/>
          <w:right w:val="nil"/>
          <w:between w:val="nil"/>
        </w:pBdr>
        <w:spacing w:before="200" w:after="240"/>
      </w:pPr>
      <w:r w:rsidRPr="002D37E6">
        <w:t xml:space="preserve">Oti, A.E., Heyes, K., Bruce, F. and Wilmott, D., (2023). A rapid evidence assessment of sickle cell disease educational interventions. </w:t>
      </w:r>
      <w:r w:rsidRPr="002D37E6">
        <w:rPr>
          <w:i/>
          <w:iCs/>
        </w:rPr>
        <w:t>Journal of Clinical Nursing, 32</w:t>
      </w:r>
      <w:r w:rsidRPr="002D37E6">
        <w:t xml:space="preserve">(5-6), pp.812-824. </w:t>
      </w:r>
      <w:hyperlink r:id="rId87">
        <w:r w:rsidRPr="002D37E6">
          <w:rPr>
            <w:color w:val="0000FF"/>
            <w:u w:val="single"/>
          </w:rPr>
          <w:t>https://doi.org/10.1111/jocn.16370</w:t>
        </w:r>
      </w:hyperlink>
      <w:r w:rsidRPr="002D37E6">
        <w:t>  </w:t>
      </w:r>
    </w:p>
    <w:p w:rsidR="003A160E" w:rsidRPr="002D37E6" w:rsidRDefault="003A160E">
      <w:pPr>
        <w:spacing w:before="200" w:after="240"/>
        <w:rPr>
          <w:color w:val="1155CC"/>
          <w:u w:val="single"/>
        </w:rPr>
      </w:pPr>
      <w:r w:rsidRPr="002D37E6">
        <w:t xml:space="preserve">Page, M.J., Moher, D., Bossuyt, P.M. </w:t>
      </w:r>
      <w:r w:rsidRPr="002D37E6">
        <w:rPr>
          <w:i/>
          <w:iCs/>
        </w:rPr>
        <w:t>et al.</w:t>
      </w:r>
      <w:r w:rsidRPr="002D37E6">
        <w:t xml:space="preserve"> (2022). PRISMA 2020 explanation and elaboration: updated guidance and exemplars for reporting systematic reviews. </w:t>
      </w:r>
      <w:r w:rsidRPr="002D37E6">
        <w:rPr>
          <w:i/>
          <w:iCs/>
        </w:rPr>
        <w:t>BMJ</w:t>
      </w:r>
      <w:r w:rsidRPr="002D37E6">
        <w:t>, 372.</w:t>
      </w:r>
      <w:hyperlink r:id="rId88">
        <w:r w:rsidRPr="002D37E6">
          <w:rPr>
            <w:color w:val="1155CC"/>
            <w:u w:val="single"/>
          </w:rPr>
          <w:t>https://www.bmj.com/content/372/bmj.n160</w:t>
        </w:r>
      </w:hyperlink>
    </w:p>
    <w:p w:rsidR="003A160E" w:rsidRPr="002D37E6" w:rsidRDefault="003A160E">
      <w:pPr>
        <w:spacing w:before="200" w:after="240"/>
        <w:rPr>
          <w:color w:val="1155CC"/>
          <w:u w:val="single"/>
        </w:rPr>
      </w:pPr>
      <w:r w:rsidRPr="002D37E6">
        <w:rPr>
          <w:color w:val="222222"/>
        </w:rPr>
        <w:t xml:space="preserve">Parums, D.V., (2024). First regulatory approvals for CRISPR-Cas9 therapeutic gene editing for sickle cell disease and transfusion-dependent β-thalassemia. </w:t>
      </w:r>
      <w:r w:rsidRPr="002D37E6">
        <w:rPr>
          <w:i/>
          <w:iCs/>
          <w:color w:val="222222"/>
        </w:rPr>
        <w:t>Medical science monitor: international medical journal of experimental and clinical research</w:t>
      </w:r>
      <w:r w:rsidRPr="002D37E6">
        <w:rPr>
          <w:color w:val="222222"/>
        </w:rPr>
        <w:t xml:space="preserve">, </w:t>
      </w:r>
      <w:r w:rsidRPr="002D37E6">
        <w:rPr>
          <w:i/>
          <w:iCs/>
          <w:color w:val="222222"/>
        </w:rPr>
        <w:t>30</w:t>
      </w:r>
      <w:r w:rsidRPr="002D37E6">
        <w:rPr>
          <w:color w:val="222222"/>
        </w:rPr>
        <w:t>, pp.e944204-1.</w:t>
      </w:r>
      <w:hyperlink r:id="rId89">
        <w:r w:rsidRPr="002D37E6">
          <w:rPr>
            <w:color w:val="1155CC"/>
            <w:u w:val="single"/>
          </w:rPr>
          <w:t>https://doi.org/10.12659/MSM.944204</w:t>
        </w:r>
      </w:hyperlink>
    </w:p>
    <w:p w:rsidR="003A160E" w:rsidRPr="002D37E6" w:rsidRDefault="003A160E">
      <w:pPr>
        <w:spacing w:before="200" w:after="240"/>
        <w:rPr>
          <w:color w:val="1155CC"/>
          <w:u w:val="single"/>
        </w:rPr>
      </w:pPr>
      <w:r w:rsidRPr="002D37E6">
        <w:rPr>
          <w:color w:val="222222"/>
        </w:rPr>
        <w:t>Pinhas, A., Zhou, D.B., Otero-Marquez, O., Castanos Toral, M.V., Migacz, J.V., Glassberg, J., Rosen, R.B. and Chui, T.Y., (2022). Efficacy of CRISPR</w:t>
      </w:r>
      <w:r w:rsidRPr="002D37E6">
        <w:rPr>
          <w:rFonts w:ascii="Cambria Math" w:eastAsia="Cambria Math" w:hAnsi="Cambria Math" w:cs="Cambria Math"/>
          <w:color w:val="222222"/>
        </w:rPr>
        <w:t>‐</w:t>
      </w:r>
      <w:r w:rsidRPr="002D37E6">
        <w:rPr>
          <w:color w:val="222222"/>
        </w:rPr>
        <w:t xml:space="preserve">Based Gene Editing in a Sickle Cell Disease Patient as Measured through the Eye. </w:t>
      </w:r>
      <w:r w:rsidRPr="002D37E6">
        <w:rPr>
          <w:i/>
          <w:iCs/>
          <w:color w:val="222222"/>
        </w:rPr>
        <w:t>Case Reports in Hematology</w:t>
      </w:r>
      <w:r w:rsidRPr="002D37E6">
        <w:rPr>
          <w:color w:val="222222"/>
        </w:rPr>
        <w:t xml:space="preserve">, </w:t>
      </w:r>
      <w:r w:rsidRPr="002D37E6">
        <w:rPr>
          <w:i/>
          <w:iCs/>
          <w:color w:val="222222"/>
        </w:rPr>
        <w:t>2022</w:t>
      </w:r>
      <w:r w:rsidRPr="002D37E6">
        <w:rPr>
          <w:color w:val="222222"/>
        </w:rPr>
        <w:t>(1), p.6079631.</w:t>
      </w:r>
      <w:hyperlink r:id="rId90">
        <w:r w:rsidRPr="002D37E6">
          <w:rPr>
            <w:color w:val="1155CC"/>
            <w:u w:val="single"/>
          </w:rPr>
          <w:t>https://doi.org/10.1155/2022/6079631</w:t>
        </w:r>
      </w:hyperlink>
    </w:p>
    <w:p w:rsidR="003A160E" w:rsidRPr="002D37E6" w:rsidRDefault="003A160E">
      <w:pPr>
        <w:pBdr>
          <w:top w:val="nil"/>
          <w:left w:val="nil"/>
          <w:bottom w:val="nil"/>
          <w:right w:val="nil"/>
          <w:between w:val="nil"/>
        </w:pBdr>
        <w:spacing w:before="200" w:after="240"/>
      </w:pPr>
      <w:r w:rsidRPr="002D37E6">
        <w:t xml:space="preserve">Resnicow, K., Catley, D., Goggin, K., Hawley, S. and Williams, G.C., (2022). Shared decision making in health care: theoretical perspectives for why it works and for whom. </w:t>
      </w:r>
      <w:r w:rsidRPr="002D37E6">
        <w:rPr>
          <w:i/>
          <w:iCs/>
        </w:rPr>
        <w:t>Medical Decision Making, 42</w:t>
      </w:r>
      <w:r w:rsidRPr="002D37E6">
        <w:t xml:space="preserve">(6), pp.755-764. </w:t>
      </w:r>
      <w:hyperlink r:id="rId91">
        <w:r w:rsidRPr="002D37E6">
          <w:rPr>
            <w:color w:val="0000FF"/>
            <w:u w:val="single"/>
          </w:rPr>
          <w:t>https://doi.org/10.1177/0272989X211058068</w:t>
        </w:r>
      </w:hyperlink>
      <w:r w:rsidRPr="002D37E6">
        <w:t>  </w:t>
      </w:r>
    </w:p>
    <w:p w:rsidR="003A160E" w:rsidRPr="002D37E6" w:rsidRDefault="003A160E">
      <w:pPr>
        <w:pBdr>
          <w:top w:val="nil"/>
          <w:left w:val="nil"/>
          <w:bottom w:val="nil"/>
          <w:right w:val="nil"/>
          <w:between w:val="nil"/>
        </w:pBdr>
        <w:spacing w:before="200" w:after="240"/>
        <w:rPr>
          <w:color w:val="000000"/>
        </w:rPr>
      </w:pPr>
      <w:r w:rsidRPr="002D37E6">
        <w:rPr>
          <w:color w:val="000000"/>
        </w:rPr>
        <w:t xml:space="preserve">Rueda, J., de Miguel Beriain, Í. and Montoliu, L., (2024). Affordable pricing of CRISPR treatments is a pressing ethical imperative. </w:t>
      </w:r>
      <w:r w:rsidRPr="002D37E6">
        <w:rPr>
          <w:i/>
          <w:iCs/>
          <w:color w:val="000000"/>
        </w:rPr>
        <w:t>The CRISPR journal</w:t>
      </w:r>
      <w:r w:rsidRPr="002D37E6">
        <w:rPr>
          <w:color w:val="000000"/>
        </w:rPr>
        <w:t xml:space="preserve">, </w:t>
      </w:r>
      <w:r w:rsidRPr="002D37E6">
        <w:rPr>
          <w:i/>
          <w:iCs/>
          <w:color w:val="000000"/>
        </w:rPr>
        <w:t>7</w:t>
      </w:r>
      <w:r w:rsidRPr="002D37E6">
        <w:rPr>
          <w:color w:val="000000"/>
        </w:rPr>
        <w:t>(5), pp.220-226.</w:t>
      </w:r>
      <w:hyperlink r:id="rId92">
        <w:r w:rsidRPr="002D37E6">
          <w:rPr>
            <w:color w:val="1155CC"/>
            <w:u w:val="single"/>
          </w:rPr>
          <w:t>http://dx.doi.org/10.1089/crispr.2024.0042</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 xml:space="preserve">Saghya Infant, S. and CM, M.M., (2025). CRISPR-Based Gene Editing in Human Medicine: Clinical Potentials and Ethical Dilemmas. </w:t>
      </w:r>
      <w:r w:rsidRPr="002D37E6">
        <w:rPr>
          <w:i/>
          <w:iCs/>
          <w:color w:val="000000"/>
        </w:rPr>
        <w:t>Benha Medical Journal</w:t>
      </w:r>
      <w:r w:rsidRPr="002D37E6">
        <w:rPr>
          <w:color w:val="000000"/>
        </w:rPr>
        <w:t xml:space="preserve">, </w:t>
      </w:r>
      <w:r w:rsidRPr="002D37E6">
        <w:rPr>
          <w:i/>
          <w:iCs/>
          <w:color w:val="000000"/>
        </w:rPr>
        <w:t>42</w:t>
      </w:r>
      <w:r w:rsidRPr="002D37E6">
        <w:rPr>
          <w:color w:val="000000"/>
        </w:rPr>
        <w:t>(10), pp.71-97.</w:t>
      </w:r>
      <w:hyperlink r:id="rId93">
        <w:r w:rsidRPr="002D37E6">
          <w:rPr>
            <w:color w:val="0000FF"/>
            <w:u w:val="single"/>
          </w:rPr>
          <w:t>https://bmfj.journals.ekb.eg/article_458374_0a2763ff935c38ecc049ea4383399a5d.pdf</w:t>
        </w:r>
      </w:hyperlink>
    </w:p>
    <w:p w:rsidR="003A160E" w:rsidRPr="002D37E6" w:rsidRDefault="003A160E">
      <w:pPr>
        <w:pBdr>
          <w:top w:val="nil"/>
          <w:left w:val="nil"/>
          <w:bottom w:val="nil"/>
          <w:right w:val="nil"/>
          <w:between w:val="nil"/>
        </w:pBdr>
        <w:spacing w:before="200" w:after="240"/>
      </w:pPr>
      <w:r w:rsidRPr="002D37E6">
        <w:lastRenderedPageBreak/>
        <w:t xml:space="preserve">Salmani, H., Nasiri, S. and Ahmadi, M., (2024). The advantages, disadvantages, threats, and opportunities of electronic patient-reported outcome systems in cancer: a systematic review. </w:t>
      </w:r>
      <w:r w:rsidRPr="002D37E6">
        <w:rPr>
          <w:i/>
          <w:iCs/>
        </w:rPr>
        <w:t>Digital Health, 10</w:t>
      </w:r>
      <w:r w:rsidRPr="002D37E6">
        <w:t xml:space="preserve">, p.20552076241257146. </w:t>
      </w:r>
      <w:hyperlink r:id="rId94">
        <w:r w:rsidRPr="002D37E6">
          <w:rPr>
            <w:color w:val="0000FF"/>
            <w:u w:val="single"/>
          </w:rPr>
          <w:t>https://doi.org/10.1177/20552076241257146</w:t>
        </w:r>
      </w:hyperlink>
      <w:r w:rsidRPr="002D37E6">
        <w:t>  </w:t>
      </w:r>
    </w:p>
    <w:p w:rsidR="003A160E" w:rsidRPr="002D37E6" w:rsidRDefault="003A160E">
      <w:pPr>
        <w:spacing w:before="200" w:after="240"/>
      </w:pPr>
      <w:r w:rsidRPr="002D37E6">
        <w:t xml:space="preserve">Saunders, M., Lewis, P. and Thornhill, A. (2023). </w:t>
      </w:r>
      <w:r w:rsidRPr="002D37E6">
        <w:rPr>
          <w:i/>
          <w:iCs/>
        </w:rPr>
        <w:t>Research Methods for Business Students</w:t>
      </w:r>
      <w:r w:rsidRPr="002D37E6">
        <w:t xml:space="preserve">. 9th edn. Harlow: Pearson. </w:t>
      </w:r>
      <w:hyperlink r:id="rId95">
        <w:r w:rsidRPr="002D37E6">
          <w:rPr>
            <w:color w:val="0563C1"/>
            <w:u w:val="single"/>
          </w:rPr>
          <w:t>https://www.researchgate.net/publication/240218229_Research_Methods_for_Business_Students</w:t>
        </w:r>
      </w:hyperlink>
    </w:p>
    <w:p w:rsidR="003A160E" w:rsidRPr="002D37E6" w:rsidRDefault="003A160E">
      <w:pPr>
        <w:spacing w:before="200" w:after="240"/>
        <w:rPr>
          <w:color w:val="1155CC"/>
          <w:u w:val="single"/>
        </w:rPr>
      </w:pPr>
      <w:r w:rsidRPr="002D37E6">
        <w:t xml:space="preserve">Shereefdeen, H., Thaivalappil, A., Young, I. and MacKay, M., (2025). A Pilot Study on Generative Artificial Intelligence’s Reliability in Qualitative Research Quality Appraisal Using CASP and JBI Checklists. </w:t>
      </w:r>
      <w:r w:rsidRPr="002D37E6">
        <w:rPr>
          <w:i/>
          <w:iCs/>
        </w:rPr>
        <w:t>INQUIRY: The Journal of Health Care Organization, Provision, and Financing</w:t>
      </w:r>
      <w:r w:rsidRPr="002D37E6">
        <w:t xml:space="preserve">, </w:t>
      </w:r>
      <w:r w:rsidRPr="002D37E6">
        <w:rPr>
          <w:i/>
          <w:iCs/>
        </w:rPr>
        <w:t>62</w:t>
      </w:r>
      <w:r w:rsidRPr="002D37E6">
        <w:t>, p.00469580251399374.</w:t>
      </w:r>
      <w:hyperlink r:id="rId96">
        <w:r w:rsidRPr="002D37E6">
          <w:rPr>
            <w:color w:val="1155CC"/>
            <w:u w:val="single"/>
          </w:rPr>
          <w:t>https://doi.org/10.1177/00469580251399374</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Simeon, C.A., Beega, G.F., Adeshina, C.O., Bassey, E.F., Nkpurukwe, P.N. and Spiff, E.E., (2025). Sickle cell disease in Sub-Saharan Africa: is CRISPR-Cas9 the breakthrough we’ve been waiting for?.</w:t>
      </w:r>
      <w:r w:rsidRPr="002D37E6">
        <w:rPr>
          <w:i/>
          <w:iCs/>
          <w:color w:val="000000"/>
        </w:rPr>
        <w:t>Asian J Biochem Genet MolBiol</w:t>
      </w:r>
      <w:r w:rsidRPr="002D37E6">
        <w:rPr>
          <w:color w:val="000000"/>
        </w:rPr>
        <w:t xml:space="preserve">, </w:t>
      </w:r>
      <w:r w:rsidRPr="002D37E6">
        <w:rPr>
          <w:i/>
          <w:iCs/>
          <w:color w:val="000000"/>
        </w:rPr>
        <w:t>17</w:t>
      </w:r>
      <w:r w:rsidRPr="002D37E6">
        <w:rPr>
          <w:color w:val="000000"/>
        </w:rPr>
        <w:t>(2), pp.59-86.</w:t>
      </w:r>
      <w:hyperlink r:id="rId97">
        <w:r w:rsidRPr="002D37E6">
          <w:rPr>
            <w:color w:val="1155CC"/>
            <w:u w:val="single"/>
          </w:rPr>
          <w:t>https://doi.org/10.9734/ajbgmb/2025/v17i2443</w:t>
        </w:r>
      </w:hyperlink>
    </w:p>
    <w:p w:rsidR="003A160E" w:rsidRPr="002D37E6" w:rsidRDefault="003A160E">
      <w:pPr>
        <w:spacing w:before="200" w:after="240"/>
        <w:rPr>
          <w:color w:val="1155CC"/>
          <w:u w:val="single"/>
        </w:rPr>
      </w:pPr>
      <w:r w:rsidRPr="002D37E6">
        <w:rPr>
          <w:color w:val="222222"/>
        </w:rPr>
        <w:t>Simeon, C.A., Beega, G.F., Adeshina, C.O., Bassey, E.F., Nkpurukwe, P.N. and Spiff, E.E., (2025). Sickle cell disease in Sub-Saharan Africa: is CRISPR-Cas9 the breakthrough we’ve been waiting for?.</w:t>
      </w:r>
      <w:r w:rsidRPr="002D37E6">
        <w:rPr>
          <w:i/>
          <w:iCs/>
          <w:color w:val="222222"/>
        </w:rPr>
        <w:t>Asian J Biochem Genet Mol Biol</w:t>
      </w:r>
      <w:r w:rsidRPr="002D37E6">
        <w:rPr>
          <w:color w:val="222222"/>
        </w:rPr>
        <w:t xml:space="preserve">, </w:t>
      </w:r>
      <w:r w:rsidRPr="002D37E6">
        <w:rPr>
          <w:i/>
          <w:iCs/>
          <w:color w:val="222222"/>
        </w:rPr>
        <w:t>17</w:t>
      </w:r>
      <w:r w:rsidRPr="002D37E6">
        <w:rPr>
          <w:color w:val="222222"/>
        </w:rPr>
        <w:t>(2), pp.59-86.</w:t>
      </w:r>
      <w:hyperlink r:id="rId98">
        <w:r w:rsidRPr="002D37E6">
          <w:rPr>
            <w:color w:val="1155CC"/>
            <w:u w:val="single"/>
          </w:rPr>
          <w:t>https://doi.org/10.9734/ajbgmb/2025/v17i2443</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 xml:space="preserve">Singh, A., Irfan, H., Fatima, E., Nazir, Z., Verma, A. and Akilimali, A., (2024). Revolutionary breakthrough: FDA approves CASGEVY, the first CRISPR/Cas9 gene therapy for sickle cell disease. </w:t>
      </w:r>
      <w:r w:rsidRPr="002D37E6">
        <w:rPr>
          <w:i/>
          <w:iCs/>
          <w:color w:val="000000"/>
        </w:rPr>
        <w:t>Annals of medicine and surgery</w:t>
      </w:r>
      <w:r w:rsidRPr="002D37E6">
        <w:rPr>
          <w:color w:val="000000"/>
        </w:rPr>
        <w:t xml:space="preserve">, </w:t>
      </w:r>
      <w:r w:rsidRPr="002D37E6">
        <w:rPr>
          <w:i/>
          <w:iCs/>
          <w:color w:val="000000"/>
        </w:rPr>
        <w:t>86</w:t>
      </w:r>
      <w:r w:rsidRPr="002D37E6">
        <w:rPr>
          <w:color w:val="000000"/>
        </w:rPr>
        <w:t>(8), pp.4555-4559.</w:t>
      </w:r>
      <w:hyperlink r:id="rId99">
        <w:r w:rsidRPr="002D37E6">
          <w:rPr>
            <w:color w:val="1155CC"/>
            <w:u w:val="single"/>
          </w:rPr>
          <w:t>https://journals.lww.com/annals-of-medicine-and-surgery/_layouts/15/oaks.journals/downloadpdf.aspx?an=01845215-202408000-00040</w:t>
        </w:r>
      </w:hyperlink>
    </w:p>
    <w:p w:rsidR="003A160E" w:rsidRPr="002D37E6" w:rsidRDefault="003A160E">
      <w:pPr>
        <w:spacing w:before="200" w:after="240"/>
      </w:pPr>
      <w:r w:rsidRPr="002D37E6">
        <w:rPr>
          <w:color w:val="222222"/>
        </w:rPr>
        <w:t xml:space="preserve">Singh, A., Kumar, R., Chauhan, P., Mallikarjuna, M., Thaker, R. and Sambhav, K., (2026). CRISPR-Cas9-Mediated Gene Editing in Hematological Disorders: Advancing Translational and Clinical Applications. </w:t>
      </w:r>
      <w:r w:rsidRPr="002D37E6">
        <w:rPr>
          <w:i/>
          <w:iCs/>
          <w:color w:val="222222"/>
        </w:rPr>
        <w:t>Cureus</w:t>
      </w:r>
      <w:r w:rsidRPr="002D37E6">
        <w:rPr>
          <w:color w:val="222222"/>
        </w:rPr>
        <w:t>,</w:t>
      </w:r>
      <w:r w:rsidRPr="002D37E6">
        <w:rPr>
          <w:i/>
          <w:iCs/>
          <w:color w:val="222222"/>
        </w:rPr>
        <w:t>18</w:t>
      </w:r>
      <w:r w:rsidRPr="002D37E6">
        <w:rPr>
          <w:color w:val="222222"/>
        </w:rPr>
        <w:t>(5), pp.e108691-e108691.</w:t>
      </w:r>
      <w:r w:rsidR="0022385B">
        <w:rPr>
          <w:color w:val="222222"/>
        </w:rPr>
        <w:t xml:space="preserve"> </w:t>
      </w:r>
      <w:r w:rsidR="0022385B" w:rsidRPr="002D37E6">
        <w:t xml:space="preserve"> </w:t>
      </w:r>
      <w:bookmarkStart w:id="84" w:name="_Hlk241101577"/>
      <w:r w:rsidR="002C0289">
        <w:fldChar w:fldCharType="begin"/>
      </w:r>
      <w:r w:rsidR="0022385B">
        <w:instrText xml:space="preserve"> HYPERLINK "https://doi.org/10.7759/cureus.108691" </w:instrText>
      </w:r>
      <w:r w:rsidR="002C0289">
        <w:fldChar w:fldCharType="separate"/>
      </w:r>
      <w:r w:rsidR="0022385B" w:rsidRPr="0022385B">
        <w:rPr>
          <w:rStyle w:val="Hyperlink"/>
        </w:rPr>
        <w:t>https://doi.org/10.7759/cureus.108691</w:t>
      </w:r>
      <w:bookmarkEnd w:id="84"/>
      <w:r w:rsidR="002C0289">
        <w:fldChar w:fldCharType="end"/>
      </w:r>
    </w:p>
    <w:p w:rsidR="003A160E" w:rsidRPr="002D37E6" w:rsidRDefault="003A160E">
      <w:pPr>
        <w:spacing w:before="200" w:after="240"/>
      </w:pPr>
      <w:r w:rsidRPr="002D37E6">
        <w:lastRenderedPageBreak/>
        <w:t>Smela, B., Toumi, M., Świerk, K., Clement, F., Biernikiewicz, M., Clay, E. and Boyer, L., (2023). Rapid literature review: definition and methodology. Journal of Market Access &amp; Health Policy, 11(1), p.2241234.</w:t>
      </w:r>
      <w:hyperlink r:id="rId100">
        <w:r w:rsidRPr="002D37E6">
          <w:rPr>
            <w:color w:val="0563C1"/>
            <w:u w:val="single"/>
          </w:rPr>
          <w:t xml:space="preserve"> https://doi.org/10.1080/20016689.2023.2241234</w:t>
        </w:r>
      </w:hyperlink>
    </w:p>
    <w:p w:rsidR="003A160E" w:rsidRPr="002D37E6" w:rsidRDefault="003A160E">
      <w:pPr>
        <w:spacing w:before="200" w:after="240"/>
        <w:rPr>
          <w:color w:val="0563C1"/>
          <w:u w:val="single"/>
        </w:rPr>
      </w:pPr>
      <w:r w:rsidRPr="002D37E6">
        <w:t>Subica, A.M., (2023). CRISPR in public health: The health equity implications and role of community in gene-editing research and applications. American Journal of Public Health, 113(8), pp.874-882.</w:t>
      </w:r>
      <w:hyperlink r:id="rId101">
        <w:r w:rsidRPr="002D37E6">
          <w:rPr>
            <w:color w:val="0563C1"/>
            <w:u w:val="single"/>
          </w:rPr>
          <w:t xml:space="preserve"> https://doi.org/10.2105/AJPH.2023.307315</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 xml:space="preserve">Tao, J., Bauer, D.E. and Chiarle, R., (2023). Assessing and advancing the safety of CRISPR-Cas tools: from DNA to RNA editing. </w:t>
      </w:r>
      <w:r w:rsidRPr="002D37E6">
        <w:rPr>
          <w:i/>
          <w:iCs/>
          <w:color w:val="000000"/>
        </w:rPr>
        <w:t>Nature Communications</w:t>
      </w:r>
      <w:r w:rsidRPr="002D37E6">
        <w:rPr>
          <w:color w:val="000000"/>
        </w:rPr>
        <w:t xml:space="preserve">, </w:t>
      </w:r>
      <w:r w:rsidRPr="002D37E6">
        <w:rPr>
          <w:i/>
          <w:iCs/>
          <w:color w:val="000000"/>
        </w:rPr>
        <w:t>14</w:t>
      </w:r>
      <w:r w:rsidRPr="002D37E6">
        <w:rPr>
          <w:color w:val="000000"/>
        </w:rPr>
        <w:t>(1), p.212.</w:t>
      </w:r>
      <w:hyperlink r:id="rId102">
        <w:r w:rsidRPr="002D37E6">
          <w:rPr>
            <w:color w:val="1155CC"/>
            <w:u w:val="single"/>
          </w:rPr>
          <w:t>https://www.nature.com/articles/s41467-023-35886-6.pdf</w:t>
        </w:r>
      </w:hyperlink>
    </w:p>
    <w:p w:rsidR="003A160E" w:rsidRPr="002D37E6" w:rsidRDefault="003A160E">
      <w:pPr>
        <w:spacing w:before="200" w:after="240"/>
      </w:pPr>
      <w:r w:rsidRPr="002D37E6">
        <w:rPr>
          <w:color w:val="222222"/>
        </w:rPr>
        <w:t xml:space="preserve">Tardif, M., Saby, M., Forté, S. and Pincez, T., (2026). The Journey of Gene Therapy in Sickle Cell Disease: How Molecular Advances Meet Clinical Care. </w:t>
      </w:r>
      <w:r w:rsidRPr="002D37E6">
        <w:rPr>
          <w:i/>
          <w:iCs/>
          <w:color w:val="222222"/>
        </w:rPr>
        <w:t>Cells (2073-4409)</w:t>
      </w:r>
      <w:r w:rsidRPr="002D37E6">
        <w:rPr>
          <w:color w:val="222222"/>
        </w:rPr>
        <w:t xml:space="preserve">, </w:t>
      </w:r>
      <w:r w:rsidRPr="002D37E6">
        <w:rPr>
          <w:i/>
          <w:iCs/>
          <w:color w:val="222222"/>
        </w:rPr>
        <w:t>15</w:t>
      </w:r>
      <w:r w:rsidRPr="002D37E6">
        <w:rPr>
          <w:color w:val="222222"/>
        </w:rPr>
        <w:t>(10), p.939.</w:t>
      </w:r>
      <w:hyperlink r:id="rId103">
        <w:r w:rsidRPr="002D37E6">
          <w:rPr>
            <w:color w:val="1155CC"/>
            <w:u w:val="single"/>
          </w:rPr>
          <w:t>https://doi.org/10.3390/cells15100939</w:t>
        </w:r>
      </w:hyperlink>
    </w:p>
    <w:p w:rsidR="003A160E" w:rsidRPr="002D37E6" w:rsidRDefault="003A160E">
      <w:pPr>
        <w:pBdr>
          <w:top w:val="nil"/>
          <w:left w:val="nil"/>
          <w:bottom w:val="nil"/>
          <w:right w:val="nil"/>
          <w:between w:val="nil"/>
        </w:pBdr>
        <w:spacing w:before="200" w:after="240"/>
      </w:pPr>
      <w:r w:rsidRPr="002D37E6">
        <w:rPr>
          <w:color w:val="000000"/>
        </w:rPr>
        <w:t xml:space="preserve">Thomson </w:t>
      </w:r>
      <w:r w:rsidRPr="002D37E6">
        <w:rPr>
          <w:i/>
          <w:iCs/>
          <w:color w:val="000000"/>
        </w:rPr>
        <w:t>et al.</w:t>
      </w:r>
      <w:r w:rsidRPr="002D37E6">
        <w:rPr>
          <w:color w:val="000000"/>
        </w:rPr>
        <w:t xml:space="preserve"> (2023) – GBD 2021 Sickle Cell Disease Collaborators, Lancet Haematology: </w:t>
      </w:r>
      <w:hyperlink r:id="rId104">
        <w:r w:rsidRPr="002D37E6">
          <w:rPr>
            <w:color w:val="0000FF"/>
            <w:u w:val="single"/>
          </w:rPr>
          <w:t>https://pmc.ncbi.nlm.nih.gov/articles/PMC10390339/</w:t>
        </w:r>
      </w:hyperlink>
    </w:p>
    <w:p w:rsidR="003A160E" w:rsidRPr="002D37E6" w:rsidRDefault="003A160E">
      <w:pPr>
        <w:pBdr>
          <w:top w:val="nil"/>
          <w:left w:val="nil"/>
          <w:bottom w:val="nil"/>
          <w:right w:val="nil"/>
          <w:between w:val="nil"/>
        </w:pBdr>
        <w:spacing w:before="200" w:after="240"/>
      </w:pPr>
      <w:r w:rsidRPr="002D37E6">
        <w:t xml:space="preserve">Toro, W., Yang, M., Patel, A., Zhang, S., Dabbous, O. and Garrison Jr, L.P., (2025). Evolving concept of value in health economics and outcomes research: emerging tools for innovation and access to cell and gene therapies for rare diseases. </w:t>
      </w:r>
      <w:r w:rsidRPr="002D37E6">
        <w:rPr>
          <w:i/>
          <w:iCs/>
        </w:rPr>
        <w:t>Value in Health</w:t>
      </w:r>
      <w:r w:rsidRPr="002D37E6">
        <w:t xml:space="preserve">, </w:t>
      </w:r>
      <w:r w:rsidRPr="002D37E6">
        <w:rPr>
          <w:i/>
          <w:iCs/>
        </w:rPr>
        <w:t>28</w:t>
      </w:r>
      <w:r w:rsidRPr="002D37E6">
        <w:t xml:space="preserve">(5), pp.686-691. </w:t>
      </w:r>
      <w:hyperlink r:id="rId105">
        <w:r w:rsidRPr="002D37E6">
          <w:rPr>
            <w:color w:val="0000FF"/>
            <w:u w:val="single"/>
          </w:rPr>
          <w:t>https://doi.org/10.1016/j.jval.2024.12.006</w:t>
        </w:r>
      </w:hyperlink>
      <w:r w:rsidRPr="002D37E6">
        <w:t> </w:t>
      </w:r>
    </w:p>
    <w:p w:rsidR="003A160E" w:rsidRPr="002D37E6" w:rsidRDefault="003A160E">
      <w:pPr>
        <w:spacing w:after="240"/>
        <w:rPr>
          <w:color w:val="0000FF"/>
        </w:rPr>
      </w:pPr>
      <w:r w:rsidRPr="002D37E6">
        <w:t xml:space="preserve">Vats, P., Baweja, B., Saini, C., Kushwah, A.S., Kumar, A., Srivastava, S.K. and Nema, R., (2025). An overview of CRISPR-artificial intelligence theranostics: Current and emerging applications. </w:t>
      </w:r>
      <w:r w:rsidRPr="002D37E6">
        <w:rPr>
          <w:i/>
          <w:iCs/>
        </w:rPr>
        <w:t>Biomaterials Translational</w:t>
      </w:r>
      <w:r w:rsidRPr="002D37E6">
        <w:t xml:space="preserve">, </w:t>
      </w:r>
      <w:r w:rsidRPr="002D37E6">
        <w:rPr>
          <w:i/>
          <w:iCs/>
        </w:rPr>
        <w:t>7</w:t>
      </w:r>
      <w:r w:rsidRPr="002D37E6">
        <w:t>(1), p.79.</w:t>
      </w:r>
      <w:hyperlink r:id="rId106">
        <w:r w:rsidRPr="002D37E6">
          <w:rPr>
            <w:color w:val="0000FF"/>
            <w:u w:val="single"/>
          </w:rPr>
          <w:t>https://pmc.ncbi.nlm.nih.gov/articles/PMC13190120/</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Vincken, T., Jones, C. and Mckendrick, J., (2024). HTA81 Assessing Evidence Packages of CRISPR Technologies: Will They Meet Payer Needs?.</w:t>
      </w:r>
      <w:r w:rsidRPr="002D37E6">
        <w:rPr>
          <w:i/>
          <w:iCs/>
          <w:color w:val="000000"/>
        </w:rPr>
        <w:t>Value in Health</w:t>
      </w:r>
      <w:r w:rsidRPr="002D37E6">
        <w:rPr>
          <w:color w:val="000000"/>
        </w:rPr>
        <w:t xml:space="preserve">, </w:t>
      </w:r>
      <w:r w:rsidRPr="002D37E6">
        <w:rPr>
          <w:i/>
          <w:iCs/>
          <w:color w:val="000000"/>
        </w:rPr>
        <w:t>27</w:t>
      </w:r>
      <w:r w:rsidRPr="002D37E6">
        <w:rPr>
          <w:color w:val="000000"/>
        </w:rPr>
        <w:t>(6), p.S259.</w:t>
      </w:r>
      <w:hyperlink r:id="rId107">
        <w:r w:rsidRPr="002D37E6">
          <w:rPr>
            <w:color w:val="1155CC"/>
            <w:u w:val="single"/>
          </w:rPr>
          <w:t>https://www.valueinhealthjournal.com/article/S1098-3015(24)02627-5/pdf</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 xml:space="preserve">Wahab, S., Kelly, K., Klingler, M., Pirovic, A., Futch, K., Rennie, C., Durham, D., Herber, D., Gramling, G., Price, S. and Costin, J.M., (2024). Impact of race, socioeconomic status, and geography on healthcare outcomes for children with sickle cell disease in the United States: a scoping review. </w:t>
      </w:r>
      <w:r w:rsidRPr="002D37E6">
        <w:rPr>
          <w:i/>
          <w:iCs/>
          <w:color w:val="000000"/>
        </w:rPr>
        <w:t>Cureus</w:t>
      </w:r>
      <w:r w:rsidRPr="002D37E6">
        <w:rPr>
          <w:color w:val="000000"/>
        </w:rPr>
        <w:t xml:space="preserve">, </w:t>
      </w:r>
      <w:r w:rsidRPr="002D37E6">
        <w:rPr>
          <w:i/>
          <w:iCs/>
          <w:color w:val="000000"/>
        </w:rPr>
        <w:t>16</w:t>
      </w:r>
      <w:r w:rsidRPr="002D37E6">
        <w:rPr>
          <w:color w:val="000000"/>
        </w:rPr>
        <w:t xml:space="preserve">(3). DOI: 10.7759/cureus.56089 </w:t>
      </w:r>
    </w:p>
    <w:p w:rsidR="003A160E" w:rsidRPr="002D37E6" w:rsidRDefault="003A160E">
      <w:pPr>
        <w:pBdr>
          <w:top w:val="nil"/>
          <w:left w:val="nil"/>
          <w:bottom w:val="nil"/>
          <w:right w:val="nil"/>
          <w:between w:val="nil"/>
        </w:pBdr>
        <w:spacing w:before="200" w:after="240"/>
        <w:rPr>
          <w:color w:val="000000"/>
        </w:rPr>
      </w:pPr>
      <w:r w:rsidRPr="002D37E6">
        <w:rPr>
          <w:color w:val="000000"/>
        </w:rPr>
        <w:lastRenderedPageBreak/>
        <w:t xml:space="preserve">Waheed, A., Shah, S. and Mahmood, T., (2024). Managing barriers to resource allocation for the rehabilitation services in Pakistan: a review article. </w:t>
      </w:r>
      <w:r w:rsidRPr="002D37E6">
        <w:rPr>
          <w:i/>
          <w:iCs/>
          <w:color w:val="000000"/>
        </w:rPr>
        <w:t>Anaesthesia, Pain &amp; Intensive Care, 28</w:t>
      </w:r>
      <w:r w:rsidRPr="002D37E6">
        <w:rPr>
          <w:color w:val="000000"/>
        </w:rPr>
        <w:t xml:space="preserve">(4), p.776. </w:t>
      </w:r>
      <w:hyperlink r:id="rId108">
        <w:r w:rsidRPr="002D37E6">
          <w:rPr>
            <w:color w:val="1155CC"/>
            <w:u w:val="single"/>
          </w:rPr>
          <w:t>https://doi.org/10.35975/apic.v28i4.2528</w:t>
        </w:r>
      </w:hyperlink>
    </w:p>
    <w:p w:rsidR="003A160E" w:rsidRPr="002D37E6" w:rsidRDefault="003A160E">
      <w:pPr>
        <w:pBdr>
          <w:top w:val="nil"/>
          <w:left w:val="nil"/>
          <w:bottom w:val="nil"/>
          <w:right w:val="nil"/>
          <w:between w:val="nil"/>
        </w:pBdr>
        <w:spacing w:before="200" w:after="240"/>
      </w:pPr>
      <w:r w:rsidRPr="002D37E6">
        <w:t xml:space="preserve">Wang, F., Xia, J. and Sun, J., (2025). Microbiological diagnostics and their impact on hematology nursing. </w:t>
      </w:r>
      <w:r w:rsidRPr="002D37E6">
        <w:rPr>
          <w:i/>
          <w:iCs/>
        </w:rPr>
        <w:t>Folia Microbiologica, 70</w:t>
      </w:r>
      <w:r w:rsidRPr="002D37E6">
        <w:t xml:space="preserve">(5), pp.931-940. </w:t>
      </w:r>
      <w:hyperlink r:id="rId109">
        <w:r w:rsidRPr="002D37E6">
          <w:rPr>
            <w:color w:val="0000FF"/>
            <w:u w:val="single"/>
          </w:rPr>
          <w:t>https://doi.org/10.1007/s12223-025-01335-8</w:t>
        </w:r>
      </w:hyperlink>
      <w:r w:rsidRPr="002D37E6">
        <w:t>  </w:t>
      </w:r>
    </w:p>
    <w:p w:rsidR="003A160E" w:rsidRPr="002D37E6" w:rsidRDefault="003A160E">
      <w:pPr>
        <w:spacing w:before="200" w:after="240"/>
        <w:rPr>
          <w:color w:val="0000FF"/>
        </w:rPr>
      </w:pPr>
      <w:r w:rsidRPr="002D37E6">
        <w:rPr>
          <w:color w:val="0000FF"/>
        </w:rPr>
        <w:t xml:space="preserve">Wang, Q., Liao, J., Lapata, M. and Macleod, M., (2022). PICO entity extraction for preclinical animal literature. </w:t>
      </w:r>
      <w:r w:rsidRPr="002D37E6">
        <w:rPr>
          <w:i/>
          <w:iCs/>
          <w:color w:val="0000FF"/>
        </w:rPr>
        <w:t>Systematic Reviews</w:t>
      </w:r>
      <w:r w:rsidRPr="002D37E6">
        <w:rPr>
          <w:color w:val="0000FF"/>
        </w:rPr>
        <w:t xml:space="preserve">, </w:t>
      </w:r>
      <w:r w:rsidRPr="002D37E6">
        <w:rPr>
          <w:i/>
          <w:iCs/>
          <w:color w:val="0000FF"/>
        </w:rPr>
        <w:t>11</w:t>
      </w:r>
      <w:r w:rsidRPr="002D37E6">
        <w:rPr>
          <w:color w:val="0000FF"/>
        </w:rPr>
        <w:t xml:space="preserve">(1), p.209. </w:t>
      </w:r>
      <w:hyperlink r:id="rId110">
        <w:r w:rsidRPr="002D37E6">
          <w:rPr>
            <w:color w:val="0000FF"/>
            <w:u w:val="single"/>
          </w:rPr>
          <w:t>https://doi.org/10.1186/s13643-022-02074-4</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 xml:space="preserve">Whitaker, M., (2022). The advanced therapies treatment centers and their network: A model for the accelerated adoption of advanced therapies. </w:t>
      </w:r>
      <w:r w:rsidRPr="002D37E6">
        <w:rPr>
          <w:i/>
          <w:iCs/>
          <w:color w:val="000000"/>
        </w:rPr>
        <w:t>Human Gene Therapy</w:t>
      </w:r>
      <w:r w:rsidRPr="002D37E6">
        <w:rPr>
          <w:color w:val="000000"/>
        </w:rPr>
        <w:t xml:space="preserve">, </w:t>
      </w:r>
      <w:r w:rsidRPr="002D37E6">
        <w:rPr>
          <w:i/>
          <w:iCs/>
          <w:color w:val="000000"/>
        </w:rPr>
        <w:t>33</w:t>
      </w:r>
      <w:r w:rsidRPr="002D37E6">
        <w:rPr>
          <w:color w:val="000000"/>
        </w:rPr>
        <w:t>(17-18), pp.857-864.</w:t>
      </w:r>
      <w:hyperlink r:id="rId111">
        <w:r w:rsidRPr="002D37E6">
          <w:rPr>
            <w:color w:val="1155CC"/>
            <w:u w:val="single"/>
          </w:rPr>
          <w:t>https://journals.sagepub.com/doi/abs/10.1089/hum.2022.150</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Woodward, A., Walters, K., Davies, N., Nimmons, D., Protheroe, J., Chew</w:t>
      </w:r>
      <w:r w:rsidRPr="002D37E6">
        <w:rPr>
          <w:rFonts w:ascii="Cambria Math" w:eastAsia="Cambria Math" w:hAnsi="Cambria Math" w:cs="Cambria Math"/>
          <w:color w:val="000000"/>
        </w:rPr>
        <w:t>‐</w:t>
      </w:r>
      <w:r w:rsidRPr="002D37E6">
        <w:rPr>
          <w:color w:val="000000"/>
        </w:rPr>
        <w:t>Graham, C.A., Stevenson, F. and Armstrong, M., (2024). Barriers and facilitators of self</w:t>
      </w:r>
      <w:r w:rsidRPr="002D37E6">
        <w:rPr>
          <w:rFonts w:ascii="Cambria Math" w:eastAsia="Cambria Math" w:hAnsi="Cambria Math" w:cs="Cambria Math"/>
          <w:color w:val="000000"/>
        </w:rPr>
        <w:t>‐</w:t>
      </w:r>
      <w:r w:rsidRPr="002D37E6">
        <w:rPr>
          <w:color w:val="000000"/>
        </w:rPr>
        <w:t xml:space="preserve">management of diabetes amongst people experiencing socioeconomic deprivation: a systematic review and qualitative synthesis. </w:t>
      </w:r>
      <w:r w:rsidRPr="002D37E6">
        <w:rPr>
          <w:i/>
          <w:iCs/>
          <w:color w:val="000000"/>
        </w:rPr>
        <w:t>Health Expectations</w:t>
      </w:r>
      <w:r w:rsidRPr="002D37E6">
        <w:rPr>
          <w:color w:val="000000"/>
        </w:rPr>
        <w:t xml:space="preserve">, </w:t>
      </w:r>
      <w:r w:rsidRPr="002D37E6">
        <w:rPr>
          <w:i/>
          <w:iCs/>
          <w:color w:val="000000"/>
        </w:rPr>
        <w:t>27</w:t>
      </w:r>
      <w:r w:rsidRPr="002D37E6">
        <w:rPr>
          <w:color w:val="000000"/>
        </w:rPr>
        <w:t>(3), p.e14070.</w:t>
      </w:r>
      <w:hyperlink r:id="rId112">
        <w:r w:rsidRPr="002D37E6">
          <w:rPr>
            <w:color w:val="1155CC"/>
            <w:u w:val="single"/>
          </w:rPr>
          <w:t>https://doi.org/10.1111/hex.14070</w:t>
        </w:r>
      </w:hyperlink>
    </w:p>
    <w:p w:rsidR="003A160E" w:rsidRPr="002D37E6" w:rsidRDefault="003A160E">
      <w:pPr>
        <w:pBdr>
          <w:top w:val="nil"/>
          <w:left w:val="nil"/>
          <w:bottom w:val="nil"/>
          <w:right w:val="nil"/>
          <w:between w:val="nil"/>
        </w:pBdr>
        <w:spacing w:before="200" w:after="240"/>
        <w:rPr>
          <w:color w:val="000000"/>
        </w:rPr>
      </w:pPr>
      <w:r w:rsidRPr="002D37E6">
        <w:rPr>
          <w:color w:val="000000"/>
        </w:rPr>
        <w:t xml:space="preserve">Wright, T., Smith, R., Sah, R.K., Keys, C., Keval, H. and Onyejekwe, C., (2025). The Impact of COVID-19 on Racialised Minority Populations: A Systematic Review of Experiences and Perspectives. </w:t>
      </w:r>
      <w:r w:rsidRPr="002D37E6">
        <w:rPr>
          <w:i/>
          <w:iCs/>
          <w:color w:val="000000"/>
        </w:rPr>
        <w:t>International Journal of Environmental Research and Public Health</w:t>
      </w:r>
      <w:r w:rsidRPr="002D37E6">
        <w:rPr>
          <w:color w:val="000000"/>
        </w:rPr>
        <w:t xml:space="preserve">, </w:t>
      </w:r>
      <w:r w:rsidRPr="002D37E6">
        <w:rPr>
          <w:i/>
          <w:iCs/>
          <w:color w:val="000000"/>
        </w:rPr>
        <w:t>22</w:t>
      </w:r>
      <w:r w:rsidRPr="002D37E6">
        <w:rPr>
          <w:color w:val="000000"/>
        </w:rPr>
        <w:t>(12), p.1767.</w:t>
      </w:r>
      <w:hyperlink r:id="rId113">
        <w:r w:rsidRPr="002D37E6">
          <w:rPr>
            <w:color w:val="1155CC"/>
            <w:u w:val="single"/>
          </w:rPr>
          <w:t>https://pmc.ncbi.nlm.nih.gov/articles/PMC12732843/</w:t>
        </w:r>
      </w:hyperlink>
    </w:p>
    <w:p w:rsidR="003A160E" w:rsidRPr="002D37E6" w:rsidRDefault="003A160E">
      <w:pPr>
        <w:pBdr>
          <w:top w:val="nil"/>
          <w:left w:val="nil"/>
          <w:bottom w:val="nil"/>
          <w:right w:val="nil"/>
          <w:between w:val="nil"/>
        </w:pBdr>
        <w:spacing w:before="200" w:after="240"/>
        <w:sectPr w:rsidR="003A160E" w:rsidRPr="002D37E6">
          <w:pgSz w:w="12240" w:h="15840"/>
          <w:pgMar w:top="1440" w:right="1440" w:bottom="1440" w:left="1440" w:header="720" w:footer="720" w:gutter="0"/>
          <w:pgNumType w:start="0"/>
          <w:cols w:space="720"/>
          <w:titlePg/>
        </w:sectPr>
      </w:pPr>
      <w:r w:rsidRPr="002D37E6">
        <w:rPr>
          <w:color w:val="000000"/>
        </w:rPr>
        <w:t xml:space="preserve">Zapata-Moya, A.R., Freese, J. and Bracke, P., (2023). Mechanism substitution in preventive innovations: Dissecting the reproduction of health inequalities in the United States. </w:t>
      </w:r>
      <w:r w:rsidRPr="002D37E6">
        <w:rPr>
          <w:i/>
          <w:iCs/>
          <w:color w:val="000000"/>
        </w:rPr>
        <w:t>Social Science &amp; Medicine</w:t>
      </w:r>
      <w:r w:rsidRPr="002D37E6">
        <w:rPr>
          <w:color w:val="000000"/>
        </w:rPr>
        <w:t xml:space="preserve">, </w:t>
      </w:r>
      <w:r w:rsidRPr="002D37E6">
        <w:rPr>
          <w:i/>
          <w:iCs/>
          <w:color w:val="000000"/>
        </w:rPr>
        <w:t>337</w:t>
      </w:r>
      <w:r w:rsidRPr="002D37E6">
        <w:rPr>
          <w:color w:val="000000"/>
        </w:rPr>
        <w:t>, p.116262.</w:t>
      </w:r>
      <w:hyperlink r:id="rId114">
        <w:r w:rsidRPr="002D37E6">
          <w:rPr>
            <w:color w:val="1155CC"/>
            <w:u w:val="single"/>
          </w:rPr>
          <w:t>https://www.sciencedirect.com/science/article/pii/S0277953623006196</w:t>
        </w:r>
      </w:hyperlink>
    </w:p>
    <w:p w:rsidR="00C621A4" w:rsidRPr="002D37E6" w:rsidRDefault="00426EE4">
      <w:pPr>
        <w:pStyle w:val="Heading1"/>
        <w:spacing w:after="200"/>
      </w:pPr>
      <w:bookmarkStart w:id="85" w:name="_Toc240897625"/>
      <w:r w:rsidRPr="002D37E6">
        <w:lastRenderedPageBreak/>
        <w:t>APPENDICES</w:t>
      </w:r>
      <w:bookmarkEnd w:id="85"/>
    </w:p>
    <w:p w:rsidR="00C621A4" w:rsidRPr="002D37E6" w:rsidRDefault="00426EE4">
      <w:pPr>
        <w:pStyle w:val="Heading2"/>
      </w:pPr>
      <w:bookmarkStart w:id="86" w:name="_Toc240897626"/>
      <w:r w:rsidRPr="002D37E6">
        <w:t>Appendix 1 – Critical Appraisal Checklists Tables</w:t>
      </w:r>
      <w:bookmarkEnd w:id="86"/>
    </w:p>
    <w:tbl>
      <w:tblPr>
        <w:tblStyle w:val="af5"/>
        <w:tblW w:w="14792" w:type="dxa"/>
        <w:tblInd w:w="-1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311"/>
        <w:gridCol w:w="742"/>
        <w:gridCol w:w="529"/>
        <w:gridCol w:w="637"/>
        <w:gridCol w:w="636"/>
        <w:gridCol w:w="637"/>
        <w:gridCol w:w="636"/>
        <w:gridCol w:w="638"/>
        <w:gridCol w:w="637"/>
        <w:gridCol w:w="638"/>
        <w:gridCol w:w="637"/>
        <w:gridCol w:w="638"/>
        <w:gridCol w:w="637"/>
        <w:gridCol w:w="743"/>
        <w:gridCol w:w="638"/>
        <w:gridCol w:w="743"/>
        <w:gridCol w:w="743"/>
        <w:gridCol w:w="743"/>
        <w:gridCol w:w="743"/>
        <w:gridCol w:w="743"/>
        <w:gridCol w:w="743"/>
      </w:tblGrid>
      <w:tr w:rsidR="00C621A4" w:rsidRPr="002D37E6">
        <w:trPr>
          <w:trHeight w:val="220"/>
        </w:trPr>
        <w:tc>
          <w:tcPr>
            <w:tcW w:w="1312" w:type="dxa"/>
            <w:vMerge w:val="restart"/>
          </w:tcPr>
          <w:p w:rsidR="00C621A4" w:rsidRPr="002D37E6" w:rsidRDefault="00426EE4">
            <w:pPr>
              <w:spacing w:before="200" w:line="360" w:lineRule="auto"/>
              <w:rPr>
                <w:b/>
                <w:bCs/>
                <w:sz w:val="20"/>
                <w:szCs w:val="20"/>
              </w:rPr>
            </w:pPr>
            <w:r w:rsidRPr="002D37E6">
              <w:rPr>
                <w:b/>
                <w:bCs/>
                <w:sz w:val="20"/>
                <w:szCs w:val="20"/>
              </w:rPr>
              <w:t>Question</w:t>
            </w:r>
          </w:p>
        </w:tc>
        <w:tc>
          <w:tcPr>
            <w:tcW w:w="9766" w:type="dxa"/>
            <w:gridSpan w:val="15"/>
          </w:tcPr>
          <w:p w:rsidR="00C621A4" w:rsidRPr="002D37E6" w:rsidRDefault="00426EE4">
            <w:pPr>
              <w:spacing w:before="200" w:line="360" w:lineRule="auto"/>
              <w:rPr>
                <w:b/>
                <w:bCs/>
                <w:sz w:val="20"/>
                <w:szCs w:val="20"/>
              </w:rPr>
            </w:pPr>
            <w:r w:rsidRPr="002D37E6">
              <w:rPr>
                <w:b/>
                <w:bCs/>
                <w:sz w:val="20"/>
                <w:szCs w:val="20"/>
              </w:rPr>
              <w:t>Studies</w:t>
            </w:r>
          </w:p>
        </w:tc>
        <w:tc>
          <w:tcPr>
            <w:tcW w:w="743" w:type="dxa"/>
          </w:tcPr>
          <w:p w:rsidR="00C621A4" w:rsidRPr="002D37E6" w:rsidRDefault="00C621A4">
            <w:pPr>
              <w:widowControl w:val="0"/>
              <w:pBdr>
                <w:top w:val="nil"/>
                <w:left w:val="nil"/>
                <w:bottom w:val="nil"/>
                <w:right w:val="nil"/>
                <w:between w:val="nil"/>
              </w:pBdr>
              <w:spacing w:line="276" w:lineRule="auto"/>
              <w:jc w:val="left"/>
              <w:rPr>
                <w:b/>
                <w:bCs/>
                <w:sz w:val="20"/>
                <w:szCs w:val="20"/>
              </w:rPr>
            </w:pPr>
          </w:p>
        </w:tc>
        <w:tc>
          <w:tcPr>
            <w:tcW w:w="743" w:type="dxa"/>
          </w:tcPr>
          <w:p w:rsidR="00C621A4" w:rsidRPr="002D37E6" w:rsidRDefault="00C621A4">
            <w:pPr>
              <w:widowControl w:val="0"/>
              <w:pBdr>
                <w:top w:val="nil"/>
                <w:left w:val="nil"/>
                <w:bottom w:val="nil"/>
                <w:right w:val="nil"/>
                <w:between w:val="nil"/>
              </w:pBdr>
              <w:spacing w:line="276" w:lineRule="auto"/>
              <w:jc w:val="left"/>
              <w:rPr>
                <w:b/>
                <w:bCs/>
                <w:sz w:val="20"/>
                <w:szCs w:val="20"/>
              </w:rPr>
            </w:pPr>
          </w:p>
        </w:tc>
        <w:tc>
          <w:tcPr>
            <w:tcW w:w="743" w:type="dxa"/>
          </w:tcPr>
          <w:p w:rsidR="00C621A4" w:rsidRPr="002D37E6" w:rsidRDefault="00C621A4">
            <w:pPr>
              <w:widowControl w:val="0"/>
              <w:pBdr>
                <w:top w:val="nil"/>
                <w:left w:val="nil"/>
                <w:bottom w:val="nil"/>
                <w:right w:val="nil"/>
                <w:between w:val="nil"/>
              </w:pBdr>
              <w:spacing w:line="276" w:lineRule="auto"/>
              <w:jc w:val="left"/>
              <w:rPr>
                <w:b/>
                <w:bCs/>
                <w:sz w:val="20"/>
                <w:szCs w:val="20"/>
              </w:rPr>
            </w:pPr>
          </w:p>
        </w:tc>
        <w:tc>
          <w:tcPr>
            <w:tcW w:w="743" w:type="dxa"/>
          </w:tcPr>
          <w:p w:rsidR="00C621A4" w:rsidRPr="002D37E6" w:rsidRDefault="00C621A4">
            <w:pPr>
              <w:widowControl w:val="0"/>
              <w:pBdr>
                <w:top w:val="nil"/>
                <w:left w:val="nil"/>
                <w:bottom w:val="nil"/>
                <w:right w:val="nil"/>
                <w:between w:val="nil"/>
              </w:pBdr>
              <w:spacing w:line="276" w:lineRule="auto"/>
              <w:jc w:val="left"/>
              <w:rPr>
                <w:b/>
                <w:bCs/>
                <w:sz w:val="20"/>
                <w:szCs w:val="20"/>
              </w:rPr>
            </w:pPr>
          </w:p>
        </w:tc>
        <w:tc>
          <w:tcPr>
            <w:tcW w:w="743" w:type="dxa"/>
          </w:tcPr>
          <w:p w:rsidR="00C621A4" w:rsidRPr="002D37E6" w:rsidRDefault="00C621A4">
            <w:pPr>
              <w:widowControl w:val="0"/>
              <w:pBdr>
                <w:top w:val="nil"/>
                <w:left w:val="nil"/>
                <w:bottom w:val="nil"/>
                <w:right w:val="nil"/>
                <w:between w:val="nil"/>
              </w:pBdr>
              <w:spacing w:line="276" w:lineRule="auto"/>
              <w:jc w:val="left"/>
              <w:rPr>
                <w:b/>
                <w:bCs/>
                <w:sz w:val="20"/>
                <w:szCs w:val="20"/>
              </w:rPr>
            </w:pPr>
          </w:p>
        </w:tc>
      </w:tr>
      <w:tr w:rsidR="00C621A4" w:rsidRPr="002D37E6">
        <w:trPr>
          <w:trHeight w:val="1531"/>
        </w:trPr>
        <w:tc>
          <w:tcPr>
            <w:tcW w:w="1312" w:type="dxa"/>
            <w:vMerge/>
          </w:tcPr>
          <w:p w:rsidR="00C621A4" w:rsidRPr="002D37E6" w:rsidRDefault="00C621A4">
            <w:pPr>
              <w:widowControl w:val="0"/>
              <w:pBdr>
                <w:top w:val="nil"/>
                <w:left w:val="nil"/>
                <w:bottom w:val="nil"/>
                <w:right w:val="nil"/>
                <w:between w:val="nil"/>
              </w:pBdr>
              <w:spacing w:line="276" w:lineRule="auto"/>
              <w:jc w:val="left"/>
              <w:rPr>
                <w:b/>
                <w:bCs/>
                <w:sz w:val="20"/>
                <w:szCs w:val="20"/>
              </w:rPr>
            </w:pPr>
          </w:p>
        </w:tc>
        <w:tc>
          <w:tcPr>
            <w:tcW w:w="742" w:type="dxa"/>
          </w:tcPr>
          <w:p w:rsidR="00C621A4" w:rsidRPr="002D37E6" w:rsidRDefault="00426EE4">
            <w:pPr>
              <w:spacing w:before="200" w:line="360" w:lineRule="auto"/>
              <w:rPr>
                <w:sz w:val="20"/>
                <w:szCs w:val="20"/>
              </w:rPr>
            </w:pPr>
            <w:r w:rsidRPr="002D37E6">
              <w:rPr>
                <w:sz w:val="20"/>
                <w:szCs w:val="20"/>
              </w:rPr>
              <w:t xml:space="preserve">Mathews </w:t>
            </w:r>
            <w:r w:rsidRPr="002D37E6">
              <w:rPr>
                <w:i/>
                <w:iCs/>
                <w:sz w:val="20"/>
                <w:szCs w:val="20"/>
              </w:rPr>
              <w:t>et al.</w:t>
            </w:r>
            <w:r w:rsidRPr="002D37E6">
              <w:rPr>
                <w:sz w:val="20"/>
                <w:szCs w:val="20"/>
              </w:rPr>
              <w:t xml:space="preserve"> (2023)</w:t>
            </w:r>
          </w:p>
        </w:tc>
        <w:tc>
          <w:tcPr>
            <w:tcW w:w="529" w:type="dxa"/>
          </w:tcPr>
          <w:p w:rsidR="00C621A4" w:rsidRPr="002D37E6" w:rsidRDefault="00426EE4">
            <w:pPr>
              <w:spacing w:before="200" w:line="360" w:lineRule="auto"/>
              <w:rPr>
                <w:sz w:val="20"/>
                <w:szCs w:val="20"/>
              </w:rPr>
            </w:pPr>
            <w:r w:rsidRPr="002D37E6">
              <w:rPr>
                <w:sz w:val="20"/>
                <w:szCs w:val="20"/>
              </w:rPr>
              <w:t>Basem</w:t>
            </w:r>
            <w:r w:rsidRPr="002D37E6">
              <w:rPr>
                <w:i/>
                <w:iCs/>
                <w:sz w:val="20"/>
                <w:szCs w:val="20"/>
              </w:rPr>
              <w:t>et al.</w:t>
            </w:r>
            <w:r w:rsidRPr="002D37E6">
              <w:rPr>
                <w:sz w:val="20"/>
                <w:szCs w:val="20"/>
              </w:rPr>
              <w:t xml:space="preserve"> (2026)</w:t>
            </w:r>
          </w:p>
        </w:tc>
        <w:tc>
          <w:tcPr>
            <w:tcW w:w="637" w:type="dxa"/>
          </w:tcPr>
          <w:p w:rsidR="00C621A4" w:rsidRPr="002D37E6" w:rsidRDefault="00426EE4">
            <w:pPr>
              <w:spacing w:before="200" w:line="360" w:lineRule="auto"/>
              <w:rPr>
                <w:sz w:val="20"/>
                <w:szCs w:val="20"/>
              </w:rPr>
            </w:pPr>
            <w:r w:rsidRPr="002D37E6">
              <w:rPr>
                <w:sz w:val="20"/>
                <w:szCs w:val="20"/>
              </w:rPr>
              <w:t>Lee and Sawai (2024)</w:t>
            </w:r>
          </w:p>
        </w:tc>
        <w:tc>
          <w:tcPr>
            <w:tcW w:w="636" w:type="dxa"/>
          </w:tcPr>
          <w:p w:rsidR="00C621A4" w:rsidRPr="002D37E6" w:rsidRDefault="00426EE4">
            <w:pPr>
              <w:spacing w:before="200" w:line="360" w:lineRule="auto"/>
              <w:rPr>
                <w:sz w:val="20"/>
                <w:szCs w:val="20"/>
              </w:rPr>
            </w:pPr>
            <w:r w:rsidRPr="002D37E6">
              <w:rPr>
                <w:sz w:val="20"/>
                <w:szCs w:val="20"/>
              </w:rPr>
              <w:t xml:space="preserve">Ayrton </w:t>
            </w:r>
            <w:r w:rsidRPr="002D37E6">
              <w:rPr>
                <w:i/>
                <w:iCs/>
                <w:sz w:val="20"/>
                <w:szCs w:val="20"/>
              </w:rPr>
              <w:t>et al.</w:t>
            </w:r>
            <w:r w:rsidRPr="002D37E6">
              <w:rPr>
                <w:sz w:val="20"/>
                <w:szCs w:val="20"/>
              </w:rPr>
              <w:t xml:space="preserve"> (2025)</w:t>
            </w:r>
          </w:p>
        </w:tc>
        <w:tc>
          <w:tcPr>
            <w:tcW w:w="637" w:type="dxa"/>
          </w:tcPr>
          <w:p w:rsidR="00C621A4" w:rsidRPr="002D37E6" w:rsidRDefault="00426EE4">
            <w:pPr>
              <w:spacing w:before="200" w:line="360" w:lineRule="auto"/>
              <w:rPr>
                <w:sz w:val="20"/>
                <w:szCs w:val="20"/>
              </w:rPr>
            </w:pPr>
            <w:r w:rsidRPr="002D37E6">
              <w:rPr>
                <w:sz w:val="20"/>
                <w:szCs w:val="20"/>
              </w:rPr>
              <w:t xml:space="preserve">Azeez </w:t>
            </w:r>
            <w:r w:rsidRPr="002D37E6">
              <w:rPr>
                <w:i/>
                <w:iCs/>
                <w:sz w:val="20"/>
                <w:szCs w:val="20"/>
              </w:rPr>
              <w:t>et al.</w:t>
            </w:r>
            <w:r w:rsidRPr="002D37E6">
              <w:rPr>
                <w:sz w:val="20"/>
                <w:szCs w:val="20"/>
              </w:rPr>
              <w:t xml:space="preserve"> (2026)</w:t>
            </w:r>
          </w:p>
        </w:tc>
        <w:tc>
          <w:tcPr>
            <w:tcW w:w="636" w:type="dxa"/>
          </w:tcPr>
          <w:p w:rsidR="00C621A4" w:rsidRPr="002D37E6" w:rsidRDefault="00426EE4">
            <w:pPr>
              <w:spacing w:before="200" w:line="360" w:lineRule="auto"/>
              <w:rPr>
                <w:sz w:val="20"/>
                <w:szCs w:val="20"/>
              </w:rPr>
            </w:pPr>
            <w:r w:rsidRPr="002D37E6">
              <w:rPr>
                <w:sz w:val="20"/>
                <w:szCs w:val="20"/>
              </w:rPr>
              <w:t>Levesque and Bauer (2025)</w:t>
            </w:r>
          </w:p>
        </w:tc>
        <w:tc>
          <w:tcPr>
            <w:tcW w:w="638" w:type="dxa"/>
          </w:tcPr>
          <w:p w:rsidR="00C621A4" w:rsidRPr="002D37E6" w:rsidRDefault="00426EE4">
            <w:pPr>
              <w:spacing w:before="200" w:line="360" w:lineRule="auto"/>
              <w:rPr>
                <w:sz w:val="20"/>
                <w:szCs w:val="20"/>
              </w:rPr>
            </w:pPr>
            <w:r w:rsidRPr="002D37E6">
              <w:rPr>
                <w:sz w:val="20"/>
                <w:szCs w:val="20"/>
              </w:rPr>
              <w:t>Parums (2024)</w:t>
            </w:r>
          </w:p>
        </w:tc>
        <w:tc>
          <w:tcPr>
            <w:tcW w:w="637" w:type="dxa"/>
          </w:tcPr>
          <w:p w:rsidR="00C621A4" w:rsidRPr="002D37E6" w:rsidRDefault="00426EE4">
            <w:pPr>
              <w:spacing w:before="200" w:line="360" w:lineRule="auto"/>
              <w:rPr>
                <w:sz w:val="20"/>
                <w:szCs w:val="20"/>
              </w:rPr>
            </w:pPr>
            <w:r w:rsidRPr="002D37E6">
              <w:rPr>
                <w:sz w:val="20"/>
                <w:szCs w:val="20"/>
              </w:rPr>
              <w:t xml:space="preserve">Laurent </w:t>
            </w:r>
            <w:r w:rsidRPr="002D37E6">
              <w:rPr>
                <w:i/>
                <w:iCs/>
                <w:sz w:val="20"/>
                <w:szCs w:val="20"/>
              </w:rPr>
              <w:t>et al.</w:t>
            </w:r>
            <w:r w:rsidRPr="002D37E6">
              <w:rPr>
                <w:sz w:val="20"/>
                <w:szCs w:val="20"/>
              </w:rPr>
              <w:t xml:space="preserve"> (2024)</w:t>
            </w:r>
          </w:p>
        </w:tc>
        <w:tc>
          <w:tcPr>
            <w:tcW w:w="638" w:type="dxa"/>
          </w:tcPr>
          <w:p w:rsidR="00C621A4" w:rsidRPr="002D37E6" w:rsidRDefault="00426EE4">
            <w:pPr>
              <w:spacing w:before="200" w:line="360" w:lineRule="auto"/>
              <w:rPr>
                <w:sz w:val="20"/>
                <w:szCs w:val="20"/>
              </w:rPr>
            </w:pPr>
            <w:r w:rsidRPr="002D37E6">
              <w:rPr>
                <w:sz w:val="20"/>
                <w:szCs w:val="20"/>
              </w:rPr>
              <w:t>Pinhas</w:t>
            </w:r>
            <w:r w:rsidRPr="002D37E6">
              <w:rPr>
                <w:i/>
                <w:iCs/>
                <w:sz w:val="20"/>
                <w:szCs w:val="20"/>
              </w:rPr>
              <w:t>et al.</w:t>
            </w:r>
            <w:r w:rsidRPr="002D37E6">
              <w:rPr>
                <w:sz w:val="20"/>
                <w:szCs w:val="20"/>
              </w:rPr>
              <w:t xml:space="preserve"> (2022)</w:t>
            </w:r>
          </w:p>
        </w:tc>
        <w:tc>
          <w:tcPr>
            <w:tcW w:w="637" w:type="dxa"/>
          </w:tcPr>
          <w:p w:rsidR="00C621A4" w:rsidRPr="002D37E6" w:rsidRDefault="00426EE4">
            <w:pPr>
              <w:spacing w:before="200" w:line="360" w:lineRule="auto"/>
              <w:rPr>
                <w:sz w:val="20"/>
                <w:szCs w:val="20"/>
              </w:rPr>
            </w:pPr>
            <w:r w:rsidRPr="002D37E6">
              <w:rPr>
                <w:sz w:val="20"/>
                <w:szCs w:val="20"/>
              </w:rPr>
              <w:t>Almotiri</w:t>
            </w:r>
            <w:r w:rsidRPr="002D37E6">
              <w:rPr>
                <w:i/>
                <w:iCs/>
                <w:sz w:val="20"/>
                <w:szCs w:val="20"/>
              </w:rPr>
              <w:t>et al.</w:t>
            </w:r>
            <w:r w:rsidRPr="002D37E6">
              <w:rPr>
                <w:sz w:val="20"/>
                <w:szCs w:val="20"/>
              </w:rPr>
              <w:t xml:space="preserve"> (2025)</w:t>
            </w:r>
          </w:p>
        </w:tc>
        <w:tc>
          <w:tcPr>
            <w:tcW w:w="638" w:type="dxa"/>
          </w:tcPr>
          <w:p w:rsidR="00C621A4" w:rsidRPr="002D37E6" w:rsidRDefault="00426EE4">
            <w:pPr>
              <w:spacing w:before="200" w:line="360" w:lineRule="auto"/>
              <w:rPr>
                <w:sz w:val="20"/>
                <w:szCs w:val="20"/>
              </w:rPr>
            </w:pPr>
            <w:r w:rsidRPr="002D37E6">
              <w:rPr>
                <w:sz w:val="20"/>
                <w:szCs w:val="20"/>
              </w:rPr>
              <w:t xml:space="preserve">Gamage </w:t>
            </w:r>
            <w:r w:rsidRPr="002D37E6">
              <w:rPr>
                <w:i/>
                <w:iCs/>
                <w:sz w:val="20"/>
                <w:szCs w:val="20"/>
              </w:rPr>
              <w:t>et al.</w:t>
            </w:r>
            <w:r w:rsidRPr="002D37E6">
              <w:rPr>
                <w:sz w:val="20"/>
                <w:szCs w:val="20"/>
              </w:rPr>
              <w:t xml:space="preserve"> (2023).</w:t>
            </w:r>
          </w:p>
        </w:tc>
        <w:tc>
          <w:tcPr>
            <w:tcW w:w="637" w:type="dxa"/>
          </w:tcPr>
          <w:p w:rsidR="00C621A4" w:rsidRPr="002D37E6" w:rsidRDefault="00426EE4">
            <w:pPr>
              <w:spacing w:before="200" w:line="360" w:lineRule="auto"/>
              <w:rPr>
                <w:sz w:val="20"/>
                <w:szCs w:val="20"/>
              </w:rPr>
            </w:pPr>
            <w:r w:rsidRPr="002D37E6">
              <w:rPr>
                <w:sz w:val="20"/>
                <w:szCs w:val="20"/>
              </w:rPr>
              <w:t>Addani</w:t>
            </w:r>
            <w:r w:rsidRPr="002D37E6">
              <w:rPr>
                <w:i/>
                <w:iCs/>
                <w:sz w:val="20"/>
                <w:szCs w:val="20"/>
              </w:rPr>
              <w:t>et al.</w:t>
            </w:r>
            <w:r w:rsidRPr="002D37E6">
              <w:rPr>
                <w:sz w:val="20"/>
                <w:szCs w:val="20"/>
              </w:rPr>
              <w:t xml:space="preserve"> (2025)</w:t>
            </w:r>
          </w:p>
        </w:tc>
        <w:tc>
          <w:tcPr>
            <w:tcW w:w="743" w:type="dxa"/>
          </w:tcPr>
          <w:p w:rsidR="00C621A4" w:rsidRPr="002D37E6" w:rsidRDefault="00426EE4">
            <w:pPr>
              <w:spacing w:before="200" w:line="360" w:lineRule="auto"/>
              <w:rPr>
                <w:sz w:val="20"/>
                <w:szCs w:val="20"/>
              </w:rPr>
            </w:pPr>
            <w:r w:rsidRPr="002D37E6">
              <w:rPr>
                <w:sz w:val="20"/>
                <w:szCs w:val="20"/>
              </w:rPr>
              <w:t xml:space="preserve">Montano-Campos </w:t>
            </w:r>
            <w:r w:rsidRPr="002D37E6">
              <w:rPr>
                <w:i/>
                <w:iCs/>
                <w:sz w:val="20"/>
                <w:szCs w:val="20"/>
              </w:rPr>
              <w:t>et al.</w:t>
            </w:r>
            <w:r w:rsidRPr="002D37E6">
              <w:rPr>
                <w:sz w:val="20"/>
                <w:szCs w:val="20"/>
              </w:rPr>
              <w:t xml:space="preserve"> (2026)</w:t>
            </w:r>
          </w:p>
        </w:tc>
        <w:tc>
          <w:tcPr>
            <w:tcW w:w="638" w:type="dxa"/>
          </w:tcPr>
          <w:p w:rsidR="00C621A4" w:rsidRPr="002D37E6" w:rsidRDefault="00426EE4">
            <w:pPr>
              <w:spacing w:before="200" w:line="360" w:lineRule="auto"/>
              <w:rPr>
                <w:sz w:val="20"/>
                <w:szCs w:val="20"/>
              </w:rPr>
            </w:pPr>
            <w:r w:rsidRPr="002D37E6">
              <w:rPr>
                <w:sz w:val="20"/>
                <w:szCs w:val="20"/>
              </w:rPr>
              <w:t xml:space="preserve">Tardif </w:t>
            </w:r>
            <w:r w:rsidRPr="002D37E6">
              <w:rPr>
                <w:i/>
                <w:iCs/>
                <w:sz w:val="20"/>
                <w:szCs w:val="20"/>
              </w:rPr>
              <w:t>et al.</w:t>
            </w:r>
            <w:r w:rsidRPr="002D37E6">
              <w:rPr>
                <w:sz w:val="20"/>
                <w:szCs w:val="20"/>
              </w:rPr>
              <w:t xml:space="preserve"> (2026)</w:t>
            </w:r>
          </w:p>
        </w:tc>
        <w:tc>
          <w:tcPr>
            <w:tcW w:w="743" w:type="dxa"/>
          </w:tcPr>
          <w:p w:rsidR="00C621A4" w:rsidRPr="002D37E6" w:rsidRDefault="00426EE4">
            <w:pPr>
              <w:spacing w:before="200" w:line="360" w:lineRule="auto"/>
              <w:rPr>
                <w:sz w:val="20"/>
                <w:szCs w:val="20"/>
              </w:rPr>
            </w:pPr>
            <w:r w:rsidRPr="002D37E6">
              <w:rPr>
                <w:sz w:val="20"/>
                <w:szCs w:val="20"/>
              </w:rPr>
              <w:t xml:space="preserve">Singh </w:t>
            </w:r>
            <w:r w:rsidRPr="002D37E6">
              <w:rPr>
                <w:i/>
                <w:iCs/>
                <w:sz w:val="20"/>
                <w:szCs w:val="20"/>
              </w:rPr>
              <w:t>et al.</w:t>
            </w:r>
            <w:r w:rsidRPr="002D37E6">
              <w:rPr>
                <w:sz w:val="20"/>
                <w:szCs w:val="20"/>
              </w:rPr>
              <w:t xml:space="preserve"> (2026)</w:t>
            </w:r>
          </w:p>
        </w:tc>
        <w:tc>
          <w:tcPr>
            <w:tcW w:w="743" w:type="dxa"/>
          </w:tcPr>
          <w:p w:rsidR="00C621A4" w:rsidRPr="002D37E6" w:rsidRDefault="00426EE4">
            <w:pPr>
              <w:spacing w:before="200" w:line="360" w:lineRule="auto"/>
              <w:rPr>
                <w:sz w:val="20"/>
                <w:szCs w:val="20"/>
              </w:rPr>
            </w:pPr>
            <w:r w:rsidRPr="002D37E6">
              <w:rPr>
                <w:sz w:val="20"/>
                <w:szCs w:val="20"/>
              </w:rPr>
              <w:t xml:space="preserve">Vats </w:t>
            </w:r>
            <w:r w:rsidRPr="002D37E6">
              <w:rPr>
                <w:i/>
                <w:iCs/>
                <w:sz w:val="20"/>
                <w:szCs w:val="20"/>
              </w:rPr>
              <w:t xml:space="preserve">et al. </w:t>
            </w:r>
            <w:r w:rsidRPr="002D37E6">
              <w:rPr>
                <w:sz w:val="20"/>
                <w:szCs w:val="20"/>
              </w:rPr>
              <w:t>(2025)</w:t>
            </w:r>
          </w:p>
        </w:tc>
        <w:tc>
          <w:tcPr>
            <w:tcW w:w="743" w:type="dxa"/>
          </w:tcPr>
          <w:p w:rsidR="00C621A4" w:rsidRPr="002D37E6" w:rsidRDefault="00426EE4">
            <w:pPr>
              <w:spacing w:before="200" w:line="360" w:lineRule="auto"/>
              <w:rPr>
                <w:sz w:val="20"/>
                <w:szCs w:val="20"/>
              </w:rPr>
            </w:pPr>
            <w:r w:rsidRPr="002D37E6">
              <w:rPr>
                <w:sz w:val="20"/>
                <w:szCs w:val="20"/>
              </w:rPr>
              <w:t xml:space="preserve"> Jenkins </w:t>
            </w:r>
            <w:r w:rsidRPr="002D37E6">
              <w:rPr>
                <w:i/>
                <w:iCs/>
                <w:sz w:val="20"/>
                <w:szCs w:val="20"/>
              </w:rPr>
              <w:t xml:space="preserve">et al. </w:t>
            </w:r>
            <w:r w:rsidRPr="002D37E6">
              <w:rPr>
                <w:sz w:val="20"/>
                <w:szCs w:val="20"/>
              </w:rPr>
              <w:t>(2025)</w:t>
            </w:r>
          </w:p>
        </w:tc>
        <w:tc>
          <w:tcPr>
            <w:tcW w:w="743" w:type="dxa"/>
          </w:tcPr>
          <w:p w:rsidR="00C621A4" w:rsidRPr="002D37E6" w:rsidRDefault="00426EE4">
            <w:pPr>
              <w:spacing w:before="200" w:line="360" w:lineRule="auto"/>
              <w:rPr>
                <w:sz w:val="20"/>
                <w:szCs w:val="20"/>
              </w:rPr>
            </w:pPr>
            <w:r w:rsidRPr="002D37E6">
              <w:rPr>
                <w:sz w:val="20"/>
                <w:szCs w:val="20"/>
              </w:rPr>
              <w:t>Gladue and O’Mahony (2025)</w:t>
            </w:r>
          </w:p>
        </w:tc>
        <w:tc>
          <w:tcPr>
            <w:tcW w:w="743" w:type="dxa"/>
          </w:tcPr>
          <w:p w:rsidR="00C621A4" w:rsidRPr="002D37E6" w:rsidRDefault="00426EE4">
            <w:pPr>
              <w:spacing w:before="200" w:line="360" w:lineRule="auto"/>
              <w:rPr>
                <w:sz w:val="20"/>
                <w:szCs w:val="20"/>
              </w:rPr>
            </w:pPr>
            <w:r w:rsidRPr="002D37E6">
              <w:rPr>
                <w:sz w:val="20"/>
                <w:szCs w:val="20"/>
              </w:rPr>
              <w:t>Obeagu</w:t>
            </w:r>
            <w:r w:rsidRPr="002D37E6">
              <w:rPr>
                <w:i/>
                <w:iCs/>
                <w:sz w:val="20"/>
                <w:szCs w:val="20"/>
              </w:rPr>
              <w:t xml:space="preserve">et al. </w:t>
            </w:r>
            <w:r w:rsidRPr="002D37E6">
              <w:rPr>
                <w:sz w:val="20"/>
                <w:szCs w:val="20"/>
              </w:rPr>
              <w:t>(2024)</w:t>
            </w:r>
          </w:p>
        </w:tc>
        <w:tc>
          <w:tcPr>
            <w:tcW w:w="743" w:type="dxa"/>
          </w:tcPr>
          <w:p w:rsidR="00C621A4" w:rsidRPr="002D37E6" w:rsidRDefault="00426EE4">
            <w:pPr>
              <w:spacing w:before="200" w:line="360" w:lineRule="auto"/>
              <w:rPr>
                <w:sz w:val="20"/>
                <w:szCs w:val="20"/>
              </w:rPr>
            </w:pPr>
            <w:r w:rsidRPr="002D37E6">
              <w:rPr>
                <w:sz w:val="20"/>
                <w:szCs w:val="20"/>
              </w:rPr>
              <w:t>Obeagu (2025).</w:t>
            </w:r>
          </w:p>
        </w:tc>
      </w:tr>
      <w:tr w:rsidR="00C621A4" w:rsidRPr="002D37E6">
        <w:tc>
          <w:tcPr>
            <w:tcW w:w="1312" w:type="dxa"/>
          </w:tcPr>
          <w:p w:rsidR="00C621A4" w:rsidRPr="002D37E6" w:rsidRDefault="00426EE4">
            <w:pPr>
              <w:spacing w:before="200" w:line="360" w:lineRule="auto"/>
              <w:rPr>
                <w:sz w:val="20"/>
                <w:szCs w:val="20"/>
              </w:rPr>
            </w:pPr>
            <w:r w:rsidRPr="002D37E6">
              <w:rPr>
                <w:sz w:val="20"/>
                <w:szCs w:val="20"/>
              </w:rPr>
              <w:t>Was there a clear statement of the aim of the research?</w:t>
            </w:r>
          </w:p>
        </w:tc>
        <w:tc>
          <w:tcPr>
            <w:tcW w:w="742" w:type="dxa"/>
            <w:vAlign w:val="center"/>
          </w:tcPr>
          <w:p w:rsidR="00C621A4" w:rsidRPr="002D37E6" w:rsidRDefault="00426EE4">
            <w:pPr>
              <w:spacing w:before="200" w:line="360" w:lineRule="auto"/>
              <w:rPr>
                <w:sz w:val="20"/>
                <w:szCs w:val="20"/>
              </w:rPr>
            </w:pPr>
            <w:r w:rsidRPr="002D37E6">
              <w:rPr>
                <w:sz w:val="20"/>
                <w:szCs w:val="20"/>
              </w:rPr>
              <w:t>Yes</w:t>
            </w:r>
          </w:p>
        </w:tc>
        <w:tc>
          <w:tcPr>
            <w:tcW w:w="529"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vAlign w:val="center"/>
          </w:tcPr>
          <w:p w:rsidR="00C621A4" w:rsidRPr="002D37E6" w:rsidRDefault="00426EE4">
            <w:pPr>
              <w:spacing w:before="200" w:line="360" w:lineRule="auto"/>
              <w:rPr>
                <w:sz w:val="20"/>
                <w:szCs w:val="20"/>
              </w:rPr>
            </w:pPr>
            <w:r w:rsidRPr="002D37E6">
              <w:rPr>
                <w:sz w:val="20"/>
                <w:szCs w:val="20"/>
              </w:rPr>
              <w:t>Yes</w:t>
            </w:r>
          </w:p>
        </w:tc>
        <w:tc>
          <w:tcPr>
            <w:tcW w:w="637" w:type="dxa"/>
            <w:vAlign w:val="center"/>
          </w:tcPr>
          <w:p w:rsidR="00C621A4" w:rsidRPr="002D37E6" w:rsidRDefault="00426EE4">
            <w:pPr>
              <w:spacing w:before="200" w:line="360" w:lineRule="auto"/>
              <w:rPr>
                <w:sz w:val="20"/>
                <w:szCs w:val="20"/>
              </w:rPr>
            </w:pPr>
            <w:r w:rsidRPr="002D37E6">
              <w:rPr>
                <w:sz w:val="20"/>
                <w:szCs w:val="20"/>
              </w:rPr>
              <w:t>No</w:t>
            </w:r>
          </w:p>
        </w:tc>
        <w:tc>
          <w:tcPr>
            <w:tcW w:w="638" w:type="dxa"/>
            <w:vAlign w:val="center"/>
          </w:tcPr>
          <w:p w:rsidR="00C621A4" w:rsidRPr="002D37E6" w:rsidRDefault="00426EE4">
            <w:pPr>
              <w:spacing w:before="200" w:line="360" w:lineRule="auto"/>
              <w:rPr>
                <w:sz w:val="20"/>
                <w:szCs w:val="20"/>
              </w:rPr>
            </w:pPr>
            <w:r w:rsidRPr="002D37E6">
              <w:rPr>
                <w:sz w:val="20"/>
                <w:szCs w:val="20"/>
              </w:rPr>
              <w:t>Yes</w:t>
            </w:r>
          </w:p>
        </w:tc>
        <w:tc>
          <w:tcPr>
            <w:tcW w:w="637" w:type="dxa"/>
            <w:vAlign w:val="center"/>
          </w:tcPr>
          <w:p w:rsidR="00C621A4" w:rsidRPr="002D37E6" w:rsidRDefault="00426EE4">
            <w:pPr>
              <w:spacing w:before="200" w:line="360" w:lineRule="auto"/>
              <w:rPr>
                <w:sz w:val="20"/>
                <w:szCs w:val="20"/>
              </w:rPr>
            </w:pPr>
            <w:r w:rsidRPr="002D37E6">
              <w:rPr>
                <w:sz w:val="20"/>
                <w:szCs w:val="20"/>
              </w:rPr>
              <w:t>Yes</w:t>
            </w:r>
          </w:p>
        </w:tc>
        <w:tc>
          <w:tcPr>
            <w:tcW w:w="743" w:type="dxa"/>
            <w:vAlign w:val="center"/>
          </w:tcPr>
          <w:p w:rsidR="00C621A4" w:rsidRPr="002D37E6" w:rsidRDefault="00426EE4">
            <w:pPr>
              <w:spacing w:before="200" w:line="360" w:lineRule="auto"/>
              <w:rPr>
                <w:sz w:val="20"/>
                <w:szCs w:val="20"/>
              </w:rPr>
            </w:pPr>
            <w:r w:rsidRPr="002D37E6">
              <w:rPr>
                <w:sz w:val="20"/>
                <w:szCs w:val="20"/>
              </w:rPr>
              <w:t>Yes</w:t>
            </w:r>
          </w:p>
        </w:tc>
        <w:tc>
          <w:tcPr>
            <w:tcW w:w="638" w:type="dxa"/>
            <w:vAlign w:val="center"/>
          </w:tcPr>
          <w:p w:rsidR="00C621A4" w:rsidRPr="002D37E6" w:rsidRDefault="00426EE4">
            <w:pPr>
              <w:spacing w:before="200" w:line="360" w:lineRule="auto"/>
              <w:rPr>
                <w:sz w:val="20"/>
                <w:szCs w:val="20"/>
              </w:rPr>
            </w:pPr>
            <w:r w:rsidRPr="002D37E6">
              <w:rPr>
                <w:sz w:val="20"/>
                <w:szCs w:val="20"/>
              </w:rPr>
              <w:t>Yes</w:t>
            </w:r>
          </w:p>
        </w:tc>
        <w:tc>
          <w:tcPr>
            <w:tcW w:w="743" w:type="dxa"/>
            <w:vAlign w:val="center"/>
          </w:tcPr>
          <w:p w:rsidR="00C621A4" w:rsidRPr="002D37E6" w:rsidRDefault="00426EE4">
            <w:pPr>
              <w:spacing w:before="200" w:line="360" w:lineRule="auto"/>
              <w:rPr>
                <w:sz w:val="20"/>
                <w:szCs w:val="20"/>
              </w:rPr>
            </w:pPr>
            <w:r w:rsidRPr="002D37E6">
              <w:rPr>
                <w:sz w:val="20"/>
                <w:szCs w:val="20"/>
              </w:rPr>
              <w:t>Yes</w:t>
            </w:r>
          </w:p>
        </w:tc>
        <w:tc>
          <w:tcPr>
            <w:tcW w:w="743" w:type="dxa"/>
            <w:vAlign w:val="center"/>
          </w:tcPr>
          <w:p w:rsidR="00C621A4" w:rsidRPr="002D37E6" w:rsidRDefault="00426EE4">
            <w:pPr>
              <w:spacing w:before="200" w:line="360" w:lineRule="auto"/>
              <w:rPr>
                <w:sz w:val="20"/>
                <w:szCs w:val="20"/>
              </w:rPr>
            </w:pPr>
            <w:r w:rsidRPr="002D37E6">
              <w:rPr>
                <w:sz w:val="20"/>
                <w:szCs w:val="20"/>
              </w:rPr>
              <w:t>Yes</w:t>
            </w:r>
          </w:p>
        </w:tc>
        <w:tc>
          <w:tcPr>
            <w:tcW w:w="743" w:type="dxa"/>
            <w:vAlign w:val="center"/>
          </w:tcPr>
          <w:p w:rsidR="00C621A4" w:rsidRPr="002D37E6" w:rsidRDefault="00426EE4">
            <w:pPr>
              <w:spacing w:before="200" w:line="360" w:lineRule="auto"/>
              <w:rPr>
                <w:sz w:val="20"/>
                <w:szCs w:val="20"/>
              </w:rPr>
            </w:pPr>
            <w:r w:rsidRPr="002D37E6">
              <w:rPr>
                <w:sz w:val="20"/>
                <w:szCs w:val="20"/>
              </w:rPr>
              <w:t>Yes</w:t>
            </w:r>
          </w:p>
        </w:tc>
        <w:tc>
          <w:tcPr>
            <w:tcW w:w="743" w:type="dxa"/>
            <w:vAlign w:val="center"/>
          </w:tcPr>
          <w:p w:rsidR="00C621A4" w:rsidRPr="002D37E6" w:rsidRDefault="00426EE4">
            <w:pPr>
              <w:spacing w:before="200" w:line="360" w:lineRule="auto"/>
              <w:rPr>
                <w:sz w:val="20"/>
                <w:szCs w:val="20"/>
              </w:rPr>
            </w:pPr>
            <w:r w:rsidRPr="002D37E6">
              <w:rPr>
                <w:sz w:val="20"/>
                <w:szCs w:val="20"/>
              </w:rPr>
              <w:t>Yes</w:t>
            </w:r>
          </w:p>
        </w:tc>
        <w:tc>
          <w:tcPr>
            <w:tcW w:w="743" w:type="dxa"/>
            <w:vAlign w:val="center"/>
          </w:tcPr>
          <w:p w:rsidR="00C621A4" w:rsidRPr="002D37E6" w:rsidRDefault="00426EE4">
            <w:pPr>
              <w:spacing w:before="200" w:line="360" w:lineRule="auto"/>
              <w:rPr>
                <w:sz w:val="20"/>
                <w:szCs w:val="20"/>
              </w:rPr>
            </w:pPr>
            <w:r w:rsidRPr="002D37E6">
              <w:rPr>
                <w:sz w:val="20"/>
                <w:szCs w:val="20"/>
              </w:rPr>
              <w:t>Yes</w:t>
            </w:r>
          </w:p>
        </w:tc>
        <w:tc>
          <w:tcPr>
            <w:tcW w:w="743" w:type="dxa"/>
            <w:vAlign w:val="center"/>
          </w:tcPr>
          <w:p w:rsidR="00C621A4" w:rsidRPr="002D37E6" w:rsidRDefault="00426EE4">
            <w:pPr>
              <w:spacing w:before="200" w:line="360" w:lineRule="auto"/>
              <w:rPr>
                <w:sz w:val="20"/>
                <w:szCs w:val="20"/>
              </w:rPr>
            </w:pPr>
            <w:r w:rsidRPr="002D37E6">
              <w:rPr>
                <w:sz w:val="20"/>
                <w:szCs w:val="20"/>
              </w:rPr>
              <w:t>Yes</w:t>
            </w:r>
          </w:p>
        </w:tc>
      </w:tr>
      <w:tr w:rsidR="00C621A4" w:rsidRPr="002D37E6">
        <w:tc>
          <w:tcPr>
            <w:tcW w:w="1312" w:type="dxa"/>
          </w:tcPr>
          <w:p w:rsidR="00C621A4" w:rsidRPr="002D37E6" w:rsidRDefault="00426EE4">
            <w:pPr>
              <w:spacing w:before="200" w:line="360" w:lineRule="auto"/>
              <w:rPr>
                <w:sz w:val="20"/>
                <w:szCs w:val="20"/>
              </w:rPr>
            </w:pPr>
            <w:r w:rsidRPr="002D37E6">
              <w:rPr>
                <w:sz w:val="20"/>
                <w:szCs w:val="20"/>
              </w:rPr>
              <w:t>Is qualitative methodology appropriate?</w:t>
            </w:r>
          </w:p>
        </w:tc>
        <w:tc>
          <w:tcPr>
            <w:tcW w:w="742" w:type="dxa"/>
          </w:tcPr>
          <w:p w:rsidR="00C621A4" w:rsidRPr="002D37E6" w:rsidRDefault="00C621A4">
            <w:pPr>
              <w:spacing w:before="200" w:line="360" w:lineRule="auto"/>
              <w:rPr>
                <w:sz w:val="20"/>
                <w:szCs w:val="20"/>
              </w:rPr>
            </w:pPr>
          </w:p>
        </w:tc>
        <w:tc>
          <w:tcPr>
            <w:tcW w:w="529"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r>
      <w:tr w:rsidR="00C621A4" w:rsidRPr="002D37E6">
        <w:tc>
          <w:tcPr>
            <w:tcW w:w="1312" w:type="dxa"/>
          </w:tcPr>
          <w:p w:rsidR="00C621A4" w:rsidRPr="002D37E6" w:rsidRDefault="00426EE4">
            <w:pPr>
              <w:spacing w:before="200" w:line="360" w:lineRule="auto"/>
              <w:rPr>
                <w:sz w:val="20"/>
                <w:szCs w:val="20"/>
              </w:rPr>
            </w:pPr>
            <w:r w:rsidRPr="002D37E6">
              <w:rPr>
                <w:sz w:val="20"/>
                <w:szCs w:val="20"/>
              </w:rPr>
              <w:lastRenderedPageBreak/>
              <w:t>Was the research design appropriate to address the aims of the research?</w:t>
            </w:r>
          </w:p>
        </w:tc>
        <w:tc>
          <w:tcPr>
            <w:tcW w:w="742" w:type="dxa"/>
          </w:tcPr>
          <w:p w:rsidR="00C621A4" w:rsidRPr="002D37E6" w:rsidRDefault="00C621A4">
            <w:pPr>
              <w:spacing w:before="200" w:line="360" w:lineRule="auto"/>
              <w:rPr>
                <w:sz w:val="20"/>
                <w:szCs w:val="20"/>
              </w:rPr>
            </w:pPr>
          </w:p>
        </w:tc>
        <w:tc>
          <w:tcPr>
            <w:tcW w:w="529"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No</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No</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r>
      <w:tr w:rsidR="00C621A4" w:rsidRPr="002D37E6">
        <w:tc>
          <w:tcPr>
            <w:tcW w:w="1312" w:type="dxa"/>
          </w:tcPr>
          <w:p w:rsidR="00C621A4" w:rsidRPr="002D37E6" w:rsidRDefault="00426EE4">
            <w:pPr>
              <w:spacing w:before="200" w:line="360" w:lineRule="auto"/>
              <w:rPr>
                <w:sz w:val="20"/>
                <w:szCs w:val="20"/>
              </w:rPr>
            </w:pPr>
            <w:r w:rsidRPr="002D37E6">
              <w:rPr>
                <w:sz w:val="20"/>
                <w:szCs w:val="20"/>
              </w:rPr>
              <w:t>Was the recruitment strategy appropriate to the aims of the research?</w:t>
            </w:r>
          </w:p>
        </w:tc>
        <w:tc>
          <w:tcPr>
            <w:tcW w:w="742" w:type="dxa"/>
          </w:tcPr>
          <w:p w:rsidR="00C621A4" w:rsidRPr="002D37E6" w:rsidRDefault="00426EE4">
            <w:pPr>
              <w:spacing w:before="200" w:line="360" w:lineRule="auto"/>
              <w:rPr>
                <w:sz w:val="20"/>
                <w:szCs w:val="20"/>
              </w:rPr>
            </w:pPr>
            <w:r w:rsidRPr="002D37E6">
              <w:rPr>
                <w:sz w:val="20"/>
                <w:szCs w:val="20"/>
              </w:rPr>
              <w:t>Yes</w:t>
            </w:r>
          </w:p>
        </w:tc>
        <w:tc>
          <w:tcPr>
            <w:tcW w:w="529"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No</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r>
      <w:tr w:rsidR="00C621A4" w:rsidRPr="002D37E6">
        <w:tc>
          <w:tcPr>
            <w:tcW w:w="1312" w:type="dxa"/>
          </w:tcPr>
          <w:p w:rsidR="00C621A4" w:rsidRPr="002D37E6" w:rsidRDefault="00426EE4">
            <w:pPr>
              <w:spacing w:before="200" w:line="360" w:lineRule="auto"/>
              <w:rPr>
                <w:sz w:val="20"/>
                <w:szCs w:val="20"/>
              </w:rPr>
            </w:pPr>
            <w:r w:rsidRPr="002D37E6">
              <w:rPr>
                <w:sz w:val="20"/>
                <w:szCs w:val="20"/>
              </w:rPr>
              <w:t>Was the data collected in a way that addressed the research issue?</w:t>
            </w:r>
          </w:p>
        </w:tc>
        <w:tc>
          <w:tcPr>
            <w:tcW w:w="742" w:type="dxa"/>
          </w:tcPr>
          <w:p w:rsidR="00C621A4" w:rsidRPr="002D37E6" w:rsidRDefault="00426EE4">
            <w:pPr>
              <w:spacing w:before="200" w:line="360" w:lineRule="auto"/>
              <w:rPr>
                <w:sz w:val="20"/>
                <w:szCs w:val="20"/>
              </w:rPr>
            </w:pPr>
            <w:r w:rsidRPr="002D37E6">
              <w:rPr>
                <w:sz w:val="20"/>
                <w:szCs w:val="20"/>
              </w:rPr>
              <w:t>Yes</w:t>
            </w:r>
          </w:p>
        </w:tc>
        <w:tc>
          <w:tcPr>
            <w:tcW w:w="529"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No</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No</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r>
      <w:tr w:rsidR="00C621A4" w:rsidRPr="002D37E6">
        <w:tc>
          <w:tcPr>
            <w:tcW w:w="1312" w:type="dxa"/>
          </w:tcPr>
          <w:p w:rsidR="00C621A4" w:rsidRPr="002D37E6" w:rsidRDefault="00426EE4">
            <w:pPr>
              <w:spacing w:before="200" w:line="360" w:lineRule="auto"/>
              <w:rPr>
                <w:sz w:val="20"/>
                <w:szCs w:val="20"/>
              </w:rPr>
            </w:pPr>
            <w:r w:rsidRPr="002D37E6">
              <w:rPr>
                <w:sz w:val="20"/>
                <w:szCs w:val="20"/>
              </w:rPr>
              <w:t xml:space="preserve">Has the </w:t>
            </w:r>
            <w:r w:rsidRPr="002D37E6">
              <w:rPr>
                <w:sz w:val="20"/>
                <w:szCs w:val="20"/>
              </w:rPr>
              <w:lastRenderedPageBreak/>
              <w:t>relationship between researcher and participants been adequately considered?</w:t>
            </w:r>
          </w:p>
        </w:tc>
        <w:tc>
          <w:tcPr>
            <w:tcW w:w="742" w:type="dxa"/>
          </w:tcPr>
          <w:p w:rsidR="00C621A4" w:rsidRPr="002D37E6" w:rsidRDefault="00426EE4">
            <w:pPr>
              <w:spacing w:before="200" w:line="360" w:lineRule="auto"/>
              <w:rPr>
                <w:sz w:val="20"/>
                <w:szCs w:val="20"/>
              </w:rPr>
            </w:pPr>
            <w:r w:rsidRPr="002D37E6">
              <w:rPr>
                <w:sz w:val="20"/>
                <w:szCs w:val="20"/>
              </w:rPr>
              <w:lastRenderedPageBreak/>
              <w:t>Yes</w:t>
            </w:r>
          </w:p>
        </w:tc>
        <w:tc>
          <w:tcPr>
            <w:tcW w:w="529" w:type="dxa"/>
          </w:tcPr>
          <w:p w:rsidR="00C621A4" w:rsidRPr="002D37E6" w:rsidRDefault="00426EE4">
            <w:pPr>
              <w:spacing w:before="200" w:line="360" w:lineRule="auto"/>
              <w:rPr>
                <w:sz w:val="20"/>
                <w:szCs w:val="20"/>
              </w:rPr>
            </w:pPr>
            <w:r w:rsidRPr="002D37E6">
              <w:rPr>
                <w:sz w:val="20"/>
                <w:szCs w:val="20"/>
              </w:rPr>
              <w:t>Ye</w:t>
            </w:r>
            <w:r w:rsidRPr="002D37E6">
              <w:rPr>
                <w:sz w:val="20"/>
                <w:szCs w:val="20"/>
              </w:rPr>
              <w:lastRenderedPageBreak/>
              <w:t>s</w:t>
            </w:r>
          </w:p>
        </w:tc>
        <w:tc>
          <w:tcPr>
            <w:tcW w:w="637" w:type="dxa"/>
          </w:tcPr>
          <w:p w:rsidR="00C621A4" w:rsidRPr="002D37E6" w:rsidRDefault="00426EE4">
            <w:pPr>
              <w:spacing w:before="200" w:line="360" w:lineRule="auto"/>
              <w:rPr>
                <w:sz w:val="20"/>
                <w:szCs w:val="20"/>
              </w:rPr>
            </w:pPr>
            <w:r w:rsidRPr="002D37E6">
              <w:rPr>
                <w:sz w:val="20"/>
                <w:szCs w:val="20"/>
              </w:rPr>
              <w:lastRenderedPageBreak/>
              <w:t>No</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r>
      <w:tr w:rsidR="00C621A4" w:rsidRPr="002D37E6">
        <w:tc>
          <w:tcPr>
            <w:tcW w:w="1312" w:type="dxa"/>
          </w:tcPr>
          <w:p w:rsidR="00C621A4" w:rsidRPr="002D37E6" w:rsidRDefault="00426EE4">
            <w:pPr>
              <w:spacing w:before="200" w:line="360" w:lineRule="auto"/>
              <w:rPr>
                <w:sz w:val="20"/>
                <w:szCs w:val="20"/>
              </w:rPr>
            </w:pPr>
            <w:r w:rsidRPr="002D37E6">
              <w:rPr>
                <w:sz w:val="20"/>
                <w:szCs w:val="20"/>
              </w:rPr>
              <w:lastRenderedPageBreak/>
              <w:t>Have ethical issues been taken into consideration?</w:t>
            </w:r>
          </w:p>
        </w:tc>
        <w:tc>
          <w:tcPr>
            <w:tcW w:w="742" w:type="dxa"/>
          </w:tcPr>
          <w:p w:rsidR="00C621A4" w:rsidRPr="002D37E6" w:rsidRDefault="00426EE4">
            <w:pPr>
              <w:spacing w:before="200" w:line="360" w:lineRule="auto"/>
              <w:rPr>
                <w:sz w:val="20"/>
                <w:szCs w:val="20"/>
              </w:rPr>
            </w:pPr>
            <w:r w:rsidRPr="002D37E6">
              <w:rPr>
                <w:sz w:val="20"/>
                <w:szCs w:val="20"/>
              </w:rPr>
              <w:t>Yes</w:t>
            </w:r>
          </w:p>
        </w:tc>
        <w:tc>
          <w:tcPr>
            <w:tcW w:w="529"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No</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r>
      <w:tr w:rsidR="00C621A4" w:rsidRPr="002D37E6">
        <w:tc>
          <w:tcPr>
            <w:tcW w:w="1312" w:type="dxa"/>
          </w:tcPr>
          <w:p w:rsidR="00C621A4" w:rsidRPr="002D37E6" w:rsidRDefault="00426EE4">
            <w:pPr>
              <w:spacing w:before="200" w:line="360" w:lineRule="auto"/>
              <w:rPr>
                <w:sz w:val="20"/>
                <w:szCs w:val="20"/>
              </w:rPr>
            </w:pPr>
            <w:r w:rsidRPr="002D37E6">
              <w:rPr>
                <w:sz w:val="20"/>
                <w:szCs w:val="20"/>
              </w:rPr>
              <w:t>Was the data analysis sufficiently rigorous?</w:t>
            </w:r>
          </w:p>
        </w:tc>
        <w:tc>
          <w:tcPr>
            <w:tcW w:w="742" w:type="dxa"/>
          </w:tcPr>
          <w:p w:rsidR="00C621A4" w:rsidRPr="002D37E6" w:rsidRDefault="00426EE4">
            <w:pPr>
              <w:spacing w:before="200" w:line="360" w:lineRule="auto"/>
              <w:rPr>
                <w:sz w:val="20"/>
                <w:szCs w:val="20"/>
              </w:rPr>
            </w:pPr>
            <w:r w:rsidRPr="002D37E6">
              <w:rPr>
                <w:sz w:val="20"/>
                <w:szCs w:val="20"/>
              </w:rPr>
              <w:t>Yes</w:t>
            </w:r>
          </w:p>
        </w:tc>
        <w:tc>
          <w:tcPr>
            <w:tcW w:w="529"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6" w:type="dxa"/>
          </w:tcPr>
          <w:p w:rsidR="00C621A4" w:rsidRPr="002D37E6" w:rsidRDefault="00426EE4">
            <w:pPr>
              <w:spacing w:before="200" w:line="360" w:lineRule="auto"/>
              <w:rPr>
                <w:sz w:val="20"/>
                <w:szCs w:val="20"/>
              </w:rPr>
            </w:pPr>
            <w:r w:rsidRPr="002D37E6">
              <w:rPr>
                <w:sz w:val="20"/>
                <w:szCs w:val="20"/>
              </w:rPr>
              <w:t>No</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r>
      <w:tr w:rsidR="00C621A4" w:rsidRPr="002D37E6">
        <w:tc>
          <w:tcPr>
            <w:tcW w:w="1312" w:type="dxa"/>
          </w:tcPr>
          <w:p w:rsidR="00C621A4" w:rsidRPr="002D37E6" w:rsidRDefault="00426EE4">
            <w:pPr>
              <w:spacing w:before="200" w:line="360" w:lineRule="auto"/>
              <w:rPr>
                <w:sz w:val="20"/>
                <w:szCs w:val="20"/>
              </w:rPr>
            </w:pPr>
            <w:r w:rsidRPr="002D37E6">
              <w:rPr>
                <w:sz w:val="20"/>
                <w:szCs w:val="20"/>
              </w:rPr>
              <w:t>Is there a clear statement of findings?</w:t>
            </w:r>
          </w:p>
        </w:tc>
        <w:tc>
          <w:tcPr>
            <w:tcW w:w="742" w:type="dxa"/>
          </w:tcPr>
          <w:p w:rsidR="00C621A4" w:rsidRPr="002D37E6" w:rsidRDefault="00426EE4">
            <w:pPr>
              <w:spacing w:before="200" w:line="360" w:lineRule="auto"/>
              <w:rPr>
                <w:sz w:val="20"/>
                <w:szCs w:val="20"/>
              </w:rPr>
            </w:pPr>
            <w:r w:rsidRPr="002D37E6">
              <w:rPr>
                <w:sz w:val="20"/>
                <w:szCs w:val="20"/>
              </w:rPr>
              <w:t>Yes</w:t>
            </w:r>
          </w:p>
        </w:tc>
        <w:tc>
          <w:tcPr>
            <w:tcW w:w="529"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No</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r>
      <w:tr w:rsidR="00C621A4" w:rsidRPr="002D37E6">
        <w:tc>
          <w:tcPr>
            <w:tcW w:w="1312" w:type="dxa"/>
          </w:tcPr>
          <w:p w:rsidR="00C621A4" w:rsidRPr="002D37E6" w:rsidRDefault="00426EE4">
            <w:pPr>
              <w:spacing w:before="200" w:line="360" w:lineRule="auto"/>
              <w:rPr>
                <w:sz w:val="20"/>
                <w:szCs w:val="20"/>
              </w:rPr>
            </w:pPr>
            <w:r w:rsidRPr="002D37E6">
              <w:rPr>
                <w:sz w:val="20"/>
                <w:szCs w:val="20"/>
              </w:rPr>
              <w:t xml:space="preserve">How </w:t>
            </w:r>
            <w:r w:rsidRPr="002D37E6">
              <w:rPr>
                <w:sz w:val="20"/>
                <w:szCs w:val="20"/>
              </w:rPr>
              <w:lastRenderedPageBreak/>
              <w:t>valuable is the research?</w:t>
            </w:r>
          </w:p>
        </w:tc>
        <w:tc>
          <w:tcPr>
            <w:tcW w:w="742" w:type="dxa"/>
          </w:tcPr>
          <w:p w:rsidR="00C621A4" w:rsidRPr="002D37E6" w:rsidRDefault="00426EE4">
            <w:pPr>
              <w:spacing w:before="200" w:line="360" w:lineRule="auto"/>
              <w:rPr>
                <w:sz w:val="20"/>
                <w:szCs w:val="20"/>
              </w:rPr>
            </w:pPr>
            <w:r w:rsidRPr="002D37E6">
              <w:rPr>
                <w:sz w:val="20"/>
                <w:szCs w:val="20"/>
              </w:rPr>
              <w:lastRenderedPageBreak/>
              <w:t>Yes</w:t>
            </w:r>
          </w:p>
        </w:tc>
        <w:tc>
          <w:tcPr>
            <w:tcW w:w="529" w:type="dxa"/>
          </w:tcPr>
          <w:p w:rsidR="00C621A4" w:rsidRPr="002D37E6" w:rsidRDefault="00426EE4">
            <w:pPr>
              <w:spacing w:before="200" w:line="360" w:lineRule="auto"/>
              <w:rPr>
                <w:sz w:val="20"/>
                <w:szCs w:val="20"/>
              </w:rPr>
            </w:pPr>
            <w:r w:rsidRPr="002D37E6">
              <w:rPr>
                <w:sz w:val="20"/>
                <w:szCs w:val="20"/>
              </w:rPr>
              <w:t>Ye</w:t>
            </w:r>
            <w:r w:rsidRPr="002D37E6">
              <w:rPr>
                <w:sz w:val="20"/>
                <w:szCs w:val="20"/>
              </w:rPr>
              <w:lastRenderedPageBreak/>
              <w:t>s</w:t>
            </w:r>
          </w:p>
        </w:tc>
        <w:tc>
          <w:tcPr>
            <w:tcW w:w="637" w:type="dxa"/>
          </w:tcPr>
          <w:p w:rsidR="00C621A4" w:rsidRPr="002D37E6" w:rsidRDefault="00426EE4">
            <w:pPr>
              <w:spacing w:before="200" w:line="360" w:lineRule="auto"/>
              <w:rPr>
                <w:sz w:val="20"/>
                <w:szCs w:val="20"/>
              </w:rPr>
            </w:pPr>
            <w:r w:rsidRPr="002D37E6">
              <w:rPr>
                <w:sz w:val="20"/>
                <w:szCs w:val="20"/>
              </w:rPr>
              <w:lastRenderedPageBreak/>
              <w:t>Yes</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6"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637" w:type="dxa"/>
          </w:tcPr>
          <w:p w:rsidR="00C621A4" w:rsidRPr="002D37E6" w:rsidRDefault="00426EE4">
            <w:pPr>
              <w:spacing w:before="200" w:line="360" w:lineRule="auto"/>
              <w:rPr>
                <w:sz w:val="20"/>
                <w:szCs w:val="20"/>
              </w:rPr>
            </w:pPr>
            <w:r w:rsidRPr="002D37E6">
              <w:rPr>
                <w:sz w:val="20"/>
                <w:szCs w:val="20"/>
              </w:rPr>
              <w:t>No</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638"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c>
          <w:tcPr>
            <w:tcW w:w="743" w:type="dxa"/>
          </w:tcPr>
          <w:p w:rsidR="00C621A4" w:rsidRPr="002D37E6" w:rsidRDefault="00426EE4">
            <w:pPr>
              <w:spacing w:before="200" w:line="360" w:lineRule="auto"/>
              <w:rPr>
                <w:sz w:val="20"/>
                <w:szCs w:val="20"/>
              </w:rPr>
            </w:pPr>
            <w:r w:rsidRPr="002D37E6">
              <w:rPr>
                <w:sz w:val="20"/>
                <w:szCs w:val="20"/>
              </w:rPr>
              <w:t>Yes</w:t>
            </w:r>
          </w:p>
        </w:tc>
      </w:tr>
    </w:tbl>
    <w:p w:rsidR="00C621A4" w:rsidRPr="002D37E6" w:rsidRDefault="00C621A4">
      <w:pPr>
        <w:spacing w:before="200" w:after="160"/>
        <w:sectPr w:rsidR="00C621A4" w:rsidRPr="002D37E6">
          <w:pgSz w:w="15840" w:h="12240" w:orient="landscape"/>
          <w:pgMar w:top="1440" w:right="1440" w:bottom="1440" w:left="1440" w:header="720" w:footer="720" w:gutter="0"/>
          <w:cols w:space="720"/>
          <w:titlePg/>
        </w:sectPr>
      </w:pPr>
    </w:p>
    <w:p w:rsidR="00C621A4" w:rsidRPr="002D37E6" w:rsidRDefault="00426EE4">
      <w:pPr>
        <w:pStyle w:val="Heading2"/>
      </w:pPr>
      <w:bookmarkStart w:id="87" w:name="_Toc240897627"/>
      <w:r w:rsidRPr="002D37E6">
        <w:lastRenderedPageBreak/>
        <w:t>Appendix 2 – Data Extraction Table</w:t>
      </w:r>
      <w:bookmarkEnd w:id="87"/>
    </w:p>
    <w:tbl>
      <w:tblPr>
        <w:tblStyle w:val="af6"/>
        <w:tblW w:w="13320" w:type="dxa"/>
        <w:tblInd w:w="-180" w:type="dxa"/>
        <w:tblBorders>
          <w:top w:val="nil"/>
          <w:left w:val="nil"/>
          <w:bottom w:val="nil"/>
          <w:right w:val="nil"/>
          <w:insideH w:val="nil"/>
          <w:insideV w:val="nil"/>
        </w:tblBorders>
        <w:tblLayout w:type="fixed"/>
        <w:tblLook w:val="0600"/>
      </w:tblPr>
      <w:tblGrid>
        <w:gridCol w:w="1515"/>
        <w:gridCol w:w="2449"/>
        <w:gridCol w:w="2268"/>
        <w:gridCol w:w="3119"/>
        <w:gridCol w:w="3969"/>
      </w:tblGrid>
      <w:tr w:rsidR="00C621A4" w:rsidRPr="002D37E6">
        <w:trPr>
          <w:trHeight w:val="221"/>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rPr>
                <w:b/>
                <w:bCs/>
                <w:i/>
                <w:iCs/>
              </w:rPr>
            </w:pPr>
            <w:r w:rsidRPr="002D37E6">
              <w:rPr>
                <w:b/>
                <w:bCs/>
                <w:i/>
                <w:iCs/>
              </w:rPr>
              <w:t>Author(s)</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rPr>
                <w:b/>
                <w:bCs/>
                <w:i/>
                <w:iCs/>
              </w:rPr>
            </w:pPr>
            <w:r w:rsidRPr="002D37E6">
              <w:rPr>
                <w:b/>
                <w:bCs/>
                <w:i/>
                <w:iCs/>
              </w:rPr>
              <w:t>Objective</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rPr>
                <w:b/>
                <w:bCs/>
                <w:i/>
                <w:iCs/>
              </w:rPr>
            </w:pPr>
            <w:r w:rsidRPr="002D37E6">
              <w:rPr>
                <w:b/>
                <w:bCs/>
                <w:i/>
                <w:iCs/>
              </w:rPr>
              <w:t>Methods</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rPr>
                <w:b/>
                <w:bCs/>
                <w:i/>
                <w:iCs/>
              </w:rPr>
            </w:pPr>
            <w:r w:rsidRPr="002D37E6">
              <w:rPr>
                <w:b/>
                <w:bCs/>
                <w:i/>
                <w:iCs/>
              </w:rPr>
              <w:t>Findings</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rPr>
                <w:b/>
                <w:bCs/>
                <w:i/>
                <w:iCs/>
              </w:rPr>
            </w:pPr>
            <w:r w:rsidRPr="002D37E6">
              <w:rPr>
                <w:b/>
                <w:bCs/>
                <w:i/>
                <w:iCs/>
              </w:rPr>
              <w:t>Strengths &amp; Weaknesses</w:t>
            </w:r>
          </w:p>
        </w:tc>
      </w:tr>
      <w:tr w:rsidR="00C621A4" w:rsidRPr="002D37E6">
        <w:trPr>
          <w:trHeight w:val="1861"/>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 xml:space="preserve">Mathews </w:t>
            </w:r>
            <w:r w:rsidRPr="002D37E6">
              <w:rPr>
                <w:i/>
                <w:iCs/>
              </w:rPr>
              <w:t>et al.</w:t>
            </w:r>
            <w:r w:rsidRPr="002D37E6">
              <w:t xml:space="preserve"> (2023)</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To evaluate ethical, governance, and policy challenges in emerging regenerative medicine for blood disorders</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Case study analysis</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High costs, safety trade-offs, and regulatory gaps hinder equitable deployment despite therapeutic efficacy</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16"/>
              </w:numPr>
              <w:spacing w:before="200"/>
            </w:pPr>
            <w:r w:rsidRPr="002D37E6">
              <w:t>Strengths: Comprehensive cross-sectoral governance framework.</w:t>
            </w:r>
          </w:p>
          <w:p w:rsidR="00C621A4" w:rsidRPr="002D37E6" w:rsidRDefault="00426EE4">
            <w:pPr>
              <w:numPr>
                <w:ilvl w:val="0"/>
                <w:numId w:val="16"/>
              </w:numPr>
              <w:spacing w:before="200"/>
            </w:pPr>
            <w:r w:rsidRPr="002D37E6">
              <w:t>Weaknesses: Primarily focused on the US regulatory ecosystem</w:t>
            </w:r>
          </w:p>
        </w:tc>
      </w:tr>
      <w:tr w:rsidR="00C621A4" w:rsidRPr="002D37E6">
        <w:trPr>
          <w:trHeight w:val="1505"/>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Basem</w:t>
            </w:r>
            <w:r w:rsidRPr="002D37E6">
              <w:rPr>
                <w:i/>
                <w:iCs/>
              </w:rPr>
              <w:t>et al.</w:t>
            </w:r>
            <w:r w:rsidRPr="002D37E6">
              <w:t xml:space="preserve"> (2026)</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To assess biopharmaceutical innovations, challenges, and global health system implications</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Qualitative narrative literature review and health policy synthesis</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Advanced gene/cell therapies face severe manufacturing, financial, and delivery bottlenecks in health systems</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8"/>
              </w:numPr>
              <w:spacing w:before="200"/>
            </w:pPr>
            <w:r w:rsidRPr="002D37E6">
              <w:t>Strengths: Broad global biopharmaceutical perspective</w:t>
            </w:r>
          </w:p>
          <w:p w:rsidR="00C621A4" w:rsidRPr="002D37E6" w:rsidRDefault="00426EE4">
            <w:pPr>
              <w:numPr>
                <w:ilvl w:val="0"/>
                <w:numId w:val="8"/>
              </w:numPr>
              <w:spacing w:before="200"/>
            </w:pPr>
            <w:r w:rsidRPr="002D37E6">
              <w:t>Weaknesses: Lacks quantitative empirical data for specific clinical trials</w:t>
            </w:r>
          </w:p>
        </w:tc>
      </w:tr>
      <w:tr w:rsidR="00C621A4" w:rsidRPr="002D37E6">
        <w:trPr>
          <w:trHeight w:val="579"/>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Lee &amp; Sawai (2024)</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 xml:space="preserve">To analyze equity and global access barriers to CRISPR </w:t>
            </w:r>
            <w:r w:rsidRPr="002D37E6">
              <w:lastRenderedPageBreak/>
              <w:t>genome therapies for sickle cell disease</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lastRenderedPageBreak/>
              <w:t xml:space="preserve">Qualitative ethical and legal policy analysis based on </w:t>
            </w:r>
            <w:r w:rsidRPr="002D37E6">
              <w:lastRenderedPageBreak/>
              <w:t xml:space="preserve">human rights law </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lastRenderedPageBreak/>
              <w:t xml:space="preserve">High costs and weak LMIC health infrastructure risk creating a genetic access </w:t>
            </w:r>
            <w:r w:rsidRPr="002D37E6">
              <w:lastRenderedPageBreak/>
              <w:t>divide without global policy reform</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19"/>
              </w:numPr>
              <w:spacing w:before="200"/>
            </w:pPr>
            <w:r w:rsidRPr="002D37E6">
              <w:lastRenderedPageBreak/>
              <w:t>Strengths: Strong human rights-based policy framework</w:t>
            </w:r>
          </w:p>
          <w:p w:rsidR="00C621A4" w:rsidRPr="002D37E6" w:rsidRDefault="00426EE4">
            <w:pPr>
              <w:numPr>
                <w:ilvl w:val="0"/>
                <w:numId w:val="19"/>
              </w:numPr>
              <w:spacing w:before="200"/>
            </w:pPr>
            <w:r w:rsidRPr="002D37E6">
              <w:lastRenderedPageBreak/>
              <w:t>Weaknesses: Theoretical focus; lacks primary economic or clinical data</w:t>
            </w:r>
          </w:p>
        </w:tc>
      </w:tr>
      <w:tr w:rsidR="00C621A4" w:rsidRPr="002D37E6">
        <w:trPr>
          <w:trHeight w:val="2325"/>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lastRenderedPageBreak/>
              <w:t xml:space="preserve">Ayrton </w:t>
            </w:r>
            <w:r w:rsidRPr="002D37E6">
              <w:rPr>
                <w:i/>
                <w:iCs/>
              </w:rPr>
              <w:t>et al.</w:t>
            </w:r>
            <w:r w:rsidRPr="002D37E6">
              <w:t xml:space="preserve"> (2025)</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To review curative immune, gene, and stem cell therapies for hemophilias and hemoglobinopathies</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Narrative literature review of clinical trials, therapeutic mechanisms, and access barriers</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AAV gene transfer and CRISPR editing yield sustained disease control, but cost and complexity impede global scale-up</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9"/>
              </w:numPr>
              <w:spacing w:before="200"/>
            </w:pPr>
            <w:r w:rsidRPr="002D37E6">
              <w:t>Strengths: Thorough synthesis of both hemophilia and hemoglobinopathies</w:t>
            </w:r>
          </w:p>
          <w:p w:rsidR="00C621A4" w:rsidRPr="002D37E6" w:rsidRDefault="00426EE4">
            <w:pPr>
              <w:numPr>
                <w:ilvl w:val="0"/>
                <w:numId w:val="9"/>
              </w:numPr>
              <w:spacing w:before="200"/>
            </w:pPr>
            <w:r w:rsidRPr="002D37E6">
              <w:t>Weaknesses: Descriptive review format without formal meta-analysis</w:t>
            </w:r>
          </w:p>
        </w:tc>
      </w:tr>
      <w:tr w:rsidR="00C621A4" w:rsidRPr="002D37E6">
        <w:trPr>
          <w:trHeight w:val="3045"/>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 xml:space="preserve">Azeez </w:t>
            </w:r>
            <w:r w:rsidRPr="002D37E6">
              <w:rPr>
                <w:i/>
                <w:iCs/>
              </w:rPr>
              <w:t>et al.</w:t>
            </w:r>
            <w:r w:rsidRPr="002D37E6">
              <w:t xml:space="preserve"> (2026)</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To compare allogeneic HSCT and autologous gene therapies for SCD</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Comprehensive literature review of clinical efficacy, safety, and donor availability parameters</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Autologous gene therapies eliminate GVHD and donor constraints, matching HSCT efficacy despite conditioning toxicities</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4"/>
              </w:numPr>
              <w:spacing w:before="200"/>
            </w:pPr>
            <w:r w:rsidRPr="002D37E6">
              <w:t>Strengths: Direct clinical comparison between HSCT and gene editing.</w:t>
            </w:r>
          </w:p>
          <w:p w:rsidR="00C621A4" w:rsidRPr="002D37E6" w:rsidRDefault="00426EE4">
            <w:pPr>
              <w:numPr>
                <w:ilvl w:val="0"/>
                <w:numId w:val="4"/>
              </w:numPr>
              <w:spacing w:before="200"/>
            </w:pPr>
            <w:r w:rsidRPr="002D37E6">
              <w:t>Weaknesses: Relies on published clinical trial summaries without raw patient data</w:t>
            </w:r>
          </w:p>
        </w:tc>
      </w:tr>
      <w:tr w:rsidR="00C621A4" w:rsidRPr="002D37E6">
        <w:trPr>
          <w:trHeight w:val="2040"/>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lastRenderedPageBreak/>
              <w:t>Levesque &amp; Bauer (2025)</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To review clinical progress, molecular mechanisms, and safety of CRISPR therapeutic editing in blood disorders</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Expert literature review of preclinical mechanisms, vector delivery, and clinical trials</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Targeted enhancer disruption safely reactivates fetalhemoglobin, resolving clinical SCD/TDT symptoms</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7"/>
              </w:numPr>
              <w:spacing w:before="200"/>
            </w:pPr>
            <w:r w:rsidRPr="002D37E6">
              <w:t>Strengths: High molecular precision and translational clarity.</w:t>
            </w:r>
          </w:p>
          <w:p w:rsidR="00C621A4" w:rsidRPr="002D37E6" w:rsidRDefault="00426EE4">
            <w:pPr>
              <w:numPr>
                <w:ilvl w:val="0"/>
                <w:numId w:val="7"/>
              </w:numPr>
              <w:spacing w:before="200"/>
            </w:pPr>
            <w:r w:rsidRPr="002D37E6">
              <w:t>Weaknesses: Excludes non-clinical socioeconomic and cost analyses</w:t>
            </w:r>
          </w:p>
        </w:tc>
      </w:tr>
      <w:tr w:rsidR="00C621A4" w:rsidRPr="002D37E6">
        <w:trPr>
          <w:trHeight w:val="1748"/>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Parums (2024)</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To summarize regulatory approval milestones for CRISPR-Cas9 therapies in SCD and β-thalassemia</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Editorial review of clinical trial endpoints and regulatory submission data</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First regulatory approvals validate CRISPR efficacy with manageable acute safety profiles</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21"/>
              </w:numPr>
              <w:spacing w:before="200"/>
            </w:pPr>
            <w:r w:rsidRPr="002D37E6">
              <w:t>Strengths: Concise, timely synthesis of regulatory benchmarks</w:t>
            </w:r>
          </w:p>
          <w:p w:rsidR="00C621A4" w:rsidRPr="002D37E6" w:rsidRDefault="00426EE4">
            <w:pPr>
              <w:numPr>
                <w:ilvl w:val="0"/>
                <w:numId w:val="21"/>
              </w:numPr>
              <w:spacing w:before="200"/>
            </w:pPr>
            <w:r w:rsidRPr="002D37E6">
              <w:t>Weaknesses: Short editorial overview; limited technical/methodological depth</w:t>
            </w:r>
          </w:p>
        </w:tc>
      </w:tr>
      <w:tr w:rsidR="00C621A4" w:rsidRPr="002D37E6">
        <w:trPr>
          <w:trHeight w:val="3045"/>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lastRenderedPageBreak/>
              <w:t xml:space="preserve">Laurent </w:t>
            </w:r>
            <w:r w:rsidRPr="002D37E6">
              <w:rPr>
                <w:i/>
                <w:iCs/>
              </w:rPr>
              <w:t>et al.</w:t>
            </w:r>
            <w:r w:rsidRPr="002D37E6">
              <w:t xml:space="preserve"> (2024)</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To trace the translation of CRISPR therapies from preclinical development to clinical applications</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Mechanistic literature review covering nucleases, base/prime editing, and clinical delivery</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Evolution from CRISPR-Cas9 double-strand breaks to base/prime editing enhances precision and reduces genotoxicity</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18"/>
              </w:numPr>
              <w:spacing w:before="200"/>
            </w:pPr>
            <w:r w:rsidRPr="002D37E6">
              <w:t>Strengths: In-depth technical coverage of evolving editing modalities</w:t>
            </w:r>
          </w:p>
          <w:p w:rsidR="00C621A4" w:rsidRPr="002D37E6" w:rsidRDefault="00426EE4">
            <w:pPr>
              <w:numPr>
                <w:ilvl w:val="0"/>
                <w:numId w:val="18"/>
              </w:numPr>
              <w:spacing w:before="200"/>
            </w:pPr>
            <w:r w:rsidRPr="002D37E6">
              <w:t>Weaknesses: Minimal discussion of cost, policy, or implementation logistics</w:t>
            </w:r>
          </w:p>
        </w:tc>
      </w:tr>
      <w:tr w:rsidR="00C621A4" w:rsidRPr="002D37E6">
        <w:trPr>
          <w:trHeight w:val="2265"/>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Pinhas</w:t>
            </w:r>
            <w:r w:rsidRPr="002D37E6">
              <w:rPr>
                <w:i/>
                <w:iCs/>
              </w:rPr>
              <w:t>et al.</w:t>
            </w:r>
            <w:r w:rsidRPr="002D37E6">
              <w:t xml:space="preserve"> (2022)</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Quantify systemic CRISPR editing efficacy in SCD using retinal optical coherence tomography angiography</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Single-patient longitudinal case study measuring retinal microvascular perfusion pre- and post-treatment.</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CRISPR gene editing reduced microvascular occlusion as effectively as repeated exchange transfusions</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6"/>
              </w:numPr>
              <w:spacing w:before="200"/>
            </w:pPr>
            <w:r w:rsidRPr="002D37E6">
              <w:t>Strengths: Novel, non-invasive biomarker assessment of systemic microvascular cure.</w:t>
            </w:r>
          </w:p>
          <w:p w:rsidR="00C621A4" w:rsidRPr="002D37E6" w:rsidRDefault="00426EE4">
            <w:pPr>
              <w:numPr>
                <w:ilvl w:val="0"/>
                <w:numId w:val="6"/>
              </w:numPr>
              <w:spacing w:before="200"/>
            </w:pPr>
            <w:r w:rsidRPr="002D37E6">
              <w:t>Weaknesses: Single-patient sample size, limiting generalizability.</w:t>
            </w:r>
          </w:p>
        </w:tc>
      </w:tr>
      <w:tr w:rsidR="00C621A4" w:rsidRPr="002D37E6">
        <w:trPr>
          <w:trHeight w:val="2295"/>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Almotiri</w:t>
            </w:r>
            <w:r w:rsidRPr="002D37E6">
              <w:rPr>
                <w:i/>
                <w:iCs/>
              </w:rPr>
              <w:t>et al.</w:t>
            </w:r>
            <w:r w:rsidRPr="002D37E6">
              <w:t xml:space="preserve"> (2025)</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To examine CRISPR target loci, delivery vectors, and outcomes in genetic blood disorder therapy</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Literature review of target genes ($BCL11A$, $HBB$), viral/non-viral delivery, and trial results.</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Gene editing successfully corrects hemoglobin synthesis, though stem cell delivery and conditioning remain bottlenecks</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13"/>
              </w:numPr>
              <w:spacing w:before="200"/>
            </w:pPr>
            <w:r w:rsidRPr="002D37E6">
              <w:t>Strengths: Detailed technical analysis of target loci and delivery systems.</w:t>
            </w:r>
          </w:p>
          <w:p w:rsidR="00C621A4" w:rsidRPr="002D37E6" w:rsidRDefault="00426EE4">
            <w:pPr>
              <w:numPr>
                <w:ilvl w:val="0"/>
                <w:numId w:val="13"/>
              </w:numPr>
              <w:spacing w:before="200"/>
            </w:pPr>
            <w:r w:rsidRPr="002D37E6">
              <w:t xml:space="preserve">Weaknesses: Qualitative summary without statistical </w:t>
            </w:r>
            <w:r w:rsidRPr="002D37E6">
              <w:lastRenderedPageBreak/>
              <w:t>pooling.</w:t>
            </w:r>
          </w:p>
        </w:tc>
      </w:tr>
      <w:tr w:rsidR="00C621A4" w:rsidRPr="002D37E6">
        <w:trPr>
          <w:trHeight w:val="3045"/>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lastRenderedPageBreak/>
              <w:t xml:space="preserve">Gamage </w:t>
            </w:r>
            <w:r w:rsidRPr="002D37E6">
              <w:rPr>
                <w:i/>
                <w:iCs/>
              </w:rPr>
              <w:t>et al.</w:t>
            </w:r>
            <w:r w:rsidRPr="002D37E6">
              <w:t xml:space="preserve"> (2023)</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 xml:space="preserve">To evaluate CRISPR-Cas9 gene therapy as a one-time cure for transfusion-dependent β-thalassemia </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 xml:space="preserve">Narrative literature review of clinical trials </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CRISPR drastically reduces transfusion dependence.</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14"/>
              </w:numPr>
              <w:spacing w:before="200"/>
            </w:pPr>
            <w:r w:rsidRPr="002D37E6">
              <w:t>Strengths: Focused analysis on TDT clinical outcomes</w:t>
            </w:r>
          </w:p>
          <w:p w:rsidR="00C621A4" w:rsidRPr="002D37E6" w:rsidRDefault="00426EE4">
            <w:pPr>
              <w:numPr>
                <w:ilvl w:val="0"/>
                <w:numId w:val="14"/>
              </w:numPr>
              <w:spacing w:before="200"/>
            </w:pPr>
            <w:r w:rsidRPr="002D37E6">
              <w:t>Weaknesses: Descriptive review with no independent quantitative synthesis</w:t>
            </w:r>
          </w:p>
        </w:tc>
      </w:tr>
      <w:tr w:rsidR="00C621A4" w:rsidRPr="002D37E6">
        <w:trPr>
          <w:trHeight w:val="2430"/>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Addani</w:t>
            </w:r>
            <w:r w:rsidRPr="002D37E6">
              <w:rPr>
                <w:i/>
                <w:iCs/>
              </w:rPr>
              <w:t>et al.</w:t>
            </w:r>
            <w:r w:rsidRPr="002D37E6">
              <w:t xml:space="preserve"> (2025)</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To propose a multi-level health equity research framework for emerging regenerative treatments</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Framework development using multi-level health disparity models across individual, system, and policy levels.</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Establishes a 3-step framework (barrier identification, intervention, implementation) to embed equity in R&amp;D.</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15"/>
              </w:numPr>
              <w:spacing w:before="200"/>
            </w:pPr>
            <w:r w:rsidRPr="002D37E6">
              <w:t>Strengths: Proactive, structured model for preventing systemic healthcare disparities</w:t>
            </w:r>
          </w:p>
          <w:p w:rsidR="00C621A4" w:rsidRPr="002D37E6" w:rsidRDefault="00426EE4">
            <w:pPr>
              <w:numPr>
                <w:ilvl w:val="0"/>
                <w:numId w:val="15"/>
              </w:numPr>
              <w:spacing w:before="200"/>
            </w:pPr>
            <w:r w:rsidRPr="002D37E6">
              <w:t>Weaknesses: Conceptual model requiring future empirical field validation</w:t>
            </w:r>
          </w:p>
        </w:tc>
      </w:tr>
      <w:tr w:rsidR="00C621A4" w:rsidRPr="002D37E6">
        <w:trPr>
          <w:trHeight w:val="2520"/>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lastRenderedPageBreak/>
              <w:t xml:space="preserve">Montano-Campos </w:t>
            </w:r>
            <w:r w:rsidRPr="002D37E6">
              <w:rPr>
                <w:i/>
                <w:iCs/>
              </w:rPr>
              <w:t>et al.</w:t>
            </w:r>
            <w:r w:rsidRPr="002D37E6">
              <w:t xml:space="preserve"> (2026)</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To evaluate the cost-effectiveness of SCD gene therapy adapted to Uganda’s healthcare context</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Decision-analytic Markov microsimulation economic modeling using localized epidemiological parameters.</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High-income gene therapy pricing is cost-ineffective in Uganda without massive price cuts or regional manufacturing.</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11"/>
              </w:numPr>
              <w:spacing w:before="200"/>
            </w:pPr>
            <w:r w:rsidRPr="002D37E6">
              <w:t>Strengths: Rigorous, setting-specific economic model for low-income high-burden regions</w:t>
            </w:r>
          </w:p>
          <w:p w:rsidR="00C621A4" w:rsidRPr="002D37E6" w:rsidRDefault="00426EE4">
            <w:pPr>
              <w:numPr>
                <w:ilvl w:val="0"/>
                <w:numId w:val="11"/>
              </w:numPr>
              <w:spacing w:before="200"/>
            </w:pPr>
            <w:r w:rsidRPr="002D37E6">
              <w:t>Weaknesses: Model predictions depend on assumptions and external trial efficacy inputs</w:t>
            </w:r>
          </w:p>
        </w:tc>
      </w:tr>
      <w:tr w:rsidR="00C621A4" w:rsidRPr="002D37E6">
        <w:trPr>
          <w:trHeight w:val="1713"/>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 xml:space="preserve">Tardif </w:t>
            </w:r>
            <w:r w:rsidRPr="002D37E6">
              <w:rPr>
                <w:i/>
                <w:iCs/>
              </w:rPr>
              <w:t>et al.</w:t>
            </w:r>
            <w:r w:rsidRPr="002D37E6">
              <w:t xml:space="preserve"> (2026)</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To chart the clinical journey of SCD gene therapies from molecular concepts to patient care</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Comprehensive clinical and molecular review of gene addition, editing, and clinical care protocols</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Bridging molecular advances to routine care requires optimizing conditioning, post-transplant care, and long-term monitoring</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10"/>
              </w:numPr>
              <w:spacing w:before="200"/>
            </w:pPr>
            <w:r w:rsidRPr="002D37E6">
              <w:t>Strengths: Effectively bridges basic molecular mechanisms with clinical patient management</w:t>
            </w:r>
          </w:p>
          <w:p w:rsidR="00C621A4" w:rsidRPr="002D37E6" w:rsidRDefault="00426EE4">
            <w:pPr>
              <w:numPr>
                <w:ilvl w:val="0"/>
                <w:numId w:val="10"/>
              </w:numPr>
              <w:spacing w:before="200"/>
            </w:pPr>
            <w:r w:rsidRPr="002D37E6">
              <w:t>Weaknesses: Narrative overview format; generates no primary empirical dataset</w:t>
            </w:r>
          </w:p>
        </w:tc>
      </w:tr>
      <w:tr w:rsidR="00C621A4" w:rsidRPr="002D37E6">
        <w:trPr>
          <w:trHeight w:val="1997"/>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 xml:space="preserve">Singh </w:t>
            </w:r>
            <w:r w:rsidRPr="002D37E6">
              <w:rPr>
                <w:i/>
                <w:iCs/>
              </w:rPr>
              <w:t>et al.</w:t>
            </w:r>
            <w:r w:rsidRPr="002D37E6">
              <w:t xml:space="preserve"> (2026)</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 xml:space="preserve">To review translational and clinical applications of CRISPR-Cas9 across </w:t>
            </w:r>
            <w:r w:rsidRPr="002D37E6">
              <w:lastRenderedPageBreak/>
              <w:t>Hematological diseases</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lastRenderedPageBreak/>
              <w:t>Comprehensive literature review of clinical trials, editing efficiencies, and safety profiles</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CRISPR-Cas9 delivers high efficacy in non-malignant blood disorders and growing promise in hematologic oncology</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20"/>
              </w:numPr>
              <w:spacing w:before="200"/>
            </w:pPr>
            <w:r w:rsidRPr="002D37E6">
              <w:t>Strengths: Broad scope encompassing both non-malignant and malignant hematology</w:t>
            </w:r>
          </w:p>
          <w:p w:rsidR="00C621A4" w:rsidRPr="002D37E6" w:rsidRDefault="00426EE4">
            <w:pPr>
              <w:numPr>
                <w:ilvl w:val="0"/>
                <w:numId w:val="20"/>
              </w:numPr>
              <w:spacing w:before="200"/>
            </w:pPr>
            <w:r w:rsidRPr="002D37E6">
              <w:lastRenderedPageBreak/>
              <w:t>Weaknesses: Broad narrative scope limits deep statistical synthesis of specific trials</w:t>
            </w:r>
          </w:p>
        </w:tc>
      </w:tr>
      <w:tr w:rsidR="00C621A4" w:rsidRPr="002D37E6">
        <w:trPr>
          <w:trHeight w:val="2560"/>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lastRenderedPageBreak/>
              <w:t xml:space="preserve">Vats </w:t>
            </w:r>
            <w:r w:rsidRPr="002D37E6">
              <w:rPr>
                <w:i/>
                <w:iCs/>
              </w:rPr>
              <w:t>et al.</w:t>
            </w:r>
            <w:r w:rsidRPr="002D37E6">
              <w:t xml:space="preserve"> (2025)</w:t>
            </w:r>
          </w:p>
          <w:p w:rsidR="00C621A4" w:rsidRPr="002D37E6" w:rsidRDefault="00C621A4">
            <w:pPr>
              <w:spacing w:before="200"/>
            </w:pP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To review current and emerging applications of combining CRISPR with AI.</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 xml:space="preserve">Comprehensive literature review </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 xml:space="preserve">AI can improve gRNA selection and CRISPR-AI platforms for rapid diagnostics. </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20"/>
              </w:numPr>
              <w:spacing w:before="200"/>
            </w:pPr>
            <w:r w:rsidRPr="002D37E6">
              <w:t>Strengths: Covering CRISPR-AI applications and translational challenge.</w:t>
            </w:r>
          </w:p>
          <w:p w:rsidR="00C621A4" w:rsidRPr="002D37E6" w:rsidRDefault="00426EE4">
            <w:pPr>
              <w:numPr>
                <w:ilvl w:val="0"/>
                <w:numId w:val="20"/>
              </w:numPr>
              <w:spacing w:before="200"/>
            </w:pPr>
            <w:r w:rsidRPr="002D37E6">
              <w:t xml:space="preserve">Weaknesses: Does not provide primary experimental evidence. </w:t>
            </w:r>
          </w:p>
        </w:tc>
      </w:tr>
      <w:tr w:rsidR="00C621A4" w:rsidRPr="002D37E6">
        <w:trPr>
          <w:trHeight w:val="1997"/>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 xml:space="preserve">Jenkins </w:t>
            </w:r>
            <w:r w:rsidRPr="002D37E6">
              <w:rPr>
                <w:i/>
                <w:iCs/>
              </w:rPr>
              <w:t xml:space="preserve">et al. </w:t>
            </w:r>
            <w:r w:rsidRPr="002D37E6">
              <w:t>(2025)</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To identify barriers causing delayed genomic diagnosis and treatment for improving equitable access.</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 xml:space="preserve">Literature review </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 xml:space="preserve">Genomic medicine remains less accessible to rural socioeconomically disadvantaged areas. </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20"/>
              </w:numPr>
              <w:spacing w:before="200"/>
            </w:pPr>
            <w:r w:rsidRPr="002D37E6">
              <w:t>Strengths: Addresses health equity from multiple levels.</w:t>
            </w:r>
          </w:p>
          <w:p w:rsidR="00C621A4" w:rsidRPr="002D37E6" w:rsidRDefault="00426EE4">
            <w:pPr>
              <w:numPr>
                <w:ilvl w:val="0"/>
                <w:numId w:val="20"/>
              </w:numPr>
              <w:spacing w:before="200"/>
            </w:pPr>
            <w:r w:rsidRPr="002D37E6">
              <w:t xml:space="preserve">Weaknesses: Primarily synthesises existing evidence rather than testing interventions directly. </w:t>
            </w:r>
          </w:p>
        </w:tc>
      </w:tr>
      <w:tr w:rsidR="00C621A4" w:rsidRPr="002D37E6">
        <w:trPr>
          <w:trHeight w:val="1997"/>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lastRenderedPageBreak/>
              <w:t>Gladue and O’Mahony (2025)</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To propose CRISPR-based countermeasures against AI-designed viruses.</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 xml:space="preserve">Narrative/conceptual review </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 xml:space="preserve">CRISPR may provide rapid responses as gRNAs can be redesigned when viral sequences change. </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20"/>
              </w:numPr>
              <w:spacing w:before="200"/>
            </w:pPr>
            <w:r w:rsidRPr="002D37E6">
              <w:t xml:space="preserve">Strengths: Highly relevant for emerging disease and connects AI, genomic surveillance and CRISPR. </w:t>
            </w:r>
          </w:p>
          <w:p w:rsidR="00C621A4" w:rsidRPr="002D37E6" w:rsidRDefault="00426EE4">
            <w:pPr>
              <w:numPr>
                <w:ilvl w:val="0"/>
                <w:numId w:val="20"/>
              </w:numPr>
              <w:spacing w:before="200"/>
            </w:pPr>
            <w:r w:rsidRPr="002D37E6">
              <w:t>Weaknesses: Conceptual and dependent on existing evidence, while safety and regulatory feasibility remain uncertain.</w:t>
            </w:r>
          </w:p>
        </w:tc>
      </w:tr>
      <w:tr w:rsidR="00C621A4" w:rsidRPr="002D37E6">
        <w:trPr>
          <w:trHeight w:val="1997"/>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Obeagu</w:t>
            </w:r>
            <w:r w:rsidRPr="002D37E6">
              <w:rPr>
                <w:i/>
                <w:iCs/>
              </w:rPr>
              <w:t>et al.</w:t>
            </w:r>
            <w:r w:rsidRPr="002D37E6">
              <w:t xml:space="preserve"> (2024)</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To examine innovative strategies to improve quality of life among SCD patients, including gene therapies.</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 xml:space="preserve">Literature review </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CRISPR-Cas9 and gene therapies show potential for reducing SCD and transfusion requirements.</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20"/>
              </w:numPr>
              <w:spacing w:before="200"/>
            </w:pPr>
            <w:r w:rsidRPr="002D37E6">
              <w:t xml:space="preserve">Strengths: Prioritised both genetic treatments and practical healthcare interventions. </w:t>
            </w:r>
          </w:p>
          <w:p w:rsidR="00C621A4" w:rsidRPr="002D37E6" w:rsidRDefault="00426EE4">
            <w:pPr>
              <w:numPr>
                <w:ilvl w:val="0"/>
                <w:numId w:val="20"/>
              </w:numPr>
              <w:spacing w:before="200"/>
            </w:pPr>
            <w:r w:rsidRPr="002D37E6">
              <w:t>Weaknesses: Review-based evidence and some therapies lack long-term evidence.</w:t>
            </w:r>
          </w:p>
        </w:tc>
      </w:tr>
      <w:tr w:rsidR="00C621A4" w:rsidRPr="002D37E6">
        <w:trPr>
          <w:trHeight w:val="1997"/>
        </w:trPr>
        <w:tc>
          <w:tcPr>
            <w:tcW w:w="1515"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lastRenderedPageBreak/>
              <w:t>Obeagu (2025)</w:t>
            </w:r>
          </w:p>
        </w:tc>
        <w:tc>
          <w:tcPr>
            <w:tcW w:w="244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To examine collaboration and policies to improve SCD outcomes and health equity.</w:t>
            </w:r>
          </w:p>
        </w:tc>
        <w:tc>
          <w:tcPr>
            <w:tcW w:w="2268"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 xml:space="preserve">Structured qualitative synthesis </w:t>
            </w:r>
          </w:p>
        </w:tc>
        <w:tc>
          <w:tcPr>
            <w:tcW w:w="311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spacing w:before="200"/>
            </w:pPr>
            <w:r w:rsidRPr="002D37E6">
              <w:t xml:space="preserve">CRISPR-based gene therapy has improved the treatment landscape but has unequal access. </w:t>
            </w:r>
          </w:p>
        </w:tc>
        <w:tc>
          <w:tcPr>
            <w:tcW w:w="3969" w:type="dxa"/>
            <w:tcBorders>
              <w:top w:val="single" w:sz="4" w:space="0" w:color="000000"/>
              <w:left w:val="single" w:sz="4" w:space="0" w:color="000000"/>
              <w:bottom w:val="single" w:sz="4" w:space="0" w:color="000000"/>
              <w:right w:val="single" w:sz="4" w:space="0" w:color="000000"/>
            </w:tcBorders>
            <w:tcMar>
              <w:top w:w="120" w:type="dxa"/>
              <w:left w:w="180" w:type="dxa"/>
              <w:bottom w:w="120" w:type="dxa"/>
              <w:right w:w="180" w:type="dxa"/>
            </w:tcMar>
          </w:tcPr>
          <w:p w:rsidR="00C621A4" w:rsidRPr="002D37E6" w:rsidRDefault="00426EE4">
            <w:pPr>
              <w:numPr>
                <w:ilvl w:val="0"/>
                <w:numId w:val="20"/>
              </w:numPr>
              <w:spacing w:before="200"/>
            </w:pPr>
            <w:r w:rsidRPr="002D37E6">
              <w:t xml:space="preserve">Strengths: Multiple perspectives have been included and addresses health equity directly. </w:t>
            </w:r>
          </w:p>
          <w:p w:rsidR="00C621A4" w:rsidRPr="002D37E6" w:rsidRDefault="00426EE4">
            <w:pPr>
              <w:numPr>
                <w:ilvl w:val="0"/>
                <w:numId w:val="20"/>
              </w:numPr>
              <w:spacing w:before="200"/>
            </w:pPr>
            <w:r w:rsidRPr="002D37E6">
              <w:t>Weaknesses: Lack of quantitative assessment of intervention effectiveness was recorded.</w:t>
            </w:r>
          </w:p>
        </w:tc>
      </w:tr>
    </w:tbl>
    <w:p w:rsidR="00C621A4" w:rsidRPr="002D37E6" w:rsidRDefault="00C621A4">
      <w:pPr>
        <w:pBdr>
          <w:top w:val="nil"/>
          <w:left w:val="nil"/>
          <w:bottom w:val="nil"/>
          <w:right w:val="nil"/>
          <w:between w:val="nil"/>
        </w:pBdr>
        <w:spacing w:before="200" w:after="200"/>
        <w:rPr>
          <w:color w:val="000000"/>
        </w:rPr>
      </w:pPr>
    </w:p>
    <w:p w:rsidR="00C621A4" w:rsidRPr="002D37E6" w:rsidRDefault="00C621A4">
      <w:pPr>
        <w:spacing w:before="200" w:after="160"/>
        <w:jc w:val="left"/>
        <w:rPr>
          <w:b/>
          <w:bCs/>
          <w:color w:val="000000"/>
        </w:rPr>
      </w:pPr>
    </w:p>
    <w:sectPr w:rsidR="00C621A4" w:rsidRPr="002D37E6" w:rsidSect="00C75ACA">
      <w:pgSz w:w="15840" w:h="12240" w:orient="landscape"/>
      <w:pgMar w:top="1440" w:right="1440" w:bottom="1440" w:left="144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03EE" w:rsidRDefault="00F603EE">
      <w:pPr>
        <w:spacing w:line="240" w:lineRule="auto"/>
      </w:pPr>
      <w:r>
        <w:separator/>
      </w:r>
    </w:p>
  </w:endnote>
  <w:endnote w:type="continuationSeparator" w:id="1">
    <w:p w:rsidR="00F603EE" w:rsidRDefault="00F603E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94AA7D03-54AC-492A-8792-0D6F0D77AB5C}"/>
  </w:font>
  <w:font w:name="Cambria">
    <w:panose1 w:val="02040503050406030204"/>
    <w:charset w:val="00"/>
    <w:family w:val="roman"/>
    <w:pitch w:val="variable"/>
    <w:sig w:usb0="E00006FF" w:usb1="420024FF" w:usb2="02000000" w:usb3="00000000" w:csb0="0000019F" w:csb1="00000000"/>
    <w:embedRegular r:id="rId2" w:fontKey="{C486617A-8181-4133-8E7F-373A2DFACE9A}"/>
  </w:font>
  <w:font w:name="Cambria Math">
    <w:panose1 w:val="02040503050406030204"/>
    <w:charset w:val="00"/>
    <w:family w:val="roman"/>
    <w:pitch w:val="variable"/>
    <w:sig w:usb0="E00006FF" w:usb1="420024FF" w:usb2="02000000" w:usb3="00000000" w:csb0="0000019F" w:csb1="00000000"/>
    <w:embedRegular r:id="rId3" w:fontKey="{12A8465F-0BEF-414B-85C2-75C160187B0D}"/>
    <w:embedItalic r:id="rId4" w:fontKey="{155DA146-802B-445A-88F1-0F285DE2062B}"/>
  </w:font>
  <w:font w:name="Calibri">
    <w:panose1 w:val="020F0502020204030204"/>
    <w:charset w:val="00"/>
    <w:family w:val="swiss"/>
    <w:pitch w:val="variable"/>
    <w:sig w:usb0="E4002EFF" w:usb1="C200247B" w:usb2="00000009" w:usb3="00000000" w:csb0="000001FF" w:csb1="00000000"/>
    <w:embedRegular r:id="rId5" w:fontKey="{3FA72DB0-3574-4514-919B-87E129AF0C59}"/>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1F09" w:rsidRDefault="00BC1F09">
    <w:pPr>
      <w:pBdr>
        <w:top w:val="nil"/>
        <w:left w:val="nil"/>
        <w:bottom w:val="nil"/>
        <w:right w:val="nil"/>
        <w:between w:val="nil"/>
      </w:pBdr>
      <w:tabs>
        <w:tab w:val="center" w:pos="4680"/>
        <w:tab w:val="right" w:pos="9360"/>
      </w:tabs>
      <w:spacing w:line="240" w:lineRule="auto"/>
      <w:jc w:val="right"/>
      <w:rPr>
        <w:color w:val="000000"/>
      </w:rPr>
    </w:pPr>
    <w:r>
      <w:rPr>
        <w:color w:val="000000"/>
        <w:sz w:val="20"/>
        <w:szCs w:val="20"/>
      </w:rPr>
      <w:fldChar w:fldCharType="begin"/>
    </w:r>
    <w:r>
      <w:rPr>
        <w:color w:val="000000"/>
        <w:sz w:val="20"/>
        <w:szCs w:val="20"/>
      </w:rPr>
      <w:instrText>PAGE</w:instrText>
    </w:r>
    <w:r>
      <w:rPr>
        <w:color w:val="000000"/>
        <w:sz w:val="20"/>
        <w:szCs w:val="20"/>
      </w:rPr>
      <w:fldChar w:fldCharType="separate"/>
    </w:r>
    <w:r w:rsidR="009C6FFF">
      <w:rPr>
        <w:noProof/>
        <w:color w:val="000000"/>
        <w:sz w:val="20"/>
        <w:szCs w:val="20"/>
      </w:rPr>
      <w:t>4</w:t>
    </w:r>
    <w:r>
      <w:rPr>
        <w:color w:val="000000"/>
        <w:sz w:val="20"/>
        <w:szCs w:val="20"/>
      </w:rPr>
      <w:fldChar w:fldCharType="end"/>
    </w:r>
  </w:p>
  <w:p w:rsidR="00BC1F09" w:rsidRDefault="00BC1F09">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03EE" w:rsidRDefault="00F603EE">
      <w:pPr>
        <w:spacing w:line="240" w:lineRule="auto"/>
      </w:pPr>
      <w:r>
        <w:separator/>
      </w:r>
    </w:p>
  </w:footnote>
  <w:footnote w:type="continuationSeparator" w:id="1">
    <w:p w:rsidR="00F603EE" w:rsidRDefault="00F603E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73881"/>
    <w:multiLevelType w:val="multilevel"/>
    <w:tmpl w:val="C4825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E8E17EF"/>
    <w:multiLevelType w:val="multilevel"/>
    <w:tmpl w:val="BF34DC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29878C4"/>
    <w:multiLevelType w:val="multilevel"/>
    <w:tmpl w:val="964A3B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BA41D2B"/>
    <w:multiLevelType w:val="multilevel"/>
    <w:tmpl w:val="7C1496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EBA6C07"/>
    <w:multiLevelType w:val="multilevel"/>
    <w:tmpl w:val="479693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FD312FE"/>
    <w:multiLevelType w:val="multilevel"/>
    <w:tmpl w:val="94FAA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20EF24A4"/>
    <w:multiLevelType w:val="multilevel"/>
    <w:tmpl w:val="D8BA17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5D2179A"/>
    <w:multiLevelType w:val="multilevel"/>
    <w:tmpl w:val="2C18E2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2A610E58"/>
    <w:multiLevelType w:val="multilevel"/>
    <w:tmpl w:val="055AC6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2DDC09A7"/>
    <w:multiLevelType w:val="multilevel"/>
    <w:tmpl w:val="DDD49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344750C5"/>
    <w:multiLevelType w:val="multilevel"/>
    <w:tmpl w:val="B972D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3B0A36C0"/>
    <w:multiLevelType w:val="multilevel"/>
    <w:tmpl w:val="2CE019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3BA61594"/>
    <w:multiLevelType w:val="multilevel"/>
    <w:tmpl w:val="EF486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430971BE"/>
    <w:multiLevelType w:val="multilevel"/>
    <w:tmpl w:val="B2F4DE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43624A3D"/>
    <w:multiLevelType w:val="multilevel"/>
    <w:tmpl w:val="80104C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462547C8"/>
    <w:multiLevelType w:val="multilevel"/>
    <w:tmpl w:val="137834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51A14772"/>
    <w:multiLevelType w:val="multilevel"/>
    <w:tmpl w:val="6AD25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539E2CD6"/>
    <w:multiLevelType w:val="multilevel"/>
    <w:tmpl w:val="70F4D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546E4458"/>
    <w:multiLevelType w:val="multilevel"/>
    <w:tmpl w:val="5ACA68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55E73B77"/>
    <w:multiLevelType w:val="multilevel"/>
    <w:tmpl w:val="E6AC14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6A145650"/>
    <w:multiLevelType w:val="multilevel"/>
    <w:tmpl w:val="F124A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727E13F1"/>
    <w:multiLevelType w:val="multilevel"/>
    <w:tmpl w:val="9304A8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7E0A2123"/>
    <w:multiLevelType w:val="multilevel"/>
    <w:tmpl w:val="C284E8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2"/>
  </w:num>
  <w:num w:numId="2">
    <w:abstractNumId w:val="9"/>
  </w:num>
  <w:num w:numId="3">
    <w:abstractNumId w:val="7"/>
  </w:num>
  <w:num w:numId="4">
    <w:abstractNumId w:val="19"/>
  </w:num>
  <w:num w:numId="5">
    <w:abstractNumId w:val="11"/>
  </w:num>
  <w:num w:numId="6">
    <w:abstractNumId w:val="2"/>
  </w:num>
  <w:num w:numId="7">
    <w:abstractNumId w:val="13"/>
  </w:num>
  <w:num w:numId="8">
    <w:abstractNumId w:val="16"/>
  </w:num>
  <w:num w:numId="9">
    <w:abstractNumId w:val="21"/>
  </w:num>
  <w:num w:numId="10">
    <w:abstractNumId w:val="6"/>
  </w:num>
  <w:num w:numId="11">
    <w:abstractNumId w:val="8"/>
  </w:num>
  <w:num w:numId="12">
    <w:abstractNumId w:val="22"/>
  </w:num>
  <w:num w:numId="13">
    <w:abstractNumId w:val="10"/>
  </w:num>
  <w:num w:numId="14">
    <w:abstractNumId w:val="14"/>
  </w:num>
  <w:num w:numId="15">
    <w:abstractNumId w:val="18"/>
  </w:num>
  <w:num w:numId="16">
    <w:abstractNumId w:val="4"/>
  </w:num>
  <w:num w:numId="17">
    <w:abstractNumId w:val="1"/>
  </w:num>
  <w:num w:numId="18">
    <w:abstractNumId w:val="3"/>
  </w:num>
  <w:num w:numId="19">
    <w:abstractNumId w:val="5"/>
  </w:num>
  <w:num w:numId="20">
    <w:abstractNumId w:val="15"/>
  </w:num>
  <w:num w:numId="21">
    <w:abstractNumId w:val="20"/>
  </w:num>
  <w:num w:numId="22">
    <w:abstractNumId w:val="17"/>
  </w:num>
  <w:num w:numId="2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defaultTabStop w:val="720"/>
  <w:characterSpacingControl w:val="doNotCompress"/>
  <w:footnotePr>
    <w:footnote w:id="0"/>
    <w:footnote w:id="1"/>
  </w:footnotePr>
  <w:endnotePr>
    <w:endnote w:id="0"/>
    <w:endnote w:id="1"/>
  </w:endnotePr>
  <w:compat/>
  <w:rsids>
    <w:rsidRoot w:val="00C621A4"/>
    <w:rsid w:val="000E6947"/>
    <w:rsid w:val="00145722"/>
    <w:rsid w:val="001A434F"/>
    <w:rsid w:val="0022385B"/>
    <w:rsid w:val="0023223B"/>
    <w:rsid w:val="002C0289"/>
    <w:rsid w:val="002D37E6"/>
    <w:rsid w:val="003505E6"/>
    <w:rsid w:val="003A160E"/>
    <w:rsid w:val="00426EE4"/>
    <w:rsid w:val="004C7DEE"/>
    <w:rsid w:val="00525208"/>
    <w:rsid w:val="00553A15"/>
    <w:rsid w:val="005968B1"/>
    <w:rsid w:val="00624DA9"/>
    <w:rsid w:val="00652383"/>
    <w:rsid w:val="00652DCE"/>
    <w:rsid w:val="00674488"/>
    <w:rsid w:val="006746ED"/>
    <w:rsid w:val="00750694"/>
    <w:rsid w:val="007879FE"/>
    <w:rsid w:val="007E3188"/>
    <w:rsid w:val="00863A4E"/>
    <w:rsid w:val="00903F70"/>
    <w:rsid w:val="009A561C"/>
    <w:rsid w:val="009C6FFF"/>
    <w:rsid w:val="00A7715E"/>
    <w:rsid w:val="00AA560F"/>
    <w:rsid w:val="00AD78E2"/>
    <w:rsid w:val="00B50FD6"/>
    <w:rsid w:val="00B958E1"/>
    <w:rsid w:val="00BC1F09"/>
    <w:rsid w:val="00C57C63"/>
    <w:rsid w:val="00C621A4"/>
    <w:rsid w:val="00C75ACA"/>
    <w:rsid w:val="00CA5F0E"/>
    <w:rsid w:val="00CD53A6"/>
    <w:rsid w:val="00D16CE0"/>
    <w:rsid w:val="00D41E77"/>
    <w:rsid w:val="00D43DF3"/>
    <w:rsid w:val="00E5539E"/>
    <w:rsid w:val="00E80C11"/>
    <w:rsid w:val="00E8591D"/>
    <w:rsid w:val="00EB3F10"/>
    <w:rsid w:val="00F33298"/>
    <w:rsid w:val="00F3794E"/>
    <w:rsid w:val="00F603EE"/>
    <w:rsid w:val="00FB37F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ACA"/>
  </w:style>
  <w:style w:type="paragraph" w:styleId="Heading1">
    <w:name w:val="heading 1"/>
    <w:basedOn w:val="Normal"/>
    <w:next w:val="Normal"/>
    <w:uiPriority w:val="9"/>
    <w:qFormat/>
    <w:rsid w:val="00C75ACA"/>
    <w:pPr>
      <w:keepNext/>
      <w:keepLines/>
      <w:pBdr>
        <w:top w:val="nil"/>
        <w:left w:val="nil"/>
        <w:bottom w:val="nil"/>
        <w:right w:val="nil"/>
        <w:between w:val="nil"/>
      </w:pBdr>
      <w:spacing w:before="200"/>
      <w:outlineLvl w:val="0"/>
    </w:pPr>
    <w:rPr>
      <w:b/>
      <w:bCs/>
      <w:color w:val="000000"/>
    </w:rPr>
  </w:style>
  <w:style w:type="paragraph" w:styleId="Heading2">
    <w:name w:val="heading 2"/>
    <w:basedOn w:val="Normal"/>
    <w:next w:val="Normal"/>
    <w:uiPriority w:val="9"/>
    <w:unhideWhenUsed/>
    <w:qFormat/>
    <w:rsid w:val="00C75ACA"/>
    <w:pPr>
      <w:keepNext/>
      <w:keepLines/>
      <w:pBdr>
        <w:top w:val="nil"/>
        <w:left w:val="nil"/>
        <w:bottom w:val="nil"/>
        <w:right w:val="nil"/>
        <w:between w:val="nil"/>
      </w:pBdr>
      <w:spacing w:before="200" w:after="200"/>
      <w:outlineLvl w:val="1"/>
    </w:pPr>
    <w:rPr>
      <w:b/>
      <w:bCs/>
      <w:color w:val="000000"/>
    </w:rPr>
  </w:style>
  <w:style w:type="paragraph" w:styleId="Heading3">
    <w:name w:val="heading 3"/>
    <w:basedOn w:val="Normal"/>
    <w:next w:val="Normal"/>
    <w:uiPriority w:val="9"/>
    <w:unhideWhenUsed/>
    <w:qFormat/>
    <w:rsid w:val="00C75ACA"/>
    <w:pPr>
      <w:keepNext/>
      <w:keepLines/>
      <w:pBdr>
        <w:top w:val="nil"/>
        <w:left w:val="nil"/>
        <w:bottom w:val="nil"/>
        <w:right w:val="nil"/>
        <w:between w:val="nil"/>
      </w:pBdr>
      <w:spacing w:before="320" w:after="80"/>
      <w:outlineLvl w:val="2"/>
    </w:pPr>
    <w:rPr>
      <w:b/>
      <w:bCs/>
      <w:i/>
      <w:iCs/>
      <w:color w:val="000000"/>
    </w:rPr>
  </w:style>
  <w:style w:type="paragraph" w:styleId="Heading4">
    <w:name w:val="heading 4"/>
    <w:basedOn w:val="Normal"/>
    <w:next w:val="Normal"/>
    <w:uiPriority w:val="9"/>
    <w:unhideWhenUsed/>
    <w:qFormat/>
    <w:rsid w:val="00C75ACA"/>
    <w:pPr>
      <w:pBdr>
        <w:top w:val="nil"/>
        <w:left w:val="nil"/>
        <w:bottom w:val="nil"/>
        <w:right w:val="nil"/>
        <w:between w:val="nil"/>
      </w:pBdr>
      <w:jc w:val="center"/>
      <w:outlineLvl w:val="3"/>
    </w:pPr>
    <w:rPr>
      <w:b/>
      <w:bCs/>
      <w:color w:val="000000"/>
    </w:rPr>
  </w:style>
  <w:style w:type="paragraph" w:styleId="Heading5">
    <w:name w:val="heading 5"/>
    <w:basedOn w:val="Normal"/>
    <w:next w:val="Normal"/>
    <w:uiPriority w:val="9"/>
    <w:unhideWhenUsed/>
    <w:qFormat/>
    <w:rsid w:val="00C75ACA"/>
    <w:pPr>
      <w:keepNext/>
      <w:keepLines/>
      <w:pBdr>
        <w:top w:val="nil"/>
        <w:left w:val="nil"/>
        <w:bottom w:val="nil"/>
        <w:right w:val="nil"/>
        <w:between w:val="nil"/>
      </w:pBdr>
      <w:spacing w:before="240" w:after="80"/>
      <w:jc w:val="center"/>
      <w:outlineLvl w:val="4"/>
    </w:pPr>
    <w:rPr>
      <w:b/>
      <w:bCs/>
      <w:color w:val="000000"/>
    </w:rPr>
  </w:style>
  <w:style w:type="paragraph" w:styleId="Heading6">
    <w:name w:val="heading 6"/>
    <w:basedOn w:val="Normal"/>
    <w:next w:val="Normal"/>
    <w:uiPriority w:val="9"/>
    <w:semiHidden/>
    <w:unhideWhenUsed/>
    <w:qFormat/>
    <w:rsid w:val="00C75ACA"/>
    <w:pPr>
      <w:keepNext/>
      <w:keepLines/>
      <w:pBdr>
        <w:top w:val="nil"/>
        <w:left w:val="nil"/>
        <w:bottom w:val="nil"/>
        <w:right w:val="nil"/>
        <w:between w:val="nil"/>
      </w:pBdr>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C75ACA"/>
    <w:tblPr>
      <w:tblCellMar>
        <w:top w:w="100" w:type="dxa"/>
        <w:left w:w="100" w:type="dxa"/>
        <w:bottom w:w="100" w:type="dxa"/>
        <w:right w:w="100" w:type="dxa"/>
      </w:tblCellMar>
    </w:tblPr>
  </w:style>
  <w:style w:type="paragraph" w:styleId="Title">
    <w:name w:val="Title"/>
    <w:basedOn w:val="Normal"/>
    <w:next w:val="Normal"/>
    <w:uiPriority w:val="10"/>
    <w:qFormat/>
    <w:rsid w:val="00C75ACA"/>
    <w:pPr>
      <w:keepNext/>
      <w:keepLines/>
      <w:pBdr>
        <w:top w:val="nil"/>
        <w:left w:val="nil"/>
        <w:bottom w:val="nil"/>
        <w:right w:val="nil"/>
        <w:between w:val="nil"/>
      </w:pBdr>
      <w:spacing w:before="200" w:after="200"/>
      <w:jc w:val="center"/>
    </w:pPr>
    <w:rPr>
      <w:b/>
      <w:bCs/>
      <w:color w:val="000000"/>
      <w:sz w:val="32"/>
      <w:szCs w:val="32"/>
    </w:rPr>
  </w:style>
  <w:style w:type="table" w:customStyle="1" w:styleId="TableNormal1">
    <w:name w:val="TableNormal"/>
    <w:rsid w:val="00C75ACA"/>
    <w:tblPr>
      <w:tblCellMar>
        <w:top w:w="100" w:type="dxa"/>
        <w:left w:w="100" w:type="dxa"/>
        <w:bottom w:w="100" w:type="dxa"/>
        <w:right w:w="100" w:type="dxa"/>
      </w:tblCellMar>
    </w:tblPr>
  </w:style>
  <w:style w:type="table" w:customStyle="1" w:styleId="TableNormal2">
    <w:name w:val="TableNormal"/>
    <w:rsid w:val="00613267"/>
    <w:tblPr>
      <w:tblCellMar>
        <w:top w:w="100" w:type="dxa"/>
        <w:left w:w="100" w:type="dxa"/>
        <w:bottom w:w="100" w:type="dxa"/>
        <w:right w:w="100" w:type="dxa"/>
      </w:tblCellMar>
    </w:tblPr>
  </w:style>
  <w:style w:type="table" w:customStyle="1" w:styleId="TableNormal3">
    <w:name w:val="TableNormal"/>
    <w:rsid w:val="00613267"/>
    <w:tblPr>
      <w:tblCellMar>
        <w:top w:w="100" w:type="dxa"/>
        <w:left w:w="100" w:type="dxa"/>
        <w:bottom w:w="100" w:type="dxa"/>
        <w:right w:w="100" w:type="dxa"/>
      </w:tblCellMar>
    </w:tblPr>
  </w:style>
  <w:style w:type="table" w:customStyle="1" w:styleId="TableNormal4">
    <w:name w:val="TableNormal"/>
    <w:rsid w:val="00613267"/>
    <w:tblPr>
      <w:tblCellMar>
        <w:top w:w="100" w:type="dxa"/>
        <w:left w:w="100" w:type="dxa"/>
        <w:bottom w:w="100" w:type="dxa"/>
        <w:right w:w="100" w:type="dxa"/>
      </w:tblCellMar>
    </w:tblPr>
  </w:style>
  <w:style w:type="table" w:customStyle="1" w:styleId="TableNormal5">
    <w:name w:val="TableNormal"/>
    <w:rsid w:val="00E10E14"/>
    <w:tblPr>
      <w:tblCellMar>
        <w:top w:w="100" w:type="dxa"/>
        <w:left w:w="100" w:type="dxa"/>
        <w:bottom w:w="100" w:type="dxa"/>
        <w:right w:w="100" w:type="dxa"/>
      </w:tblCellMar>
    </w:tblPr>
  </w:style>
  <w:style w:type="paragraph" w:customStyle="1" w:styleId="Normal1">
    <w:name w:val="Normal1"/>
    <w:rsid w:val="00E10E14"/>
  </w:style>
  <w:style w:type="paragraph" w:styleId="BalloonText">
    <w:name w:val="Balloon Text"/>
    <w:basedOn w:val="Normal"/>
    <w:link w:val="BalloonTextChar"/>
    <w:uiPriority w:val="99"/>
    <w:semiHidden/>
    <w:unhideWhenUsed/>
    <w:rsid w:val="000A5E7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E72"/>
    <w:rPr>
      <w:rFonts w:ascii="Tahoma" w:hAnsi="Tahoma" w:cs="Tahoma"/>
      <w:sz w:val="16"/>
      <w:szCs w:val="16"/>
    </w:rPr>
  </w:style>
  <w:style w:type="paragraph" w:styleId="TOC1">
    <w:name w:val="toc 1"/>
    <w:basedOn w:val="Normal"/>
    <w:next w:val="Normal"/>
    <w:autoRedefine/>
    <w:uiPriority w:val="39"/>
    <w:unhideWhenUsed/>
    <w:rsid w:val="000A5E72"/>
    <w:pPr>
      <w:spacing w:after="100"/>
    </w:pPr>
  </w:style>
  <w:style w:type="paragraph" w:styleId="TOC2">
    <w:name w:val="toc 2"/>
    <w:basedOn w:val="Normal"/>
    <w:next w:val="Normal"/>
    <w:autoRedefine/>
    <w:uiPriority w:val="39"/>
    <w:unhideWhenUsed/>
    <w:rsid w:val="000A5E72"/>
    <w:pPr>
      <w:spacing w:after="100"/>
      <w:ind w:left="220"/>
    </w:pPr>
  </w:style>
  <w:style w:type="paragraph" w:styleId="TOC3">
    <w:name w:val="toc 3"/>
    <w:basedOn w:val="Normal"/>
    <w:next w:val="Normal"/>
    <w:autoRedefine/>
    <w:uiPriority w:val="39"/>
    <w:unhideWhenUsed/>
    <w:rsid w:val="000A5E72"/>
    <w:pPr>
      <w:spacing w:after="100"/>
      <w:ind w:left="440"/>
    </w:pPr>
  </w:style>
  <w:style w:type="character" w:styleId="Hyperlink">
    <w:name w:val="Hyperlink"/>
    <w:basedOn w:val="DefaultParagraphFont"/>
    <w:uiPriority w:val="99"/>
    <w:unhideWhenUsed/>
    <w:rsid w:val="000A5E72"/>
    <w:rPr>
      <w:color w:val="0000FF" w:themeColor="hyperlink"/>
      <w:u w:val="single"/>
    </w:rPr>
  </w:style>
  <w:style w:type="table" w:styleId="TableGrid">
    <w:name w:val="Table Grid"/>
    <w:basedOn w:val="TableNormal"/>
    <w:uiPriority w:val="39"/>
    <w:rsid w:val="00937AC8"/>
    <w:pPr>
      <w:spacing w:line="240" w:lineRule="auto"/>
      <w:jc w:val="left"/>
    </w:pPr>
    <w:rPr>
      <w:rFonts w:asciiTheme="minorHAnsi" w:eastAsiaTheme="minorHAnsi" w:hAnsiTheme="minorHAnsi" w:cstheme="minorBidi"/>
      <w:kern w:val="2"/>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a">
    <w:basedOn w:val="TableNormal"/>
    <w:rsid w:val="00613267"/>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613267"/>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613267"/>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rsid w:val="00613267"/>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683EB7"/>
    <w:pPr>
      <w:tabs>
        <w:tab w:val="center" w:pos="4513"/>
        <w:tab w:val="right" w:pos="9026"/>
      </w:tabs>
      <w:spacing w:line="240" w:lineRule="auto"/>
    </w:pPr>
  </w:style>
  <w:style w:type="character" w:customStyle="1" w:styleId="HeaderChar">
    <w:name w:val="Header Char"/>
    <w:basedOn w:val="DefaultParagraphFont"/>
    <w:link w:val="Header"/>
    <w:uiPriority w:val="99"/>
    <w:rsid w:val="00683EB7"/>
  </w:style>
  <w:style w:type="paragraph" w:styleId="Footer">
    <w:name w:val="footer"/>
    <w:basedOn w:val="Normal"/>
    <w:link w:val="FooterChar"/>
    <w:uiPriority w:val="99"/>
    <w:unhideWhenUsed/>
    <w:rsid w:val="00683EB7"/>
    <w:pPr>
      <w:tabs>
        <w:tab w:val="center" w:pos="4513"/>
        <w:tab w:val="right" w:pos="9026"/>
      </w:tabs>
      <w:spacing w:line="240" w:lineRule="auto"/>
    </w:pPr>
  </w:style>
  <w:style w:type="character" w:customStyle="1" w:styleId="FooterChar">
    <w:name w:val="Footer Char"/>
    <w:basedOn w:val="DefaultParagraphFont"/>
    <w:link w:val="Footer"/>
    <w:uiPriority w:val="99"/>
    <w:rsid w:val="00683EB7"/>
  </w:style>
  <w:style w:type="character" w:styleId="FollowedHyperlink">
    <w:name w:val="FollowedHyperlink"/>
    <w:basedOn w:val="DefaultParagraphFont"/>
    <w:uiPriority w:val="99"/>
    <w:semiHidden/>
    <w:unhideWhenUsed/>
    <w:rsid w:val="008D1BEF"/>
    <w:rPr>
      <w:color w:val="800080" w:themeColor="followedHyperlink"/>
      <w:u w:val="single"/>
    </w:rPr>
  </w:style>
  <w:style w:type="paragraph" w:styleId="NoSpacing">
    <w:name w:val="No Spacing"/>
    <w:autoRedefine/>
    <w:uiPriority w:val="1"/>
    <w:qFormat/>
    <w:rsid w:val="008D1BEF"/>
    <w:rPr>
      <w:rFonts w:ascii="Times New Roman" w:hAnsi="Times New Roman"/>
      <w:b/>
      <w:sz w:val="24"/>
    </w:rPr>
  </w:style>
  <w:style w:type="character" w:customStyle="1" w:styleId="UnresolvedMention1">
    <w:name w:val="Unresolved Mention1"/>
    <w:basedOn w:val="DefaultParagraphFont"/>
    <w:uiPriority w:val="99"/>
    <w:semiHidden/>
    <w:unhideWhenUsed/>
    <w:rsid w:val="001765B5"/>
    <w:rPr>
      <w:color w:val="605E5C"/>
      <w:shd w:val="clear" w:color="auto" w:fill="E1DFDD"/>
    </w:rPr>
  </w:style>
  <w:style w:type="paragraph" w:styleId="ListParagraph">
    <w:name w:val="List Paragraph"/>
    <w:basedOn w:val="Normal"/>
    <w:uiPriority w:val="34"/>
    <w:qFormat/>
    <w:rsid w:val="00B73960"/>
    <w:pPr>
      <w:ind w:left="720"/>
      <w:contextualSpacing/>
    </w:pPr>
  </w:style>
  <w:style w:type="table" w:customStyle="1" w:styleId="a3">
    <w:basedOn w:val="TableNormal"/>
    <w:rsid w:val="00613267"/>
    <w:tblPr>
      <w:tblStyleRowBandSize w:val="1"/>
      <w:tblStyleColBandSize w:val="1"/>
      <w:tblInd w:w="0" w:type="dxa"/>
      <w:tblCellMar>
        <w:top w:w="0" w:type="dxa"/>
        <w:left w:w="108" w:type="dxa"/>
        <w:bottom w:w="0" w:type="dxa"/>
        <w:right w:w="108" w:type="dxa"/>
      </w:tblCellMar>
    </w:tblPr>
  </w:style>
  <w:style w:type="table" w:customStyle="1" w:styleId="a4">
    <w:basedOn w:val="TableNormal"/>
    <w:rsid w:val="00613267"/>
    <w:tblPr>
      <w:tblStyleRowBandSize w:val="1"/>
      <w:tblStyleColBandSize w:val="1"/>
      <w:tblInd w:w="0" w:type="dxa"/>
      <w:tblCellMar>
        <w:top w:w="0" w:type="dxa"/>
        <w:left w:w="115" w:type="dxa"/>
        <w:bottom w:w="0" w:type="dxa"/>
        <w:right w:w="115" w:type="dxa"/>
      </w:tblCellMar>
    </w:tblPr>
  </w:style>
  <w:style w:type="table" w:customStyle="1" w:styleId="a5">
    <w:basedOn w:val="TableNormal"/>
    <w:rsid w:val="00613267"/>
    <w:tblPr>
      <w:tblStyleRowBandSize w:val="1"/>
      <w:tblStyleColBandSize w:val="1"/>
      <w:tblInd w:w="0" w:type="dxa"/>
      <w:tblCellMar>
        <w:top w:w="0" w:type="dxa"/>
        <w:left w:w="108" w:type="dxa"/>
        <w:bottom w:w="0" w:type="dxa"/>
        <w:right w:w="108" w:type="dxa"/>
      </w:tblCellMar>
    </w:tblPr>
  </w:style>
  <w:style w:type="table" w:customStyle="1" w:styleId="a6">
    <w:basedOn w:val="TableNormal"/>
    <w:rsid w:val="00613267"/>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7">
    <w:basedOn w:val="TableNormal"/>
    <w:rsid w:val="00613267"/>
    <w:tblPr>
      <w:tblStyleRowBandSize w:val="1"/>
      <w:tblStyleColBandSize w:val="1"/>
      <w:tblInd w:w="0" w:type="dxa"/>
      <w:tblCellMar>
        <w:top w:w="0" w:type="dxa"/>
        <w:left w:w="108" w:type="dxa"/>
        <w:bottom w:w="0" w:type="dxa"/>
        <w:right w:w="108" w:type="dxa"/>
      </w:tblCellMar>
    </w:tblPr>
  </w:style>
  <w:style w:type="table" w:customStyle="1" w:styleId="a8">
    <w:basedOn w:val="TableNormal"/>
    <w:rsid w:val="00613267"/>
    <w:tblPr>
      <w:tblStyleRowBandSize w:val="1"/>
      <w:tblStyleColBandSize w:val="1"/>
      <w:tblInd w:w="0" w:type="dxa"/>
      <w:tblCellMar>
        <w:top w:w="0" w:type="dxa"/>
        <w:left w:w="108" w:type="dxa"/>
        <w:bottom w:w="0" w:type="dxa"/>
        <w:right w:w="108" w:type="dxa"/>
      </w:tblCellMar>
    </w:tblPr>
  </w:style>
  <w:style w:type="table" w:customStyle="1" w:styleId="a9">
    <w:basedOn w:val="TableNormal"/>
    <w:rsid w:val="00613267"/>
    <w:tblPr>
      <w:tblStyleRowBandSize w:val="1"/>
      <w:tblStyleColBandSize w:val="1"/>
      <w:tblInd w:w="0" w:type="dxa"/>
      <w:tblCellMar>
        <w:top w:w="0" w:type="dxa"/>
        <w:left w:w="115" w:type="dxa"/>
        <w:bottom w:w="0" w:type="dxa"/>
        <w:right w:w="115" w:type="dxa"/>
      </w:tblCellMar>
    </w:tblPr>
  </w:style>
  <w:style w:type="table" w:customStyle="1" w:styleId="aa">
    <w:basedOn w:val="TableNormal"/>
    <w:rsid w:val="00613267"/>
    <w:tblPr>
      <w:tblStyleRowBandSize w:val="1"/>
      <w:tblStyleColBandSize w:val="1"/>
      <w:tblInd w:w="0" w:type="dxa"/>
      <w:tblCellMar>
        <w:top w:w="0" w:type="dxa"/>
        <w:left w:w="108" w:type="dxa"/>
        <w:bottom w:w="0" w:type="dxa"/>
        <w:right w:w="108" w:type="dxa"/>
      </w:tblCellMar>
    </w:tblPr>
  </w:style>
  <w:style w:type="table" w:customStyle="1" w:styleId="ab">
    <w:basedOn w:val="TableNormal"/>
    <w:rsid w:val="00613267"/>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c">
    <w:basedOn w:val="TableNormal"/>
    <w:rsid w:val="00613267"/>
    <w:tblPr>
      <w:tblStyleRowBandSize w:val="1"/>
      <w:tblStyleColBandSize w:val="1"/>
      <w:tblInd w:w="0" w:type="dxa"/>
      <w:tblCellMar>
        <w:top w:w="0" w:type="dxa"/>
        <w:left w:w="108" w:type="dxa"/>
        <w:bottom w:w="0" w:type="dxa"/>
        <w:right w:w="108" w:type="dxa"/>
      </w:tblCellMar>
    </w:tblPr>
  </w:style>
  <w:style w:type="paragraph" w:styleId="TableofFigures">
    <w:name w:val="table of figures"/>
    <w:basedOn w:val="Normal"/>
    <w:next w:val="Normal"/>
    <w:uiPriority w:val="99"/>
    <w:unhideWhenUsed/>
    <w:rsid w:val="00406722"/>
  </w:style>
  <w:style w:type="table" w:customStyle="1" w:styleId="ad">
    <w:basedOn w:val="TableNormal"/>
    <w:rsid w:val="00C75ACA"/>
    <w:tblPr>
      <w:tblStyleRowBandSize w:val="1"/>
      <w:tblStyleColBandSize w:val="1"/>
      <w:tblInd w:w="0" w:type="dxa"/>
      <w:tblCellMar>
        <w:top w:w="0" w:type="dxa"/>
        <w:left w:w="108" w:type="dxa"/>
        <w:bottom w:w="0" w:type="dxa"/>
        <w:right w:w="108" w:type="dxa"/>
      </w:tblCellMar>
    </w:tblPr>
  </w:style>
  <w:style w:type="table" w:customStyle="1" w:styleId="ae">
    <w:basedOn w:val="TableNormal"/>
    <w:rsid w:val="00C75ACA"/>
    <w:tblPr>
      <w:tblStyleRowBandSize w:val="1"/>
      <w:tblStyleColBandSize w:val="1"/>
      <w:tblInd w:w="0" w:type="dxa"/>
      <w:tblCellMar>
        <w:top w:w="0" w:type="dxa"/>
        <w:left w:w="115" w:type="dxa"/>
        <w:bottom w:w="0" w:type="dxa"/>
        <w:right w:w="115" w:type="dxa"/>
      </w:tblCellMar>
    </w:tblPr>
  </w:style>
  <w:style w:type="table" w:customStyle="1" w:styleId="af">
    <w:basedOn w:val="TableNormal"/>
    <w:rsid w:val="00C75ACA"/>
    <w:tblPr>
      <w:tblStyleRowBandSize w:val="1"/>
      <w:tblStyleColBandSize w:val="1"/>
      <w:tblInd w:w="0" w:type="dxa"/>
      <w:tblCellMar>
        <w:top w:w="0" w:type="dxa"/>
        <w:left w:w="108" w:type="dxa"/>
        <w:bottom w:w="0" w:type="dxa"/>
        <w:right w:w="108" w:type="dxa"/>
      </w:tblCellMar>
    </w:tblPr>
  </w:style>
  <w:style w:type="table" w:customStyle="1" w:styleId="af0">
    <w:basedOn w:val="TableNormal"/>
    <w:rsid w:val="00C75ACA"/>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f1">
    <w:basedOn w:val="TableNormal"/>
    <w:rsid w:val="00C75ACA"/>
    <w:tblPr>
      <w:tblStyleRowBandSize w:val="1"/>
      <w:tblStyleColBandSize w:val="1"/>
      <w:tblInd w:w="0" w:type="dxa"/>
      <w:tblCellMar>
        <w:top w:w="0" w:type="dxa"/>
        <w:left w:w="108" w:type="dxa"/>
        <w:bottom w:w="0" w:type="dxa"/>
        <w:right w:w="108" w:type="dxa"/>
      </w:tblCellMar>
    </w:tblPr>
  </w:style>
  <w:style w:type="paragraph" w:styleId="Subtitle">
    <w:name w:val="Subtitle"/>
    <w:basedOn w:val="Normal"/>
    <w:next w:val="Normal"/>
    <w:uiPriority w:val="11"/>
    <w:qFormat/>
    <w:rsid w:val="00C75ACA"/>
    <w:pPr>
      <w:keepNext/>
      <w:keepLines/>
      <w:pBdr>
        <w:top w:val="nil"/>
        <w:left w:val="nil"/>
        <w:bottom w:val="nil"/>
        <w:right w:val="nil"/>
        <w:between w:val="nil"/>
      </w:pBdr>
      <w:spacing w:after="320"/>
    </w:pPr>
    <w:rPr>
      <w:color w:val="666666"/>
      <w:sz w:val="30"/>
      <w:szCs w:val="30"/>
    </w:rPr>
  </w:style>
  <w:style w:type="table" w:customStyle="1" w:styleId="af2">
    <w:basedOn w:val="TableNormal"/>
    <w:rsid w:val="00C75ACA"/>
    <w:tblPr>
      <w:tblStyleRowBandSize w:val="1"/>
      <w:tblStyleColBandSize w:val="1"/>
      <w:tblInd w:w="0" w:type="dxa"/>
      <w:tblCellMar>
        <w:top w:w="0" w:type="dxa"/>
        <w:left w:w="108" w:type="dxa"/>
        <w:bottom w:w="0" w:type="dxa"/>
        <w:right w:w="108" w:type="dxa"/>
      </w:tblCellMar>
    </w:tblPr>
  </w:style>
  <w:style w:type="table" w:customStyle="1" w:styleId="af3">
    <w:basedOn w:val="TableNormal"/>
    <w:rsid w:val="00C75ACA"/>
    <w:tblPr>
      <w:tblStyleRowBandSize w:val="1"/>
      <w:tblStyleColBandSize w:val="1"/>
      <w:tblInd w:w="0" w:type="dxa"/>
      <w:tblCellMar>
        <w:top w:w="0" w:type="dxa"/>
        <w:left w:w="115" w:type="dxa"/>
        <w:bottom w:w="0" w:type="dxa"/>
        <w:right w:w="115" w:type="dxa"/>
      </w:tblCellMar>
    </w:tblPr>
  </w:style>
  <w:style w:type="table" w:customStyle="1" w:styleId="af4">
    <w:basedOn w:val="TableNormal"/>
    <w:rsid w:val="00C75ACA"/>
    <w:tblPr>
      <w:tblStyleRowBandSize w:val="1"/>
      <w:tblStyleColBandSize w:val="1"/>
      <w:tblInd w:w="0" w:type="dxa"/>
      <w:tblCellMar>
        <w:top w:w="0" w:type="dxa"/>
        <w:left w:w="108" w:type="dxa"/>
        <w:bottom w:w="0" w:type="dxa"/>
        <w:right w:w="108" w:type="dxa"/>
      </w:tblCellMar>
    </w:tblPr>
  </w:style>
  <w:style w:type="table" w:customStyle="1" w:styleId="af5">
    <w:basedOn w:val="TableNormal"/>
    <w:rsid w:val="00C75ACA"/>
    <w:pPr>
      <w:spacing w:line="240" w:lineRule="auto"/>
    </w:pPr>
    <w:tblPr>
      <w:tblStyleRowBandSize w:val="1"/>
      <w:tblStyleColBandSize w:val="1"/>
      <w:tblInd w:w="0" w:type="dxa"/>
      <w:tblCellMar>
        <w:top w:w="0" w:type="dxa"/>
        <w:left w:w="108" w:type="dxa"/>
        <w:bottom w:w="0" w:type="dxa"/>
        <w:right w:w="108" w:type="dxa"/>
      </w:tblCellMar>
    </w:tblPr>
  </w:style>
  <w:style w:type="table" w:customStyle="1" w:styleId="af6">
    <w:basedOn w:val="TableNormal"/>
    <w:rsid w:val="00C75ACA"/>
    <w:tblPr>
      <w:tblStyleRowBandSize w:val="1"/>
      <w:tblStyleColBandSize w:val="1"/>
      <w:tblInd w:w="0" w:type="dxa"/>
      <w:tblCellMar>
        <w:top w:w="0" w:type="dxa"/>
        <w:left w:w="108" w:type="dxa"/>
        <w:bottom w:w="0" w:type="dxa"/>
        <w:right w:w="108" w:type="dxa"/>
      </w:tblCellMar>
    </w:tblPr>
  </w:style>
  <w:style w:type="paragraph" w:styleId="NormalWeb">
    <w:name w:val="Normal (Web)"/>
    <w:basedOn w:val="Normal"/>
    <w:uiPriority w:val="99"/>
    <w:semiHidden/>
    <w:unhideWhenUsed/>
    <w:rsid w:val="006746ED"/>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TOC4">
    <w:name w:val="toc 4"/>
    <w:basedOn w:val="Normal"/>
    <w:next w:val="Normal"/>
    <w:autoRedefine/>
    <w:uiPriority w:val="39"/>
    <w:unhideWhenUsed/>
    <w:rsid w:val="00BC1F09"/>
    <w:pPr>
      <w:spacing w:after="100"/>
      <w:ind w:left="660"/>
    </w:pPr>
  </w:style>
  <w:style w:type="paragraph" w:styleId="TOC5">
    <w:name w:val="toc 5"/>
    <w:basedOn w:val="Normal"/>
    <w:next w:val="Normal"/>
    <w:autoRedefine/>
    <w:uiPriority w:val="39"/>
    <w:unhideWhenUsed/>
    <w:rsid w:val="00BC1F09"/>
    <w:pPr>
      <w:spacing w:after="100"/>
      <w:ind w:left="880"/>
    </w:pPr>
  </w:style>
</w:styles>
</file>

<file path=word/webSettings.xml><?xml version="1.0" encoding="utf-8"?>
<w:webSettings xmlns:r="http://schemas.openxmlformats.org/officeDocument/2006/relationships" xmlns:w="http://schemas.openxmlformats.org/wordprocessingml/2006/main">
  <w:divs>
    <w:div w:id="1094130100">
      <w:bodyDiv w:val="1"/>
      <w:marLeft w:val="0"/>
      <w:marRight w:val="0"/>
      <w:marTop w:val="0"/>
      <w:marBottom w:val="0"/>
      <w:divBdr>
        <w:top w:val="none" w:sz="0" w:space="0" w:color="auto"/>
        <w:left w:val="none" w:sz="0" w:space="0" w:color="auto"/>
        <w:bottom w:val="none" w:sz="0" w:space="0" w:color="auto"/>
        <w:right w:val="none" w:sz="0" w:space="0" w:color="auto"/>
      </w:divBdr>
    </w:div>
    <w:div w:id="1830906008">
      <w:bodyDiv w:val="1"/>
      <w:marLeft w:val="0"/>
      <w:marRight w:val="0"/>
      <w:marTop w:val="0"/>
      <w:marBottom w:val="0"/>
      <w:divBdr>
        <w:top w:val="none" w:sz="0" w:space="0" w:color="auto"/>
        <w:left w:val="none" w:sz="0" w:space="0" w:color="auto"/>
        <w:bottom w:val="none" w:sz="0" w:space="0" w:color="auto"/>
        <w:right w:val="none" w:sz="0" w:space="0" w:color="auto"/>
      </w:divBdr>
    </w:div>
    <w:div w:id="1999992034">
      <w:bodyDiv w:val="1"/>
      <w:marLeft w:val="0"/>
      <w:marRight w:val="0"/>
      <w:marTop w:val="0"/>
      <w:marBottom w:val="0"/>
      <w:divBdr>
        <w:top w:val="none" w:sz="0" w:space="0" w:color="auto"/>
        <w:left w:val="none" w:sz="0" w:space="0" w:color="auto"/>
        <w:bottom w:val="none" w:sz="0" w:space="0" w:color="auto"/>
        <w:right w:val="none" w:sz="0" w:space="0" w:color="auto"/>
      </w:divBdr>
    </w:div>
    <w:div w:id="2020694793">
      <w:bodyDiv w:val="1"/>
      <w:marLeft w:val="0"/>
      <w:marRight w:val="0"/>
      <w:marTop w:val="0"/>
      <w:marBottom w:val="0"/>
      <w:divBdr>
        <w:top w:val="none" w:sz="0" w:space="0" w:color="auto"/>
        <w:left w:val="none" w:sz="0" w:space="0" w:color="auto"/>
        <w:bottom w:val="none" w:sz="0" w:space="0" w:color="auto"/>
        <w:right w:val="none" w:sz="0" w:space="0" w:color="auto"/>
      </w:divBdr>
      <w:divsChild>
        <w:div w:id="630214661">
          <w:marLeft w:val="0"/>
          <w:marRight w:val="0"/>
          <w:marTop w:val="0"/>
          <w:marBottom w:val="0"/>
          <w:divBdr>
            <w:top w:val="none" w:sz="0" w:space="0" w:color="auto"/>
            <w:left w:val="none" w:sz="0" w:space="0" w:color="auto"/>
            <w:bottom w:val="none" w:sz="0" w:space="0" w:color="auto"/>
            <w:right w:val="none" w:sz="0" w:space="0" w:color="auto"/>
          </w:divBdr>
          <w:divsChild>
            <w:div w:id="580019305">
              <w:marLeft w:val="0"/>
              <w:marRight w:val="0"/>
              <w:marTop w:val="0"/>
              <w:marBottom w:val="0"/>
              <w:divBdr>
                <w:top w:val="none" w:sz="0" w:space="0" w:color="auto"/>
                <w:left w:val="none" w:sz="0" w:space="0" w:color="auto"/>
                <w:bottom w:val="none" w:sz="0" w:space="0" w:color="auto"/>
                <w:right w:val="none" w:sz="0" w:space="0" w:color="auto"/>
              </w:divBdr>
              <w:divsChild>
                <w:div w:id="1615090698">
                  <w:marLeft w:val="0"/>
                  <w:marRight w:val="0"/>
                  <w:marTop w:val="0"/>
                  <w:marBottom w:val="0"/>
                  <w:divBdr>
                    <w:top w:val="none" w:sz="0" w:space="0" w:color="auto"/>
                    <w:left w:val="none" w:sz="0" w:space="0" w:color="auto"/>
                    <w:bottom w:val="none" w:sz="0" w:space="0" w:color="auto"/>
                    <w:right w:val="none" w:sz="0" w:space="0" w:color="auto"/>
                  </w:divBdr>
                  <w:divsChild>
                    <w:div w:id="496112644">
                      <w:marLeft w:val="0"/>
                      <w:marRight w:val="0"/>
                      <w:marTop w:val="0"/>
                      <w:marBottom w:val="0"/>
                      <w:divBdr>
                        <w:top w:val="none" w:sz="0" w:space="0" w:color="auto"/>
                        <w:left w:val="none" w:sz="0" w:space="0" w:color="auto"/>
                        <w:bottom w:val="none" w:sz="0" w:space="0" w:color="auto"/>
                        <w:right w:val="none" w:sz="0" w:space="0" w:color="auto"/>
                      </w:divBdr>
                      <w:divsChild>
                        <w:div w:id="298805476">
                          <w:marLeft w:val="0"/>
                          <w:marRight w:val="0"/>
                          <w:marTop w:val="0"/>
                          <w:marBottom w:val="0"/>
                          <w:divBdr>
                            <w:top w:val="none" w:sz="0" w:space="0" w:color="auto"/>
                            <w:left w:val="none" w:sz="0" w:space="0" w:color="auto"/>
                            <w:bottom w:val="none" w:sz="0" w:space="0" w:color="auto"/>
                            <w:right w:val="none" w:sz="0" w:space="0" w:color="auto"/>
                          </w:divBdr>
                          <w:divsChild>
                            <w:div w:id="1661158609">
                              <w:marLeft w:val="0"/>
                              <w:marRight w:val="0"/>
                              <w:marTop w:val="0"/>
                              <w:marBottom w:val="0"/>
                              <w:divBdr>
                                <w:top w:val="none" w:sz="0" w:space="0" w:color="auto"/>
                                <w:left w:val="none" w:sz="0" w:space="0" w:color="auto"/>
                                <w:bottom w:val="none" w:sz="0" w:space="0" w:color="auto"/>
                                <w:right w:val="none" w:sz="0" w:space="0" w:color="auto"/>
                              </w:divBdr>
                              <w:divsChild>
                                <w:div w:id="133302779">
                                  <w:marLeft w:val="0"/>
                                  <w:marRight w:val="0"/>
                                  <w:marTop w:val="0"/>
                                  <w:marBottom w:val="0"/>
                                  <w:divBdr>
                                    <w:top w:val="none" w:sz="0" w:space="0" w:color="auto"/>
                                    <w:left w:val="none" w:sz="0" w:space="0" w:color="auto"/>
                                    <w:bottom w:val="none" w:sz="0" w:space="0" w:color="auto"/>
                                    <w:right w:val="none" w:sz="0" w:space="0" w:color="auto"/>
                                  </w:divBdr>
                                  <w:divsChild>
                                    <w:div w:id="1023095915">
                                      <w:marLeft w:val="0"/>
                                      <w:marRight w:val="0"/>
                                      <w:marTop w:val="0"/>
                                      <w:marBottom w:val="0"/>
                                      <w:divBdr>
                                        <w:top w:val="none" w:sz="0" w:space="0" w:color="auto"/>
                                        <w:left w:val="none" w:sz="0" w:space="0" w:color="auto"/>
                                        <w:bottom w:val="none" w:sz="0" w:space="0" w:color="auto"/>
                                        <w:right w:val="none" w:sz="0" w:space="0" w:color="auto"/>
                                      </w:divBdr>
                                      <w:divsChild>
                                        <w:div w:id="1491753825">
                                          <w:marLeft w:val="0"/>
                                          <w:marRight w:val="0"/>
                                          <w:marTop w:val="0"/>
                                          <w:marBottom w:val="0"/>
                                          <w:divBdr>
                                            <w:top w:val="none" w:sz="0" w:space="0" w:color="auto"/>
                                            <w:left w:val="none" w:sz="0" w:space="0" w:color="auto"/>
                                            <w:bottom w:val="none" w:sz="0" w:space="0" w:color="auto"/>
                                            <w:right w:val="none" w:sz="0" w:space="0" w:color="auto"/>
                                          </w:divBdr>
                                          <w:divsChild>
                                            <w:div w:id="205901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7/s10654-021-00839-0" TargetMode="External"/><Relationship Id="rId21" Type="http://schemas.openxmlformats.org/officeDocument/2006/relationships/hyperlink" Target="https://www.researchgate.net/profile/Gerald-Okeke/publication/389068583_Ethical_Standards_in_Research_A_Professional_Imperative/links/67b3e6714c479b26c9e54656/Ethical-Standards-in-Research-A-Professional-Imperative.pdf" TargetMode="External"/><Relationship Id="rId42" Type="http://schemas.openxmlformats.org/officeDocument/2006/relationships/hyperlink" Target="https://pmc.ncbi.nlm.nih.gov/articles/PMC10118282/pdf/nihms-1881196.pdf" TargetMode="External"/><Relationship Id="rId47" Type="http://schemas.openxmlformats.org/officeDocument/2006/relationships/hyperlink" Target="https://doi.org/10.7326/M22-3272" TargetMode="External"/><Relationship Id="rId63" Type="http://schemas.openxmlformats.org/officeDocument/2006/relationships/hyperlink" Target="https://doi.org/10.1038/s41573-025-01236-y" TargetMode="External"/><Relationship Id="rId68" Type="http://schemas.openxmlformats.org/officeDocument/2006/relationships/hyperlink" Target="https://doi.org/10.1108/JCMS-12-2023-0046" TargetMode="External"/><Relationship Id="rId84" Type="http://schemas.openxmlformats.org/officeDocument/2006/relationships/hyperlink" Target="https://www.frontiersin.org/journals/health-services/articles/10.3389/frhs.2026.1842019/pdf" TargetMode="External"/><Relationship Id="rId89" Type="http://schemas.openxmlformats.org/officeDocument/2006/relationships/hyperlink" Target="https://doi.org/10.12659/MSM.944204" TargetMode="External"/><Relationship Id="rId112" Type="http://schemas.openxmlformats.org/officeDocument/2006/relationships/hyperlink" Target="https://doi.org/10.1111/hex.14070" TargetMode="External"/><Relationship Id="rId16" Type="http://schemas.openxmlformats.org/officeDocument/2006/relationships/hyperlink" Target="https://doi.org/10.1007/s40261-024-01384-w" TargetMode="External"/><Relationship Id="rId107" Type="http://schemas.openxmlformats.org/officeDocument/2006/relationships/hyperlink" Target="https://www.valueinhealthjournal.com/article/S1098-3015(24)02627-5/pdf" TargetMode="External"/><Relationship Id="rId11" Type="http://schemas.openxmlformats.org/officeDocument/2006/relationships/image" Target="media/image2.png"/><Relationship Id="rId24" Type="http://schemas.openxmlformats.org/officeDocument/2006/relationships/hyperlink" Target="https://doi.org/10.3390/biomedicines13082022" TargetMode="External"/><Relationship Id="rId32" Type="http://schemas.openxmlformats.org/officeDocument/2006/relationships/hyperlink" Target="https://doi.org/10.1016/j.ajic.2023.11.019" TargetMode="External"/><Relationship Id="rId37" Type="http://schemas.openxmlformats.org/officeDocument/2006/relationships/hyperlink" Target="https://www.eurogct.org/mhra-innovative-licensing-and-access-pathway" TargetMode="External"/><Relationship Id="rId40" Type="http://schemas.openxmlformats.org/officeDocument/2006/relationships/hyperlink" Target="https://doi.org/10.1093/postmj/qgad131" TargetMode="External"/><Relationship Id="rId45" Type="http://schemas.openxmlformats.org/officeDocument/2006/relationships/hyperlink" Target="https://doi.org/10.1186/s12875-022-01919-0" TargetMode="External"/><Relationship Id="rId53" Type="http://schemas.openxmlformats.org/officeDocument/2006/relationships/hyperlink" Target="https://pmc.ncbi.nlm.nih.gov/articles/PMC12105983/" TargetMode="External"/><Relationship Id="rId58" Type="http://schemas.openxmlformats.org/officeDocument/2006/relationships/hyperlink" Target="https://doi.org/10.1182/bloodadvances.2025016053" TargetMode="External"/><Relationship Id="rId66" Type="http://schemas.openxmlformats.org/officeDocument/2006/relationships/hyperlink" Target="https://doi.org/10.1186/s12982-026-01970-7" TargetMode="External"/><Relationship Id="rId74" Type="http://schemas.openxmlformats.org/officeDocument/2006/relationships/hyperlink" Target="https://doi.org/10.1136/bmjonc-2023-000124" TargetMode="External"/><Relationship Id="rId79" Type="http://schemas.openxmlformats.org/officeDocument/2006/relationships/hyperlink" Target="https://doi.org/10.31557/APJCP.2025.26.5.1641" TargetMode="External"/><Relationship Id="rId87" Type="http://schemas.openxmlformats.org/officeDocument/2006/relationships/hyperlink" Target="https://doi.org/10.1111/jocn.16370" TargetMode="External"/><Relationship Id="rId102" Type="http://schemas.openxmlformats.org/officeDocument/2006/relationships/hyperlink" Target="https://www.nature.com/articles/s41467-023-35886-6.pdf" TargetMode="External"/><Relationship Id="rId110" Type="http://schemas.openxmlformats.org/officeDocument/2006/relationships/hyperlink" Target="https://doi.org/10.1186/s13643-022-02074-4" TargetMode="External"/><Relationship Id="rId115"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doi.org/10.3389/fgene.2024.1381172" TargetMode="External"/><Relationship Id="rId82" Type="http://schemas.openxmlformats.org/officeDocument/2006/relationships/hyperlink" Target="https://dx.doi.org/10.47772/IJRISS.2025.905000284" TargetMode="External"/><Relationship Id="rId90" Type="http://schemas.openxmlformats.org/officeDocument/2006/relationships/hyperlink" Target="https://doi.org/10.1155/2022/6079631" TargetMode="External"/><Relationship Id="rId95" Type="http://schemas.openxmlformats.org/officeDocument/2006/relationships/hyperlink" Target="https://www.researchgate.net/publication/240218229_Research_Methods_for_Business_Students" TargetMode="External"/><Relationship Id="rId19" Type="http://schemas.openxmlformats.org/officeDocument/2006/relationships/hyperlink" Target="https://doi.org/10.1007/s12033-025-01368-x" TargetMode="External"/><Relationship Id="rId14" Type="http://schemas.openxmlformats.org/officeDocument/2006/relationships/image" Target="media/image5.png"/><Relationship Id="rId22" Type="http://schemas.openxmlformats.org/officeDocument/2006/relationships/hyperlink" Target="https://doi.org/10.5281/zenodo.18241378" TargetMode="External"/><Relationship Id="rId27" Type="http://schemas.openxmlformats.org/officeDocument/2006/relationships/hyperlink" Target="https://www.pharaohacademy.com/display/2388/jccc-00088.pdf" TargetMode="External"/><Relationship Id="rId30" Type="http://schemas.openxmlformats.org/officeDocument/2006/relationships/hyperlink" Target="https://www.chemistryworld.com/news/in-2023-the-uk-was-the-first-country-to-approve-a-crispr-therapy-hows-it-doing/4022805.article" TargetMode="External"/><Relationship Id="rId35" Type="http://schemas.openxmlformats.org/officeDocument/2006/relationships/hyperlink" Target="https://pubmed.ncbi.nlm.nih.gov/29294057/" TargetMode="External"/><Relationship Id="rId43" Type="http://schemas.openxmlformats.org/officeDocument/2006/relationships/hyperlink" Target="https://doi.org/10.3390/thalassrep13010006" TargetMode="External"/><Relationship Id="rId48" Type="http://schemas.openxmlformats.org/officeDocument/2006/relationships/hyperlink" Target="https://doi.org/10.3390/w15173110" TargetMode="External"/><Relationship Id="rId56" Type="http://schemas.openxmlformats.org/officeDocument/2006/relationships/hyperlink" Target="https://www.mdpi.com/2073-4425/15/7/863" TargetMode="External"/><Relationship Id="rId64" Type="http://schemas.openxmlformats.org/officeDocument/2006/relationships/hyperlink" Target="https://doi.org/10.3390/genes16111367" TargetMode="External"/><Relationship Id="rId69" Type="http://schemas.openxmlformats.org/officeDocument/2006/relationships/hyperlink" Target="https://doi.org/10.3389/fpubh.2022.834172" TargetMode="External"/><Relationship Id="rId77" Type="http://schemas.openxmlformats.org/officeDocument/2006/relationships/hyperlink" Target="https://doi.org/10.1016/S2352-3026(25)00235-2" TargetMode="External"/><Relationship Id="rId100" Type="http://schemas.openxmlformats.org/officeDocument/2006/relationships/hyperlink" Target="https://doi.org/10.1080/20016689.2023.2241234?utm_source=copilot.com" TargetMode="External"/><Relationship Id="rId105" Type="http://schemas.openxmlformats.org/officeDocument/2006/relationships/hyperlink" Target="https://doi.org/10.1016/j.jval.2024.12.006" TargetMode="External"/><Relationship Id="rId113" Type="http://schemas.openxmlformats.org/officeDocument/2006/relationships/hyperlink" Target="https://pmc.ncbi.nlm.nih.gov/articles/PMC12732843/" TargetMode="External"/><Relationship Id="rId8" Type="http://schemas.openxmlformats.org/officeDocument/2006/relationships/endnotes" Target="endnotes.xml"/><Relationship Id="rId51" Type="http://schemas.openxmlformats.org/officeDocument/2006/relationships/hyperlink" Target="https://doi.org/10.1002/hem3.70175" TargetMode="External"/><Relationship Id="rId72" Type="http://schemas.openxmlformats.org/officeDocument/2006/relationships/hyperlink" Target="https://doi.org/10.1016/j.puhip.2025.100600" TargetMode="External"/><Relationship Id="rId80" Type="http://schemas.openxmlformats.org/officeDocument/2006/relationships/hyperlink" Target="https://www.england.nhs.uk/2023/06/thousands-of-sickle-cell-patients-to-benefit-from-quicker-access-to-expert-nhs-care/" TargetMode="External"/><Relationship Id="rId85" Type="http://schemas.openxmlformats.org/officeDocument/2006/relationships/hyperlink" Target="https://pmc.ncbi.nlm.nih.gov/articles/PMC11444627/" TargetMode="External"/><Relationship Id="rId93" Type="http://schemas.openxmlformats.org/officeDocument/2006/relationships/hyperlink" Target="https://bmfj.journals.ekb.eg/article_458374_0a2763ff935c38ecc049ea4383399a5d.pdf" TargetMode="External"/><Relationship Id="rId98" Type="http://schemas.openxmlformats.org/officeDocument/2006/relationships/hyperlink" Target="https://doi.org/10.9734/ajbgmb/2025/v17i2443" TargetMode="Externa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hyperlink" Target="https://onlinelibrary.wiley.com/doi/pdf/10.1002/puh2.70156" TargetMode="External"/><Relationship Id="rId25" Type="http://schemas.openxmlformats.org/officeDocument/2006/relationships/hyperlink" Target="https://doi.org/10.3390/encyclopedia6060131" TargetMode="External"/><Relationship Id="rId33" Type="http://schemas.openxmlformats.org/officeDocument/2006/relationships/hyperlink" Target="https://doi.org/10.1002/pon.70182" TargetMode="External"/><Relationship Id="rId38" Type="http://schemas.openxmlformats.org/officeDocument/2006/relationships/hyperlink" Target="https://www.nature.com/articles/s41551-023-01026-0.pdf" TargetMode="External"/><Relationship Id="rId46" Type="http://schemas.openxmlformats.org/officeDocument/2006/relationships/hyperlink" Target="https://www.mdpi.com/1999-4915/17/12/1588" TargetMode="External"/><Relationship Id="rId59" Type="http://schemas.openxmlformats.org/officeDocument/2006/relationships/hyperlink" Target="https://doi.org/10.1055/s-0044-1785234" TargetMode="External"/><Relationship Id="rId67" Type="http://schemas.openxmlformats.org/officeDocument/2006/relationships/hyperlink" Target="https://doi.org/10.1186/s12982-026-01970-7" TargetMode="External"/><Relationship Id="rId103" Type="http://schemas.openxmlformats.org/officeDocument/2006/relationships/hyperlink" Target="https://doi.org/10.3390/cells15100939" TargetMode="External"/><Relationship Id="rId108" Type="http://schemas.openxmlformats.org/officeDocument/2006/relationships/hyperlink" Target="https://doi.org/10.35975/apic.v28i4.2528" TargetMode="External"/><Relationship Id="rId116" Type="http://schemas.openxmlformats.org/officeDocument/2006/relationships/theme" Target="theme/theme1.xml"/><Relationship Id="rId20" Type="http://schemas.openxmlformats.org/officeDocument/2006/relationships/hyperlink" Target="https://doi.org/10.1016/j.glmedi.2025.100198?utm_source=copilot.com" TargetMode="External"/><Relationship Id="rId41" Type="http://schemas.openxmlformats.org/officeDocument/2006/relationships/hyperlink" Target="https://www.ncbi.nlm.nih.gov/books/NBK573923/?utm_source=copilot.com" TargetMode="External"/><Relationship Id="rId54" Type="http://schemas.openxmlformats.org/officeDocument/2006/relationships/hyperlink" Target="https://doi.org/10.1007/s40273-023-01246-x" TargetMode="External"/><Relationship Id="rId62" Type="http://schemas.openxmlformats.org/officeDocument/2006/relationships/hyperlink" Target="https://www.legislation.gov.uk/ukpga/1988/48/contents" TargetMode="External"/><Relationship Id="rId70" Type="http://schemas.openxmlformats.org/officeDocument/2006/relationships/hyperlink" Target="https://doi.org/10.31478/202311d" TargetMode="External"/><Relationship Id="rId75" Type="http://schemas.openxmlformats.org/officeDocument/2006/relationships/hyperlink" Target="https://doi.org/10.1038/s41434-026-00598-1" TargetMode="External"/><Relationship Id="rId83" Type="http://schemas.openxmlformats.org/officeDocument/2006/relationships/hyperlink" Target="https://journals.lww.com/annals-of-medicine-and-surgery/_layouts/15/oaks.journals/downloadpdf.aspx?an=01845215-202512000-00115" TargetMode="External"/><Relationship Id="rId88" Type="http://schemas.openxmlformats.org/officeDocument/2006/relationships/hyperlink" Target="https://www.bmj.com/content/372/bmj.n160" TargetMode="External"/><Relationship Id="rId91" Type="http://schemas.openxmlformats.org/officeDocument/2006/relationships/hyperlink" Target="https://doi.org/10.1177/0272989X211058068" TargetMode="External"/><Relationship Id="rId96" Type="http://schemas.openxmlformats.org/officeDocument/2006/relationships/hyperlink" Target="https://doi.org/10.1177/00469580251399374" TargetMode="External"/><Relationship Id="rId111" Type="http://schemas.openxmlformats.org/officeDocument/2006/relationships/hyperlink" Target="https://journals.sagepub.com/doi/abs/10.1089/hum.2022.150"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doi.org/10.1016/j.ymthe.2025.01.031" TargetMode="External"/><Relationship Id="rId28" Type="http://schemas.openxmlformats.org/officeDocument/2006/relationships/hyperlink" Target="https://doi.org/10.1089/crispr.2024.0101" TargetMode="External"/><Relationship Id="rId36" Type="http://schemas.openxmlformats.org/officeDocument/2006/relationships/hyperlink" Target="https://www.sid.ir/en/VEWSSID/J_pdf/43173-477411-en-1915218.pdf" TargetMode="External"/><Relationship Id="rId49" Type="http://schemas.openxmlformats.org/officeDocument/2006/relationships/hyperlink" Target="https://www.healthdata.org/research-analysis/library/global-regional-and-national-prevalence-and-mortality-burden-sickle-cell" TargetMode="External"/><Relationship Id="rId57" Type="http://schemas.openxmlformats.org/officeDocument/2006/relationships/hyperlink" Target="https://pmc.ncbi.nlm.nih.gov/articles/PMC11591220/" TargetMode="External"/><Relationship Id="rId106" Type="http://schemas.openxmlformats.org/officeDocument/2006/relationships/hyperlink" Target="https://pmc.ncbi.nlm.nih.gov/articles/PMC13190120/" TargetMode="External"/><Relationship Id="rId114" Type="http://schemas.openxmlformats.org/officeDocument/2006/relationships/hyperlink" Target="https://www.sciencedirect.com/science/article/pii/S0277953623006196" TargetMode="External"/><Relationship Id="rId10" Type="http://schemas.openxmlformats.org/officeDocument/2006/relationships/hyperlink" Target="mailto:2426154@student.uwtsd.ac.uk" TargetMode="External"/><Relationship Id="rId31" Type="http://schemas.openxmlformats.org/officeDocument/2006/relationships/hyperlink" Target="https://doi.org/10.1007/s44250-025-00336-1" TargetMode="External"/><Relationship Id="rId44" Type="http://schemas.openxmlformats.org/officeDocument/2006/relationships/hyperlink" Target="https://www.cambridge.org/core/journals/journal-of-law-medicine-and-ethics/article/genome-editing-in-medicine-a-scoping-review-of-ethical-bioethical-and-medicolegal-implications/467FDDCD80519B5F87E8224845E3C865" TargetMode="External"/><Relationship Id="rId52" Type="http://schemas.openxmlformats.org/officeDocument/2006/relationships/hyperlink" Target="https://www.frontiersin.org/journals/cellular-and-infection-microbiology/articles/10.3389/fcimb.2026.1781460/pdf" TargetMode="External"/><Relationship Id="rId60" Type="http://schemas.openxmlformats.org/officeDocument/2006/relationships/hyperlink" Target="https://doi.org/10.3390/cells13100800" TargetMode="External"/><Relationship Id="rId65" Type="http://schemas.openxmlformats.org/officeDocument/2006/relationships/hyperlink" Target="https://doi.org/10.22605/RRH7769" TargetMode="External"/><Relationship Id="rId73" Type="http://schemas.openxmlformats.org/officeDocument/2006/relationships/hyperlink" Target="https://doi.org/10.1159/000546850" TargetMode="External"/><Relationship Id="rId78" Type="http://schemas.openxmlformats.org/officeDocument/2006/relationships/hyperlink" Target="https://journals.sagepub.com/doi/pdf/10.1177/16094069231205789" TargetMode="External"/><Relationship Id="rId81" Type="http://schemas.openxmlformats.org/officeDocument/2006/relationships/hyperlink" Target="https://www.cell.com/molecular-therapy-family/molecular-therapy/pdfExtended/S1525-0016(24)00750-0" TargetMode="External"/><Relationship Id="rId86" Type="http://schemas.openxmlformats.org/officeDocument/2006/relationships/hyperlink" Target="https://bmjopen.bmj.com/content/bmjopen/15/11/e101643.full.pdf" TargetMode="External"/><Relationship Id="rId94" Type="http://schemas.openxmlformats.org/officeDocument/2006/relationships/hyperlink" Target="https://doi.org/10.1177/20552076241257146" TargetMode="External"/><Relationship Id="rId99" Type="http://schemas.openxmlformats.org/officeDocument/2006/relationships/hyperlink" Target="https://journals.lww.com/annals-of-medicine-and-surgery/_layouts/15/oaks.journals/downloadpdf.aspx?an=01845215-202408000-00040" TargetMode="External"/><Relationship Id="rId101" Type="http://schemas.openxmlformats.org/officeDocument/2006/relationships/hyperlink" Target="https://doi.org/10.2105/AJPH.2023.307315?utm_source=copilot.com"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doi.org/10.1080/17460751.2025.2521963" TargetMode="External"/><Relationship Id="rId39" Type="http://schemas.openxmlformats.org/officeDocument/2006/relationships/hyperlink" Target="https://doi.org/10.48112/jestt.v2i1.13" TargetMode="External"/><Relationship Id="rId109" Type="http://schemas.openxmlformats.org/officeDocument/2006/relationships/hyperlink" Target="https://doi.org/10.1007/s12223-025-01335-8" TargetMode="External"/><Relationship Id="rId34" Type="http://schemas.openxmlformats.org/officeDocument/2006/relationships/hyperlink" Target="https://doi.org/10.1016/j.drudis.2025.104337" TargetMode="External"/><Relationship Id="rId50" Type="http://schemas.openxmlformats.org/officeDocument/2006/relationships/hyperlink" Target="https://repository.up.ac.za/server/api/core/bitstreams/18024b8a-1058-4626-9f3d-df7ddb6c5d8f/content" TargetMode="External"/><Relationship Id="rId55" Type="http://schemas.openxmlformats.org/officeDocument/2006/relationships/hyperlink" Target="https://link.springer.com/content/pdf/10.1007/s11606-022-07786-w.pdf" TargetMode="External"/><Relationship Id="rId76" Type="http://schemas.openxmlformats.org/officeDocument/2006/relationships/hyperlink" Target="https://doi.org/10.1038/s41598-024-53121-0" TargetMode="External"/><Relationship Id="rId97" Type="http://schemas.openxmlformats.org/officeDocument/2006/relationships/hyperlink" Target="https://doi.org/10.9734/ajbgmb/2025/v17i2443" TargetMode="External"/><Relationship Id="rId104" Type="http://schemas.openxmlformats.org/officeDocument/2006/relationships/hyperlink" Target="https://pmc.ncbi.nlm.nih.gov/articles/PMC10390339/" TargetMode="External"/><Relationship Id="rId7" Type="http://schemas.openxmlformats.org/officeDocument/2006/relationships/footnotes" Target="footnotes.xml"/><Relationship Id="rId71" Type="http://schemas.openxmlformats.org/officeDocument/2006/relationships/hyperlink" Target="https://doi.org/10.1111/ahg.12558" TargetMode="External"/><Relationship Id="rId92" Type="http://schemas.openxmlformats.org/officeDocument/2006/relationships/hyperlink" Target="http://dx.doi.org/10.1089/crispr.2024.0042" TargetMode="External"/><Relationship Id="rId2" Type="http://schemas.openxmlformats.org/officeDocument/2006/relationships/customXml" Target="../customXml/item2.xml"/><Relationship Id="rId29" Type="http://schemas.openxmlformats.org/officeDocument/2006/relationships/hyperlink" Target="https://pmc.ncbi.nlm.nih.gov/articles/PMC10431926/pdf/PCD-20-E69.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BLVc68UP0aa53uCZY5dDVJdIvw==">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D428CD1-8706-471A-97C1-523ED579E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88</Pages>
  <Words>26436</Words>
  <Characters>150688</Characters>
  <Application>Microsoft Office Word</Application>
  <DocSecurity>0</DocSecurity>
  <Lines>1255</Lines>
  <Paragraphs>353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HG_06_VINAL _MIYANI</cp:lastModifiedBy>
  <cp:revision>37</cp:revision>
  <dcterms:created xsi:type="dcterms:W3CDTF">2026-09-10T09:39:00Z</dcterms:created>
  <dcterms:modified xsi:type="dcterms:W3CDTF">2026-09-24T23:14:00Z</dcterms:modified>
</cp:coreProperties>
</file>