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924E6" w14:textId="6B4E4280" w:rsidR="00F63A23" w:rsidRDefault="00F63A23" w:rsidP="00F63A23">
      <w:pPr>
        <w:shd w:val="clear" w:color="auto" w:fill="FFFFFF"/>
        <w:spacing w:before="100" w:beforeAutospacing="1" w:after="100" w:afterAutospacing="1" w:line="240" w:lineRule="auto"/>
        <w:textAlignment w:val="baseline"/>
        <w:outlineLvl w:val="0"/>
        <w:rPr>
          <w:rFonts w:ascii="Arial" w:eastAsia="Times New Roman" w:hAnsi="Arial" w:cs="Arial"/>
          <w:b/>
          <w:bCs/>
          <w:color w:val="232323"/>
          <w:kern w:val="36"/>
          <w:sz w:val="48"/>
          <w:szCs w:val="48"/>
          <w:lang w:eastAsia="en-GB"/>
        </w:rPr>
      </w:pPr>
      <w:r>
        <w:fldChar w:fldCharType="begin"/>
      </w:r>
      <w:r>
        <w:instrText xml:space="preserve"> HYPERLINK "https://www.hrzone.com/lead/culture/culture-change-in-the-coronavirus-era-is-about-meteorology-not-archaeology" </w:instrText>
      </w:r>
      <w:r>
        <w:fldChar w:fldCharType="separate"/>
      </w:r>
      <w:r>
        <w:rPr>
          <w:rStyle w:val="Hyperlink"/>
        </w:rPr>
        <w:t>https://www.hrzone.com/lead/culture/culture-change-in-the-coronavirus-era-is-about-meteorology-not-archaeology</w:t>
      </w:r>
      <w:r>
        <w:fldChar w:fldCharType="end"/>
      </w:r>
    </w:p>
    <w:p w14:paraId="073911AD" w14:textId="0AE25164" w:rsidR="00F63A23" w:rsidRPr="00F63A23" w:rsidRDefault="00F63A23" w:rsidP="00F63A23">
      <w:pPr>
        <w:shd w:val="clear" w:color="auto" w:fill="FFFFFF"/>
        <w:spacing w:before="100" w:beforeAutospacing="1" w:after="100" w:afterAutospacing="1" w:line="240" w:lineRule="auto"/>
        <w:textAlignment w:val="baseline"/>
        <w:outlineLvl w:val="0"/>
        <w:rPr>
          <w:rFonts w:ascii="Arial" w:eastAsia="Times New Roman" w:hAnsi="Arial" w:cs="Arial"/>
          <w:b/>
          <w:bCs/>
          <w:color w:val="232323"/>
          <w:kern w:val="36"/>
          <w:sz w:val="48"/>
          <w:szCs w:val="48"/>
          <w:lang w:eastAsia="en-GB"/>
        </w:rPr>
      </w:pPr>
      <w:r w:rsidRPr="00F63A23">
        <w:rPr>
          <w:rFonts w:ascii="Arial" w:eastAsia="Times New Roman" w:hAnsi="Arial" w:cs="Arial"/>
          <w:b/>
          <w:bCs/>
          <w:color w:val="232323"/>
          <w:kern w:val="36"/>
          <w:sz w:val="48"/>
          <w:szCs w:val="48"/>
          <w:lang w:eastAsia="en-GB"/>
        </w:rPr>
        <w:t>Culture change in the coronavirus era is about ‘meteorology’, not ‘archaeology’</w:t>
      </w:r>
    </w:p>
    <w:p w14:paraId="3367BE0A" w14:textId="77777777" w:rsidR="00F63A23" w:rsidRPr="00F63A23" w:rsidRDefault="00F63A23" w:rsidP="00F63A23">
      <w:pPr>
        <w:shd w:val="clear" w:color="auto" w:fill="FFFFFF"/>
        <w:spacing w:before="100" w:beforeAutospacing="1" w:after="100" w:afterAutospacing="1" w:line="240" w:lineRule="auto"/>
        <w:textAlignment w:val="baseline"/>
        <w:rPr>
          <w:rFonts w:ascii="Arial" w:eastAsia="Times New Roman" w:hAnsi="Arial" w:cs="Arial"/>
          <w:b/>
          <w:bCs/>
          <w:color w:val="232323"/>
          <w:sz w:val="27"/>
          <w:szCs w:val="27"/>
          <w:lang w:eastAsia="en-GB"/>
        </w:rPr>
      </w:pPr>
      <w:r w:rsidRPr="00F63A23">
        <w:rPr>
          <w:rFonts w:ascii="Arial" w:eastAsia="Times New Roman" w:hAnsi="Arial" w:cs="Arial"/>
          <w:b/>
          <w:bCs/>
          <w:color w:val="232323"/>
          <w:sz w:val="27"/>
          <w:szCs w:val="27"/>
          <w:lang w:eastAsia="en-GB"/>
        </w:rPr>
        <w:t>When looking to change company culture in the wake of this pandemic, HR leaders need to stop looking to the company’s past and instead shift their focus to forecasting the future. </w:t>
      </w:r>
    </w:p>
    <w:p w14:paraId="2DF25535" w14:textId="77777777" w:rsidR="00F63A23" w:rsidRPr="00F63A23" w:rsidRDefault="00F63A23" w:rsidP="00F63A23">
      <w:pPr>
        <w:shd w:val="clear" w:color="auto" w:fill="FFFFFF"/>
        <w:spacing w:after="0" w:line="240" w:lineRule="auto"/>
        <w:textAlignment w:val="baseline"/>
        <w:rPr>
          <w:rFonts w:ascii="Arial" w:eastAsia="Times New Roman" w:hAnsi="Arial" w:cs="Arial"/>
          <w:color w:val="232323"/>
          <w:sz w:val="27"/>
          <w:szCs w:val="27"/>
          <w:lang w:eastAsia="en-GB"/>
        </w:rPr>
      </w:pPr>
      <w:r w:rsidRPr="00F63A23">
        <w:rPr>
          <w:rFonts w:ascii="Arial" w:eastAsia="Times New Roman" w:hAnsi="Arial" w:cs="Arial"/>
          <w:color w:val="232323"/>
          <w:sz w:val="27"/>
          <w:szCs w:val="27"/>
          <w:bdr w:val="none" w:sz="0" w:space="0" w:color="auto" w:frame="1"/>
          <w:lang w:eastAsia="en-GB"/>
        </w:rPr>
        <w:t>16th Jun 2020</w:t>
      </w:r>
    </w:p>
    <w:p w14:paraId="44BBA859" w14:textId="77777777" w:rsidR="00F63A23" w:rsidRPr="00F63A23" w:rsidRDefault="00F63A23" w:rsidP="00F63A23">
      <w:pPr>
        <w:shd w:val="clear" w:color="auto" w:fill="FFFFFF"/>
        <w:spacing w:after="0" w:line="240" w:lineRule="auto"/>
        <w:textAlignment w:val="baseline"/>
        <w:rPr>
          <w:rFonts w:ascii="Arial" w:eastAsia="Times New Roman" w:hAnsi="Arial" w:cs="Arial"/>
          <w:color w:val="232323"/>
          <w:sz w:val="27"/>
          <w:szCs w:val="27"/>
          <w:lang w:eastAsia="en-GB"/>
        </w:rPr>
      </w:pPr>
      <w:hyperlink r:id="rId4" w:history="1">
        <w:r w:rsidRPr="00F63A23">
          <w:rPr>
            <w:rFonts w:ascii="Arial" w:eastAsia="Times New Roman" w:hAnsi="Arial" w:cs="Arial"/>
            <w:color w:val="232323"/>
            <w:sz w:val="27"/>
            <w:szCs w:val="27"/>
            <w:u w:val="single"/>
            <w:bdr w:val="none" w:sz="0" w:space="0" w:color="auto" w:frame="1"/>
            <w:lang w:eastAsia="en-GB"/>
          </w:rPr>
          <w:t>1 comment</w:t>
        </w:r>
      </w:hyperlink>
    </w:p>
    <w:p w14:paraId="6E362CDB" w14:textId="70EE8E9F" w:rsidR="00F63A23" w:rsidRPr="00F63A23" w:rsidRDefault="00F63A23" w:rsidP="00F63A23">
      <w:pPr>
        <w:shd w:val="clear" w:color="auto" w:fill="FFFFFF"/>
        <w:spacing w:after="0" w:line="240" w:lineRule="auto"/>
        <w:textAlignment w:val="baseline"/>
        <w:rPr>
          <w:rFonts w:ascii="Times New Roman" w:eastAsia="Times New Roman" w:hAnsi="Times New Roman" w:cs="Times New Roman"/>
          <w:color w:val="232323"/>
          <w:sz w:val="27"/>
          <w:szCs w:val="27"/>
          <w:lang w:eastAsia="en-GB"/>
        </w:rPr>
      </w:pPr>
    </w:p>
    <w:p w14:paraId="1F2AAE02"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As the coronavirus pandemic continues to affect the global economy at unprecedented levels, several leading business commentators have suggested the outbreak could fundamentally change the way we approach work moving forward.</w:t>
      </w:r>
    </w:p>
    <w:p w14:paraId="436245B6" w14:textId="77777777" w:rsidR="00F63A23" w:rsidRPr="00F63A23" w:rsidRDefault="00F63A23" w:rsidP="00F63A23">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With employees not having seen their desks for months – and governments warning that some social distancing measures may be in place for years until a vaccine is widely disseminated – </w:t>
      </w:r>
      <w:hyperlink r:id="rId5" w:tgtFrame="_blank" w:history="1">
        <w:r w:rsidRPr="00F63A23">
          <w:rPr>
            <w:rFonts w:ascii="inherit" w:eastAsia="Times New Roman" w:hAnsi="inherit" w:cs="Times New Roman"/>
            <w:color w:val="232323"/>
            <w:sz w:val="27"/>
            <w:szCs w:val="27"/>
            <w:u w:val="single"/>
            <w:bdr w:val="none" w:sz="0" w:space="0" w:color="auto" w:frame="1"/>
            <w:lang w:eastAsia="en-GB"/>
          </w:rPr>
          <w:t>remote working</w:t>
        </w:r>
      </w:hyperlink>
      <w:r w:rsidRPr="00F63A23">
        <w:rPr>
          <w:rFonts w:ascii="inherit" w:eastAsia="Times New Roman" w:hAnsi="inherit" w:cs="Times New Roman"/>
          <w:color w:val="232323"/>
          <w:sz w:val="27"/>
          <w:szCs w:val="27"/>
          <w:lang w:eastAsia="en-GB"/>
        </w:rPr>
        <w:t> is now destined to be the norm.</w:t>
      </w:r>
    </w:p>
    <w:p w14:paraId="2C193FCB" w14:textId="77777777" w:rsidR="00F63A23" w:rsidRPr="00F63A23" w:rsidRDefault="00F63A23" w:rsidP="00F63A23">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r w:rsidRPr="00F63A23">
        <w:rPr>
          <w:rFonts w:ascii="Times New Roman" w:eastAsia="Times New Roman" w:hAnsi="Times New Roman" w:cs="Times New Roman"/>
          <w:i/>
          <w:iCs/>
          <w:color w:val="B8358A"/>
          <w:sz w:val="27"/>
          <w:szCs w:val="27"/>
          <w:lang w:eastAsia="en-GB"/>
        </w:rPr>
        <w:t> We often look at culture as ‘archaeologists’, looking back through a company’s history to determine the next steps to take, when in fact we should be approaching culture as ‘meteorologists’, looking to the company’s future for guidance.</w:t>
      </w:r>
    </w:p>
    <w:p w14:paraId="5FB11F11" w14:textId="77777777" w:rsidR="00F63A23" w:rsidRPr="00F63A23" w:rsidRDefault="00F63A23" w:rsidP="00F63A23">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With the increasing normality of remote working, many HR leaders are scrambling to parachute in new workplace culture initiatives, in a bid to keep employees engaged and shore up some sense of team cohesion. Some employers are reaching for wholesale </w:t>
      </w:r>
      <w:hyperlink r:id="rId6" w:tgtFrame="_blank" w:history="1">
        <w:r w:rsidRPr="00F63A23">
          <w:rPr>
            <w:rFonts w:ascii="inherit" w:eastAsia="Times New Roman" w:hAnsi="inherit" w:cs="Times New Roman"/>
            <w:color w:val="232323"/>
            <w:sz w:val="27"/>
            <w:szCs w:val="27"/>
            <w:u w:val="single"/>
            <w:bdr w:val="none" w:sz="0" w:space="0" w:color="auto" w:frame="1"/>
            <w:lang w:eastAsia="en-GB"/>
          </w:rPr>
          <w:t>culture</w:t>
        </w:r>
      </w:hyperlink>
      <w:r w:rsidRPr="00F63A23">
        <w:rPr>
          <w:rFonts w:ascii="inherit" w:eastAsia="Times New Roman" w:hAnsi="inherit" w:cs="Times New Roman"/>
          <w:color w:val="232323"/>
          <w:sz w:val="27"/>
          <w:szCs w:val="27"/>
          <w:lang w:eastAsia="en-GB"/>
        </w:rPr>
        <w:t> changes – seeking to position their employer brand at the vanguard of the ‘next normal’, in which employee concerns over mental wellbeing and flexible working take precedence.</w:t>
      </w:r>
    </w:p>
    <w:p w14:paraId="2901C497"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 xml:space="preserve">Many organisations approach culture </w:t>
      </w:r>
      <w:proofErr w:type="gramStart"/>
      <w:r w:rsidRPr="00F63A23">
        <w:rPr>
          <w:rFonts w:ascii="inherit" w:eastAsia="Times New Roman" w:hAnsi="inherit" w:cs="Times New Roman"/>
          <w:color w:val="232323"/>
          <w:sz w:val="27"/>
          <w:szCs w:val="27"/>
          <w:lang w:eastAsia="en-GB"/>
        </w:rPr>
        <w:t>change</w:t>
      </w:r>
      <w:proofErr w:type="gramEnd"/>
      <w:r w:rsidRPr="00F63A23">
        <w:rPr>
          <w:rFonts w:ascii="inherit" w:eastAsia="Times New Roman" w:hAnsi="inherit" w:cs="Times New Roman"/>
          <w:color w:val="232323"/>
          <w:sz w:val="27"/>
          <w:szCs w:val="27"/>
          <w:lang w:eastAsia="en-GB"/>
        </w:rPr>
        <w:t xml:space="preserve"> the wrong way, however. Research from Gartner has shown that HR leaders often misguidedly base their culture change initiatives on incorrect questions or assumptions, leading to issues that become difficult to undo down the line. There are key steps that need to be taken by businesses in developing their strategies.  </w:t>
      </w:r>
    </w:p>
    <w:p w14:paraId="43DFA088" w14:textId="77777777" w:rsidR="00F63A23" w:rsidRPr="00F63A23" w:rsidRDefault="00F63A23" w:rsidP="00F63A23">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F63A23">
        <w:rPr>
          <w:rFonts w:ascii="Arial" w:eastAsia="Times New Roman" w:hAnsi="Arial" w:cs="Arial"/>
          <w:b/>
          <w:bCs/>
          <w:color w:val="232323"/>
          <w:sz w:val="27"/>
          <w:szCs w:val="27"/>
          <w:lang w:eastAsia="en-GB"/>
        </w:rPr>
        <w:t>Culture as ‘meteorology’, not ‘archaeology’</w:t>
      </w:r>
    </w:p>
    <w:p w14:paraId="751E6CC7"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lastRenderedPageBreak/>
        <w:t xml:space="preserve">One of the most frequent missteps made by HR leaders is to set cultural objectives, without tying their goals to the future needs of the business. For example, many organisations seek a ‘culture of innovation’, but </w:t>
      </w:r>
      <w:proofErr w:type="gramStart"/>
      <w:r w:rsidRPr="00F63A23">
        <w:rPr>
          <w:rFonts w:ascii="inherit" w:eastAsia="Times New Roman" w:hAnsi="inherit" w:cs="Times New Roman"/>
          <w:color w:val="232323"/>
          <w:sz w:val="27"/>
          <w:szCs w:val="27"/>
          <w:lang w:eastAsia="en-GB"/>
        </w:rPr>
        <w:t>don’t</w:t>
      </w:r>
      <w:proofErr w:type="gramEnd"/>
      <w:r w:rsidRPr="00F63A23">
        <w:rPr>
          <w:rFonts w:ascii="inherit" w:eastAsia="Times New Roman" w:hAnsi="inherit" w:cs="Times New Roman"/>
          <w:color w:val="232323"/>
          <w:sz w:val="27"/>
          <w:szCs w:val="27"/>
          <w:lang w:eastAsia="en-GB"/>
        </w:rPr>
        <w:t xml:space="preserve"> tie this to real business strategies such as pursuing new business ideas, transforming processes, or driving efficiencies with new technology.</w:t>
      </w:r>
    </w:p>
    <w:p w14:paraId="2B3FF34C"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Fundamentally, HR leaders are approaching the issue of culture change with the wrong perspective. We often look at culture as ‘archaeologists’, looking back through a company’s history to determine the next steps to take, when in fact we should be approaching culture as ‘meteorologists’, looking to the company’s future for guidance and forecasting what the atmosphere will be like.</w:t>
      </w:r>
    </w:p>
    <w:p w14:paraId="4F657EC1" w14:textId="77777777" w:rsidR="00F63A23" w:rsidRPr="00F63A23" w:rsidRDefault="00F63A23" w:rsidP="00F63A23">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r w:rsidRPr="00F63A23">
        <w:rPr>
          <w:rFonts w:ascii="Times New Roman" w:eastAsia="Times New Roman" w:hAnsi="Times New Roman" w:cs="Times New Roman"/>
          <w:i/>
          <w:iCs/>
          <w:color w:val="B8358A"/>
          <w:sz w:val="27"/>
          <w:szCs w:val="27"/>
          <w:lang w:eastAsia="en-GB"/>
        </w:rPr>
        <w:t>When we measure culture, we need to not only collect the right data, but also ensure that we make changes or improvements based on that information.</w:t>
      </w:r>
    </w:p>
    <w:p w14:paraId="03BC8B48"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Instead of asking ‘what should my organisation’s culture be?’, employers should ask themselves how their culture goals will support the future state of the business.</w:t>
      </w:r>
    </w:p>
    <w:p w14:paraId="73380279"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 xml:space="preserve">In a pragmatic sense, HR leaders should first assess the set of goals that their current culture delivers on. This may be in the successful development of self-sustaining </w:t>
      </w:r>
      <w:proofErr w:type="gramStart"/>
      <w:r w:rsidRPr="00F63A23">
        <w:rPr>
          <w:rFonts w:ascii="inherit" w:eastAsia="Times New Roman" w:hAnsi="inherit" w:cs="Times New Roman"/>
          <w:color w:val="232323"/>
          <w:sz w:val="27"/>
          <w:szCs w:val="27"/>
          <w:lang w:eastAsia="en-GB"/>
        </w:rPr>
        <w:t>teams, or</w:t>
      </w:r>
      <w:proofErr w:type="gramEnd"/>
      <w:r w:rsidRPr="00F63A23">
        <w:rPr>
          <w:rFonts w:ascii="inherit" w:eastAsia="Times New Roman" w:hAnsi="inherit" w:cs="Times New Roman"/>
          <w:color w:val="232323"/>
          <w:sz w:val="27"/>
          <w:szCs w:val="27"/>
          <w:lang w:eastAsia="en-GB"/>
        </w:rPr>
        <w:t xml:space="preserve"> increasing cross-practice collaboration. Following this, they should then examine the goals needed to support their future organisation.</w:t>
      </w:r>
    </w:p>
    <w:p w14:paraId="46C3DA70"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In practice, this could be guiding an organisation’s culture of innovation by encouraging employees to generate new business ideas that could shape the very products and services of the future. By yoking their cultural goals to an image of the organisation’s future success, HR leaders can drive employee incentives, nurturing behaviour among workers that can directly improve the business.</w:t>
      </w:r>
    </w:p>
    <w:p w14:paraId="629FC58A" w14:textId="77777777" w:rsidR="00F63A23" w:rsidRPr="00F63A23" w:rsidRDefault="00F63A23" w:rsidP="00F63A23">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F63A23">
        <w:rPr>
          <w:rFonts w:ascii="Arial" w:eastAsia="Times New Roman" w:hAnsi="Arial" w:cs="Arial"/>
          <w:b/>
          <w:bCs/>
          <w:color w:val="232323"/>
          <w:sz w:val="27"/>
          <w:szCs w:val="27"/>
          <w:lang w:eastAsia="en-GB"/>
        </w:rPr>
        <w:t>Prepare for – and embrace – personalisation</w:t>
      </w:r>
    </w:p>
    <w:p w14:paraId="266A2A95"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It may be tempting – particularly as organisations shift to more remote work – to drive for a single, unifying culture. A single ‘monoculture’ is not realistic across most organisations, however. Employees should be encouraged to understand the values the organisation is aiming for, but each team should contextualise how it can live out the culture – adapting overall cultural pillars to their way of working.</w:t>
      </w:r>
    </w:p>
    <w:p w14:paraId="51F05BBD"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 xml:space="preserve">One global non-profit organisation defined its culture through a simple ‘do’s and don’ts’ tool, encouraging teams across the organisation to customise </w:t>
      </w:r>
      <w:r w:rsidRPr="00F63A23">
        <w:rPr>
          <w:rFonts w:ascii="inherit" w:eastAsia="Times New Roman" w:hAnsi="inherit" w:cs="Times New Roman"/>
          <w:color w:val="232323"/>
          <w:sz w:val="27"/>
          <w:szCs w:val="27"/>
          <w:lang w:eastAsia="en-GB"/>
        </w:rPr>
        <w:lastRenderedPageBreak/>
        <w:t>behaviour expectations to guide employees during the high-stakes moments most likely to test their cultural alignment.</w:t>
      </w:r>
    </w:p>
    <w:p w14:paraId="0CFC31B0"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 xml:space="preserve">To ensure relevancy, HR leaders turned the central list of culture pillars into a scalable and customisable tool for teams to define behaviour expectations. This </w:t>
      </w:r>
      <w:proofErr w:type="gramStart"/>
      <w:r w:rsidRPr="00F63A23">
        <w:rPr>
          <w:rFonts w:ascii="inherit" w:eastAsia="Times New Roman" w:hAnsi="inherit" w:cs="Times New Roman"/>
          <w:color w:val="232323"/>
          <w:sz w:val="27"/>
          <w:szCs w:val="27"/>
          <w:lang w:eastAsia="en-GB"/>
        </w:rPr>
        <w:t>business driven</w:t>
      </w:r>
      <w:proofErr w:type="gramEnd"/>
      <w:r w:rsidRPr="00F63A23">
        <w:rPr>
          <w:rFonts w:ascii="inherit" w:eastAsia="Times New Roman" w:hAnsi="inherit" w:cs="Times New Roman"/>
          <w:color w:val="232323"/>
          <w:sz w:val="27"/>
          <w:szCs w:val="27"/>
          <w:lang w:eastAsia="en-GB"/>
        </w:rPr>
        <w:t xml:space="preserve"> approach enabled that company to promote firm-wide culture alignment while helping teams articulate the right behavioural expectations specific to their goals.</w:t>
      </w:r>
    </w:p>
    <w:p w14:paraId="00095A8B"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Another frequent misstep made by HR leaders is in the ‘measurement’ of culture. Particularly in an era of crisis, as we are in now, employers are often clutching at any tools that might help provide a snapshot of their employees’ loyalty, enthusiasm, and trust in their organisation.</w:t>
      </w:r>
    </w:p>
    <w:p w14:paraId="01E32CDD" w14:textId="77777777" w:rsidR="00F63A23" w:rsidRPr="00F63A23" w:rsidRDefault="00F63A23" w:rsidP="00F63A23">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Often clients ask for </w:t>
      </w:r>
      <w:r w:rsidRPr="00F63A23">
        <w:rPr>
          <w:rFonts w:ascii="inherit" w:eastAsia="Times New Roman" w:hAnsi="inherit" w:cs="Times New Roman"/>
          <w:i/>
          <w:iCs/>
          <w:color w:val="232323"/>
          <w:sz w:val="27"/>
          <w:szCs w:val="27"/>
          <w:bdr w:val="none" w:sz="0" w:space="0" w:color="auto" w:frame="1"/>
          <w:lang w:eastAsia="en-GB"/>
        </w:rPr>
        <w:t>more</w:t>
      </w:r>
      <w:r w:rsidRPr="00F63A23">
        <w:rPr>
          <w:rFonts w:ascii="inherit" w:eastAsia="Times New Roman" w:hAnsi="inherit" w:cs="Times New Roman"/>
          <w:color w:val="232323"/>
          <w:sz w:val="27"/>
          <w:szCs w:val="27"/>
          <w:lang w:eastAsia="en-GB"/>
        </w:rPr>
        <w:t xml:space="preserve"> when it comes to measurement – more tools, more surveys, more analysis. Unfortunately, collecting more data </w:t>
      </w:r>
      <w:proofErr w:type="gramStart"/>
      <w:r w:rsidRPr="00F63A23">
        <w:rPr>
          <w:rFonts w:ascii="inherit" w:eastAsia="Times New Roman" w:hAnsi="inherit" w:cs="Times New Roman"/>
          <w:color w:val="232323"/>
          <w:sz w:val="27"/>
          <w:szCs w:val="27"/>
          <w:lang w:eastAsia="en-GB"/>
        </w:rPr>
        <w:t>isn’t</w:t>
      </w:r>
      <w:proofErr w:type="gramEnd"/>
      <w:r w:rsidRPr="00F63A23">
        <w:rPr>
          <w:rFonts w:ascii="inherit" w:eastAsia="Times New Roman" w:hAnsi="inherit" w:cs="Times New Roman"/>
          <w:color w:val="232323"/>
          <w:sz w:val="27"/>
          <w:szCs w:val="27"/>
          <w:lang w:eastAsia="en-GB"/>
        </w:rPr>
        <w:t xml:space="preserve"> realistic during this time of change when HR cost cutting is a top priority and employees experience survey fatigue. Culture measurement must be a process of continual engagement and dialogue with your workforce to empower your managers and teams to </w:t>
      </w:r>
      <w:proofErr w:type="gramStart"/>
      <w:r w:rsidRPr="00F63A23">
        <w:rPr>
          <w:rFonts w:ascii="inherit" w:eastAsia="Times New Roman" w:hAnsi="inherit" w:cs="Times New Roman"/>
          <w:color w:val="232323"/>
          <w:sz w:val="27"/>
          <w:szCs w:val="27"/>
          <w:lang w:eastAsia="en-GB"/>
        </w:rPr>
        <w:t>take action</w:t>
      </w:r>
      <w:proofErr w:type="gramEnd"/>
      <w:r w:rsidRPr="00F63A23">
        <w:rPr>
          <w:rFonts w:ascii="inherit" w:eastAsia="Times New Roman" w:hAnsi="inherit" w:cs="Times New Roman"/>
          <w:color w:val="232323"/>
          <w:sz w:val="27"/>
          <w:szCs w:val="27"/>
          <w:lang w:eastAsia="en-GB"/>
        </w:rPr>
        <w:t xml:space="preserve"> on data.</w:t>
      </w:r>
    </w:p>
    <w:p w14:paraId="033CCDC4"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 xml:space="preserve">Fundamentally, when we measure culture, we need to not only collect the right data, but also ensure that we make changes or improvements based on that information. Instead of focusing on more data, HR leaders can </w:t>
      </w:r>
      <w:proofErr w:type="gramStart"/>
      <w:r w:rsidRPr="00F63A23">
        <w:rPr>
          <w:rFonts w:ascii="inherit" w:eastAsia="Times New Roman" w:hAnsi="inherit" w:cs="Times New Roman"/>
          <w:color w:val="232323"/>
          <w:sz w:val="27"/>
          <w:szCs w:val="27"/>
          <w:lang w:eastAsia="en-GB"/>
        </w:rPr>
        <w:t>take action</w:t>
      </w:r>
      <w:proofErr w:type="gramEnd"/>
      <w:r w:rsidRPr="00F63A23">
        <w:rPr>
          <w:rFonts w:ascii="inherit" w:eastAsia="Times New Roman" w:hAnsi="inherit" w:cs="Times New Roman"/>
          <w:color w:val="232323"/>
          <w:sz w:val="27"/>
          <w:szCs w:val="27"/>
          <w:lang w:eastAsia="en-GB"/>
        </w:rPr>
        <w:t xml:space="preserve"> on culture data in three ways.</w:t>
      </w:r>
    </w:p>
    <w:p w14:paraId="4EAE912B"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 xml:space="preserve">First, HR leaders can validate the culture data’s relevance to the organisation. Cross-functional and employee perspectives can help interpret the culture data. Second, not all data aligns with business needs. HR leaders not only need to analyse which parts of the culture data to </w:t>
      </w:r>
      <w:proofErr w:type="gramStart"/>
      <w:r w:rsidRPr="00F63A23">
        <w:rPr>
          <w:rFonts w:ascii="inherit" w:eastAsia="Times New Roman" w:hAnsi="inherit" w:cs="Times New Roman"/>
          <w:color w:val="232323"/>
          <w:sz w:val="27"/>
          <w:szCs w:val="27"/>
          <w:lang w:eastAsia="en-GB"/>
        </w:rPr>
        <w:t>take action</w:t>
      </w:r>
      <w:proofErr w:type="gramEnd"/>
      <w:r w:rsidRPr="00F63A23">
        <w:rPr>
          <w:rFonts w:ascii="inherit" w:eastAsia="Times New Roman" w:hAnsi="inherit" w:cs="Times New Roman"/>
          <w:color w:val="232323"/>
          <w:sz w:val="27"/>
          <w:szCs w:val="27"/>
          <w:lang w:eastAsia="en-GB"/>
        </w:rPr>
        <w:t xml:space="preserve"> on, but also map culture data back to key business decisions. Finally, HR leaders must consider how to hold leaders accountable for </w:t>
      </w:r>
      <w:proofErr w:type="gramStart"/>
      <w:r w:rsidRPr="00F63A23">
        <w:rPr>
          <w:rFonts w:ascii="inherit" w:eastAsia="Times New Roman" w:hAnsi="inherit" w:cs="Times New Roman"/>
          <w:color w:val="232323"/>
          <w:sz w:val="27"/>
          <w:szCs w:val="27"/>
          <w:lang w:eastAsia="en-GB"/>
        </w:rPr>
        <w:t>taking action</w:t>
      </w:r>
      <w:proofErr w:type="gramEnd"/>
      <w:r w:rsidRPr="00F63A23">
        <w:rPr>
          <w:rFonts w:ascii="inherit" w:eastAsia="Times New Roman" w:hAnsi="inherit" w:cs="Times New Roman"/>
          <w:color w:val="232323"/>
          <w:sz w:val="27"/>
          <w:szCs w:val="27"/>
          <w:lang w:eastAsia="en-GB"/>
        </w:rPr>
        <w:t xml:space="preserve"> on culture data within their business units. Often leaders </w:t>
      </w:r>
      <w:proofErr w:type="gramStart"/>
      <w:r w:rsidRPr="00F63A23">
        <w:rPr>
          <w:rFonts w:ascii="inherit" w:eastAsia="Times New Roman" w:hAnsi="inherit" w:cs="Times New Roman"/>
          <w:color w:val="232323"/>
          <w:sz w:val="27"/>
          <w:szCs w:val="27"/>
          <w:lang w:eastAsia="en-GB"/>
        </w:rPr>
        <w:t>don’t</w:t>
      </w:r>
      <w:proofErr w:type="gramEnd"/>
      <w:r w:rsidRPr="00F63A23">
        <w:rPr>
          <w:rFonts w:ascii="inherit" w:eastAsia="Times New Roman" w:hAnsi="inherit" w:cs="Times New Roman"/>
          <w:color w:val="232323"/>
          <w:sz w:val="27"/>
          <w:szCs w:val="27"/>
          <w:lang w:eastAsia="en-GB"/>
        </w:rPr>
        <w:t xml:space="preserve"> know what they should do with the culture data they receive, so HR leaders must equip leaders with business-tested action steps to advance their culture.</w:t>
      </w:r>
    </w:p>
    <w:p w14:paraId="1A03F26A" w14:textId="77777777" w:rsidR="00F63A23" w:rsidRPr="00F63A23" w:rsidRDefault="00F63A23" w:rsidP="00F63A23">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F63A23">
        <w:rPr>
          <w:rFonts w:ascii="Arial" w:eastAsia="Times New Roman" w:hAnsi="Arial" w:cs="Arial"/>
          <w:b/>
          <w:bCs/>
          <w:color w:val="232323"/>
          <w:sz w:val="27"/>
          <w:szCs w:val="27"/>
          <w:lang w:eastAsia="en-GB"/>
        </w:rPr>
        <w:t>Culture in remote workplaces</w:t>
      </w:r>
    </w:p>
    <w:p w14:paraId="247791F8"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Of course, the process of trying to manage a culture change in a business is complicated by the fact that vast numbers of employees are working remotely during the coronavirus pandemic, and HR teams are not able to address culture concerns in person.</w:t>
      </w:r>
    </w:p>
    <w:p w14:paraId="1A27992F" w14:textId="77777777" w:rsidR="00F63A23" w:rsidRPr="00F63A23" w:rsidRDefault="00F63A23" w:rsidP="00F63A23">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It is a challenge that will remain in place for a long time, however. According to research from Gartner, </w:t>
      </w:r>
      <w:hyperlink r:id="rId7" w:tgtFrame="_blank" w:history="1">
        <w:r w:rsidRPr="00F63A23">
          <w:rPr>
            <w:rFonts w:ascii="inherit" w:eastAsia="Times New Roman" w:hAnsi="inherit" w:cs="Times New Roman"/>
            <w:color w:val="232323"/>
            <w:sz w:val="27"/>
            <w:szCs w:val="27"/>
            <w:u w:val="single"/>
            <w:bdr w:val="none" w:sz="0" w:space="0" w:color="auto" w:frame="1"/>
            <w:lang w:eastAsia="en-GB"/>
          </w:rPr>
          <w:t>41% of employees are likely to work remotely</w:t>
        </w:r>
      </w:hyperlink>
      <w:r w:rsidRPr="00F63A23">
        <w:rPr>
          <w:rFonts w:ascii="inherit" w:eastAsia="Times New Roman" w:hAnsi="inherit" w:cs="Times New Roman"/>
          <w:color w:val="232323"/>
          <w:sz w:val="27"/>
          <w:szCs w:val="27"/>
          <w:lang w:eastAsia="en-GB"/>
        </w:rPr>
        <w:t xml:space="preserve"> at </w:t>
      </w:r>
      <w:r w:rsidRPr="00F63A23">
        <w:rPr>
          <w:rFonts w:ascii="inherit" w:eastAsia="Times New Roman" w:hAnsi="inherit" w:cs="Times New Roman"/>
          <w:color w:val="232323"/>
          <w:sz w:val="27"/>
          <w:szCs w:val="27"/>
          <w:lang w:eastAsia="en-GB"/>
        </w:rPr>
        <w:lastRenderedPageBreak/>
        <w:t xml:space="preserve">least some of the time post-pandemic. Meanwhile, Barclays CEO </w:t>
      </w:r>
      <w:proofErr w:type="spellStart"/>
      <w:r w:rsidRPr="00F63A23">
        <w:rPr>
          <w:rFonts w:ascii="inherit" w:eastAsia="Times New Roman" w:hAnsi="inherit" w:cs="Times New Roman"/>
          <w:color w:val="232323"/>
          <w:sz w:val="27"/>
          <w:szCs w:val="27"/>
          <w:lang w:eastAsia="en-GB"/>
        </w:rPr>
        <w:t>Jes</w:t>
      </w:r>
      <w:proofErr w:type="spellEnd"/>
      <w:r w:rsidRPr="00F63A23">
        <w:rPr>
          <w:rFonts w:ascii="inherit" w:eastAsia="Times New Roman" w:hAnsi="inherit" w:cs="Times New Roman"/>
          <w:color w:val="232323"/>
          <w:sz w:val="27"/>
          <w:szCs w:val="27"/>
          <w:lang w:eastAsia="en-GB"/>
        </w:rPr>
        <w:t xml:space="preserve"> Staley recently </w:t>
      </w:r>
      <w:hyperlink r:id="rId8" w:tgtFrame="_blank" w:history="1">
        <w:r w:rsidRPr="00F63A23">
          <w:rPr>
            <w:rFonts w:ascii="inherit" w:eastAsia="Times New Roman" w:hAnsi="inherit" w:cs="Times New Roman"/>
            <w:color w:val="232323"/>
            <w:sz w:val="27"/>
            <w:szCs w:val="27"/>
            <w:u w:val="single"/>
            <w:bdr w:val="none" w:sz="0" w:space="0" w:color="auto" w:frame="1"/>
            <w:lang w:eastAsia="en-GB"/>
          </w:rPr>
          <w:t>suggested</w:t>
        </w:r>
      </w:hyperlink>
      <w:r w:rsidRPr="00F63A23">
        <w:rPr>
          <w:rFonts w:ascii="inherit" w:eastAsia="Times New Roman" w:hAnsi="inherit" w:cs="Times New Roman"/>
          <w:color w:val="232323"/>
          <w:sz w:val="27"/>
          <w:szCs w:val="27"/>
          <w:lang w:eastAsia="en-GB"/>
        </w:rPr>
        <w:t> the practice of “putting 7,000 people in a building may be a thing of the past”.</w:t>
      </w:r>
    </w:p>
    <w:p w14:paraId="7C2C5B7D" w14:textId="77777777" w:rsidR="00F63A23" w:rsidRPr="00F63A23" w:rsidRDefault="00F63A23" w:rsidP="00F63A23">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F63A23">
        <w:rPr>
          <w:rFonts w:ascii="inherit" w:eastAsia="Times New Roman" w:hAnsi="inherit" w:cs="Times New Roman"/>
          <w:color w:val="232323"/>
          <w:sz w:val="27"/>
          <w:szCs w:val="27"/>
          <w:lang w:eastAsia="en-GB"/>
        </w:rPr>
        <w:t>As businesses try to navigate a period of unprecedented uncertainty, it is vital that HR teams push ahead with planning for culture change initiatives. There are a number of ways this can be handled virtually, including engaging employee resource groups to diagnose employee sentiments, working with managers and business leaders to stimulate honest, open conversations with employees, and leveraging the vast array of new collaboration tools available.</w:t>
      </w:r>
    </w:p>
    <w:p w14:paraId="404730A5" w14:textId="77777777" w:rsidR="00A302A2" w:rsidRDefault="00A302A2"/>
    <w:sectPr w:rsidR="00A30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A23"/>
    <w:rsid w:val="00A302A2"/>
    <w:rsid w:val="00F63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4450F"/>
  <w15:chartTrackingRefBased/>
  <w15:docId w15:val="{232AD0DF-9D91-4787-861C-E9EBFD09E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63A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925838">
      <w:bodyDiv w:val="1"/>
      <w:marLeft w:val="0"/>
      <w:marRight w:val="0"/>
      <w:marTop w:val="0"/>
      <w:marBottom w:val="0"/>
      <w:divBdr>
        <w:top w:val="none" w:sz="0" w:space="0" w:color="auto"/>
        <w:left w:val="none" w:sz="0" w:space="0" w:color="auto"/>
        <w:bottom w:val="none" w:sz="0" w:space="0" w:color="auto"/>
        <w:right w:val="none" w:sz="0" w:space="0" w:color="auto"/>
      </w:divBdr>
      <w:divsChild>
        <w:div w:id="46609109">
          <w:marLeft w:val="0"/>
          <w:marRight w:val="0"/>
          <w:marTop w:val="0"/>
          <w:marBottom w:val="0"/>
          <w:divBdr>
            <w:top w:val="none" w:sz="0" w:space="0" w:color="auto"/>
            <w:left w:val="none" w:sz="0" w:space="0" w:color="auto"/>
            <w:bottom w:val="none" w:sz="0" w:space="0" w:color="auto"/>
            <w:right w:val="none" w:sz="0" w:space="0" w:color="auto"/>
          </w:divBdr>
          <w:divsChild>
            <w:div w:id="1723358172">
              <w:marLeft w:val="0"/>
              <w:marRight w:val="0"/>
              <w:marTop w:val="0"/>
              <w:marBottom w:val="0"/>
              <w:divBdr>
                <w:top w:val="none" w:sz="0" w:space="0" w:color="auto"/>
                <w:left w:val="none" w:sz="0" w:space="0" w:color="auto"/>
                <w:bottom w:val="none" w:sz="0" w:space="0" w:color="auto"/>
                <w:right w:val="none" w:sz="0" w:space="0" w:color="auto"/>
              </w:divBdr>
            </w:div>
            <w:div w:id="1570773611">
              <w:marLeft w:val="0"/>
              <w:marRight w:val="0"/>
              <w:marTop w:val="0"/>
              <w:marBottom w:val="0"/>
              <w:divBdr>
                <w:top w:val="none" w:sz="0" w:space="0" w:color="auto"/>
                <w:left w:val="none" w:sz="0" w:space="0" w:color="auto"/>
                <w:bottom w:val="none" w:sz="0" w:space="0" w:color="auto"/>
                <w:right w:val="none" w:sz="0" w:space="0" w:color="auto"/>
              </w:divBdr>
              <w:divsChild>
                <w:div w:id="10289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604595">
          <w:marLeft w:val="0"/>
          <w:marRight w:val="0"/>
          <w:marTop w:val="0"/>
          <w:marBottom w:val="0"/>
          <w:divBdr>
            <w:top w:val="none" w:sz="0" w:space="0" w:color="auto"/>
            <w:left w:val="none" w:sz="0" w:space="0" w:color="auto"/>
            <w:bottom w:val="none" w:sz="0" w:space="0" w:color="auto"/>
            <w:right w:val="none" w:sz="0" w:space="0" w:color="auto"/>
          </w:divBdr>
          <w:divsChild>
            <w:div w:id="598176480">
              <w:marLeft w:val="0"/>
              <w:marRight w:val="0"/>
              <w:marTop w:val="0"/>
              <w:marBottom w:val="0"/>
              <w:divBdr>
                <w:top w:val="none" w:sz="0" w:space="0" w:color="auto"/>
                <w:left w:val="none" w:sz="0" w:space="0" w:color="auto"/>
                <w:bottom w:val="none" w:sz="0" w:space="0" w:color="auto"/>
                <w:right w:val="none" w:sz="0" w:space="0" w:color="auto"/>
              </w:divBdr>
              <w:divsChild>
                <w:div w:id="1834292173">
                  <w:marLeft w:val="0"/>
                  <w:marRight w:val="0"/>
                  <w:marTop w:val="0"/>
                  <w:marBottom w:val="0"/>
                  <w:divBdr>
                    <w:top w:val="none" w:sz="0" w:space="0" w:color="auto"/>
                    <w:left w:val="none" w:sz="0" w:space="0" w:color="auto"/>
                    <w:bottom w:val="none" w:sz="0" w:space="0" w:color="auto"/>
                    <w:right w:val="none" w:sz="0" w:space="0" w:color="auto"/>
                  </w:divBdr>
                  <w:divsChild>
                    <w:div w:id="4579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120715">
              <w:marLeft w:val="0"/>
              <w:marRight w:val="0"/>
              <w:marTop w:val="0"/>
              <w:marBottom w:val="0"/>
              <w:divBdr>
                <w:top w:val="none" w:sz="0" w:space="0" w:color="auto"/>
                <w:left w:val="none" w:sz="0" w:space="0" w:color="auto"/>
                <w:bottom w:val="none" w:sz="0" w:space="0" w:color="auto"/>
                <w:right w:val="none" w:sz="0" w:space="0" w:color="auto"/>
              </w:divBdr>
              <w:divsChild>
                <w:div w:id="787234054">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 w:id="390545093">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reuters.com/article/uk-barclays-results-offices/barclays-ceo-says-putting-7000-people-in-a-building-may-be-thing-of-the-past-idUKKCN22B101" TargetMode="External"/><Relationship Id="rId3" Type="http://schemas.openxmlformats.org/officeDocument/2006/relationships/webSettings" Target="webSettings.xml"/><Relationship Id="rId7" Type="http://schemas.openxmlformats.org/officeDocument/2006/relationships/hyperlink" Target="https://www.gartner.com/en/newsroom/press-releases/2020-04-14-gartner-hr-survey-reveals-41--of-employees-likely-t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rzone.com/lead/culture/how-can-hr-create-a-company-culture-to-go-in-an-age-of-remote-working" TargetMode="External"/><Relationship Id="rId5" Type="http://schemas.openxmlformats.org/officeDocument/2006/relationships/hyperlink" Target="https://www.hrzone.com/lead/culture/remote-control-how-to-build-culture-across-a-team-of-remote-workers" TargetMode="External"/><Relationship Id="rId10" Type="http://schemas.openxmlformats.org/officeDocument/2006/relationships/theme" Target="theme/theme1.xml"/><Relationship Id="rId4" Type="http://schemas.openxmlformats.org/officeDocument/2006/relationships/hyperlink" Target="https://www.hrzone.com/lead/culture/culture-change-in-the-coronavirus-era-is-about-meteorology-not-archaeolog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1236</Words>
  <Characters>7047</Characters>
  <Application>Microsoft Office Word</Application>
  <DocSecurity>0</DocSecurity>
  <Lines>58</Lines>
  <Paragraphs>16</Paragraphs>
  <ScaleCrop>false</ScaleCrop>
  <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2020-07-30T13:57:00Z</dcterms:created>
  <dcterms:modified xsi:type="dcterms:W3CDTF">2020-07-30T13:58:00Z</dcterms:modified>
</cp:coreProperties>
</file>